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0.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1.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2.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3.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4.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5.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C14355" w:rsidRDefault="00DF0B54" w:rsidP="008D7F4E">
      <w:bookmarkStart w:id="0" w:name="_Hlk185246631"/>
      <w:bookmarkEnd w:id="0"/>
      <w:r w:rsidRPr="002C54EC">
        <w:rPr>
          <w:noProof/>
          <w:color w:val="D5B788"/>
        </w:rPr>
        <w:drawing>
          <wp:anchor distT="0" distB="0" distL="114300" distR="114300" simplePos="0" relativeHeight="251649024" behindDoc="0" locked="0" layoutInCell="1" allowOverlap="1" wp14:anchorId="3F0A51DA" wp14:editId="774EA5D8">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C14355" w:rsidRDefault="008D7F4E" w:rsidP="008D7F4E"/>
    <w:p w14:paraId="1AC5E2C3" w14:textId="77777777" w:rsidR="008D7F4E" w:rsidRPr="00C14355" w:rsidRDefault="008D7F4E" w:rsidP="008D7F4E"/>
    <w:p w14:paraId="34990FAF" w14:textId="52B5DA41" w:rsidR="008D7F4E" w:rsidRPr="00C14355" w:rsidRDefault="008D7F4E" w:rsidP="008D7F4E">
      <w:bookmarkStart w:id="1" w:name="_Hlk86404256"/>
      <w:bookmarkEnd w:id="1"/>
    </w:p>
    <w:p w14:paraId="6EFB72EE" w14:textId="272B2AD6" w:rsidR="008D7F4E" w:rsidRPr="00C14355" w:rsidRDefault="008D7F4E" w:rsidP="008D7F4E"/>
    <w:p w14:paraId="3F7503CE" w14:textId="172B5CFE" w:rsidR="008D7F4E" w:rsidRPr="00C14355" w:rsidRDefault="008D7F4E" w:rsidP="008D7F4E"/>
    <w:p w14:paraId="071FCCAE" w14:textId="759B330B" w:rsidR="008D7F4E" w:rsidRPr="00C14355" w:rsidRDefault="00A63A00" w:rsidP="008D7F4E">
      <w:r w:rsidRPr="00C14355">
        <w:rPr>
          <w:noProof/>
        </w:rPr>
        <mc:AlternateContent>
          <mc:Choice Requires="wps">
            <w:drawing>
              <wp:anchor distT="0" distB="0" distL="114300" distR="114300" simplePos="0" relativeHeight="251653120" behindDoc="0" locked="0" layoutInCell="1" allowOverlap="1" wp14:anchorId="49B1C421" wp14:editId="4DE4949B">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C14355" w:rsidRDefault="008D7F4E" w:rsidP="008D7F4E">
                            <w:pPr>
                              <w:spacing w:before="20"/>
                              <w:ind w:left="14"/>
                              <w:rPr>
                                <w:b/>
                                <w:bCs/>
                                <w:color w:val="D0B787"/>
                                <w:spacing w:val="9"/>
                                <w:kern w:val="24"/>
                                <w:sz w:val="20"/>
                                <w:szCs w:val="20"/>
                              </w:rPr>
                            </w:pPr>
                            <w:r w:rsidRPr="002C54EC">
                              <w:rPr>
                                <w:b/>
                                <w:bCs/>
                                <w:color w:val="D5B788"/>
                                <w:spacing w:val="9"/>
                                <w:kern w:val="24"/>
                                <w:sz w:val="20"/>
                                <w:szCs w:val="20"/>
                              </w:rPr>
                              <w:t>REPÚBLICA</w:t>
                            </w:r>
                            <w:r w:rsidRPr="00C14355">
                              <w:rPr>
                                <w:b/>
                                <w:bCs/>
                                <w:color w:val="D0B787"/>
                                <w:spacing w:val="11"/>
                                <w:kern w:val="24"/>
                                <w:sz w:val="20"/>
                                <w:szCs w:val="20"/>
                              </w:rPr>
                              <w:t xml:space="preserve"> </w:t>
                            </w:r>
                            <w:r w:rsidRPr="00465A16">
                              <w:rPr>
                                <w:b/>
                                <w:bCs/>
                                <w:color w:val="D5B788"/>
                                <w:spacing w:val="11"/>
                                <w:kern w:val="24"/>
                                <w:sz w:val="20"/>
                                <w:szCs w:val="20"/>
                              </w:rPr>
                              <w:t>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C14355" w:rsidRDefault="008D7F4E" w:rsidP="008D7F4E">
                      <w:pPr>
                        <w:spacing w:before="20"/>
                        <w:ind w:left="14"/>
                        <w:rPr>
                          <w:b/>
                          <w:bCs/>
                          <w:color w:val="D0B787"/>
                          <w:spacing w:val="9"/>
                          <w:kern w:val="24"/>
                          <w:sz w:val="20"/>
                          <w:szCs w:val="20"/>
                        </w:rPr>
                      </w:pPr>
                      <w:r w:rsidRPr="002C54EC">
                        <w:rPr>
                          <w:b/>
                          <w:bCs/>
                          <w:color w:val="D5B788"/>
                          <w:spacing w:val="9"/>
                          <w:kern w:val="24"/>
                          <w:sz w:val="20"/>
                          <w:szCs w:val="20"/>
                        </w:rPr>
                        <w:t>REPÚBLICA</w:t>
                      </w:r>
                      <w:r w:rsidRPr="00C14355">
                        <w:rPr>
                          <w:b/>
                          <w:bCs/>
                          <w:color w:val="D0B787"/>
                          <w:spacing w:val="11"/>
                          <w:kern w:val="24"/>
                          <w:sz w:val="20"/>
                          <w:szCs w:val="20"/>
                        </w:rPr>
                        <w:t xml:space="preserve"> </w:t>
                      </w:r>
                      <w:r w:rsidRPr="00465A16">
                        <w:rPr>
                          <w:b/>
                          <w:bCs/>
                          <w:color w:val="D5B788"/>
                          <w:spacing w:val="11"/>
                          <w:kern w:val="24"/>
                          <w:sz w:val="20"/>
                          <w:szCs w:val="20"/>
                        </w:rPr>
                        <w:t>DOMINICANA</w:t>
                      </w:r>
                    </w:p>
                  </w:txbxContent>
                </v:textbox>
              </v:shape>
            </w:pict>
          </mc:Fallback>
        </mc:AlternateContent>
      </w:r>
    </w:p>
    <w:p w14:paraId="69FBF6B1" w14:textId="7ADAC71B" w:rsidR="008D7F4E" w:rsidRPr="00C14355" w:rsidRDefault="008D7F4E" w:rsidP="008D7F4E"/>
    <w:p w14:paraId="0233C915" w14:textId="77777777" w:rsidR="008D7F4E" w:rsidRPr="00C14355" w:rsidRDefault="008D7F4E" w:rsidP="008D7F4E"/>
    <w:p w14:paraId="274DCED8" w14:textId="52EE3552" w:rsidR="004F2DD5" w:rsidRPr="00C14355" w:rsidRDefault="000D143C" w:rsidP="004F2DD5">
      <w:r w:rsidRPr="002C54EC">
        <w:rPr>
          <w:noProof/>
          <w:color w:val="D5B788"/>
        </w:rPr>
        <mc:AlternateContent>
          <mc:Choice Requires="wpg">
            <w:drawing>
              <wp:anchor distT="0" distB="0" distL="114300" distR="114300" simplePos="0" relativeHeight="251710464" behindDoc="0" locked="0" layoutInCell="1" allowOverlap="1" wp14:anchorId="1F6BD233" wp14:editId="366E8269">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44DA7A31" id="Group 13" o:spid="_x0000_s1026" style="position:absolute;margin-left:154.3pt;margin-top:342pt;width:162.2pt;height:59.05pt;z-index:25171046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00C64CEF" w:rsidRPr="00C14355">
        <w:rPr>
          <w:noProof/>
        </w:rPr>
        <mc:AlternateContent>
          <mc:Choice Requires="wps">
            <w:drawing>
              <wp:anchor distT="0" distB="0" distL="114300" distR="114300" simplePos="0" relativeHeight="251651072" behindDoc="0" locked="0" layoutInCell="1" allowOverlap="1" wp14:anchorId="0C109D41" wp14:editId="438CA1A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C14355" w:rsidRDefault="00654164" w:rsidP="00654164">
                            <w:pPr>
                              <w:spacing w:after="0"/>
                              <w:jc w:val="center"/>
                              <w:rPr>
                                <w:b/>
                                <w:bCs/>
                                <w:color w:val="D5B788"/>
                                <w:spacing w:val="60"/>
                                <w:kern w:val="24"/>
                                <w:sz w:val="56"/>
                                <w:szCs w:val="56"/>
                              </w:rPr>
                            </w:pPr>
                            <w:r w:rsidRPr="00B15F17">
                              <w:rPr>
                                <w:b/>
                                <w:bCs/>
                                <w:color w:val="D5B788"/>
                                <w:spacing w:val="60"/>
                                <w:kern w:val="24"/>
                                <w:sz w:val="56"/>
                                <w:szCs w:val="56"/>
                              </w:rPr>
                              <w:t>MEMORIA</w:t>
                            </w:r>
                            <w:r w:rsidRPr="00C14355">
                              <w:rPr>
                                <w:b/>
                                <w:bCs/>
                                <w:color w:val="D5B788"/>
                                <w:spacing w:val="60"/>
                                <w:kern w:val="24"/>
                                <w:sz w:val="56"/>
                                <w:szCs w:val="56"/>
                              </w:rPr>
                              <w:t xml:space="preserve"> </w:t>
                            </w:r>
                          </w:p>
                          <w:p w14:paraId="79797032" w14:textId="77777777" w:rsidR="00654164" w:rsidRPr="00C14355" w:rsidRDefault="00654164" w:rsidP="00654164">
                            <w:pPr>
                              <w:spacing w:after="0"/>
                              <w:jc w:val="center"/>
                              <w:rPr>
                                <w:b/>
                                <w:bCs/>
                                <w:color w:val="D5B788"/>
                                <w:spacing w:val="60"/>
                                <w:kern w:val="24"/>
                                <w:sz w:val="56"/>
                                <w:szCs w:val="56"/>
                              </w:rPr>
                            </w:pPr>
                            <w:r w:rsidRPr="00465A16">
                              <w:rPr>
                                <w:b/>
                                <w:bCs/>
                                <w:color w:val="D5B788"/>
                                <w:spacing w:val="60"/>
                                <w:kern w:val="24"/>
                                <w:sz w:val="56"/>
                                <w:szCs w:val="56"/>
                              </w:rPr>
                              <w:t>INSTITUCIONAL</w:t>
                            </w:r>
                          </w:p>
                          <w:p w14:paraId="0C3AA7DD" w14:textId="4D898DC8" w:rsidR="008D7F4E" w:rsidRPr="00C14355"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Pr="00C14355" w:rsidRDefault="00654164" w:rsidP="00654164">
                      <w:pPr>
                        <w:spacing w:after="0"/>
                        <w:jc w:val="center"/>
                        <w:rPr>
                          <w:b/>
                          <w:bCs/>
                          <w:color w:val="D5B788"/>
                          <w:spacing w:val="60"/>
                          <w:kern w:val="24"/>
                          <w:sz w:val="56"/>
                          <w:szCs w:val="56"/>
                        </w:rPr>
                      </w:pPr>
                      <w:r w:rsidRPr="00B15F17">
                        <w:rPr>
                          <w:b/>
                          <w:bCs/>
                          <w:color w:val="D5B788"/>
                          <w:spacing w:val="60"/>
                          <w:kern w:val="24"/>
                          <w:sz w:val="56"/>
                          <w:szCs w:val="56"/>
                        </w:rPr>
                        <w:t>MEMORIA</w:t>
                      </w:r>
                      <w:r w:rsidRPr="00C14355">
                        <w:rPr>
                          <w:b/>
                          <w:bCs/>
                          <w:color w:val="D5B788"/>
                          <w:spacing w:val="60"/>
                          <w:kern w:val="24"/>
                          <w:sz w:val="56"/>
                          <w:szCs w:val="56"/>
                        </w:rPr>
                        <w:t xml:space="preserve"> </w:t>
                      </w:r>
                    </w:p>
                    <w:p w14:paraId="79797032" w14:textId="77777777" w:rsidR="00654164" w:rsidRPr="00C14355" w:rsidRDefault="00654164" w:rsidP="00654164">
                      <w:pPr>
                        <w:spacing w:after="0"/>
                        <w:jc w:val="center"/>
                        <w:rPr>
                          <w:b/>
                          <w:bCs/>
                          <w:color w:val="D5B788"/>
                          <w:spacing w:val="60"/>
                          <w:kern w:val="24"/>
                          <w:sz w:val="56"/>
                          <w:szCs w:val="56"/>
                        </w:rPr>
                      </w:pPr>
                      <w:r w:rsidRPr="00465A16">
                        <w:rPr>
                          <w:b/>
                          <w:bCs/>
                          <w:color w:val="D5B788"/>
                          <w:spacing w:val="60"/>
                          <w:kern w:val="24"/>
                          <w:sz w:val="56"/>
                          <w:szCs w:val="56"/>
                        </w:rPr>
                        <w:t>INSTITUCIONAL</w:t>
                      </w:r>
                    </w:p>
                    <w:p w14:paraId="0C3AA7DD" w14:textId="4D898DC8" w:rsidR="008D7F4E" w:rsidRPr="00C14355" w:rsidRDefault="008D7F4E" w:rsidP="008D7F4E">
                      <w:pPr>
                        <w:spacing w:after="0"/>
                        <w:jc w:val="center"/>
                        <w:rPr>
                          <w:b/>
                          <w:bCs/>
                          <w:color w:val="D5B788"/>
                          <w:spacing w:val="60"/>
                          <w:kern w:val="24"/>
                          <w:sz w:val="56"/>
                          <w:szCs w:val="56"/>
                        </w:rPr>
                      </w:pPr>
                    </w:p>
                  </w:txbxContent>
                </v:textbox>
              </v:shape>
            </w:pict>
          </mc:Fallback>
        </mc:AlternateContent>
      </w:r>
      <w:r w:rsidR="0089273D" w:rsidRPr="00465A16">
        <w:rPr>
          <w:noProof/>
          <w:color w:val="D5B788"/>
        </w:rPr>
        <mc:AlternateContent>
          <mc:Choice Requires="wps">
            <w:drawing>
              <wp:anchor distT="4294967295" distB="4294967295" distL="114300" distR="114300" simplePos="0" relativeHeight="251696128" behindDoc="0" locked="0" layoutInCell="1" allowOverlap="1" wp14:anchorId="209AF3DE" wp14:editId="28D8722D">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9B6FEB8" id="Straight Connector 9" o:spid="_x0000_s1026" style="position:absolute;z-index:2516961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sidRPr="00C14355">
        <w:rPr>
          <w:noProof/>
        </w:rPr>
        <mc:AlternateContent>
          <mc:Choice Requires="wps">
            <w:drawing>
              <wp:anchor distT="0" distB="0" distL="114300" distR="114300" simplePos="0" relativeHeight="251678720" behindDoc="0" locked="0" layoutInCell="1" allowOverlap="1" wp14:anchorId="4B9C2ACC" wp14:editId="0DC06467">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60253B5" id="Freeform: Shape 44" o:spid="_x0000_s1026" style="position:absolute;margin-left:371.65pt;margin-top:699.75pt;width:42.75pt;height:40.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C14355">
        <w:rPr>
          <w:noProof/>
        </w:rPr>
        <mc:AlternateContent>
          <mc:Choice Requires="wps">
            <w:drawing>
              <wp:anchor distT="0" distB="0" distL="114300" distR="114300" simplePos="0" relativeHeight="251652096" behindDoc="0" locked="0" layoutInCell="1" allowOverlap="1" wp14:anchorId="6B2EB822" wp14:editId="1DA49493">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DB17250" w:rsidR="008D7F4E" w:rsidRPr="00C14355" w:rsidRDefault="008D7F4E" w:rsidP="008D7F4E">
                            <w:pPr>
                              <w:spacing w:before="20"/>
                              <w:ind w:left="14"/>
                              <w:rPr>
                                <w:b/>
                                <w:bCs/>
                                <w:color w:val="D5B788"/>
                                <w:spacing w:val="74"/>
                                <w:kern w:val="24"/>
                                <w:sz w:val="28"/>
                                <w:szCs w:val="28"/>
                              </w:rPr>
                            </w:pPr>
                            <w:r w:rsidRPr="00465A16">
                              <w:rPr>
                                <w:b/>
                                <w:bCs/>
                                <w:color w:val="D5B788"/>
                                <w:spacing w:val="74"/>
                                <w:kern w:val="24"/>
                                <w:sz w:val="28"/>
                                <w:szCs w:val="28"/>
                              </w:rPr>
                              <w:t>AÑ</w:t>
                            </w:r>
                            <w:r w:rsidRPr="00465A16">
                              <w:rPr>
                                <w:b/>
                                <w:bCs/>
                                <w:color w:val="D5B788"/>
                                <w:spacing w:val="37"/>
                                <w:kern w:val="24"/>
                                <w:sz w:val="28"/>
                                <w:szCs w:val="28"/>
                              </w:rPr>
                              <w:t>O</w:t>
                            </w:r>
                            <w:r w:rsidRPr="00C14355">
                              <w:rPr>
                                <w:b/>
                                <w:bCs/>
                                <w:color w:val="D5B788"/>
                                <w:spacing w:val="74"/>
                                <w:kern w:val="24"/>
                                <w:sz w:val="28"/>
                                <w:szCs w:val="28"/>
                              </w:rPr>
                              <w:t xml:space="preserve"> </w:t>
                            </w:r>
                            <w:r w:rsidRPr="00C14355">
                              <w:rPr>
                                <w:b/>
                                <w:bCs/>
                                <w:color w:val="D5B788"/>
                                <w:spacing w:val="68"/>
                                <w:kern w:val="24"/>
                                <w:sz w:val="28"/>
                                <w:szCs w:val="28"/>
                              </w:rPr>
                              <w:t>2</w:t>
                            </w:r>
                            <w:r w:rsidRPr="00C14355">
                              <w:rPr>
                                <w:b/>
                                <w:bCs/>
                                <w:color w:val="D5B788"/>
                                <w:spacing w:val="28"/>
                                <w:kern w:val="24"/>
                                <w:sz w:val="28"/>
                                <w:szCs w:val="28"/>
                              </w:rPr>
                              <w:t>0</w:t>
                            </w:r>
                            <w:r w:rsidRPr="00C14355">
                              <w:rPr>
                                <w:b/>
                                <w:bCs/>
                                <w:color w:val="D5B788"/>
                                <w:spacing w:val="-23"/>
                                <w:kern w:val="24"/>
                                <w:sz w:val="28"/>
                                <w:szCs w:val="28"/>
                              </w:rPr>
                              <w:t xml:space="preserve"> </w:t>
                            </w:r>
                            <w:r w:rsidRPr="00C14355">
                              <w:rPr>
                                <w:b/>
                                <w:bCs/>
                                <w:color w:val="D5B788"/>
                                <w:spacing w:val="68"/>
                                <w:kern w:val="24"/>
                                <w:sz w:val="28"/>
                                <w:szCs w:val="28"/>
                              </w:rPr>
                              <w:t>2</w:t>
                            </w:r>
                            <w:r w:rsidR="00AB46D9" w:rsidRPr="00C14355">
                              <w:rPr>
                                <w:b/>
                                <w:bCs/>
                                <w:color w:val="D5B788"/>
                                <w:spacing w:val="68"/>
                                <w:kern w:val="24"/>
                                <w:sz w:val="28"/>
                                <w:szCs w:val="28"/>
                              </w:rPr>
                              <w:t>5</w:t>
                            </w:r>
                            <w:r w:rsidRPr="00C14355">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1DB17250" w:rsidR="008D7F4E" w:rsidRPr="00C14355" w:rsidRDefault="008D7F4E" w:rsidP="008D7F4E">
                      <w:pPr>
                        <w:spacing w:before="20"/>
                        <w:ind w:left="14"/>
                        <w:rPr>
                          <w:b/>
                          <w:bCs/>
                          <w:color w:val="D5B788"/>
                          <w:spacing w:val="74"/>
                          <w:kern w:val="24"/>
                          <w:sz w:val="28"/>
                          <w:szCs w:val="28"/>
                        </w:rPr>
                      </w:pPr>
                      <w:r w:rsidRPr="00465A16">
                        <w:rPr>
                          <w:b/>
                          <w:bCs/>
                          <w:color w:val="D5B788"/>
                          <w:spacing w:val="74"/>
                          <w:kern w:val="24"/>
                          <w:sz w:val="28"/>
                          <w:szCs w:val="28"/>
                        </w:rPr>
                        <w:t>AÑ</w:t>
                      </w:r>
                      <w:r w:rsidRPr="00465A16">
                        <w:rPr>
                          <w:b/>
                          <w:bCs/>
                          <w:color w:val="D5B788"/>
                          <w:spacing w:val="37"/>
                          <w:kern w:val="24"/>
                          <w:sz w:val="28"/>
                          <w:szCs w:val="28"/>
                        </w:rPr>
                        <w:t>O</w:t>
                      </w:r>
                      <w:r w:rsidRPr="00C14355">
                        <w:rPr>
                          <w:b/>
                          <w:bCs/>
                          <w:color w:val="D5B788"/>
                          <w:spacing w:val="74"/>
                          <w:kern w:val="24"/>
                          <w:sz w:val="28"/>
                          <w:szCs w:val="28"/>
                        </w:rPr>
                        <w:t xml:space="preserve"> </w:t>
                      </w:r>
                      <w:r w:rsidRPr="00C14355">
                        <w:rPr>
                          <w:b/>
                          <w:bCs/>
                          <w:color w:val="D5B788"/>
                          <w:spacing w:val="68"/>
                          <w:kern w:val="24"/>
                          <w:sz w:val="28"/>
                          <w:szCs w:val="28"/>
                        </w:rPr>
                        <w:t>2</w:t>
                      </w:r>
                      <w:r w:rsidRPr="00C14355">
                        <w:rPr>
                          <w:b/>
                          <w:bCs/>
                          <w:color w:val="D5B788"/>
                          <w:spacing w:val="28"/>
                          <w:kern w:val="24"/>
                          <w:sz w:val="28"/>
                          <w:szCs w:val="28"/>
                        </w:rPr>
                        <w:t>0</w:t>
                      </w:r>
                      <w:r w:rsidRPr="00C14355">
                        <w:rPr>
                          <w:b/>
                          <w:bCs/>
                          <w:color w:val="D5B788"/>
                          <w:spacing w:val="-23"/>
                          <w:kern w:val="24"/>
                          <w:sz w:val="28"/>
                          <w:szCs w:val="28"/>
                        </w:rPr>
                        <w:t xml:space="preserve"> </w:t>
                      </w:r>
                      <w:r w:rsidRPr="00C14355">
                        <w:rPr>
                          <w:b/>
                          <w:bCs/>
                          <w:color w:val="D5B788"/>
                          <w:spacing w:val="68"/>
                          <w:kern w:val="24"/>
                          <w:sz w:val="28"/>
                          <w:szCs w:val="28"/>
                        </w:rPr>
                        <w:t>2</w:t>
                      </w:r>
                      <w:r w:rsidR="00AB46D9" w:rsidRPr="00C14355">
                        <w:rPr>
                          <w:b/>
                          <w:bCs/>
                          <w:color w:val="D5B788"/>
                          <w:spacing w:val="68"/>
                          <w:kern w:val="24"/>
                          <w:sz w:val="28"/>
                          <w:szCs w:val="28"/>
                        </w:rPr>
                        <w:t>5</w:t>
                      </w:r>
                      <w:r w:rsidRPr="00C14355">
                        <w:rPr>
                          <w:b/>
                          <w:bCs/>
                          <w:color w:val="D5B788"/>
                          <w:spacing w:val="-21"/>
                          <w:kern w:val="24"/>
                          <w:sz w:val="28"/>
                          <w:szCs w:val="28"/>
                        </w:rPr>
                        <w:t xml:space="preserve"> </w:t>
                      </w:r>
                    </w:p>
                  </w:txbxContent>
                </v:textbox>
              </v:shape>
            </w:pict>
          </mc:Fallback>
        </mc:AlternateContent>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r w:rsidR="004F2DD5" w:rsidRPr="00C14355">
        <w:tab/>
      </w:r>
    </w:p>
    <w:p w14:paraId="6F050B88" w14:textId="6F58CFF2" w:rsidR="004F2DD5" w:rsidRPr="00C14355" w:rsidRDefault="004F2DD5" w:rsidP="004F2DD5"/>
    <w:p w14:paraId="17B5E9DF" w14:textId="2D3C0F54" w:rsidR="008D7F4E" w:rsidRPr="00C14355" w:rsidRDefault="000D143C" w:rsidP="008D7F4E">
      <w:r w:rsidRPr="00C14355">
        <w:rPr>
          <w:noProof/>
        </w:rPr>
        <mc:AlternateContent>
          <mc:Choice Requires="wpg">
            <w:drawing>
              <wp:anchor distT="0" distB="0" distL="114300" distR="114300" simplePos="0" relativeHeight="251716608" behindDoc="0" locked="0" layoutInCell="1" allowOverlap="1" wp14:anchorId="7424DA49" wp14:editId="73CF93F9">
                <wp:simplePos x="0" y="0"/>
                <wp:positionH relativeFrom="column">
                  <wp:posOffset>914400</wp:posOffset>
                </wp:positionH>
                <wp:positionV relativeFrom="paragraph">
                  <wp:posOffset>293370</wp:posOffset>
                </wp:positionV>
                <wp:extent cx="4000500" cy="381635"/>
                <wp:effectExtent l="0" t="0" r="0" b="0"/>
                <wp:wrapNone/>
                <wp:docPr id="25" name="Group 25"/>
                <wp:cNvGraphicFramePr/>
                <a:graphic xmlns:a="http://schemas.openxmlformats.org/drawingml/2006/main">
                  <a:graphicData uri="http://schemas.microsoft.com/office/word/2010/wordprocessingGroup">
                    <wpg:wgp>
                      <wpg:cNvGrpSpPr/>
                      <wpg:grpSpPr>
                        <a:xfrm>
                          <a:off x="0" y="0"/>
                          <a:ext cx="4000500" cy="381635"/>
                          <a:chOff x="-807720" y="0"/>
                          <a:chExt cx="4000500"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807720" y="123825"/>
                            <a:ext cx="4000500" cy="257810"/>
                          </a:xfrm>
                          <a:prstGeom prst="rect">
                            <a:avLst/>
                          </a:prstGeom>
                          <a:solidFill>
                            <a:srgbClr val="FFFFFF"/>
                          </a:solidFill>
                          <a:ln w="9525">
                            <a:noFill/>
                            <a:miter lim="800000"/>
                            <a:headEnd/>
                            <a:tailEnd/>
                          </a:ln>
                        </wps:spPr>
                        <wps:txbx>
                          <w:txbxContent>
                            <w:p w14:paraId="217E4C9E" w14:textId="18DAABE7" w:rsidR="000D143C" w:rsidRPr="00B15F17" w:rsidRDefault="0097512C" w:rsidP="000D143C">
                              <w:pPr>
                                <w:jc w:val="center"/>
                                <w:rPr>
                                  <w:color w:val="D5B788"/>
                                </w:rPr>
                              </w:pPr>
                              <w:r w:rsidRPr="00B15F17">
                                <w:rPr>
                                  <w:color w:val="D5B788"/>
                                </w:rPr>
                                <w:t>CONTRALORÍA GENERAL DE LA REPÚBLICA</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424DA49" id="Group 25" o:spid="_x0000_s1029" style="position:absolute;margin-left:1in;margin-top:23.1pt;width:315pt;height:30.05pt;z-index:251716608;mso-width-relative:margin" coordorigin="-8077" coordsize="40005,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left:-8077;top:1238;width:40004;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18DAABE7" w:rsidR="000D143C" w:rsidRPr="00B15F17" w:rsidRDefault="0097512C" w:rsidP="000D143C">
                        <w:pPr>
                          <w:jc w:val="center"/>
                          <w:rPr>
                            <w:color w:val="D5B788"/>
                          </w:rPr>
                        </w:pPr>
                        <w:r w:rsidRPr="00B15F17">
                          <w:rPr>
                            <w:color w:val="D5B788"/>
                          </w:rPr>
                          <w:t>CONTRALORÍA GENERAL DE LA REPÚBLICA</w:t>
                        </w:r>
                      </w:p>
                    </w:txbxContent>
                  </v:textbox>
                </v:shape>
              </v:group>
            </w:pict>
          </mc:Fallback>
        </mc:AlternateContent>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r w:rsidR="008D7F4E" w:rsidRPr="00C14355">
        <w:tab/>
      </w:r>
    </w:p>
    <w:p w14:paraId="38D9CF2E" w14:textId="118B01A5" w:rsidR="008D7F4E" w:rsidRPr="00C14355" w:rsidRDefault="008D7F4E" w:rsidP="008D7F4E"/>
    <w:p w14:paraId="16EDE6EA" w14:textId="51136D97" w:rsidR="008D7F4E" w:rsidRPr="00C14355" w:rsidRDefault="008D7F4E" w:rsidP="008D7F4E">
      <w:pPr>
        <w:rPr>
          <w:b/>
          <w:bCs/>
        </w:rPr>
      </w:pPr>
    </w:p>
    <w:p w14:paraId="3FC05242" w14:textId="77777777" w:rsidR="008D7F4E" w:rsidRPr="00C14355" w:rsidRDefault="008D7F4E" w:rsidP="008D7F4E"/>
    <w:p w14:paraId="52109915" w14:textId="77777777" w:rsidR="008D7F4E" w:rsidRPr="00C14355" w:rsidRDefault="008D7F4E" w:rsidP="008D7F4E"/>
    <w:p w14:paraId="61CD95E4" w14:textId="75608CA4" w:rsidR="008D7F4E" w:rsidRPr="00C14355" w:rsidRDefault="008D7F4E" w:rsidP="008D7F4E"/>
    <w:p w14:paraId="2A43DE4E" w14:textId="77777777" w:rsidR="00D9068B" w:rsidRDefault="00D9068B" w:rsidP="008D7F4E"/>
    <w:p w14:paraId="1DD32693" w14:textId="77777777" w:rsidR="00D9068B" w:rsidRDefault="00D9068B" w:rsidP="008D7F4E"/>
    <w:p w14:paraId="2400937B" w14:textId="77777777" w:rsidR="00D9068B" w:rsidRDefault="00D9068B" w:rsidP="008D7F4E"/>
    <w:p w14:paraId="74D87F80" w14:textId="77777777" w:rsidR="00D9068B" w:rsidRDefault="00D9068B" w:rsidP="008D7F4E"/>
    <w:p w14:paraId="0F90ED8E" w14:textId="77777777" w:rsidR="00D9068B" w:rsidRDefault="00D9068B" w:rsidP="008D7F4E"/>
    <w:p w14:paraId="3D7857D2" w14:textId="77777777" w:rsidR="00D9068B" w:rsidRDefault="00D9068B" w:rsidP="008D7F4E"/>
    <w:p w14:paraId="60DC3F7C" w14:textId="77777777" w:rsidR="00D9068B" w:rsidRDefault="00D9068B" w:rsidP="008D7F4E"/>
    <w:p w14:paraId="77290D09" w14:textId="77777777" w:rsidR="00D9068B" w:rsidRDefault="00D9068B" w:rsidP="008D7F4E"/>
    <w:p w14:paraId="4A388DCC" w14:textId="77777777" w:rsidR="00D9068B" w:rsidRDefault="00D9068B" w:rsidP="008D7F4E"/>
    <w:p w14:paraId="1C1F404E" w14:textId="4B4ED4BB" w:rsidR="008D7F4E" w:rsidRPr="00C14355" w:rsidRDefault="00654164" w:rsidP="008D7F4E">
      <w:r w:rsidRPr="00C14355">
        <w:rPr>
          <w:noProof/>
        </w:rPr>
        <mc:AlternateContent>
          <mc:Choice Requires="wps">
            <w:drawing>
              <wp:anchor distT="0" distB="0" distL="114300" distR="114300" simplePos="0" relativeHeight="251648512" behindDoc="0" locked="0" layoutInCell="1" allowOverlap="1" wp14:anchorId="611EEDAC" wp14:editId="65868281">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C14355" w:rsidRDefault="00654164" w:rsidP="00654164">
                            <w:pPr>
                              <w:spacing w:after="0"/>
                              <w:jc w:val="center"/>
                              <w:rPr>
                                <w:b/>
                                <w:bCs/>
                                <w:color w:val="D5B788"/>
                                <w:spacing w:val="60"/>
                                <w:kern w:val="24"/>
                                <w:sz w:val="56"/>
                                <w:szCs w:val="56"/>
                              </w:rPr>
                            </w:pPr>
                            <w:r w:rsidRPr="00465A16">
                              <w:rPr>
                                <w:b/>
                                <w:bCs/>
                                <w:color w:val="D5B788"/>
                                <w:spacing w:val="60"/>
                                <w:kern w:val="24"/>
                                <w:sz w:val="56"/>
                                <w:szCs w:val="56"/>
                              </w:rPr>
                              <w:t>MEMORIA</w:t>
                            </w:r>
                            <w:r w:rsidRPr="00C14355">
                              <w:rPr>
                                <w:b/>
                                <w:bCs/>
                                <w:color w:val="D5B788"/>
                                <w:spacing w:val="60"/>
                                <w:kern w:val="24"/>
                                <w:sz w:val="56"/>
                                <w:szCs w:val="56"/>
                              </w:rPr>
                              <w:t xml:space="preserve"> </w:t>
                            </w:r>
                          </w:p>
                          <w:p w14:paraId="7A767047" w14:textId="77777777" w:rsidR="00654164" w:rsidRPr="00C14355" w:rsidRDefault="00654164" w:rsidP="00654164">
                            <w:pPr>
                              <w:spacing w:after="0"/>
                              <w:jc w:val="center"/>
                              <w:rPr>
                                <w:b/>
                                <w:bCs/>
                                <w:color w:val="D5B788"/>
                                <w:spacing w:val="60"/>
                                <w:kern w:val="24"/>
                                <w:sz w:val="56"/>
                                <w:szCs w:val="56"/>
                              </w:rPr>
                            </w:pPr>
                            <w:r w:rsidRPr="00C14355">
                              <w:rPr>
                                <w:b/>
                                <w:bCs/>
                                <w:color w:val="D5B788"/>
                                <w:spacing w:val="60"/>
                                <w:kern w:val="24"/>
                                <w:sz w:val="56"/>
                                <w:szCs w:val="56"/>
                              </w:rPr>
                              <w:t>INSTITUCIONAL</w:t>
                            </w:r>
                          </w:p>
                          <w:p w14:paraId="2CBE4766" w14:textId="77777777" w:rsidR="00654164" w:rsidRPr="00C14355"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15.9pt;width:453.45pt;height:77.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Pr="00C14355" w:rsidRDefault="00654164" w:rsidP="00654164">
                      <w:pPr>
                        <w:spacing w:after="0"/>
                        <w:jc w:val="center"/>
                        <w:rPr>
                          <w:b/>
                          <w:bCs/>
                          <w:color w:val="D5B788"/>
                          <w:spacing w:val="60"/>
                          <w:kern w:val="24"/>
                          <w:sz w:val="56"/>
                          <w:szCs w:val="56"/>
                        </w:rPr>
                      </w:pPr>
                      <w:r w:rsidRPr="00465A16">
                        <w:rPr>
                          <w:b/>
                          <w:bCs/>
                          <w:color w:val="D5B788"/>
                          <w:spacing w:val="60"/>
                          <w:kern w:val="24"/>
                          <w:sz w:val="56"/>
                          <w:szCs w:val="56"/>
                        </w:rPr>
                        <w:t>MEMORIA</w:t>
                      </w:r>
                      <w:r w:rsidRPr="00C14355">
                        <w:rPr>
                          <w:b/>
                          <w:bCs/>
                          <w:color w:val="D5B788"/>
                          <w:spacing w:val="60"/>
                          <w:kern w:val="24"/>
                          <w:sz w:val="56"/>
                          <w:szCs w:val="56"/>
                        </w:rPr>
                        <w:t xml:space="preserve"> </w:t>
                      </w:r>
                    </w:p>
                    <w:p w14:paraId="7A767047" w14:textId="77777777" w:rsidR="00654164" w:rsidRPr="00C14355" w:rsidRDefault="00654164" w:rsidP="00654164">
                      <w:pPr>
                        <w:spacing w:after="0"/>
                        <w:jc w:val="center"/>
                        <w:rPr>
                          <w:b/>
                          <w:bCs/>
                          <w:color w:val="D5B788"/>
                          <w:spacing w:val="60"/>
                          <w:kern w:val="24"/>
                          <w:sz w:val="56"/>
                          <w:szCs w:val="56"/>
                        </w:rPr>
                      </w:pPr>
                      <w:r w:rsidRPr="00C14355">
                        <w:rPr>
                          <w:b/>
                          <w:bCs/>
                          <w:color w:val="D5B788"/>
                          <w:spacing w:val="60"/>
                          <w:kern w:val="24"/>
                          <w:sz w:val="56"/>
                          <w:szCs w:val="56"/>
                        </w:rPr>
                        <w:t>INSTITUCIONAL</w:t>
                      </w:r>
                    </w:p>
                    <w:p w14:paraId="2CBE4766" w14:textId="77777777" w:rsidR="00654164" w:rsidRPr="00C14355"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C14355" w:rsidRDefault="00C64CEF" w:rsidP="008D7F4E">
      <w:pPr>
        <w:rPr>
          <w:b/>
          <w:bCs/>
        </w:rPr>
      </w:pPr>
      <w:r w:rsidRPr="00C14355">
        <w:rPr>
          <w:noProof/>
        </w:rPr>
        <mc:AlternateContent>
          <mc:Choice Requires="wps">
            <w:drawing>
              <wp:anchor distT="0" distB="0" distL="114300" distR="114300" simplePos="0" relativeHeight="251700224" behindDoc="0" locked="0" layoutInCell="1" allowOverlap="1" wp14:anchorId="4D0BD95E" wp14:editId="4217E890">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465A16"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465A16"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C14355" w:rsidRDefault="008D7F4E" w:rsidP="008D7F4E"/>
    <w:p w14:paraId="2ADA86D9" w14:textId="7BFC7FAB" w:rsidR="008D7F4E" w:rsidRPr="00C14355" w:rsidRDefault="008D7F4E" w:rsidP="008D7F4E">
      <w:pPr>
        <w:rPr>
          <w:b/>
          <w:bCs/>
        </w:rPr>
      </w:pPr>
    </w:p>
    <w:p w14:paraId="163CEF29" w14:textId="2E82E86B" w:rsidR="00E739F8" w:rsidRPr="00C14355" w:rsidRDefault="001E07B9" w:rsidP="008D7F4E">
      <w:pPr>
        <w:rPr>
          <w:b/>
          <w:bCs/>
        </w:rPr>
      </w:pPr>
      <w:r w:rsidRPr="00C14355">
        <w:rPr>
          <w:noProof/>
        </w:rPr>
        <mc:AlternateContent>
          <mc:Choice Requires="wps">
            <w:drawing>
              <wp:anchor distT="4294967295" distB="4294967295" distL="114300" distR="114300" simplePos="0" relativeHeight="251698176" behindDoc="0" locked="0" layoutInCell="1" allowOverlap="1" wp14:anchorId="4E0C23B7" wp14:editId="12A0E904">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391524" id="Straight Connector 22" o:spid="_x0000_s1026" style="position:absolute;z-index:2516981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C14355" w:rsidRDefault="001E07B9" w:rsidP="008D7F4E">
      <w:pPr>
        <w:rPr>
          <w:b/>
          <w:bCs/>
        </w:rPr>
      </w:pPr>
      <w:r w:rsidRPr="00C14355">
        <w:rPr>
          <w:noProof/>
        </w:rPr>
        <mc:AlternateContent>
          <mc:Choice Requires="wps">
            <w:drawing>
              <wp:anchor distT="0" distB="0" distL="114300" distR="114300" simplePos="0" relativeHeight="251663360" behindDoc="0" locked="0" layoutInCell="1" allowOverlap="1" wp14:anchorId="65361376" wp14:editId="26E27D46">
                <wp:simplePos x="0" y="0"/>
                <wp:positionH relativeFrom="margin">
                  <wp:align>center</wp:align>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FC0EEC1" w:rsidR="008D7F4E" w:rsidRPr="00C14355" w:rsidRDefault="008D7F4E" w:rsidP="008D7F4E">
                            <w:pPr>
                              <w:spacing w:before="20"/>
                              <w:ind w:left="14"/>
                              <w:rPr>
                                <w:b/>
                                <w:bCs/>
                                <w:color w:val="D5B788"/>
                                <w:spacing w:val="74"/>
                                <w:kern w:val="24"/>
                                <w:sz w:val="28"/>
                                <w:szCs w:val="28"/>
                              </w:rPr>
                            </w:pPr>
                            <w:r w:rsidRPr="00C14355">
                              <w:rPr>
                                <w:b/>
                                <w:bCs/>
                                <w:color w:val="D5B788"/>
                                <w:spacing w:val="74"/>
                                <w:kern w:val="24"/>
                                <w:sz w:val="28"/>
                                <w:szCs w:val="28"/>
                              </w:rPr>
                              <w:t>AÑ</w:t>
                            </w:r>
                            <w:r w:rsidRPr="00C14355">
                              <w:rPr>
                                <w:b/>
                                <w:bCs/>
                                <w:color w:val="D5B788"/>
                                <w:spacing w:val="37"/>
                                <w:kern w:val="24"/>
                                <w:sz w:val="28"/>
                                <w:szCs w:val="28"/>
                              </w:rPr>
                              <w:t>O</w:t>
                            </w:r>
                            <w:r w:rsidRPr="00C14355">
                              <w:rPr>
                                <w:b/>
                                <w:bCs/>
                                <w:color w:val="D5B788"/>
                                <w:spacing w:val="74"/>
                                <w:kern w:val="24"/>
                                <w:sz w:val="28"/>
                                <w:szCs w:val="28"/>
                              </w:rPr>
                              <w:t xml:space="preserve"> </w:t>
                            </w:r>
                            <w:r w:rsidRPr="002C54EC">
                              <w:rPr>
                                <w:b/>
                                <w:bCs/>
                                <w:color w:val="D5B788"/>
                                <w:spacing w:val="68"/>
                                <w:kern w:val="24"/>
                                <w:sz w:val="28"/>
                                <w:szCs w:val="28"/>
                              </w:rPr>
                              <w:t>2</w:t>
                            </w:r>
                            <w:r w:rsidRPr="002C54EC">
                              <w:rPr>
                                <w:b/>
                                <w:bCs/>
                                <w:color w:val="D5B788"/>
                                <w:spacing w:val="28"/>
                                <w:kern w:val="24"/>
                                <w:sz w:val="28"/>
                                <w:szCs w:val="28"/>
                              </w:rPr>
                              <w:t>0</w:t>
                            </w:r>
                            <w:r w:rsidRPr="00C14355">
                              <w:rPr>
                                <w:b/>
                                <w:bCs/>
                                <w:color w:val="D5B788"/>
                                <w:spacing w:val="-23"/>
                                <w:kern w:val="24"/>
                                <w:sz w:val="28"/>
                                <w:szCs w:val="28"/>
                              </w:rPr>
                              <w:t xml:space="preserve"> </w:t>
                            </w:r>
                            <w:r w:rsidRPr="00465A16">
                              <w:rPr>
                                <w:b/>
                                <w:bCs/>
                                <w:color w:val="D5B788"/>
                                <w:spacing w:val="68"/>
                                <w:kern w:val="24"/>
                                <w:sz w:val="28"/>
                                <w:szCs w:val="28"/>
                              </w:rPr>
                              <w:t>2</w:t>
                            </w:r>
                            <w:r w:rsidR="00AB46D9" w:rsidRPr="00465A16">
                              <w:rPr>
                                <w:b/>
                                <w:bCs/>
                                <w:color w:val="D5B788"/>
                                <w:spacing w:val="68"/>
                                <w:kern w:val="24"/>
                                <w:sz w:val="28"/>
                                <w:szCs w:val="28"/>
                              </w:rPr>
                              <w:t>5</w:t>
                            </w:r>
                            <w:r w:rsidRPr="00C14355">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0;margin-top:8.95pt;width:95.65pt;height:24.3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" filled="f" stroked="f">
                <v:textbox inset="0,1pt,0,0">
                  <w:txbxContent>
                    <w:p w14:paraId="6B362718" w14:textId="7FC0EEC1" w:rsidR="008D7F4E" w:rsidRPr="00C14355" w:rsidRDefault="008D7F4E" w:rsidP="008D7F4E">
                      <w:pPr>
                        <w:spacing w:before="20"/>
                        <w:ind w:left="14"/>
                        <w:rPr>
                          <w:b/>
                          <w:bCs/>
                          <w:color w:val="D5B788"/>
                          <w:spacing w:val="74"/>
                          <w:kern w:val="24"/>
                          <w:sz w:val="28"/>
                          <w:szCs w:val="28"/>
                        </w:rPr>
                      </w:pPr>
                      <w:r w:rsidRPr="00C14355">
                        <w:rPr>
                          <w:b/>
                          <w:bCs/>
                          <w:color w:val="D5B788"/>
                          <w:spacing w:val="74"/>
                          <w:kern w:val="24"/>
                          <w:sz w:val="28"/>
                          <w:szCs w:val="28"/>
                        </w:rPr>
                        <w:t>AÑ</w:t>
                      </w:r>
                      <w:r w:rsidRPr="00C14355">
                        <w:rPr>
                          <w:b/>
                          <w:bCs/>
                          <w:color w:val="D5B788"/>
                          <w:spacing w:val="37"/>
                          <w:kern w:val="24"/>
                          <w:sz w:val="28"/>
                          <w:szCs w:val="28"/>
                        </w:rPr>
                        <w:t>O</w:t>
                      </w:r>
                      <w:r w:rsidRPr="00C14355">
                        <w:rPr>
                          <w:b/>
                          <w:bCs/>
                          <w:color w:val="D5B788"/>
                          <w:spacing w:val="74"/>
                          <w:kern w:val="24"/>
                          <w:sz w:val="28"/>
                          <w:szCs w:val="28"/>
                        </w:rPr>
                        <w:t xml:space="preserve"> </w:t>
                      </w:r>
                      <w:r w:rsidRPr="002C54EC">
                        <w:rPr>
                          <w:b/>
                          <w:bCs/>
                          <w:color w:val="D5B788"/>
                          <w:spacing w:val="68"/>
                          <w:kern w:val="24"/>
                          <w:sz w:val="28"/>
                          <w:szCs w:val="28"/>
                        </w:rPr>
                        <w:t>2</w:t>
                      </w:r>
                      <w:r w:rsidRPr="002C54EC">
                        <w:rPr>
                          <w:b/>
                          <w:bCs/>
                          <w:color w:val="D5B788"/>
                          <w:spacing w:val="28"/>
                          <w:kern w:val="24"/>
                          <w:sz w:val="28"/>
                          <w:szCs w:val="28"/>
                        </w:rPr>
                        <w:t>0</w:t>
                      </w:r>
                      <w:r w:rsidRPr="00C14355">
                        <w:rPr>
                          <w:b/>
                          <w:bCs/>
                          <w:color w:val="D5B788"/>
                          <w:spacing w:val="-23"/>
                          <w:kern w:val="24"/>
                          <w:sz w:val="28"/>
                          <w:szCs w:val="28"/>
                        </w:rPr>
                        <w:t xml:space="preserve"> </w:t>
                      </w:r>
                      <w:r w:rsidRPr="00465A16">
                        <w:rPr>
                          <w:b/>
                          <w:bCs/>
                          <w:color w:val="D5B788"/>
                          <w:spacing w:val="68"/>
                          <w:kern w:val="24"/>
                          <w:sz w:val="28"/>
                          <w:szCs w:val="28"/>
                        </w:rPr>
                        <w:t>2</w:t>
                      </w:r>
                      <w:r w:rsidR="00AB46D9" w:rsidRPr="00465A16">
                        <w:rPr>
                          <w:b/>
                          <w:bCs/>
                          <w:color w:val="D5B788"/>
                          <w:spacing w:val="68"/>
                          <w:kern w:val="24"/>
                          <w:sz w:val="28"/>
                          <w:szCs w:val="28"/>
                        </w:rPr>
                        <w:t>5</w:t>
                      </w:r>
                      <w:r w:rsidRPr="00C14355">
                        <w:rPr>
                          <w:b/>
                          <w:bCs/>
                          <w:color w:val="D5B788"/>
                          <w:spacing w:val="-21"/>
                          <w:kern w:val="24"/>
                          <w:sz w:val="28"/>
                          <w:szCs w:val="28"/>
                        </w:rPr>
                        <w:t xml:space="preserve"> </w:t>
                      </w:r>
                    </w:p>
                  </w:txbxContent>
                </v:textbox>
                <w10:wrap anchorx="margin"/>
              </v:shape>
            </w:pict>
          </mc:Fallback>
        </mc:AlternateContent>
      </w:r>
    </w:p>
    <w:p w14:paraId="1C74082E" w14:textId="28C0782E" w:rsidR="008D7F4E" w:rsidRPr="00C14355" w:rsidRDefault="008D7F4E" w:rsidP="008D7F4E">
      <w:pPr>
        <w:tabs>
          <w:tab w:val="left" w:pos="5229"/>
        </w:tabs>
      </w:pPr>
      <w:r w:rsidRPr="00C14355">
        <w:tab/>
      </w:r>
      <w:r w:rsidRPr="00C14355">
        <w:tab/>
      </w:r>
      <w:r w:rsidRPr="00C14355">
        <w:tab/>
      </w:r>
    </w:p>
    <w:p w14:paraId="2A6A7BEB" w14:textId="35E3FF32" w:rsidR="008D7F4E" w:rsidRPr="00C14355" w:rsidRDefault="008D7F4E" w:rsidP="008D7F4E">
      <w:pPr>
        <w:tabs>
          <w:tab w:val="left" w:pos="5229"/>
        </w:tabs>
      </w:pPr>
    </w:p>
    <w:p w14:paraId="33940F88" w14:textId="77777777" w:rsidR="00D9068B" w:rsidRDefault="00D9068B" w:rsidP="00B45B38">
      <w:pPr>
        <w:tabs>
          <w:tab w:val="left" w:pos="5229"/>
        </w:tabs>
        <w:jc w:val="center"/>
      </w:pPr>
    </w:p>
    <w:p w14:paraId="46EB69A7" w14:textId="77777777" w:rsidR="00D9068B" w:rsidRDefault="00D9068B" w:rsidP="00B45B38">
      <w:pPr>
        <w:tabs>
          <w:tab w:val="left" w:pos="5229"/>
        </w:tabs>
        <w:jc w:val="center"/>
      </w:pPr>
    </w:p>
    <w:p w14:paraId="26DFBE5D" w14:textId="77777777" w:rsidR="00D9068B" w:rsidRPr="00C14355" w:rsidRDefault="00D9068B" w:rsidP="00B45B38">
      <w:pPr>
        <w:tabs>
          <w:tab w:val="left" w:pos="5229"/>
        </w:tabs>
        <w:jc w:val="center"/>
      </w:pPr>
    </w:p>
    <w:p w14:paraId="6B439D31" w14:textId="5BF1D86A" w:rsidR="00B45B38" w:rsidRPr="00C14355" w:rsidRDefault="000D143C" w:rsidP="008D7F4E">
      <w:pPr>
        <w:tabs>
          <w:tab w:val="left" w:pos="5229"/>
        </w:tabs>
      </w:pPr>
      <w:r w:rsidRPr="002C54EC">
        <w:rPr>
          <w:noProof/>
          <w:color w:val="D5B788"/>
        </w:rPr>
        <mc:AlternateContent>
          <mc:Choice Requires="wpg">
            <w:drawing>
              <wp:anchor distT="0" distB="0" distL="114300" distR="114300" simplePos="0" relativeHeight="251718656" behindDoc="0" locked="0" layoutInCell="1" allowOverlap="1" wp14:anchorId="453B0AF2" wp14:editId="006E6AE2">
                <wp:simplePos x="0" y="0"/>
                <wp:positionH relativeFrom="column">
                  <wp:posOffset>2032000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76CFF0B8" id="Group 26" o:spid="_x0000_s1026" style="position:absolute;margin-left:160pt;margin-top:8.95pt;width:162.2pt;height:59.05pt;z-index:251718656;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p36qc3wAAAAoBAAAPAAAAZHJz&#10;L2Rvd25yZXYueG1sTI/BToNAEIbvJr7DZky82QVBVGRpmkY9NU1sTYy3LTsFUnaWsFugb+940uPM&#10;/+ebb4rlbDsx4uBbRwriRQQCqXKmpVrB5/7t7gmED5qM7hyhggt6WJbXV4XOjZvoA8ddqAVDyOda&#10;QRNCn0vpqwat9gvXI3F2dIPVgcehlmbQE8NtJ++jKJNWt8QXGt3jusHqtDtbBe+TnlZJ/DpuTsf1&#10;5Xv/sP3axKjU7c28egERcA5/ZfjVZ3Uo2engzmS86BQkjOcqB4/PILiQpWkK4sCLJItAloX8/0L5&#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v:group>
            </w:pict>
          </mc:Fallback>
        </mc:AlternateContent>
      </w:r>
    </w:p>
    <w:p w14:paraId="4A390ECB" w14:textId="1AB63A93" w:rsidR="008D7F4E" w:rsidRPr="00C14355" w:rsidRDefault="008D7F4E" w:rsidP="008D7F4E">
      <w:pPr>
        <w:tabs>
          <w:tab w:val="left" w:pos="5229"/>
        </w:tabs>
      </w:pPr>
    </w:p>
    <w:p w14:paraId="09F960FC" w14:textId="6340AF6F" w:rsidR="008D7F4E" w:rsidRPr="00C14355" w:rsidRDefault="008D7F4E" w:rsidP="008D7F4E">
      <w:pPr>
        <w:tabs>
          <w:tab w:val="left" w:pos="5229"/>
        </w:tabs>
      </w:pPr>
    </w:p>
    <w:p w14:paraId="70955679" w14:textId="1B05415B" w:rsidR="00E80BF2" w:rsidRPr="00C14355" w:rsidRDefault="000D143C" w:rsidP="0034224F">
      <w:pPr>
        <w:tabs>
          <w:tab w:val="left" w:pos="5913"/>
        </w:tabs>
      </w:pPr>
      <w:r w:rsidRPr="00C14355">
        <w:rPr>
          <w:noProof/>
        </w:rPr>
        <mc:AlternateContent>
          <mc:Choice Requires="wpg">
            <w:drawing>
              <wp:anchor distT="0" distB="0" distL="114300" distR="114300" simplePos="0" relativeHeight="251719680" behindDoc="0" locked="0" layoutInCell="1" allowOverlap="1" wp14:anchorId="304B06EC" wp14:editId="087B64E9">
                <wp:simplePos x="0" y="0"/>
                <wp:positionH relativeFrom="column">
                  <wp:posOffset>741218</wp:posOffset>
                </wp:positionH>
                <wp:positionV relativeFrom="paragraph">
                  <wp:posOffset>124056</wp:posOffset>
                </wp:positionV>
                <wp:extent cx="4663440" cy="353926"/>
                <wp:effectExtent l="0" t="0" r="3810" b="8255"/>
                <wp:wrapNone/>
                <wp:docPr id="33" name="Group 33"/>
                <wp:cNvGraphicFramePr/>
                <a:graphic xmlns:a="http://schemas.openxmlformats.org/drawingml/2006/main">
                  <a:graphicData uri="http://schemas.microsoft.com/office/word/2010/wordprocessingGroup">
                    <wpg:wgp>
                      <wpg:cNvGrpSpPr/>
                      <wpg:grpSpPr>
                        <a:xfrm>
                          <a:off x="0" y="0"/>
                          <a:ext cx="4663440" cy="353926"/>
                          <a:chOff x="-1059873" y="0"/>
                          <a:chExt cx="4663440" cy="353926"/>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1059873" y="96116"/>
                            <a:ext cx="4663440" cy="257810"/>
                          </a:xfrm>
                          <a:prstGeom prst="rect">
                            <a:avLst/>
                          </a:prstGeom>
                          <a:solidFill>
                            <a:srgbClr val="FFFFFF"/>
                          </a:solidFill>
                          <a:ln w="9525">
                            <a:noFill/>
                            <a:miter lim="800000"/>
                            <a:headEnd/>
                            <a:tailEnd/>
                          </a:ln>
                        </wps:spPr>
                        <wps:txbx>
                          <w:txbxContent>
                            <w:p w14:paraId="6368A8ED" w14:textId="77777777" w:rsidR="0097512C" w:rsidRPr="00465A16" w:rsidRDefault="0097512C" w:rsidP="0097512C">
                              <w:pPr>
                                <w:jc w:val="center"/>
                                <w:rPr>
                                  <w:color w:val="D5B788"/>
                                </w:rPr>
                              </w:pPr>
                              <w:r w:rsidRPr="00465A16">
                                <w:rPr>
                                  <w:color w:val="D5B788"/>
                                </w:rPr>
                                <w:t>CONTRALORÍA GENERAL DE LA REPÚBLICA</w:t>
                              </w:r>
                            </w:p>
                            <w:p w14:paraId="2927CC02" w14:textId="78976773" w:rsidR="000D143C" w:rsidRPr="00465A16" w:rsidRDefault="000D143C" w:rsidP="000D143C">
                              <w:pPr>
                                <w:jc w:val="center"/>
                                <w:rPr>
                                  <w:color w:val="D5B78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04B06EC" id="Group 33" o:spid="_x0000_s1035" style="position:absolute;margin-left:58.35pt;margin-top:9.75pt;width:367.2pt;height:27.85pt;z-index:251719680;mso-width-relative:margin;mso-height-relative:margin" coordorigin="-10598" coordsize="46634,3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left:-10598;top:961;width:46633;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6368A8ED" w14:textId="77777777" w:rsidR="0097512C" w:rsidRPr="00465A16" w:rsidRDefault="0097512C" w:rsidP="0097512C">
                        <w:pPr>
                          <w:jc w:val="center"/>
                          <w:rPr>
                            <w:color w:val="D5B788"/>
                          </w:rPr>
                        </w:pPr>
                        <w:r w:rsidRPr="00465A16">
                          <w:rPr>
                            <w:color w:val="D5B788"/>
                          </w:rPr>
                          <w:t>CONTRALORÍA GENERAL DE LA REPÚBLICA</w:t>
                        </w:r>
                      </w:p>
                      <w:p w14:paraId="2927CC02" w14:textId="78976773" w:rsidR="000D143C" w:rsidRPr="00465A16" w:rsidRDefault="000D143C" w:rsidP="000D143C">
                        <w:pPr>
                          <w:jc w:val="center"/>
                          <w:rPr>
                            <w:color w:val="D5B788"/>
                          </w:rPr>
                        </w:pPr>
                      </w:p>
                    </w:txbxContent>
                  </v:textbox>
                </v:shape>
              </v:group>
            </w:pict>
          </mc:Fallback>
        </mc:AlternateContent>
      </w:r>
    </w:p>
    <w:p w14:paraId="64AE30BF" w14:textId="515A7E4D" w:rsidR="00E80BF2" w:rsidRPr="00FA378C" w:rsidRDefault="00E80BF2">
      <w:pPr>
        <w:rPr>
          <w:sz w:val="22"/>
          <w:szCs w:val="22"/>
        </w:rPr>
      </w:pPr>
    </w:p>
    <w:p w14:paraId="31E2FE32" w14:textId="5040F3F9" w:rsidR="00545797" w:rsidRPr="00FA378C" w:rsidRDefault="00545797" w:rsidP="00D9068B">
      <w:pPr>
        <w:jc w:val="center"/>
        <w:rPr>
          <w:b/>
          <w:bCs/>
          <w:sz w:val="28"/>
        </w:rPr>
      </w:pPr>
      <w:r w:rsidRPr="00FA378C">
        <w:rPr>
          <w:b/>
          <w:bCs/>
          <w:sz w:val="28"/>
        </w:rPr>
        <w:t>TABLA DE CONTENIDOS</w:t>
      </w:r>
    </w:p>
    <w:p w14:paraId="6C3E8713" w14:textId="043AA35F" w:rsidR="00545797" w:rsidRPr="00FA378C" w:rsidRDefault="00545797" w:rsidP="00545797">
      <w:r w:rsidRPr="00FA378C">
        <w:rPr>
          <w:noProof/>
        </w:rPr>
        <mc:AlternateContent>
          <mc:Choice Requires="wps">
            <w:drawing>
              <wp:anchor distT="0" distB="0" distL="114300" distR="114300" simplePos="0" relativeHeight="251668480" behindDoc="0" locked="0" layoutInCell="1" allowOverlap="1" wp14:anchorId="1E07F231" wp14:editId="3AA958CC">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8E709" id="Straight Connector 18"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79E51474" w:rsidR="00545797" w:rsidRPr="00FA378C" w:rsidRDefault="00654164" w:rsidP="00545797">
      <w:pPr>
        <w:jc w:val="center"/>
      </w:pPr>
      <w:r w:rsidRPr="00FA378C">
        <w:t xml:space="preserve">Memoria </w:t>
      </w:r>
      <w:r w:rsidR="00D837AC" w:rsidRPr="00FA378C">
        <w:t>I</w:t>
      </w:r>
      <w:r w:rsidRPr="00FA378C">
        <w:t>nstitucional</w:t>
      </w:r>
      <w:r w:rsidR="00545797" w:rsidRPr="00FA378C">
        <w:t xml:space="preserve"> </w:t>
      </w:r>
      <w:r w:rsidR="000025D4" w:rsidRPr="00FA378C">
        <w:t>202</w:t>
      </w:r>
      <w:r w:rsidR="008F05FF" w:rsidRPr="00FA378C">
        <w:t>5</w:t>
      </w:r>
    </w:p>
    <w:p w14:paraId="296BB042" w14:textId="77777777" w:rsidR="0004475C" w:rsidRPr="00465A16" w:rsidRDefault="0004475C" w:rsidP="00545797">
      <w:pPr>
        <w:jc w:val="center"/>
        <w:rPr>
          <w:color w:val="4C4747"/>
        </w:rPr>
      </w:pPr>
    </w:p>
    <w:p w14:paraId="2539C61E" w14:textId="77777777" w:rsidR="00545797" w:rsidRPr="00465A16" w:rsidRDefault="00545797" w:rsidP="00545797">
      <w:pPr>
        <w:rPr>
          <w:color w:val="4C4747"/>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Content>
        <w:p w14:paraId="13CA098D" w14:textId="2CC93254" w:rsidR="00A630BC" w:rsidRPr="00E6750F" w:rsidRDefault="00A630BC" w:rsidP="00E6750F">
          <w:pPr>
            <w:pStyle w:val="TtuloTDC"/>
            <w:spacing w:line="360" w:lineRule="auto"/>
            <w:rPr>
              <w:rFonts w:ascii="Times New Roman" w:hAnsi="Times New Roman" w:cs="Times New Roman"/>
              <w:color w:val="767171"/>
            </w:rPr>
          </w:pPr>
        </w:p>
        <w:p w14:paraId="6D00CA21" w14:textId="16F11D10" w:rsidR="00E6750F" w:rsidRPr="00E6750F" w:rsidRDefault="00A630BC" w:rsidP="00E6750F">
          <w:pPr>
            <w:pStyle w:val="TDC1"/>
            <w:spacing w:line="360" w:lineRule="auto"/>
            <w:rPr>
              <w:rFonts w:asciiTheme="minorHAnsi" w:eastAsiaTheme="minorEastAsia" w:hAnsiTheme="minorHAnsi" w:cstheme="minorBidi"/>
              <w:noProof/>
              <w:color w:val="auto"/>
              <w:spacing w:val="0"/>
              <w:kern w:val="2"/>
              <w:lang w:eastAsia="es-DO"/>
              <w14:ligatures w14:val="standardContextual"/>
            </w:rPr>
          </w:pPr>
          <w:r w:rsidRPr="00E6750F">
            <w:fldChar w:fldCharType="begin"/>
          </w:r>
          <w:r w:rsidRPr="00E6750F">
            <w:instrText xml:space="preserve"> TOC \o "1-3" \h \z \u </w:instrText>
          </w:r>
          <w:r w:rsidRPr="00E6750F">
            <w:fldChar w:fldCharType="separate"/>
          </w:r>
          <w:hyperlink w:anchor="_Toc217997923" w:history="1">
            <w:r w:rsidR="00E6750F" w:rsidRPr="00E6750F">
              <w:rPr>
                <w:rStyle w:val="Hipervnculo"/>
                <w:noProof/>
              </w:rPr>
              <w:t>I.</w:t>
            </w:r>
            <w:r w:rsidR="00E6750F" w:rsidRPr="00E6750F">
              <w:rPr>
                <w:rFonts w:asciiTheme="minorHAnsi" w:eastAsiaTheme="minorEastAsia" w:hAnsiTheme="minorHAnsi" w:cstheme="minorBidi"/>
                <w:noProof/>
                <w:color w:val="auto"/>
                <w:spacing w:val="0"/>
                <w:kern w:val="2"/>
                <w:lang w:eastAsia="es-DO"/>
                <w14:ligatures w14:val="standardContextual"/>
              </w:rPr>
              <w:tab/>
            </w:r>
            <w:r w:rsidR="00E6750F" w:rsidRPr="00E6750F">
              <w:rPr>
                <w:rStyle w:val="Hipervnculo"/>
                <w:noProof/>
              </w:rPr>
              <w:t>RESUMEN EJECUTIVO</w:t>
            </w:r>
            <w:r w:rsidR="00E6750F" w:rsidRPr="00E6750F">
              <w:rPr>
                <w:noProof/>
                <w:webHidden/>
              </w:rPr>
              <w:tab/>
            </w:r>
            <w:r w:rsidR="00E6750F" w:rsidRPr="00E6750F">
              <w:rPr>
                <w:noProof/>
                <w:webHidden/>
              </w:rPr>
              <w:fldChar w:fldCharType="begin"/>
            </w:r>
            <w:r w:rsidR="00E6750F" w:rsidRPr="00E6750F">
              <w:rPr>
                <w:noProof/>
                <w:webHidden/>
              </w:rPr>
              <w:instrText xml:space="preserve"> PAGEREF _Toc217997923 \h </w:instrText>
            </w:r>
            <w:r w:rsidR="00E6750F" w:rsidRPr="00E6750F">
              <w:rPr>
                <w:noProof/>
                <w:webHidden/>
              </w:rPr>
            </w:r>
            <w:r w:rsidR="00E6750F" w:rsidRPr="00E6750F">
              <w:rPr>
                <w:noProof/>
                <w:webHidden/>
              </w:rPr>
              <w:fldChar w:fldCharType="separate"/>
            </w:r>
            <w:r w:rsidR="00E6750F" w:rsidRPr="00E6750F">
              <w:rPr>
                <w:noProof/>
                <w:webHidden/>
              </w:rPr>
              <w:t>1</w:t>
            </w:r>
            <w:r w:rsidR="00E6750F" w:rsidRPr="00E6750F">
              <w:rPr>
                <w:noProof/>
                <w:webHidden/>
              </w:rPr>
              <w:fldChar w:fldCharType="end"/>
            </w:r>
          </w:hyperlink>
        </w:p>
        <w:p w14:paraId="52574162" w14:textId="569DFB92" w:rsidR="00E6750F" w:rsidRPr="00E6750F" w:rsidRDefault="00E6750F" w:rsidP="00E6750F">
          <w:pPr>
            <w:pStyle w:val="TDC1"/>
            <w:spacing w:line="360" w:lineRule="auto"/>
            <w:rPr>
              <w:rFonts w:asciiTheme="minorHAnsi" w:eastAsiaTheme="minorEastAsia" w:hAnsiTheme="minorHAnsi" w:cstheme="minorBidi"/>
              <w:noProof/>
              <w:color w:val="auto"/>
              <w:spacing w:val="0"/>
              <w:kern w:val="2"/>
              <w:lang w:eastAsia="es-DO"/>
              <w14:ligatures w14:val="standardContextual"/>
            </w:rPr>
          </w:pPr>
          <w:hyperlink w:anchor="_Toc217997924" w:history="1">
            <w:r w:rsidRPr="00E6750F">
              <w:rPr>
                <w:rStyle w:val="Hipervnculo"/>
                <w:noProof/>
              </w:rPr>
              <w:t>II.</w:t>
            </w:r>
            <w:r w:rsidRPr="00E6750F">
              <w:rPr>
                <w:rFonts w:asciiTheme="minorHAnsi" w:eastAsiaTheme="minorEastAsia" w:hAnsiTheme="minorHAnsi" w:cstheme="minorBidi"/>
                <w:noProof/>
                <w:color w:val="auto"/>
                <w:spacing w:val="0"/>
                <w:kern w:val="2"/>
                <w:lang w:eastAsia="es-DO"/>
                <w14:ligatures w14:val="standardContextual"/>
              </w:rPr>
              <w:tab/>
            </w:r>
            <w:r w:rsidRPr="00E6750F">
              <w:rPr>
                <w:rStyle w:val="Hipervnculo"/>
                <w:noProof/>
              </w:rPr>
              <w:t>INFORMACIÓN INSTITUCIONAL</w:t>
            </w:r>
            <w:r w:rsidRPr="00E6750F">
              <w:rPr>
                <w:noProof/>
                <w:webHidden/>
              </w:rPr>
              <w:tab/>
            </w:r>
            <w:r w:rsidRPr="00E6750F">
              <w:rPr>
                <w:noProof/>
                <w:webHidden/>
              </w:rPr>
              <w:fldChar w:fldCharType="begin"/>
            </w:r>
            <w:r w:rsidRPr="00E6750F">
              <w:rPr>
                <w:noProof/>
                <w:webHidden/>
              </w:rPr>
              <w:instrText xml:space="preserve"> PAGEREF _Toc217997924 \h </w:instrText>
            </w:r>
            <w:r w:rsidRPr="00E6750F">
              <w:rPr>
                <w:noProof/>
                <w:webHidden/>
              </w:rPr>
            </w:r>
            <w:r w:rsidRPr="00E6750F">
              <w:rPr>
                <w:noProof/>
                <w:webHidden/>
              </w:rPr>
              <w:fldChar w:fldCharType="separate"/>
            </w:r>
            <w:r w:rsidRPr="00E6750F">
              <w:rPr>
                <w:noProof/>
                <w:webHidden/>
              </w:rPr>
              <w:t>6</w:t>
            </w:r>
            <w:r w:rsidRPr="00E6750F">
              <w:rPr>
                <w:noProof/>
                <w:webHidden/>
              </w:rPr>
              <w:fldChar w:fldCharType="end"/>
            </w:r>
          </w:hyperlink>
        </w:p>
        <w:p w14:paraId="78742DEE" w14:textId="4678BF4B"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25" w:history="1">
            <w:r w:rsidRPr="00E6750F">
              <w:rPr>
                <w:rStyle w:val="Hipervnculo"/>
                <w:noProof/>
              </w:rPr>
              <w:t>2.1</w:t>
            </w:r>
            <w:r>
              <w:rPr>
                <w:rFonts w:asciiTheme="minorHAnsi" w:eastAsiaTheme="minorEastAsia" w:hAnsiTheme="minorHAnsi" w:cstheme="minorBidi"/>
                <w:noProof/>
                <w:color w:val="auto"/>
                <w:spacing w:val="0"/>
                <w:kern w:val="2"/>
                <w:lang w:eastAsia="es-DO"/>
                <w14:ligatures w14:val="standardContextual"/>
              </w:rPr>
              <w:t xml:space="preserve"> </w:t>
            </w:r>
            <w:r w:rsidRPr="00E6750F">
              <w:rPr>
                <w:rStyle w:val="Hipervnculo"/>
                <w:noProof/>
              </w:rPr>
              <w:t>Marco filosófico institucional</w:t>
            </w:r>
            <w:r w:rsidRPr="00E6750F">
              <w:rPr>
                <w:noProof/>
                <w:webHidden/>
              </w:rPr>
              <w:tab/>
            </w:r>
            <w:r w:rsidRPr="00E6750F">
              <w:rPr>
                <w:noProof/>
                <w:webHidden/>
              </w:rPr>
              <w:fldChar w:fldCharType="begin"/>
            </w:r>
            <w:r w:rsidRPr="00E6750F">
              <w:rPr>
                <w:noProof/>
                <w:webHidden/>
              </w:rPr>
              <w:instrText xml:space="preserve"> PAGEREF _Toc217997925 \h </w:instrText>
            </w:r>
            <w:r w:rsidRPr="00E6750F">
              <w:rPr>
                <w:noProof/>
                <w:webHidden/>
              </w:rPr>
            </w:r>
            <w:r w:rsidRPr="00E6750F">
              <w:rPr>
                <w:noProof/>
                <w:webHidden/>
              </w:rPr>
              <w:fldChar w:fldCharType="separate"/>
            </w:r>
            <w:r w:rsidRPr="00E6750F">
              <w:rPr>
                <w:noProof/>
                <w:webHidden/>
              </w:rPr>
              <w:t>6</w:t>
            </w:r>
            <w:r w:rsidRPr="00E6750F">
              <w:rPr>
                <w:noProof/>
                <w:webHidden/>
              </w:rPr>
              <w:fldChar w:fldCharType="end"/>
            </w:r>
          </w:hyperlink>
        </w:p>
        <w:p w14:paraId="1C1301CB" w14:textId="76E2A875"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26" w:history="1">
            <w:r w:rsidRPr="00E6750F">
              <w:rPr>
                <w:rStyle w:val="Hipervnculo"/>
                <w:noProof/>
              </w:rPr>
              <w:t>a. Misión</w:t>
            </w:r>
            <w:r w:rsidRPr="00E6750F">
              <w:rPr>
                <w:noProof/>
                <w:webHidden/>
              </w:rPr>
              <w:tab/>
            </w:r>
            <w:r w:rsidRPr="00E6750F">
              <w:rPr>
                <w:noProof/>
                <w:webHidden/>
              </w:rPr>
              <w:fldChar w:fldCharType="begin"/>
            </w:r>
            <w:r w:rsidRPr="00E6750F">
              <w:rPr>
                <w:noProof/>
                <w:webHidden/>
              </w:rPr>
              <w:instrText xml:space="preserve"> PAGEREF _Toc217997926 \h </w:instrText>
            </w:r>
            <w:r w:rsidRPr="00E6750F">
              <w:rPr>
                <w:noProof/>
                <w:webHidden/>
              </w:rPr>
            </w:r>
            <w:r w:rsidRPr="00E6750F">
              <w:rPr>
                <w:noProof/>
                <w:webHidden/>
              </w:rPr>
              <w:fldChar w:fldCharType="separate"/>
            </w:r>
            <w:r w:rsidRPr="00E6750F">
              <w:rPr>
                <w:noProof/>
                <w:webHidden/>
              </w:rPr>
              <w:t>6</w:t>
            </w:r>
            <w:r w:rsidRPr="00E6750F">
              <w:rPr>
                <w:noProof/>
                <w:webHidden/>
              </w:rPr>
              <w:fldChar w:fldCharType="end"/>
            </w:r>
          </w:hyperlink>
        </w:p>
        <w:p w14:paraId="203885D1" w14:textId="0264CD67"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27" w:history="1">
            <w:r w:rsidRPr="00E6750F">
              <w:rPr>
                <w:rStyle w:val="Hipervnculo"/>
                <w:noProof/>
              </w:rPr>
              <w:t>b. Visión</w:t>
            </w:r>
            <w:r w:rsidRPr="00E6750F">
              <w:rPr>
                <w:noProof/>
                <w:webHidden/>
              </w:rPr>
              <w:tab/>
            </w:r>
            <w:r w:rsidRPr="00E6750F">
              <w:rPr>
                <w:noProof/>
                <w:webHidden/>
              </w:rPr>
              <w:fldChar w:fldCharType="begin"/>
            </w:r>
            <w:r w:rsidRPr="00E6750F">
              <w:rPr>
                <w:noProof/>
                <w:webHidden/>
              </w:rPr>
              <w:instrText xml:space="preserve"> PAGEREF _Toc217997927 \h </w:instrText>
            </w:r>
            <w:r w:rsidRPr="00E6750F">
              <w:rPr>
                <w:noProof/>
                <w:webHidden/>
              </w:rPr>
            </w:r>
            <w:r w:rsidRPr="00E6750F">
              <w:rPr>
                <w:noProof/>
                <w:webHidden/>
              </w:rPr>
              <w:fldChar w:fldCharType="separate"/>
            </w:r>
            <w:r w:rsidRPr="00E6750F">
              <w:rPr>
                <w:noProof/>
                <w:webHidden/>
              </w:rPr>
              <w:t>6</w:t>
            </w:r>
            <w:r w:rsidRPr="00E6750F">
              <w:rPr>
                <w:noProof/>
                <w:webHidden/>
              </w:rPr>
              <w:fldChar w:fldCharType="end"/>
            </w:r>
          </w:hyperlink>
        </w:p>
        <w:p w14:paraId="337257D4" w14:textId="6141EE3E"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28" w:history="1">
            <w:r w:rsidRPr="00E6750F">
              <w:rPr>
                <w:rStyle w:val="Hipervnculo"/>
                <w:noProof/>
              </w:rPr>
              <w:t>c. Valores</w:t>
            </w:r>
            <w:r w:rsidRPr="00E6750F">
              <w:rPr>
                <w:noProof/>
                <w:webHidden/>
              </w:rPr>
              <w:tab/>
            </w:r>
            <w:r w:rsidRPr="00E6750F">
              <w:rPr>
                <w:noProof/>
                <w:webHidden/>
              </w:rPr>
              <w:fldChar w:fldCharType="begin"/>
            </w:r>
            <w:r w:rsidRPr="00E6750F">
              <w:rPr>
                <w:noProof/>
                <w:webHidden/>
              </w:rPr>
              <w:instrText xml:space="preserve"> PAGEREF _Toc217997928 \h </w:instrText>
            </w:r>
            <w:r w:rsidRPr="00E6750F">
              <w:rPr>
                <w:noProof/>
                <w:webHidden/>
              </w:rPr>
            </w:r>
            <w:r w:rsidRPr="00E6750F">
              <w:rPr>
                <w:noProof/>
                <w:webHidden/>
              </w:rPr>
              <w:fldChar w:fldCharType="separate"/>
            </w:r>
            <w:r w:rsidRPr="00E6750F">
              <w:rPr>
                <w:noProof/>
                <w:webHidden/>
              </w:rPr>
              <w:t>6</w:t>
            </w:r>
            <w:r w:rsidRPr="00E6750F">
              <w:rPr>
                <w:noProof/>
                <w:webHidden/>
              </w:rPr>
              <w:fldChar w:fldCharType="end"/>
            </w:r>
          </w:hyperlink>
        </w:p>
        <w:p w14:paraId="44A01CA2" w14:textId="5A504CEB"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29" w:history="1">
            <w:r w:rsidRPr="00E6750F">
              <w:rPr>
                <w:rStyle w:val="Hipervnculo"/>
                <w:noProof/>
              </w:rPr>
              <w:t>2.2 Base legal</w:t>
            </w:r>
            <w:r w:rsidRPr="00E6750F">
              <w:rPr>
                <w:noProof/>
                <w:webHidden/>
              </w:rPr>
              <w:tab/>
            </w:r>
            <w:r w:rsidRPr="00E6750F">
              <w:rPr>
                <w:noProof/>
                <w:webHidden/>
              </w:rPr>
              <w:fldChar w:fldCharType="begin"/>
            </w:r>
            <w:r w:rsidRPr="00E6750F">
              <w:rPr>
                <w:noProof/>
                <w:webHidden/>
              </w:rPr>
              <w:instrText xml:space="preserve"> PAGEREF _Toc217997929 \h </w:instrText>
            </w:r>
            <w:r w:rsidRPr="00E6750F">
              <w:rPr>
                <w:noProof/>
                <w:webHidden/>
              </w:rPr>
            </w:r>
            <w:r w:rsidRPr="00E6750F">
              <w:rPr>
                <w:noProof/>
                <w:webHidden/>
              </w:rPr>
              <w:fldChar w:fldCharType="separate"/>
            </w:r>
            <w:r w:rsidRPr="00E6750F">
              <w:rPr>
                <w:noProof/>
                <w:webHidden/>
              </w:rPr>
              <w:t>7</w:t>
            </w:r>
            <w:r w:rsidRPr="00E6750F">
              <w:rPr>
                <w:noProof/>
                <w:webHidden/>
              </w:rPr>
              <w:fldChar w:fldCharType="end"/>
            </w:r>
          </w:hyperlink>
        </w:p>
        <w:p w14:paraId="4D774AAB" w14:textId="031643D8"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30" w:history="1">
            <w:r w:rsidRPr="00E6750F">
              <w:rPr>
                <w:rStyle w:val="Hipervnculo"/>
                <w:rFonts w:eastAsia="Calibri"/>
                <w:noProof/>
              </w:rPr>
              <w:t>2.3 Estructura organizativa</w:t>
            </w:r>
            <w:r w:rsidRPr="00E6750F">
              <w:rPr>
                <w:noProof/>
                <w:webHidden/>
              </w:rPr>
              <w:tab/>
            </w:r>
            <w:r w:rsidRPr="00E6750F">
              <w:rPr>
                <w:noProof/>
                <w:webHidden/>
              </w:rPr>
              <w:fldChar w:fldCharType="begin"/>
            </w:r>
            <w:r w:rsidRPr="00E6750F">
              <w:rPr>
                <w:noProof/>
                <w:webHidden/>
              </w:rPr>
              <w:instrText xml:space="preserve"> PAGEREF _Toc217997930 \h </w:instrText>
            </w:r>
            <w:r w:rsidRPr="00E6750F">
              <w:rPr>
                <w:noProof/>
                <w:webHidden/>
              </w:rPr>
            </w:r>
            <w:r w:rsidRPr="00E6750F">
              <w:rPr>
                <w:noProof/>
                <w:webHidden/>
              </w:rPr>
              <w:fldChar w:fldCharType="separate"/>
            </w:r>
            <w:r w:rsidRPr="00E6750F">
              <w:rPr>
                <w:noProof/>
                <w:webHidden/>
              </w:rPr>
              <w:t>9</w:t>
            </w:r>
            <w:r w:rsidRPr="00E6750F">
              <w:rPr>
                <w:noProof/>
                <w:webHidden/>
              </w:rPr>
              <w:fldChar w:fldCharType="end"/>
            </w:r>
          </w:hyperlink>
        </w:p>
        <w:p w14:paraId="74785776" w14:textId="05A00B3A"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31" w:history="1">
            <w:r w:rsidRPr="00E6750F">
              <w:rPr>
                <w:rStyle w:val="Hipervnculo"/>
                <w:noProof/>
              </w:rPr>
              <w:t>2.4 Planificación estratégica institucional</w:t>
            </w:r>
            <w:r w:rsidRPr="00E6750F">
              <w:rPr>
                <w:noProof/>
                <w:webHidden/>
              </w:rPr>
              <w:tab/>
            </w:r>
            <w:r w:rsidRPr="00E6750F">
              <w:rPr>
                <w:noProof/>
                <w:webHidden/>
              </w:rPr>
              <w:fldChar w:fldCharType="begin"/>
            </w:r>
            <w:r w:rsidRPr="00E6750F">
              <w:rPr>
                <w:noProof/>
                <w:webHidden/>
              </w:rPr>
              <w:instrText xml:space="preserve"> PAGEREF _Toc217997931 \h </w:instrText>
            </w:r>
            <w:r w:rsidRPr="00E6750F">
              <w:rPr>
                <w:noProof/>
                <w:webHidden/>
              </w:rPr>
            </w:r>
            <w:r w:rsidRPr="00E6750F">
              <w:rPr>
                <w:noProof/>
                <w:webHidden/>
              </w:rPr>
              <w:fldChar w:fldCharType="separate"/>
            </w:r>
            <w:r w:rsidRPr="00E6750F">
              <w:rPr>
                <w:noProof/>
                <w:webHidden/>
              </w:rPr>
              <w:t>10</w:t>
            </w:r>
            <w:r w:rsidRPr="00E6750F">
              <w:rPr>
                <w:noProof/>
                <w:webHidden/>
              </w:rPr>
              <w:fldChar w:fldCharType="end"/>
            </w:r>
          </w:hyperlink>
        </w:p>
        <w:p w14:paraId="47C045CC" w14:textId="6871F16E" w:rsidR="00E6750F" w:rsidRPr="00E6750F" w:rsidRDefault="00E6750F" w:rsidP="00E6750F">
          <w:pPr>
            <w:pStyle w:val="TDC1"/>
            <w:spacing w:line="360" w:lineRule="auto"/>
            <w:rPr>
              <w:rFonts w:asciiTheme="minorHAnsi" w:eastAsiaTheme="minorEastAsia" w:hAnsiTheme="minorHAnsi" w:cstheme="minorBidi"/>
              <w:noProof/>
              <w:color w:val="auto"/>
              <w:spacing w:val="0"/>
              <w:kern w:val="2"/>
              <w:lang w:eastAsia="es-DO"/>
              <w14:ligatures w14:val="standardContextual"/>
            </w:rPr>
          </w:pPr>
          <w:hyperlink w:anchor="_Toc217997932" w:history="1">
            <w:r w:rsidRPr="00E6750F">
              <w:rPr>
                <w:rStyle w:val="Hipervnculo"/>
                <w:noProof/>
              </w:rPr>
              <w:t>III.</w:t>
            </w:r>
            <w:r w:rsidRPr="00E6750F">
              <w:rPr>
                <w:rFonts w:asciiTheme="minorHAnsi" w:eastAsiaTheme="minorEastAsia" w:hAnsiTheme="minorHAnsi" w:cstheme="minorBidi"/>
                <w:noProof/>
                <w:color w:val="auto"/>
                <w:spacing w:val="0"/>
                <w:kern w:val="2"/>
                <w:lang w:eastAsia="es-DO"/>
                <w14:ligatures w14:val="standardContextual"/>
              </w:rPr>
              <w:tab/>
            </w:r>
            <w:r w:rsidRPr="00E6750F">
              <w:rPr>
                <w:rStyle w:val="Hipervnculo"/>
                <w:noProof/>
              </w:rPr>
              <w:t>RESULTADOS MISIONALES</w:t>
            </w:r>
            <w:r w:rsidRPr="00E6750F">
              <w:rPr>
                <w:noProof/>
                <w:webHidden/>
              </w:rPr>
              <w:tab/>
            </w:r>
            <w:r w:rsidRPr="00E6750F">
              <w:rPr>
                <w:noProof/>
                <w:webHidden/>
              </w:rPr>
              <w:fldChar w:fldCharType="begin"/>
            </w:r>
            <w:r w:rsidRPr="00E6750F">
              <w:rPr>
                <w:noProof/>
                <w:webHidden/>
              </w:rPr>
              <w:instrText xml:space="preserve"> PAGEREF _Toc217997932 \h </w:instrText>
            </w:r>
            <w:r w:rsidRPr="00E6750F">
              <w:rPr>
                <w:noProof/>
                <w:webHidden/>
              </w:rPr>
            </w:r>
            <w:r w:rsidRPr="00E6750F">
              <w:rPr>
                <w:noProof/>
                <w:webHidden/>
              </w:rPr>
              <w:fldChar w:fldCharType="separate"/>
            </w:r>
            <w:r w:rsidRPr="00E6750F">
              <w:rPr>
                <w:noProof/>
                <w:webHidden/>
              </w:rPr>
              <w:t>12</w:t>
            </w:r>
            <w:r w:rsidRPr="00E6750F">
              <w:rPr>
                <w:noProof/>
                <w:webHidden/>
              </w:rPr>
              <w:fldChar w:fldCharType="end"/>
            </w:r>
          </w:hyperlink>
        </w:p>
        <w:p w14:paraId="36428DBC" w14:textId="432FF1F7"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33" w:history="1">
            <w:r w:rsidRPr="00E6750F">
              <w:rPr>
                <w:rStyle w:val="Hipervnculo"/>
                <w:noProof/>
              </w:rPr>
              <w:t>3.1 Implementación y fortalecimiento del Sistema Nacional de Control Interno</w:t>
            </w:r>
            <w:r w:rsidRPr="00E6750F">
              <w:rPr>
                <w:noProof/>
                <w:webHidden/>
              </w:rPr>
              <w:tab/>
            </w:r>
            <w:r w:rsidRPr="00E6750F">
              <w:rPr>
                <w:noProof/>
                <w:webHidden/>
              </w:rPr>
              <w:fldChar w:fldCharType="begin"/>
            </w:r>
            <w:r w:rsidRPr="00E6750F">
              <w:rPr>
                <w:noProof/>
                <w:webHidden/>
              </w:rPr>
              <w:instrText xml:space="preserve"> PAGEREF _Toc217997933 \h </w:instrText>
            </w:r>
            <w:r w:rsidRPr="00E6750F">
              <w:rPr>
                <w:noProof/>
                <w:webHidden/>
              </w:rPr>
            </w:r>
            <w:r w:rsidRPr="00E6750F">
              <w:rPr>
                <w:noProof/>
                <w:webHidden/>
              </w:rPr>
              <w:fldChar w:fldCharType="separate"/>
            </w:r>
            <w:r w:rsidRPr="00E6750F">
              <w:rPr>
                <w:noProof/>
                <w:webHidden/>
              </w:rPr>
              <w:t>12</w:t>
            </w:r>
            <w:r w:rsidRPr="00E6750F">
              <w:rPr>
                <w:noProof/>
                <w:webHidden/>
              </w:rPr>
              <w:fldChar w:fldCharType="end"/>
            </w:r>
          </w:hyperlink>
        </w:p>
        <w:p w14:paraId="32442AFB" w14:textId="596B2004"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34" w:history="1">
            <w:r w:rsidRPr="00E6750F">
              <w:rPr>
                <w:rStyle w:val="Hipervnculo"/>
                <w:noProof/>
              </w:rPr>
              <w:t>3.2 Fiscalización de recursos públicos a través del control previo</w:t>
            </w:r>
            <w:r w:rsidRPr="00E6750F">
              <w:rPr>
                <w:noProof/>
                <w:webHidden/>
              </w:rPr>
              <w:tab/>
            </w:r>
            <w:r w:rsidRPr="00E6750F">
              <w:rPr>
                <w:noProof/>
                <w:webHidden/>
              </w:rPr>
              <w:fldChar w:fldCharType="begin"/>
            </w:r>
            <w:r w:rsidRPr="00E6750F">
              <w:rPr>
                <w:noProof/>
                <w:webHidden/>
              </w:rPr>
              <w:instrText xml:space="preserve"> PAGEREF _Toc217997934 \h </w:instrText>
            </w:r>
            <w:r w:rsidRPr="00E6750F">
              <w:rPr>
                <w:noProof/>
                <w:webHidden/>
              </w:rPr>
            </w:r>
            <w:r w:rsidRPr="00E6750F">
              <w:rPr>
                <w:noProof/>
                <w:webHidden/>
              </w:rPr>
              <w:fldChar w:fldCharType="separate"/>
            </w:r>
            <w:r w:rsidRPr="00E6750F">
              <w:rPr>
                <w:noProof/>
                <w:webHidden/>
              </w:rPr>
              <w:t>20</w:t>
            </w:r>
            <w:r w:rsidRPr="00E6750F">
              <w:rPr>
                <w:noProof/>
                <w:webHidden/>
              </w:rPr>
              <w:fldChar w:fldCharType="end"/>
            </w:r>
          </w:hyperlink>
        </w:p>
        <w:p w14:paraId="7C31B62C" w14:textId="1E6380E6"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35" w:history="1">
            <w:r w:rsidRPr="00E6750F">
              <w:rPr>
                <w:rStyle w:val="Hipervnculo"/>
                <w:noProof/>
              </w:rPr>
              <w:t>3.3 Auditorías e investigaciones a las instituciones públicas</w:t>
            </w:r>
            <w:r w:rsidRPr="00E6750F">
              <w:rPr>
                <w:noProof/>
                <w:webHidden/>
              </w:rPr>
              <w:tab/>
            </w:r>
            <w:r w:rsidRPr="00E6750F">
              <w:rPr>
                <w:noProof/>
                <w:webHidden/>
              </w:rPr>
              <w:fldChar w:fldCharType="begin"/>
            </w:r>
            <w:r w:rsidRPr="00E6750F">
              <w:rPr>
                <w:noProof/>
                <w:webHidden/>
              </w:rPr>
              <w:instrText xml:space="preserve"> PAGEREF _Toc217997935 \h </w:instrText>
            </w:r>
            <w:r w:rsidRPr="00E6750F">
              <w:rPr>
                <w:noProof/>
                <w:webHidden/>
              </w:rPr>
            </w:r>
            <w:r w:rsidRPr="00E6750F">
              <w:rPr>
                <w:noProof/>
                <w:webHidden/>
              </w:rPr>
              <w:fldChar w:fldCharType="separate"/>
            </w:r>
            <w:r w:rsidRPr="00E6750F">
              <w:rPr>
                <w:noProof/>
                <w:webHidden/>
              </w:rPr>
              <w:t>33</w:t>
            </w:r>
            <w:r w:rsidRPr="00E6750F">
              <w:rPr>
                <w:noProof/>
                <w:webHidden/>
              </w:rPr>
              <w:fldChar w:fldCharType="end"/>
            </w:r>
          </w:hyperlink>
        </w:p>
        <w:p w14:paraId="1A26B1C5" w14:textId="4CE1A733" w:rsidR="00E6750F" w:rsidRPr="00E6750F" w:rsidRDefault="00E6750F" w:rsidP="00E6750F">
          <w:pPr>
            <w:pStyle w:val="TDC1"/>
            <w:spacing w:line="360" w:lineRule="auto"/>
            <w:rPr>
              <w:rFonts w:asciiTheme="minorHAnsi" w:eastAsiaTheme="minorEastAsia" w:hAnsiTheme="minorHAnsi" w:cstheme="minorBidi"/>
              <w:noProof/>
              <w:color w:val="auto"/>
              <w:spacing w:val="0"/>
              <w:kern w:val="2"/>
              <w:lang w:eastAsia="es-DO"/>
              <w14:ligatures w14:val="standardContextual"/>
            </w:rPr>
          </w:pPr>
          <w:hyperlink w:anchor="_Toc217997936" w:history="1">
            <w:r w:rsidRPr="00E6750F">
              <w:rPr>
                <w:rStyle w:val="Hipervnculo"/>
                <w:noProof/>
              </w:rPr>
              <w:t>IV.</w:t>
            </w:r>
            <w:r w:rsidRPr="00E6750F">
              <w:rPr>
                <w:rFonts w:asciiTheme="minorHAnsi" w:eastAsiaTheme="minorEastAsia" w:hAnsiTheme="minorHAnsi" w:cstheme="minorBidi"/>
                <w:noProof/>
                <w:color w:val="auto"/>
                <w:spacing w:val="0"/>
                <w:kern w:val="2"/>
                <w:lang w:eastAsia="es-DO"/>
                <w14:ligatures w14:val="standardContextual"/>
              </w:rPr>
              <w:tab/>
            </w:r>
            <w:r w:rsidRPr="00E6750F">
              <w:rPr>
                <w:rStyle w:val="Hipervnculo"/>
                <w:noProof/>
              </w:rPr>
              <w:t>RESULTADOS DE LAS ÁREAS TRANSVERSALES Y DE APOYO</w:t>
            </w:r>
            <w:r w:rsidRPr="00E6750F">
              <w:rPr>
                <w:noProof/>
                <w:webHidden/>
              </w:rPr>
              <w:tab/>
            </w:r>
            <w:r w:rsidRPr="00E6750F">
              <w:rPr>
                <w:noProof/>
                <w:webHidden/>
              </w:rPr>
              <w:fldChar w:fldCharType="begin"/>
            </w:r>
            <w:r w:rsidRPr="00E6750F">
              <w:rPr>
                <w:noProof/>
                <w:webHidden/>
              </w:rPr>
              <w:instrText xml:space="preserve"> PAGEREF _Toc217997936 \h </w:instrText>
            </w:r>
            <w:r w:rsidRPr="00E6750F">
              <w:rPr>
                <w:noProof/>
                <w:webHidden/>
              </w:rPr>
            </w:r>
            <w:r w:rsidRPr="00E6750F">
              <w:rPr>
                <w:noProof/>
                <w:webHidden/>
              </w:rPr>
              <w:fldChar w:fldCharType="separate"/>
            </w:r>
            <w:r w:rsidRPr="00E6750F">
              <w:rPr>
                <w:noProof/>
                <w:webHidden/>
              </w:rPr>
              <w:t>45</w:t>
            </w:r>
            <w:r w:rsidRPr="00E6750F">
              <w:rPr>
                <w:noProof/>
                <w:webHidden/>
              </w:rPr>
              <w:fldChar w:fldCharType="end"/>
            </w:r>
          </w:hyperlink>
        </w:p>
        <w:p w14:paraId="597E88BD" w14:textId="0AB20D15"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37" w:history="1">
            <w:r w:rsidRPr="00E6750F">
              <w:rPr>
                <w:rStyle w:val="Hipervnculo"/>
                <w:noProof/>
              </w:rPr>
              <w:t>4.1 Desempeño Área Administrativa y Financiera</w:t>
            </w:r>
            <w:r w:rsidRPr="00E6750F">
              <w:rPr>
                <w:noProof/>
                <w:webHidden/>
              </w:rPr>
              <w:tab/>
            </w:r>
            <w:r w:rsidRPr="00E6750F">
              <w:rPr>
                <w:noProof/>
                <w:webHidden/>
              </w:rPr>
              <w:fldChar w:fldCharType="begin"/>
            </w:r>
            <w:r w:rsidRPr="00E6750F">
              <w:rPr>
                <w:noProof/>
                <w:webHidden/>
              </w:rPr>
              <w:instrText xml:space="preserve"> PAGEREF _Toc217997937 \h </w:instrText>
            </w:r>
            <w:r w:rsidRPr="00E6750F">
              <w:rPr>
                <w:noProof/>
                <w:webHidden/>
              </w:rPr>
            </w:r>
            <w:r w:rsidRPr="00E6750F">
              <w:rPr>
                <w:noProof/>
                <w:webHidden/>
              </w:rPr>
              <w:fldChar w:fldCharType="separate"/>
            </w:r>
            <w:r w:rsidRPr="00E6750F">
              <w:rPr>
                <w:noProof/>
                <w:webHidden/>
              </w:rPr>
              <w:t>45</w:t>
            </w:r>
            <w:r w:rsidRPr="00E6750F">
              <w:rPr>
                <w:noProof/>
                <w:webHidden/>
              </w:rPr>
              <w:fldChar w:fldCharType="end"/>
            </w:r>
          </w:hyperlink>
        </w:p>
        <w:p w14:paraId="6650A103" w14:textId="5798DA08"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38" w:history="1">
            <w:r w:rsidRPr="00E6750F">
              <w:rPr>
                <w:rStyle w:val="Hipervnculo"/>
                <w:rFonts w:eastAsia="Calibri"/>
                <w:noProof/>
              </w:rPr>
              <w:t>4.2 Desempeño de los Recursos Humanos</w:t>
            </w:r>
            <w:r w:rsidRPr="00E6750F">
              <w:rPr>
                <w:noProof/>
                <w:webHidden/>
              </w:rPr>
              <w:tab/>
            </w:r>
            <w:r w:rsidRPr="00E6750F">
              <w:rPr>
                <w:noProof/>
                <w:webHidden/>
              </w:rPr>
              <w:fldChar w:fldCharType="begin"/>
            </w:r>
            <w:r w:rsidRPr="00E6750F">
              <w:rPr>
                <w:noProof/>
                <w:webHidden/>
              </w:rPr>
              <w:instrText xml:space="preserve"> PAGEREF _Toc217997938 \h </w:instrText>
            </w:r>
            <w:r w:rsidRPr="00E6750F">
              <w:rPr>
                <w:noProof/>
                <w:webHidden/>
              </w:rPr>
            </w:r>
            <w:r w:rsidRPr="00E6750F">
              <w:rPr>
                <w:noProof/>
                <w:webHidden/>
              </w:rPr>
              <w:fldChar w:fldCharType="separate"/>
            </w:r>
            <w:r w:rsidRPr="00E6750F">
              <w:rPr>
                <w:noProof/>
                <w:webHidden/>
              </w:rPr>
              <w:t>51</w:t>
            </w:r>
            <w:r w:rsidRPr="00E6750F">
              <w:rPr>
                <w:noProof/>
                <w:webHidden/>
              </w:rPr>
              <w:fldChar w:fldCharType="end"/>
            </w:r>
          </w:hyperlink>
        </w:p>
        <w:p w14:paraId="3E3DCE93" w14:textId="49F882F5"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39" w:history="1">
            <w:r w:rsidRPr="00E6750F">
              <w:rPr>
                <w:rStyle w:val="Hipervnculo"/>
                <w:noProof/>
              </w:rPr>
              <w:t>4.3 Desempeño de los Procesos Jurídicos</w:t>
            </w:r>
            <w:r w:rsidRPr="00E6750F">
              <w:rPr>
                <w:noProof/>
                <w:webHidden/>
              </w:rPr>
              <w:tab/>
            </w:r>
            <w:r w:rsidRPr="00E6750F">
              <w:rPr>
                <w:noProof/>
                <w:webHidden/>
              </w:rPr>
              <w:fldChar w:fldCharType="begin"/>
            </w:r>
            <w:r w:rsidRPr="00E6750F">
              <w:rPr>
                <w:noProof/>
                <w:webHidden/>
              </w:rPr>
              <w:instrText xml:space="preserve"> PAGEREF _Toc217997939 \h </w:instrText>
            </w:r>
            <w:r w:rsidRPr="00E6750F">
              <w:rPr>
                <w:noProof/>
                <w:webHidden/>
              </w:rPr>
            </w:r>
            <w:r w:rsidRPr="00E6750F">
              <w:rPr>
                <w:noProof/>
                <w:webHidden/>
              </w:rPr>
              <w:fldChar w:fldCharType="separate"/>
            </w:r>
            <w:r w:rsidRPr="00E6750F">
              <w:rPr>
                <w:noProof/>
                <w:webHidden/>
              </w:rPr>
              <w:t>71</w:t>
            </w:r>
            <w:r w:rsidRPr="00E6750F">
              <w:rPr>
                <w:noProof/>
                <w:webHidden/>
              </w:rPr>
              <w:fldChar w:fldCharType="end"/>
            </w:r>
          </w:hyperlink>
        </w:p>
        <w:p w14:paraId="642AB91D" w14:textId="60E8DAAD"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40" w:history="1">
            <w:r w:rsidRPr="00E6750F">
              <w:rPr>
                <w:rStyle w:val="Hipervnculo"/>
                <w:noProof/>
              </w:rPr>
              <w:t>4.4 Desempeño de la Tecnología</w:t>
            </w:r>
            <w:r w:rsidRPr="00E6750F">
              <w:rPr>
                <w:noProof/>
                <w:webHidden/>
              </w:rPr>
              <w:tab/>
            </w:r>
            <w:r w:rsidRPr="00E6750F">
              <w:rPr>
                <w:noProof/>
                <w:webHidden/>
              </w:rPr>
              <w:fldChar w:fldCharType="begin"/>
            </w:r>
            <w:r w:rsidRPr="00E6750F">
              <w:rPr>
                <w:noProof/>
                <w:webHidden/>
              </w:rPr>
              <w:instrText xml:space="preserve"> PAGEREF _Toc217997940 \h </w:instrText>
            </w:r>
            <w:r w:rsidRPr="00E6750F">
              <w:rPr>
                <w:noProof/>
                <w:webHidden/>
              </w:rPr>
            </w:r>
            <w:r w:rsidRPr="00E6750F">
              <w:rPr>
                <w:noProof/>
                <w:webHidden/>
              </w:rPr>
              <w:fldChar w:fldCharType="separate"/>
            </w:r>
            <w:r w:rsidRPr="00E6750F">
              <w:rPr>
                <w:noProof/>
                <w:webHidden/>
              </w:rPr>
              <w:t>74</w:t>
            </w:r>
            <w:r w:rsidRPr="00E6750F">
              <w:rPr>
                <w:noProof/>
                <w:webHidden/>
              </w:rPr>
              <w:fldChar w:fldCharType="end"/>
            </w:r>
          </w:hyperlink>
        </w:p>
        <w:p w14:paraId="560C73F6" w14:textId="5FD9446F"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41" w:history="1">
            <w:r w:rsidRPr="00E6750F">
              <w:rPr>
                <w:rStyle w:val="Hipervnculo"/>
                <w:noProof/>
              </w:rPr>
              <w:t>4.5 Desempeño del Sistema de Planificación y Desarrollo Institucional</w:t>
            </w:r>
            <w:r w:rsidRPr="00E6750F">
              <w:rPr>
                <w:noProof/>
                <w:webHidden/>
              </w:rPr>
              <w:tab/>
            </w:r>
            <w:r w:rsidRPr="00E6750F">
              <w:rPr>
                <w:noProof/>
                <w:webHidden/>
              </w:rPr>
              <w:fldChar w:fldCharType="begin"/>
            </w:r>
            <w:r w:rsidRPr="00E6750F">
              <w:rPr>
                <w:noProof/>
                <w:webHidden/>
              </w:rPr>
              <w:instrText xml:space="preserve"> PAGEREF _Toc217997941 \h </w:instrText>
            </w:r>
            <w:r w:rsidRPr="00E6750F">
              <w:rPr>
                <w:noProof/>
                <w:webHidden/>
              </w:rPr>
            </w:r>
            <w:r w:rsidRPr="00E6750F">
              <w:rPr>
                <w:noProof/>
                <w:webHidden/>
              </w:rPr>
              <w:fldChar w:fldCharType="separate"/>
            </w:r>
            <w:r w:rsidRPr="00E6750F">
              <w:rPr>
                <w:noProof/>
                <w:webHidden/>
              </w:rPr>
              <w:t>89</w:t>
            </w:r>
            <w:r w:rsidRPr="00E6750F">
              <w:rPr>
                <w:noProof/>
                <w:webHidden/>
              </w:rPr>
              <w:fldChar w:fldCharType="end"/>
            </w:r>
          </w:hyperlink>
        </w:p>
        <w:p w14:paraId="36C989D2" w14:textId="3DF51F26"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42" w:history="1">
            <w:r w:rsidRPr="00E6750F">
              <w:rPr>
                <w:rStyle w:val="Hipervnculo"/>
                <w:noProof/>
              </w:rPr>
              <w:t>4.6 Desempeño del Área de Comunicaciones</w:t>
            </w:r>
            <w:r w:rsidRPr="00E6750F">
              <w:rPr>
                <w:noProof/>
                <w:webHidden/>
              </w:rPr>
              <w:tab/>
            </w:r>
            <w:r w:rsidRPr="00E6750F">
              <w:rPr>
                <w:noProof/>
                <w:webHidden/>
              </w:rPr>
              <w:fldChar w:fldCharType="begin"/>
            </w:r>
            <w:r w:rsidRPr="00E6750F">
              <w:rPr>
                <w:noProof/>
                <w:webHidden/>
              </w:rPr>
              <w:instrText xml:space="preserve"> PAGEREF _Toc217997942 \h </w:instrText>
            </w:r>
            <w:r w:rsidRPr="00E6750F">
              <w:rPr>
                <w:noProof/>
                <w:webHidden/>
              </w:rPr>
            </w:r>
            <w:r w:rsidRPr="00E6750F">
              <w:rPr>
                <w:noProof/>
                <w:webHidden/>
              </w:rPr>
              <w:fldChar w:fldCharType="separate"/>
            </w:r>
            <w:r w:rsidRPr="00E6750F">
              <w:rPr>
                <w:noProof/>
                <w:webHidden/>
              </w:rPr>
              <w:t>113</w:t>
            </w:r>
            <w:r w:rsidRPr="00E6750F">
              <w:rPr>
                <w:noProof/>
                <w:webHidden/>
              </w:rPr>
              <w:fldChar w:fldCharType="end"/>
            </w:r>
          </w:hyperlink>
        </w:p>
        <w:p w14:paraId="6CB914E1" w14:textId="6FA2E432" w:rsidR="00E6750F" w:rsidRPr="00E6750F" w:rsidRDefault="00E6750F" w:rsidP="00E6750F">
          <w:pPr>
            <w:pStyle w:val="TDC1"/>
            <w:spacing w:line="360" w:lineRule="auto"/>
            <w:rPr>
              <w:rFonts w:asciiTheme="minorHAnsi" w:eastAsiaTheme="minorEastAsia" w:hAnsiTheme="minorHAnsi" w:cstheme="minorBidi"/>
              <w:noProof/>
              <w:color w:val="auto"/>
              <w:spacing w:val="0"/>
              <w:kern w:val="2"/>
              <w:lang w:eastAsia="es-DO"/>
              <w14:ligatures w14:val="standardContextual"/>
            </w:rPr>
          </w:pPr>
          <w:hyperlink w:anchor="_Toc217997943" w:history="1">
            <w:r w:rsidRPr="00E6750F">
              <w:rPr>
                <w:rStyle w:val="Hipervnculo"/>
                <w:noProof/>
              </w:rPr>
              <w:t>V.</w:t>
            </w:r>
            <w:r w:rsidRPr="00E6750F">
              <w:rPr>
                <w:rFonts w:asciiTheme="minorHAnsi" w:eastAsiaTheme="minorEastAsia" w:hAnsiTheme="minorHAnsi" w:cstheme="minorBidi"/>
                <w:noProof/>
                <w:color w:val="auto"/>
                <w:spacing w:val="0"/>
                <w:kern w:val="2"/>
                <w:lang w:eastAsia="es-DO"/>
                <w14:ligatures w14:val="standardContextual"/>
              </w:rPr>
              <w:tab/>
            </w:r>
            <w:r w:rsidRPr="00E6750F">
              <w:rPr>
                <w:rStyle w:val="Hipervnculo"/>
                <w:noProof/>
              </w:rPr>
              <w:t>SERVICIO AL CIUDADANO Y TRANSPARENCIA INSTITUCIONAL</w:t>
            </w:r>
            <w:r w:rsidRPr="00E6750F">
              <w:rPr>
                <w:noProof/>
                <w:webHidden/>
              </w:rPr>
              <w:tab/>
            </w:r>
            <w:r w:rsidRPr="00E6750F">
              <w:rPr>
                <w:noProof/>
                <w:webHidden/>
              </w:rPr>
              <w:fldChar w:fldCharType="begin"/>
            </w:r>
            <w:r w:rsidRPr="00E6750F">
              <w:rPr>
                <w:noProof/>
                <w:webHidden/>
              </w:rPr>
              <w:instrText xml:space="preserve"> PAGEREF _Toc217997943 \h </w:instrText>
            </w:r>
            <w:r w:rsidRPr="00E6750F">
              <w:rPr>
                <w:noProof/>
                <w:webHidden/>
              </w:rPr>
            </w:r>
            <w:r w:rsidRPr="00E6750F">
              <w:rPr>
                <w:noProof/>
                <w:webHidden/>
              </w:rPr>
              <w:fldChar w:fldCharType="separate"/>
            </w:r>
            <w:r w:rsidRPr="00E6750F">
              <w:rPr>
                <w:noProof/>
                <w:webHidden/>
              </w:rPr>
              <w:t>119</w:t>
            </w:r>
            <w:r w:rsidRPr="00E6750F">
              <w:rPr>
                <w:noProof/>
                <w:webHidden/>
              </w:rPr>
              <w:fldChar w:fldCharType="end"/>
            </w:r>
          </w:hyperlink>
        </w:p>
        <w:p w14:paraId="1362E28B" w14:textId="0248A896"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44" w:history="1">
            <w:r w:rsidRPr="00E6750F">
              <w:rPr>
                <w:rStyle w:val="Hipervnculo"/>
                <w:noProof/>
              </w:rPr>
              <w:t>5.1 Nivel de la satisfacción con el servicio</w:t>
            </w:r>
            <w:r w:rsidRPr="00E6750F">
              <w:rPr>
                <w:noProof/>
                <w:webHidden/>
              </w:rPr>
              <w:tab/>
            </w:r>
            <w:r w:rsidRPr="00E6750F">
              <w:rPr>
                <w:noProof/>
                <w:webHidden/>
              </w:rPr>
              <w:fldChar w:fldCharType="begin"/>
            </w:r>
            <w:r w:rsidRPr="00E6750F">
              <w:rPr>
                <w:noProof/>
                <w:webHidden/>
              </w:rPr>
              <w:instrText xml:space="preserve"> PAGEREF _Toc217997944 \h </w:instrText>
            </w:r>
            <w:r w:rsidRPr="00E6750F">
              <w:rPr>
                <w:noProof/>
                <w:webHidden/>
              </w:rPr>
            </w:r>
            <w:r w:rsidRPr="00E6750F">
              <w:rPr>
                <w:noProof/>
                <w:webHidden/>
              </w:rPr>
              <w:fldChar w:fldCharType="separate"/>
            </w:r>
            <w:r w:rsidRPr="00E6750F">
              <w:rPr>
                <w:noProof/>
                <w:webHidden/>
              </w:rPr>
              <w:t>119</w:t>
            </w:r>
            <w:r w:rsidRPr="00E6750F">
              <w:rPr>
                <w:noProof/>
                <w:webHidden/>
              </w:rPr>
              <w:fldChar w:fldCharType="end"/>
            </w:r>
          </w:hyperlink>
        </w:p>
        <w:p w14:paraId="5399AA10" w14:textId="793C3FED"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45" w:history="1">
            <w:r w:rsidRPr="00E6750F">
              <w:rPr>
                <w:rStyle w:val="Hipervnculo"/>
                <w:noProof/>
              </w:rPr>
              <w:t>5.2 Nivel de cumplimiento acceso a la información</w:t>
            </w:r>
            <w:r w:rsidRPr="00E6750F">
              <w:rPr>
                <w:noProof/>
                <w:webHidden/>
              </w:rPr>
              <w:tab/>
            </w:r>
            <w:r w:rsidRPr="00E6750F">
              <w:rPr>
                <w:noProof/>
                <w:webHidden/>
              </w:rPr>
              <w:fldChar w:fldCharType="begin"/>
            </w:r>
            <w:r w:rsidRPr="00E6750F">
              <w:rPr>
                <w:noProof/>
                <w:webHidden/>
              </w:rPr>
              <w:instrText xml:space="preserve"> PAGEREF _Toc217997945 \h </w:instrText>
            </w:r>
            <w:r w:rsidRPr="00E6750F">
              <w:rPr>
                <w:noProof/>
                <w:webHidden/>
              </w:rPr>
            </w:r>
            <w:r w:rsidRPr="00E6750F">
              <w:rPr>
                <w:noProof/>
                <w:webHidden/>
              </w:rPr>
              <w:fldChar w:fldCharType="separate"/>
            </w:r>
            <w:r w:rsidRPr="00E6750F">
              <w:rPr>
                <w:noProof/>
                <w:webHidden/>
              </w:rPr>
              <w:t>120</w:t>
            </w:r>
            <w:r w:rsidRPr="00E6750F">
              <w:rPr>
                <w:noProof/>
                <w:webHidden/>
              </w:rPr>
              <w:fldChar w:fldCharType="end"/>
            </w:r>
          </w:hyperlink>
        </w:p>
        <w:p w14:paraId="491E1129" w14:textId="59045F08"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46" w:history="1">
            <w:r w:rsidRPr="00E6750F">
              <w:rPr>
                <w:rStyle w:val="Hipervnculo"/>
                <w:noProof/>
              </w:rPr>
              <w:t>5.3 Resultados Sistema de Quejas, Reclamos y Sugerencias</w:t>
            </w:r>
            <w:r w:rsidRPr="00E6750F">
              <w:rPr>
                <w:noProof/>
                <w:webHidden/>
              </w:rPr>
              <w:tab/>
            </w:r>
            <w:r w:rsidRPr="00E6750F">
              <w:rPr>
                <w:noProof/>
                <w:webHidden/>
              </w:rPr>
              <w:fldChar w:fldCharType="begin"/>
            </w:r>
            <w:r w:rsidRPr="00E6750F">
              <w:rPr>
                <w:noProof/>
                <w:webHidden/>
              </w:rPr>
              <w:instrText xml:space="preserve"> PAGEREF _Toc217997946 \h </w:instrText>
            </w:r>
            <w:r w:rsidRPr="00E6750F">
              <w:rPr>
                <w:noProof/>
                <w:webHidden/>
              </w:rPr>
            </w:r>
            <w:r w:rsidRPr="00E6750F">
              <w:rPr>
                <w:noProof/>
                <w:webHidden/>
              </w:rPr>
              <w:fldChar w:fldCharType="separate"/>
            </w:r>
            <w:r w:rsidRPr="00E6750F">
              <w:rPr>
                <w:noProof/>
                <w:webHidden/>
              </w:rPr>
              <w:t>120</w:t>
            </w:r>
            <w:r w:rsidRPr="00E6750F">
              <w:rPr>
                <w:noProof/>
                <w:webHidden/>
              </w:rPr>
              <w:fldChar w:fldCharType="end"/>
            </w:r>
          </w:hyperlink>
        </w:p>
        <w:p w14:paraId="21853A92" w14:textId="06B6EBE1"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47" w:history="1">
            <w:r w:rsidRPr="00E6750F">
              <w:rPr>
                <w:rStyle w:val="Hipervnculo"/>
                <w:noProof/>
              </w:rPr>
              <w:t>5.4 Resultados mediciones del portal de transparencia</w:t>
            </w:r>
            <w:r w:rsidRPr="00E6750F">
              <w:rPr>
                <w:noProof/>
                <w:webHidden/>
              </w:rPr>
              <w:tab/>
            </w:r>
            <w:r w:rsidRPr="00E6750F">
              <w:rPr>
                <w:noProof/>
                <w:webHidden/>
              </w:rPr>
              <w:fldChar w:fldCharType="begin"/>
            </w:r>
            <w:r w:rsidRPr="00E6750F">
              <w:rPr>
                <w:noProof/>
                <w:webHidden/>
              </w:rPr>
              <w:instrText xml:space="preserve"> PAGEREF _Toc217997947 \h </w:instrText>
            </w:r>
            <w:r w:rsidRPr="00E6750F">
              <w:rPr>
                <w:noProof/>
                <w:webHidden/>
              </w:rPr>
            </w:r>
            <w:r w:rsidRPr="00E6750F">
              <w:rPr>
                <w:noProof/>
                <w:webHidden/>
              </w:rPr>
              <w:fldChar w:fldCharType="separate"/>
            </w:r>
            <w:r w:rsidRPr="00E6750F">
              <w:rPr>
                <w:noProof/>
                <w:webHidden/>
              </w:rPr>
              <w:t>121</w:t>
            </w:r>
            <w:r w:rsidRPr="00E6750F">
              <w:rPr>
                <w:noProof/>
                <w:webHidden/>
              </w:rPr>
              <w:fldChar w:fldCharType="end"/>
            </w:r>
          </w:hyperlink>
        </w:p>
        <w:p w14:paraId="0F24C35E" w14:textId="045ED840" w:rsidR="00E6750F" w:rsidRPr="00E6750F" w:rsidRDefault="00E6750F" w:rsidP="00E6750F">
          <w:pPr>
            <w:pStyle w:val="TDC1"/>
            <w:spacing w:line="360" w:lineRule="auto"/>
            <w:rPr>
              <w:rFonts w:asciiTheme="minorHAnsi" w:eastAsiaTheme="minorEastAsia" w:hAnsiTheme="minorHAnsi" w:cstheme="minorBidi"/>
              <w:noProof/>
              <w:color w:val="auto"/>
              <w:spacing w:val="0"/>
              <w:kern w:val="2"/>
              <w:lang w:eastAsia="es-DO"/>
              <w14:ligatures w14:val="standardContextual"/>
            </w:rPr>
          </w:pPr>
          <w:hyperlink w:anchor="_Toc217997948" w:history="1">
            <w:r w:rsidRPr="00E6750F">
              <w:rPr>
                <w:rStyle w:val="Hipervnculo"/>
                <w:noProof/>
              </w:rPr>
              <w:t>VI.</w:t>
            </w:r>
            <w:r w:rsidRPr="00E6750F">
              <w:rPr>
                <w:rFonts w:asciiTheme="minorHAnsi" w:eastAsiaTheme="minorEastAsia" w:hAnsiTheme="minorHAnsi" w:cstheme="minorBidi"/>
                <w:noProof/>
                <w:color w:val="auto"/>
                <w:spacing w:val="0"/>
                <w:kern w:val="2"/>
                <w:lang w:eastAsia="es-DO"/>
                <w14:ligatures w14:val="standardContextual"/>
              </w:rPr>
              <w:tab/>
            </w:r>
            <w:r w:rsidRPr="00E6750F">
              <w:rPr>
                <w:rStyle w:val="Hipervnculo"/>
                <w:noProof/>
              </w:rPr>
              <w:t>PROYECCIONES AL PRÓXIMO AÑO</w:t>
            </w:r>
            <w:r w:rsidRPr="00E6750F">
              <w:rPr>
                <w:noProof/>
                <w:webHidden/>
              </w:rPr>
              <w:tab/>
            </w:r>
            <w:r w:rsidRPr="00E6750F">
              <w:rPr>
                <w:noProof/>
                <w:webHidden/>
              </w:rPr>
              <w:fldChar w:fldCharType="begin"/>
            </w:r>
            <w:r w:rsidRPr="00E6750F">
              <w:rPr>
                <w:noProof/>
                <w:webHidden/>
              </w:rPr>
              <w:instrText xml:space="preserve"> PAGEREF _Toc217997948 \h </w:instrText>
            </w:r>
            <w:r w:rsidRPr="00E6750F">
              <w:rPr>
                <w:noProof/>
                <w:webHidden/>
              </w:rPr>
            </w:r>
            <w:r w:rsidRPr="00E6750F">
              <w:rPr>
                <w:noProof/>
                <w:webHidden/>
              </w:rPr>
              <w:fldChar w:fldCharType="separate"/>
            </w:r>
            <w:r w:rsidRPr="00E6750F">
              <w:rPr>
                <w:noProof/>
                <w:webHidden/>
              </w:rPr>
              <w:t>123</w:t>
            </w:r>
            <w:r w:rsidRPr="00E6750F">
              <w:rPr>
                <w:noProof/>
                <w:webHidden/>
              </w:rPr>
              <w:fldChar w:fldCharType="end"/>
            </w:r>
          </w:hyperlink>
        </w:p>
        <w:p w14:paraId="106795D6" w14:textId="5FDC2C55" w:rsidR="00E6750F" w:rsidRPr="00E6750F" w:rsidRDefault="00E6750F" w:rsidP="00E6750F">
          <w:pPr>
            <w:pStyle w:val="TDC1"/>
            <w:tabs>
              <w:tab w:val="left" w:pos="720"/>
            </w:tabs>
            <w:spacing w:line="360" w:lineRule="auto"/>
            <w:rPr>
              <w:rFonts w:asciiTheme="minorHAnsi" w:eastAsiaTheme="minorEastAsia" w:hAnsiTheme="minorHAnsi" w:cstheme="minorBidi"/>
              <w:noProof/>
              <w:color w:val="auto"/>
              <w:spacing w:val="0"/>
              <w:kern w:val="2"/>
              <w:lang w:eastAsia="es-DO"/>
              <w14:ligatures w14:val="standardContextual"/>
            </w:rPr>
          </w:pPr>
          <w:hyperlink w:anchor="_Toc217997949" w:history="1">
            <w:r w:rsidRPr="00E6750F">
              <w:rPr>
                <w:rStyle w:val="Hipervnculo"/>
                <w:noProof/>
              </w:rPr>
              <w:t>VII.</w:t>
            </w:r>
            <w:r w:rsidRPr="00E6750F">
              <w:rPr>
                <w:rFonts w:asciiTheme="minorHAnsi" w:eastAsiaTheme="minorEastAsia" w:hAnsiTheme="minorHAnsi" w:cstheme="minorBidi"/>
                <w:noProof/>
                <w:color w:val="auto"/>
                <w:spacing w:val="0"/>
                <w:kern w:val="2"/>
                <w:lang w:eastAsia="es-DO"/>
                <w14:ligatures w14:val="standardContextual"/>
              </w:rPr>
              <w:tab/>
            </w:r>
            <w:r w:rsidRPr="00E6750F">
              <w:rPr>
                <w:rStyle w:val="Hipervnculo"/>
                <w:noProof/>
              </w:rPr>
              <w:t>ANEXOS</w:t>
            </w:r>
            <w:r w:rsidRPr="00E6750F">
              <w:rPr>
                <w:noProof/>
                <w:webHidden/>
              </w:rPr>
              <w:tab/>
            </w:r>
            <w:r w:rsidRPr="00E6750F">
              <w:rPr>
                <w:noProof/>
                <w:webHidden/>
              </w:rPr>
              <w:fldChar w:fldCharType="begin"/>
            </w:r>
            <w:r w:rsidRPr="00E6750F">
              <w:rPr>
                <w:noProof/>
                <w:webHidden/>
              </w:rPr>
              <w:instrText xml:space="preserve"> PAGEREF _Toc217997949 \h </w:instrText>
            </w:r>
            <w:r w:rsidRPr="00E6750F">
              <w:rPr>
                <w:noProof/>
                <w:webHidden/>
              </w:rPr>
            </w:r>
            <w:r w:rsidRPr="00E6750F">
              <w:rPr>
                <w:noProof/>
                <w:webHidden/>
              </w:rPr>
              <w:fldChar w:fldCharType="separate"/>
            </w:r>
            <w:r w:rsidRPr="00E6750F">
              <w:rPr>
                <w:noProof/>
                <w:webHidden/>
              </w:rPr>
              <w:t>126</w:t>
            </w:r>
            <w:r w:rsidRPr="00E6750F">
              <w:rPr>
                <w:noProof/>
                <w:webHidden/>
              </w:rPr>
              <w:fldChar w:fldCharType="end"/>
            </w:r>
          </w:hyperlink>
        </w:p>
        <w:p w14:paraId="70EBFE6B" w14:textId="65E139B1"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50" w:history="1">
            <w:r w:rsidRPr="00E6750F">
              <w:rPr>
                <w:rStyle w:val="Hipervnculo"/>
                <w:noProof/>
              </w:rPr>
              <w:t>a. Matriz de logros relevantes</w:t>
            </w:r>
            <w:r w:rsidRPr="00E6750F">
              <w:rPr>
                <w:noProof/>
                <w:webHidden/>
              </w:rPr>
              <w:tab/>
            </w:r>
            <w:r w:rsidRPr="00E6750F">
              <w:rPr>
                <w:noProof/>
                <w:webHidden/>
              </w:rPr>
              <w:fldChar w:fldCharType="begin"/>
            </w:r>
            <w:r w:rsidRPr="00E6750F">
              <w:rPr>
                <w:noProof/>
                <w:webHidden/>
              </w:rPr>
              <w:instrText xml:space="preserve"> PAGEREF _Toc217997950 \h </w:instrText>
            </w:r>
            <w:r w:rsidRPr="00E6750F">
              <w:rPr>
                <w:noProof/>
                <w:webHidden/>
              </w:rPr>
            </w:r>
            <w:r w:rsidRPr="00E6750F">
              <w:rPr>
                <w:noProof/>
                <w:webHidden/>
              </w:rPr>
              <w:fldChar w:fldCharType="separate"/>
            </w:r>
            <w:r w:rsidRPr="00E6750F">
              <w:rPr>
                <w:noProof/>
                <w:webHidden/>
              </w:rPr>
              <w:t>127</w:t>
            </w:r>
            <w:r w:rsidRPr="00E6750F">
              <w:rPr>
                <w:noProof/>
                <w:webHidden/>
              </w:rPr>
              <w:fldChar w:fldCharType="end"/>
            </w:r>
          </w:hyperlink>
        </w:p>
        <w:p w14:paraId="288C3A3F" w14:textId="208749D7"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51" w:history="1">
            <w:r w:rsidRPr="00E6750F">
              <w:rPr>
                <w:rStyle w:val="Hipervnculo"/>
                <w:noProof/>
              </w:rPr>
              <w:t>b. Matriz de Gestión Presupuestaria Anual</w:t>
            </w:r>
            <w:r w:rsidRPr="00E6750F">
              <w:rPr>
                <w:noProof/>
                <w:webHidden/>
              </w:rPr>
              <w:tab/>
            </w:r>
            <w:r w:rsidRPr="00E6750F">
              <w:rPr>
                <w:noProof/>
                <w:webHidden/>
              </w:rPr>
              <w:fldChar w:fldCharType="begin"/>
            </w:r>
            <w:r w:rsidRPr="00E6750F">
              <w:rPr>
                <w:noProof/>
                <w:webHidden/>
              </w:rPr>
              <w:instrText xml:space="preserve"> PAGEREF _Toc217997951 \h </w:instrText>
            </w:r>
            <w:r w:rsidRPr="00E6750F">
              <w:rPr>
                <w:noProof/>
                <w:webHidden/>
              </w:rPr>
            </w:r>
            <w:r w:rsidRPr="00E6750F">
              <w:rPr>
                <w:noProof/>
                <w:webHidden/>
              </w:rPr>
              <w:fldChar w:fldCharType="separate"/>
            </w:r>
            <w:r w:rsidRPr="00E6750F">
              <w:rPr>
                <w:noProof/>
                <w:webHidden/>
              </w:rPr>
              <w:t>129</w:t>
            </w:r>
            <w:r w:rsidRPr="00E6750F">
              <w:rPr>
                <w:noProof/>
                <w:webHidden/>
              </w:rPr>
              <w:fldChar w:fldCharType="end"/>
            </w:r>
          </w:hyperlink>
        </w:p>
        <w:p w14:paraId="26A3419B" w14:textId="0C5BFD4A"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52" w:history="1">
            <w:r w:rsidRPr="00E6750F">
              <w:rPr>
                <w:rStyle w:val="Hipervnculo"/>
                <w:noProof/>
              </w:rPr>
              <w:t>c. Matriz de principales indicadores de POA</w:t>
            </w:r>
            <w:r w:rsidRPr="00E6750F">
              <w:rPr>
                <w:noProof/>
                <w:webHidden/>
              </w:rPr>
              <w:tab/>
            </w:r>
            <w:r w:rsidRPr="00E6750F">
              <w:rPr>
                <w:noProof/>
                <w:webHidden/>
              </w:rPr>
              <w:fldChar w:fldCharType="begin"/>
            </w:r>
            <w:r w:rsidRPr="00E6750F">
              <w:rPr>
                <w:noProof/>
                <w:webHidden/>
              </w:rPr>
              <w:instrText xml:space="preserve"> PAGEREF _Toc217997952 \h </w:instrText>
            </w:r>
            <w:r w:rsidRPr="00E6750F">
              <w:rPr>
                <w:noProof/>
                <w:webHidden/>
              </w:rPr>
            </w:r>
            <w:r w:rsidRPr="00E6750F">
              <w:rPr>
                <w:noProof/>
                <w:webHidden/>
              </w:rPr>
              <w:fldChar w:fldCharType="separate"/>
            </w:r>
            <w:r w:rsidRPr="00E6750F">
              <w:rPr>
                <w:noProof/>
                <w:webHidden/>
              </w:rPr>
              <w:t>130</w:t>
            </w:r>
            <w:r w:rsidRPr="00E6750F">
              <w:rPr>
                <w:noProof/>
                <w:webHidden/>
              </w:rPr>
              <w:fldChar w:fldCharType="end"/>
            </w:r>
          </w:hyperlink>
        </w:p>
        <w:p w14:paraId="60188C0E" w14:textId="5BFFCA9F" w:rsidR="00E6750F" w:rsidRPr="00E6750F" w:rsidRDefault="00E6750F" w:rsidP="00E6750F">
          <w:pPr>
            <w:pStyle w:val="TDC2"/>
            <w:rPr>
              <w:rFonts w:asciiTheme="minorHAnsi" w:eastAsiaTheme="minorEastAsia" w:hAnsiTheme="minorHAnsi" w:cstheme="minorBidi"/>
              <w:noProof/>
              <w:color w:val="auto"/>
              <w:spacing w:val="0"/>
              <w:kern w:val="2"/>
              <w:lang w:eastAsia="es-DO"/>
              <w14:ligatures w14:val="standardContextual"/>
            </w:rPr>
          </w:pPr>
          <w:hyperlink w:anchor="_Toc217997953" w:history="1">
            <w:r w:rsidRPr="00E6750F">
              <w:rPr>
                <w:rStyle w:val="Hipervnculo"/>
                <w:noProof/>
              </w:rPr>
              <w:t>d. Resumen del plan de compras</w:t>
            </w:r>
            <w:r w:rsidRPr="00E6750F">
              <w:rPr>
                <w:noProof/>
                <w:webHidden/>
              </w:rPr>
              <w:tab/>
            </w:r>
            <w:r w:rsidRPr="00E6750F">
              <w:rPr>
                <w:noProof/>
                <w:webHidden/>
              </w:rPr>
              <w:fldChar w:fldCharType="begin"/>
            </w:r>
            <w:r w:rsidRPr="00E6750F">
              <w:rPr>
                <w:noProof/>
                <w:webHidden/>
              </w:rPr>
              <w:instrText xml:space="preserve"> PAGEREF _Toc217997953 \h </w:instrText>
            </w:r>
            <w:r w:rsidRPr="00E6750F">
              <w:rPr>
                <w:noProof/>
                <w:webHidden/>
              </w:rPr>
            </w:r>
            <w:r w:rsidRPr="00E6750F">
              <w:rPr>
                <w:noProof/>
                <w:webHidden/>
              </w:rPr>
              <w:fldChar w:fldCharType="separate"/>
            </w:r>
            <w:r w:rsidRPr="00E6750F">
              <w:rPr>
                <w:noProof/>
                <w:webHidden/>
              </w:rPr>
              <w:t>136</w:t>
            </w:r>
            <w:r w:rsidRPr="00E6750F">
              <w:rPr>
                <w:noProof/>
                <w:webHidden/>
              </w:rPr>
              <w:fldChar w:fldCharType="end"/>
            </w:r>
          </w:hyperlink>
        </w:p>
        <w:p w14:paraId="48DD30ED" w14:textId="28C1F07F" w:rsidR="00A630BC" w:rsidRPr="005D4B99" w:rsidRDefault="00A630BC" w:rsidP="00E6750F">
          <w:pPr>
            <w:spacing w:line="360" w:lineRule="auto"/>
          </w:pPr>
          <w:r w:rsidRPr="00E6750F">
            <w:fldChar w:fldCharType="end"/>
          </w:r>
        </w:p>
      </w:sdtContent>
    </w:sdt>
    <w:p w14:paraId="4394B0A8" w14:textId="77777777" w:rsidR="001240D0" w:rsidRPr="000671F1" w:rsidRDefault="001240D0" w:rsidP="000671F1">
      <w:pPr>
        <w:spacing w:line="360" w:lineRule="auto"/>
        <w:ind w:left="567"/>
        <w:rPr>
          <w:color w:val="4C4747"/>
        </w:rPr>
      </w:pPr>
    </w:p>
    <w:p w14:paraId="4242FE2D" w14:textId="77777777" w:rsidR="001240D0" w:rsidRPr="000671F1" w:rsidRDefault="001240D0" w:rsidP="000671F1">
      <w:pPr>
        <w:spacing w:line="360" w:lineRule="auto"/>
        <w:ind w:left="567"/>
        <w:rPr>
          <w:color w:val="4C4747"/>
        </w:rPr>
      </w:pPr>
    </w:p>
    <w:p w14:paraId="573DD07B" w14:textId="77777777" w:rsidR="001240D0" w:rsidRPr="0004475C" w:rsidRDefault="001240D0" w:rsidP="000671F1">
      <w:pPr>
        <w:spacing w:line="360" w:lineRule="auto"/>
        <w:ind w:left="567"/>
        <w:rPr>
          <w:b/>
          <w:bCs/>
          <w:color w:val="4C4747"/>
        </w:rPr>
      </w:pPr>
    </w:p>
    <w:p w14:paraId="6CEA36FA" w14:textId="77777777" w:rsidR="001240D0" w:rsidRPr="0004475C" w:rsidRDefault="001240D0" w:rsidP="000671F1">
      <w:pPr>
        <w:spacing w:line="360" w:lineRule="auto"/>
        <w:ind w:left="567"/>
        <w:rPr>
          <w:b/>
          <w:bCs/>
          <w:color w:val="4C4747"/>
        </w:rPr>
      </w:pPr>
    </w:p>
    <w:p w14:paraId="310BE1B9" w14:textId="77777777" w:rsidR="001240D0" w:rsidRPr="0004475C" w:rsidRDefault="001240D0" w:rsidP="000671F1">
      <w:pPr>
        <w:spacing w:line="360" w:lineRule="auto"/>
        <w:ind w:left="567"/>
        <w:rPr>
          <w:b/>
          <w:bCs/>
          <w:color w:val="4C4747"/>
        </w:rPr>
      </w:pPr>
    </w:p>
    <w:p w14:paraId="4D9BE3A9" w14:textId="77777777" w:rsidR="00920A80" w:rsidRPr="0004475C" w:rsidRDefault="00920A80" w:rsidP="000671F1">
      <w:pPr>
        <w:spacing w:line="360" w:lineRule="auto"/>
        <w:ind w:left="567"/>
        <w:rPr>
          <w:b/>
          <w:bCs/>
          <w:color w:val="4C4747"/>
        </w:rPr>
      </w:pPr>
    </w:p>
    <w:p w14:paraId="06171E0A" w14:textId="77777777" w:rsidR="00920A80" w:rsidRPr="0004475C" w:rsidRDefault="00920A80" w:rsidP="000671F1">
      <w:pPr>
        <w:spacing w:line="360" w:lineRule="auto"/>
        <w:ind w:left="567"/>
        <w:rPr>
          <w:b/>
          <w:bCs/>
          <w:color w:val="4C4747"/>
        </w:rPr>
      </w:pPr>
    </w:p>
    <w:p w14:paraId="14F849D0" w14:textId="77777777" w:rsidR="00920A80" w:rsidRPr="00465A16" w:rsidRDefault="00920A80" w:rsidP="00B45B38">
      <w:pPr>
        <w:ind w:left="567"/>
        <w:rPr>
          <w:b/>
          <w:bCs/>
          <w:color w:val="4C4747"/>
        </w:rPr>
      </w:pPr>
    </w:p>
    <w:p w14:paraId="1DBDA006" w14:textId="4D806799" w:rsidR="001240D0" w:rsidRPr="00465A16" w:rsidRDefault="001240D0">
      <w:pPr>
        <w:rPr>
          <w:color w:val="4C4747"/>
        </w:rPr>
        <w:sectPr w:rsidR="001240D0" w:rsidRPr="00465A16" w:rsidSect="00D9068B">
          <w:footerReference w:type="first" r:id="rId13"/>
          <w:pgSz w:w="12242" w:h="15842" w:code="1"/>
          <w:pgMar w:top="1440" w:right="1440" w:bottom="1440" w:left="1440" w:header="720" w:footer="720" w:gutter="0"/>
          <w:cols w:space="720"/>
          <w:docGrid w:linePitch="360"/>
        </w:sectPr>
      </w:pPr>
    </w:p>
    <w:p w14:paraId="649D29AD" w14:textId="6AE509B2" w:rsidR="001240D0" w:rsidRPr="00FA378C" w:rsidRDefault="001240D0">
      <w:pPr>
        <w:pStyle w:val="Ttulo1"/>
        <w:numPr>
          <w:ilvl w:val="0"/>
          <w:numId w:val="3"/>
        </w:numPr>
        <w:ind w:left="142"/>
        <w:rPr>
          <w:rFonts w:cs="Times New Roman"/>
          <w:color w:val="767171"/>
        </w:rPr>
      </w:pPr>
      <w:bookmarkStart w:id="2" w:name="_Toc217997923"/>
      <w:bookmarkStart w:id="3" w:name="_Hlk86403204"/>
      <w:r w:rsidRPr="00FA378C">
        <w:rPr>
          <w:rFonts w:cs="Times New Roman"/>
          <w:color w:val="767171"/>
        </w:rPr>
        <w:lastRenderedPageBreak/>
        <w:t>RESUMEN EJECUTIVO</w:t>
      </w:r>
      <w:bookmarkEnd w:id="2"/>
    </w:p>
    <w:p w14:paraId="7C54AF21" w14:textId="26B7214D" w:rsidR="001240D0" w:rsidRPr="00FA378C" w:rsidRDefault="00125D46" w:rsidP="00465A16">
      <w:pPr>
        <w:spacing w:line="360" w:lineRule="auto"/>
        <w:jc w:val="both"/>
        <w:rPr>
          <w:rFonts w:eastAsia="Calibri"/>
          <w:sz w:val="18"/>
        </w:rPr>
      </w:pPr>
      <w:r w:rsidRPr="00FA378C">
        <w:rPr>
          <w:rFonts w:eastAsia="Calibri"/>
          <w:noProof/>
          <w:sz w:val="18"/>
        </w:rPr>
        <mc:AlternateContent>
          <mc:Choice Requires="wps">
            <w:drawing>
              <wp:anchor distT="0" distB="0" distL="114300" distR="114300" simplePos="0" relativeHeight="251645440" behindDoc="0" locked="0" layoutInCell="1" allowOverlap="1" wp14:anchorId="5383067F" wp14:editId="76BA561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7E579" id="Straight Connector 21" o:spid="_x0000_s1026" style="position:absolute;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64FD536B" w:rsidR="001240D0" w:rsidRPr="00FA378C" w:rsidRDefault="00654164" w:rsidP="00465A16">
      <w:pPr>
        <w:spacing w:line="360" w:lineRule="auto"/>
        <w:jc w:val="center"/>
        <w:rPr>
          <w:rFonts w:eastAsia="Calibri"/>
          <w:szCs w:val="36"/>
        </w:rPr>
      </w:pPr>
      <w:r w:rsidRPr="00FA378C">
        <w:rPr>
          <w:rFonts w:eastAsia="Calibri"/>
          <w:szCs w:val="36"/>
        </w:rPr>
        <w:t xml:space="preserve">Memoria </w:t>
      </w:r>
      <w:r w:rsidR="00D837AC" w:rsidRPr="00FA378C">
        <w:rPr>
          <w:rFonts w:eastAsia="Calibri"/>
          <w:szCs w:val="36"/>
        </w:rPr>
        <w:t>I</w:t>
      </w:r>
      <w:r w:rsidRPr="00FA378C">
        <w:rPr>
          <w:rFonts w:eastAsia="Calibri"/>
          <w:szCs w:val="36"/>
        </w:rPr>
        <w:t>nstitucional</w:t>
      </w:r>
      <w:r w:rsidR="001240D0" w:rsidRPr="00FA378C">
        <w:rPr>
          <w:rFonts w:eastAsia="Calibri"/>
          <w:szCs w:val="36"/>
        </w:rPr>
        <w:t xml:space="preserve"> </w:t>
      </w:r>
      <w:r w:rsidR="000025D4" w:rsidRPr="00FA378C">
        <w:rPr>
          <w:rFonts w:eastAsia="Calibri"/>
          <w:szCs w:val="36"/>
        </w:rPr>
        <w:t>202</w:t>
      </w:r>
      <w:r w:rsidR="00FB496B" w:rsidRPr="00FA378C">
        <w:rPr>
          <w:rFonts w:eastAsia="Calibri"/>
          <w:szCs w:val="36"/>
        </w:rPr>
        <w:t>5</w:t>
      </w:r>
    </w:p>
    <w:p w14:paraId="6569CF6D" w14:textId="77777777" w:rsidR="00FB496B" w:rsidRPr="00EC3393" w:rsidRDefault="00FB496B" w:rsidP="00465A16">
      <w:pPr>
        <w:spacing w:line="360" w:lineRule="auto"/>
        <w:jc w:val="center"/>
        <w:rPr>
          <w:rFonts w:eastAsia="Calibri"/>
          <w:color w:val="4C4747"/>
          <w:szCs w:val="36"/>
        </w:rPr>
      </w:pPr>
    </w:p>
    <w:bookmarkEnd w:id="3"/>
    <w:p w14:paraId="1C92852E" w14:textId="32DD8959" w:rsidR="00FB496B" w:rsidRPr="00C8760E" w:rsidRDefault="00FB496B" w:rsidP="00465A16">
      <w:pPr>
        <w:spacing w:line="360" w:lineRule="auto"/>
        <w:jc w:val="both"/>
        <w:rPr>
          <w:rFonts w:eastAsia="Calibri"/>
        </w:rPr>
      </w:pPr>
      <w:r w:rsidRPr="00C8760E">
        <w:rPr>
          <w:rFonts w:eastAsia="Calibri"/>
        </w:rPr>
        <w:t xml:space="preserve">La Contraloría General de República como órgano rector del sistema nacional de control interno, tiene la misión de asegurar la evaluación y fiscalización del debido recaudo, manejo, uso e inversión de los recursos públicos través de la implementación de diversos controles previos y posteriores a las operaciones en las instituciones públicas bajo el alcance de la ley </w:t>
      </w:r>
      <w:r w:rsidR="002E6508">
        <w:rPr>
          <w:rFonts w:eastAsia="Calibri"/>
        </w:rPr>
        <w:t>N</w:t>
      </w:r>
      <w:r w:rsidR="002E6508" w:rsidRPr="002E6508">
        <w:rPr>
          <w:rFonts w:eastAsia="Calibri"/>
          <w:vertAlign w:val="superscript"/>
        </w:rPr>
        <w:t>0</w:t>
      </w:r>
      <w:r w:rsidR="002E6508">
        <w:rPr>
          <w:rFonts w:eastAsia="Calibri"/>
          <w:vertAlign w:val="superscript"/>
        </w:rPr>
        <w:t xml:space="preserve"> </w:t>
      </w:r>
      <w:r w:rsidRPr="00C8760E">
        <w:rPr>
          <w:rFonts w:eastAsia="Calibri"/>
        </w:rPr>
        <w:t xml:space="preserve">10-07. </w:t>
      </w:r>
    </w:p>
    <w:p w14:paraId="3C0BF926" w14:textId="77777777" w:rsidR="00FB496B" w:rsidRPr="00C8760E" w:rsidRDefault="00FB496B" w:rsidP="00963DD2">
      <w:pPr>
        <w:spacing w:line="360" w:lineRule="auto"/>
        <w:jc w:val="both"/>
        <w:rPr>
          <w:rFonts w:eastAsia="Calibri"/>
        </w:rPr>
      </w:pPr>
      <w:r w:rsidRPr="00C8760E">
        <w:rPr>
          <w:rFonts w:eastAsia="Calibri"/>
        </w:rPr>
        <w:t xml:space="preserve">Durante el 2025, la institución ha desarrollado acciones en miras a fortalecer la transparencia en la administración pública y enfrentar la corrupción administrativa. </w:t>
      </w:r>
    </w:p>
    <w:p w14:paraId="3261EC90" w14:textId="0560F4FF" w:rsidR="00FB496B" w:rsidRPr="00C8760E" w:rsidRDefault="00FB496B" w:rsidP="00465A16">
      <w:pPr>
        <w:spacing w:line="360" w:lineRule="auto"/>
        <w:jc w:val="both"/>
        <w:rPr>
          <w:rFonts w:eastAsia="Calibri"/>
        </w:rPr>
      </w:pPr>
      <w:r w:rsidRPr="00C8760E">
        <w:rPr>
          <w:rFonts w:eastAsia="Calibri"/>
        </w:rPr>
        <w:t xml:space="preserve">Una de las prioridades de la CGR es fortalecer el Sistema Nacional de Control Interno, por lo que, fueron instaladas </w:t>
      </w:r>
      <w:r w:rsidR="00D26BC7" w:rsidRPr="00C8760E">
        <w:rPr>
          <w:rFonts w:eastAsia="Calibri"/>
        </w:rPr>
        <w:t>11</w:t>
      </w:r>
      <w:r w:rsidRPr="00C8760E">
        <w:rPr>
          <w:rFonts w:eastAsia="Calibri"/>
        </w:rPr>
        <w:t xml:space="preserve"> nuevas Unidades de Auditoría Interna (UAI), con una proyección de </w:t>
      </w:r>
      <w:r w:rsidR="00D26BC7" w:rsidRPr="00C8760E">
        <w:rPr>
          <w:rFonts w:eastAsia="Calibri"/>
        </w:rPr>
        <w:t>cuatro</w:t>
      </w:r>
      <w:r w:rsidRPr="00C8760E">
        <w:rPr>
          <w:rFonts w:eastAsia="Calibri"/>
        </w:rPr>
        <w:t xml:space="preserve"> UAI adicional para diciembre, dando un total de </w:t>
      </w:r>
      <w:r w:rsidR="00D26BC7" w:rsidRPr="00C8760E">
        <w:rPr>
          <w:rFonts w:eastAsia="Calibri"/>
        </w:rPr>
        <w:t>312</w:t>
      </w:r>
      <w:r w:rsidRPr="00C8760E">
        <w:rPr>
          <w:rFonts w:eastAsia="Calibri"/>
        </w:rPr>
        <w:t xml:space="preserve"> unidades instaladas y en funcionamiento en las distintas instituciones en el ámbito de la Ley No. 10-07 al cierre del año.  </w:t>
      </w:r>
    </w:p>
    <w:p w14:paraId="71BD2E45" w14:textId="308E6CAC" w:rsidR="00FB496B" w:rsidRPr="00C8760E" w:rsidRDefault="00FB496B" w:rsidP="00465A16">
      <w:pPr>
        <w:spacing w:line="360" w:lineRule="auto"/>
        <w:jc w:val="both"/>
        <w:rPr>
          <w:rFonts w:eastAsia="Calibri"/>
        </w:rPr>
      </w:pPr>
      <w:r w:rsidRPr="00C8760E">
        <w:rPr>
          <w:rFonts w:eastAsia="Calibri"/>
        </w:rPr>
        <w:t xml:space="preserve">Asimismo, se logró la implementación de </w:t>
      </w:r>
      <w:r w:rsidR="00D26BC7" w:rsidRPr="00C8760E">
        <w:rPr>
          <w:rFonts w:eastAsia="Calibri"/>
        </w:rPr>
        <w:t>10</w:t>
      </w:r>
      <w:r w:rsidRPr="00C8760E">
        <w:rPr>
          <w:rFonts w:eastAsia="Calibri"/>
        </w:rPr>
        <w:t xml:space="preserve"> nuevas instituciones en Nobaci alcanzando un total </w:t>
      </w:r>
      <w:r w:rsidR="00D26BC7" w:rsidRPr="00C8760E">
        <w:rPr>
          <w:rFonts w:eastAsia="Calibri"/>
        </w:rPr>
        <w:t>285</w:t>
      </w:r>
      <w:r w:rsidRPr="00C8760E">
        <w:rPr>
          <w:rFonts w:eastAsia="Calibri"/>
        </w:rPr>
        <w:t xml:space="preserve"> instituciones implementadas a la fecha. </w:t>
      </w:r>
      <w:r w:rsidR="00D26BC7" w:rsidRPr="00C8760E">
        <w:rPr>
          <w:rFonts w:eastAsia="Calibri"/>
        </w:rPr>
        <w:t xml:space="preserve"> De estas, 200 corresponden a la categoría institucional, 75 a Nobaci </w:t>
      </w:r>
      <w:r w:rsidR="0037270B" w:rsidRPr="00C8760E">
        <w:rPr>
          <w:rFonts w:eastAsia="Calibri"/>
        </w:rPr>
        <w:t>Municipal y 10 al sector salud.</w:t>
      </w:r>
      <w:r w:rsidR="00D26BC7" w:rsidRPr="00C8760E">
        <w:rPr>
          <w:rFonts w:eastAsia="Calibri"/>
        </w:rPr>
        <w:t xml:space="preserve"> </w:t>
      </w:r>
      <w:r w:rsidRPr="00C8760E">
        <w:rPr>
          <w:rFonts w:eastAsia="Calibri"/>
        </w:rPr>
        <w:t>Este es el resultado de la realización de 1,</w:t>
      </w:r>
      <w:r w:rsidR="0037270B" w:rsidRPr="00C8760E">
        <w:rPr>
          <w:rFonts w:eastAsia="Calibri"/>
        </w:rPr>
        <w:t>635</w:t>
      </w:r>
      <w:r w:rsidRPr="00C8760E">
        <w:rPr>
          <w:rFonts w:eastAsia="Calibri"/>
        </w:rPr>
        <w:t xml:space="preserve"> visitas de asesoría, con una participación total de </w:t>
      </w:r>
      <w:r w:rsidR="0037270B" w:rsidRPr="00C8760E">
        <w:rPr>
          <w:rFonts w:eastAsia="Calibri"/>
        </w:rPr>
        <w:t>8,750</w:t>
      </w:r>
      <w:r w:rsidRPr="00C8760E">
        <w:rPr>
          <w:rFonts w:eastAsia="Calibri"/>
        </w:rPr>
        <w:t xml:space="preserve"> funcionarios representantes de las distintas entidades de gobierno central y municipal. </w:t>
      </w:r>
      <w:r w:rsidR="0037270B" w:rsidRPr="00C8760E">
        <w:rPr>
          <w:rFonts w:eastAsia="Calibri"/>
        </w:rPr>
        <w:t xml:space="preserve">Esta cobertura se mantendrá para finales de año. </w:t>
      </w:r>
    </w:p>
    <w:p w14:paraId="01A504BB" w14:textId="77777777" w:rsidR="00FB496B" w:rsidRPr="00C8760E" w:rsidRDefault="00FB496B" w:rsidP="00465A16">
      <w:pPr>
        <w:spacing w:line="360" w:lineRule="auto"/>
        <w:jc w:val="both"/>
        <w:rPr>
          <w:rFonts w:eastAsia="Calibri"/>
        </w:rPr>
      </w:pPr>
    </w:p>
    <w:p w14:paraId="5C0A3F4D" w14:textId="42AF8831" w:rsidR="00901032" w:rsidRPr="00C8760E" w:rsidRDefault="00FB496B" w:rsidP="00465A16">
      <w:pPr>
        <w:spacing w:line="360" w:lineRule="auto"/>
        <w:jc w:val="both"/>
        <w:rPr>
          <w:rFonts w:eastAsia="Calibri"/>
        </w:rPr>
      </w:pPr>
      <w:r w:rsidRPr="00C8760E">
        <w:rPr>
          <w:rFonts w:eastAsia="Calibri"/>
        </w:rPr>
        <w:lastRenderedPageBreak/>
        <w:t>Igualmente, con la implementación del Índice de Control Interno</w:t>
      </w:r>
      <w:r w:rsidR="00FC645C" w:rsidRPr="00C8760E">
        <w:rPr>
          <w:rFonts w:eastAsia="Calibri"/>
        </w:rPr>
        <w:t xml:space="preserve"> (ICI)</w:t>
      </w:r>
      <w:r w:rsidRPr="00C8760E">
        <w:rPr>
          <w:rFonts w:eastAsia="Calibri"/>
        </w:rPr>
        <w:t xml:space="preserve"> que permite evaluar aspectos técnicos, contables y de ejecución presupuestaria del sistema de control interno, se </w:t>
      </w:r>
      <w:r w:rsidR="00FC645C" w:rsidRPr="00C8760E">
        <w:rPr>
          <w:rFonts w:eastAsia="Calibri"/>
        </w:rPr>
        <w:t xml:space="preserve">logró este año </w:t>
      </w:r>
      <w:r w:rsidRPr="00C8760E">
        <w:rPr>
          <w:rFonts w:eastAsia="Calibri"/>
        </w:rPr>
        <w:t xml:space="preserve">la incorporación </w:t>
      </w:r>
      <w:r w:rsidR="00FC645C" w:rsidRPr="00C8760E">
        <w:rPr>
          <w:rFonts w:eastAsia="Calibri"/>
        </w:rPr>
        <w:t>en el sistema</w:t>
      </w:r>
      <w:r w:rsidRPr="00C8760E">
        <w:rPr>
          <w:rFonts w:eastAsia="Calibri"/>
        </w:rPr>
        <w:t xml:space="preserve"> de</w:t>
      </w:r>
      <w:r w:rsidR="00FC645C" w:rsidRPr="00C8760E">
        <w:rPr>
          <w:rFonts w:eastAsia="Calibri"/>
        </w:rPr>
        <w:t xml:space="preserve"> 21 nuevas entidades</w:t>
      </w:r>
      <w:r w:rsidRPr="00C8760E">
        <w:rPr>
          <w:rFonts w:eastAsia="Calibri"/>
        </w:rPr>
        <w:t>,</w:t>
      </w:r>
      <w:r w:rsidR="00FC645C" w:rsidRPr="00C8760E">
        <w:rPr>
          <w:rFonts w:eastAsia="Calibri"/>
        </w:rPr>
        <w:t xml:space="preserve"> alcanzando un total de 171 instituciones a la fecha.</w:t>
      </w:r>
      <w:r w:rsidRPr="00C8760E">
        <w:rPr>
          <w:rFonts w:eastAsia="Calibri"/>
        </w:rPr>
        <w:t xml:space="preserve"> </w:t>
      </w:r>
      <w:r w:rsidR="00FC645C" w:rsidRPr="00C8760E">
        <w:rPr>
          <w:rFonts w:eastAsia="Calibri"/>
        </w:rPr>
        <w:t>D</w:t>
      </w:r>
      <w:r w:rsidRPr="00C8760E">
        <w:rPr>
          <w:rFonts w:eastAsia="Calibri"/>
        </w:rPr>
        <w:t>e estas</w:t>
      </w:r>
      <w:r w:rsidR="00FC645C" w:rsidRPr="00C8760E">
        <w:rPr>
          <w:rFonts w:eastAsia="Calibri"/>
        </w:rPr>
        <w:t>, 138 fueron reportadas evaluadas tras agotar el período correspondiente de un semestre completo en la plataforma</w:t>
      </w:r>
      <w:r w:rsidR="00CF6BFC">
        <w:rPr>
          <w:rFonts w:eastAsia="Calibri"/>
        </w:rPr>
        <w:t>, y se mantendrá este resultado hasta cierre de año.</w:t>
      </w:r>
    </w:p>
    <w:p w14:paraId="752084A8" w14:textId="0FA9741B" w:rsidR="00901032" w:rsidRPr="00C8760E" w:rsidRDefault="00901032" w:rsidP="00465A16">
      <w:pPr>
        <w:spacing w:line="360" w:lineRule="auto"/>
        <w:jc w:val="both"/>
        <w:rPr>
          <w:rFonts w:eastAsia="Calibri"/>
        </w:rPr>
      </w:pPr>
      <w:r w:rsidRPr="00C8760E">
        <w:rPr>
          <w:rFonts w:eastAsia="Calibri"/>
        </w:rPr>
        <w:t>Con el fin de fortalecer las competencias técnicas de los servidores públicos de las distintas instituciones</w:t>
      </w:r>
      <w:r w:rsidR="00626A51" w:rsidRPr="00C8760E">
        <w:rPr>
          <w:rFonts w:eastAsia="Calibri"/>
        </w:rPr>
        <w:t>,</w:t>
      </w:r>
      <w:r w:rsidRPr="00C8760E">
        <w:rPr>
          <w:rFonts w:eastAsia="Calibri"/>
        </w:rPr>
        <w:t xml:space="preserve"> y aún, de la misma Contraloría</w:t>
      </w:r>
      <w:r w:rsidR="00626A51" w:rsidRPr="00C8760E">
        <w:rPr>
          <w:rFonts w:eastAsia="Calibri"/>
        </w:rPr>
        <w:t xml:space="preserve">, la Escuela Nacional de Control Interno (ENCI), a través de su programa de formación 2025, impartió un total de 130 eventos formativos, agotando un total de 1,004 horas de capacitación, impactando a 2,380 participantes. Se estima que para cierre del año se estarían ejecutando 6 eventos formativos más con la participación de 60 servidores públicos. </w:t>
      </w:r>
    </w:p>
    <w:p w14:paraId="72EE2439" w14:textId="6EB865CE" w:rsidR="00FB496B" w:rsidRPr="00C8760E" w:rsidRDefault="00626A51" w:rsidP="00465A16">
      <w:pPr>
        <w:spacing w:line="360" w:lineRule="auto"/>
        <w:jc w:val="both"/>
        <w:rPr>
          <w:rFonts w:eastAsia="Calibri"/>
        </w:rPr>
      </w:pPr>
      <w:r w:rsidRPr="00C8760E">
        <w:rPr>
          <w:rFonts w:eastAsia="Calibri"/>
        </w:rPr>
        <w:t>Otro servicio importante de la CGR e</w:t>
      </w:r>
      <w:r w:rsidR="00C56882" w:rsidRPr="00C8760E">
        <w:rPr>
          <w:rFonts w:eastAsia="Calibri"/>
        </w:rPr>
        <w:t>s</w:t>
      </w:r>
      <w:r w:rsidRPr="00C8760E">
        <w:rPr>
          <w:rFonts w:eastAsia="Calibri"/>
        </w:rPr>
        <w:t xml:space="preserve"> la certificación de los registros de contratos</w:t>
      </w:r>
      <w:r w:rsidR="00C56882" w:rsidRPr="00C8760E">
        <w:rPr>
          <w:rFonts w:eastAsia="Calibri"/>
        </w:rPr>
        <w:t xml:space="preserve"> de las entidades que impliquen erogación de fondos públicos, según establece la ley </w:t>
      </w:r>
      <w:r w:rsidR="00075199">
        <w:rPr>
          <w:rFonts w:eastAsia="Calibri"/>
        </w:rPr>
        <w:t>N</w:t>
      </w:r>
      <w:r w:rsidR="00075199" w:rsidRPr="00075199">
        <w:rPr>
          <w:rFonts w:eastAsia="Calibri"/>
          <w:vertAlign w:val="superscript"/>
        </w:rPr>
        <w:t>0</w:t>
      </w:r>
      <w:r w:rsidR="00075199">
        <w:rPr>
          <w:rFonts w:eastAsia="Calibri"/>
        </w:rPr>
        <w:t xml:space="preserve"> </w:t>
      </w:r>
      <w:r w:rsidR="00C56882" w:rsidRPr="00C8760E">
        <w:rPr>
          <w:rFonts w:eastAsia="Calibri"/>
        </w:rPr>
        <w:t>10-07. En ese sentido, al 30 de noviembre, f</w:t>
      </w:r>
      <w:r w:rsidR="00FB496B" w:rsidRPr="00C8760E">
        <w:rPr>
          <w:rFonts w:eastAsia="Calibri"/>
        </w:rPr>
        <w:t xml:space="preserve">ueron certificados un total </w:t>
      </w:r>
      <w:r w:rsidR="00C56882" w:rsidRPr="00C8760E">
        <w:rPr>
          <w:rFonts w:eastAsia="Calibri"/>
        </w:rPr>
        <w:t>20,059</w:t>
      </w:r>
      <w:r w:rsidR="000C3EBA">
        <w:rPr>
          <w:rFonts w:eastAsia="Calibri"/>
        </w:rPr>
        <w:t xml:space="preserve"> </w:t>
      </w:r>
      <w:r w:rsidR="00FB496B" w:rsidRPr="00C8760E">
        <w:rPr>
          <w:rFonts w:eastAsia="Calibri"/>
        </w:rPr>
        <w:t>contratos</w:t>
      </w:r>
      <w:r w:rsidR="00C56882" w:rsidRPr="00C8760E">
        <w:rPr>
          <w:rFonts w:eastAsia="Calibri"/>
        </w:rPr>
        <w:t xml:space="preserve">. Se contempla una proyección para cierre de año de 22,538 en total con 2,479 nuevos registros. </w:t>
      </w:r>
    </w:p>
    <w:p w14:paraId="34F08B51" w14:textId="5C935365" w:rsidR="00FB496B" w:rsidRDefault="00FB496B" w:rsidP="00465A16">
      <w:pPr>
        <w:spacing w:line="360" w:lineRule="auto"/>
        <w:jc w:val="both"/>
        <w:rPr>
          <w:rFonts w:eastAsia="Calibri"/>
        </w:rPr>
      </w:pPr>
      <w:r w:rsidRPr="00C8760E">
        <w:rPr>
          <w:rFonts w:eastAsia="Calibri"/>
        </w:rPr>
        <w:t xml:space="preserve">En adición, fueron </w:t>
      </w:r>
      <w:r w:rsidR="00C56882" w:rsidRPr="00C8760E">
        <w:rPr>
          <w:rFonts w:eastAsia="Calibri"/>
        </w:rPr>
        <w:t>tramitadas</w:t>
      </w:r>
      <w:r w:rsidRPr="00C8760E">
        <w:rPr>
          <w:rFonts w:eastAsia="Calibri"/>
        </w:rPr>
        <w:t xml:space="preserve"> </w:t>
      </w:r>
      <w:r w:rsidR="00C56882" w:rsidRPr="00C8760E">
        <w:rPr>
          <w:rFonts w:eastAsia="Calibri"/>
        </w:rPr>
        <w:t xml:space="preserve">341,034 </w:t>
      </w:r>
      <w:r w:rsidRPr="00C8760E">
        <w:rPr>
          <w:rFonts w:eastAsia="Calibri"/>
        </w:rPr>
        <w:t>órdenes de pago</w:t>
      </w:r>
      <w:r w:rsidR="00C56882" w:rsidRPr="00C8760E">
        <w:rPr>
          <w:rFonts w:eastAsia="Calibri"/>
        </w:rPr>
        <w:t xml:space="preserve"> al 30 de noviembre. De estas, 158,408 corresponden a pagos directos (cheques y transferencias) revisados a través de las unidades de auditoría interna (UAI), mientras que las otras 182,626 </w:t>
      </w:r>
      <w:r w:rsidR="009630A1" w:rsidRPr="00C8760E">
        <w:rPr>
          <w:rFonts w:eastAsia="Calibri"/>
        </w:rPr>
        <w:t xml:space="preserve">tramitados en sede a través de </w:t>
      </w:r>
      <w:r w:rsidR="00CF6BFC" w:rsidRPr="00C8760E">
        <w:rPr>
          <w:rFonts w:eastAsia="Calibri"/>
        </w:rPr>
        <w:t>la</w:t>
      </w:r>
      <w:r w:rsidR="009630A1" w:rsidRPr="00C8760E">
        <w:rPr>
          <w:rFonts w:eastAsia="Calibri"/>
        </w:rPr>
        <w:t xml:space="preserve"> Dirección de Revisión y Control de Calidad, corresponde a pagos de nóminas, servicios, materiales y suministros, transferencias corrientes, transferencias de capital, obras, </w:t>
      </w:r>
      <w:r w:rsidR="009630A1" w:rsidRPr="00C8760E">
        <w:rPr>
          <w:rFonts w:eastAsia="Calibri"/>
        </w:rPr>
        <w:lastRenderedPageBreak/>
        <w:t xml:space="preserve">disminución de pasivos entre otros. </w:t>
      </w:r>
    </w:p>
    <w:p w14:paraId="7E58F68C" w14:textId="18B53640" w:rsidR="00CF6BFC" w:rsidRPr="00C8760E" w:rsidRDefault="00CF6BFC" w:rsidP="00465A16">
      <w:pPr>
        <w:spacing w:line="360" w:lineRule="auto"/>
        <w:jc w:val="both"/>
        <w:rPr>
          <w:rFonts w:eastAsia="Calibri"/>
        </w:rPr>
      </w:pPr>
      <w:r>
        <w:rPr>
          <w:rFonts w:eastAsia="Calibri"/>
        </w:rPr>
        <w:t xml:space="preserve">Se proyectan 42,000 órdenes de pago más autorizadas durante el mes de diciembre, dando como resultado un estimado de </w:t>
      </w:r>
      <w:r w:rsidRPr="00CF6BFC">
        <w:rPr>
          <w:rFonts w:eastAsia="Calibri"/>
        </w:rPr>
        <w:t>383,978</w:t>
      </w:r>
      <w:r>
        <w:rPr>
          <w:rFonts w:eastAsia="Calibri"/>
        </w:rPr>
        <w:t xml:space="preserve"> para cierre de año. </w:t>
      </w:r>
    </w:p>
    <w:p w14:paraId="4EAFF307" w14:textId="582AAFC8" w:rsidR="00FB496B" w:rsidRPr="007F17A7" w:rsidRDefault="009630A1" w:rsidP="00465A16">
      <w:pPr>
        <w:spacing w:line="360" w:lineRule="auto"/>
        <w:jc w:val="both"/>
        <w:rPr>
          <w:rFonts w:eastAsia="Calibri"/>
        </w:rPr>
      </w:pPr>
      <w:r w:rsidRPr="007F17A7">
        <w:rPr>
          <w:rFonts w:eastAsia="Calibri"/>
        </w:rPr>
        <w:t xml:space="preserve">La ejecución oportuna de dichas operaciones se ha facilitado a través de los sistemas </w:t>
      </w:r>
      <w:r w:rsidR="00AF6FD9">
        <w:rPr>
          <w:rFonts w:eastAsia="Calibri"/>
        </w:rPr>
        <w:t>Sistema Unificado de Gestión de Pagos (</w:t>
      </w:r>
      <w:r w:rsidRPr="007F17A7">
        <w:rPr>
          <w:rFonts w:eastAsia="Calibri"/>
        </w:rPr>
        <w:t>Sugep</w:t>
      </w:r>
      <w:r w:rsidR="00AF6FD9">
        <w:rPr>
          <w:rFonts w:eastAsia="Calibri"/>
        </w:rPr>
        <w:t>)</w:t>
      </w:r>
      <w:r w:rsidRPr="007F17A7">
        <w:rPr>
          <w:rFonts w:eastAsia="Calibri"/>
        </w:rPr>
        <w:t xml:space="preserve"> y </w:t>
      </w:r>
      <w:r w:rsidR="00AF6FD9">
        <w:rPr>
          <w:rFonts w:eastAsia="Calibri"/>
        </w:rPr>
        <w:t>Sistema de Registro de Firmas (</w:t>
      </w:r>
      <w:r w:rsidRPr="007F17A7">
        <w:rPr>
          <w:rFonts w:eastAsia="Calibri"/>
        </w:rPr>
        <w:t>Serfi</w:t>
      </w:r>
      <w:r w:rsidR="00AF6FD9">
        <w:rPr>
          <w:rFonts w:eastAsia="Calibri"/>
        </w:rPr>
        <w:t>)</w:t>
      </w:r>
      <w:r w:rsidRPr="007F17A7">
        <w:rPr>
          <w:rFonts w:eastAsia="Calibri"/>
        </w:rPr>
        <w:t>, que han alcanzad</w:t>
      </w:r>
      <w:r w:rsidR="002F4A56">
        <w:rPr>
          <w:rFonts w:eastAsia="Calibri"/>
        </w:rPr>
        <w:t>o</w:t>
      </w:r>
      <w:r w:rsidRPr="007F17A7">
        <w:rPr>
          <w:rFonts w:eastAsia="Calibri"/>
        </w:rPr>
        <w:t xml:space="preserve"> a una cobertura de implementación en instituciones públicas de 359 y 357 entidades respectivamente durante este año.</w:t>
      </w:r>
    </w:p>
    <w:p w14:paraId="4F0B425C" w14:textId="663D14C4" w:rsidR="00FB496B" w:rsidRPr="007F17A7" w:rsidRDefault="00FB496B" w:rsidP="00465A16">
      <w:pPr>
        <w:spacing w:line="360" w:lineRule="auto"/>
        <w:jc w:val="both"/>
        <w:rPr>
          <w:rFonts w:eastAsia="Calibri"/>
        </w:rPr>
      </w:pPr>
      <w:r w:rsidRPr="007F17A7">
        <w:rPr>
          <w:rFonts w:eastAsia="Calibri"/>
        </w:rPr>
        <w:t xml:space="preserve">Por otro lado, al 30 de noviembre se </w:t>
      </w:r>
      <w:r w:rsidR="007C4EFF" w:rsidRPr="007F17A7">
        <w:rPr>
          <w:rFonts w:eastAsia="Calibri"/>
        </w:rPr>
        <w:t>dio</w:t>
      </w:r>
      <w:r w:rsidRPr="007F17A7">
        <w:rPr>
          <w:rFonts w:eastAsia="Calibri"/>
        </w:rPr>
        <w:t xml:space="preserve"> respuesta a un total de </w:t>
      </w:r>
      <w:r w:rsidR="009630A1" w:rsidRPr="007F17A7">
        <w:rPr>
          <w:rFonts w:eastAsia="Calibri"/>
        </w:rPr>
        <w:t>41,291</w:t>
      </w:r>
      <w:r w:rsidRPr="007F17A7">
        <w:rPr>
          <w:rFonts w:eastAsia="Calibri"/>
        </w:rPr>
        <w:t xml:space="preserve"> solicitudes de certificaciones de cargo de antiguos y actuales servidores públicos como constancia de los años de servicio en el Estado. Con una proyección de </w:t>
      </w:r>
      <w:bookmarkStart w:id="4" w:name="_Hlk185262498"/>
      <w:r w:rsidRPr="007F17A7">
        <w:rPr>
          <w:rFonts w:eastAsia="Calibri"/>
        </w:rPr>
        <w:t>4</w:t>
      </w:r>
      <w:r w:rsidR="009630A1" w:rsidRPr="007F17A7">
        <w:rPr>
          <w:rFonts w:eastAsia="Calibri"/>
        </w:rPr>
        <w:t>3</w:t>
      </w:r>
      <w:r w:rsidRPr="007F17A7">
        <w:rPr>
          <w:rFonts w:eastAsia="Calibri"/>
        </w:rPr>
        <w:t>,</w:t>
      </w:r>
      <w:r w:rsidR="009630A1" w:rsidRPr="007F17A7">
        <w:rPr>
          <w:rFonts w:eastAsia="Calibri"/>
        </w:rPr>
        <w:t>550</w:t>
      </w:r>
      <w:r w:rsidRPr="007F17A7">
        <w:rPr>
          <w:rFonts w:eastAsia="Calibri"/>
        </w:rPr>
        <w:t xml:space="preserve"> </w:t>
      </w:r>
      <w:bookmarkEnd w:id="4"/>
      <w:r w:rsidRPr="007F17A7">
        <w:rPr>
          <w:rFonts w:eastAsia="Calibri"/>
        </w:rPr>
        <w:t xml:space="preserve">para cierre de año. También a través del aplicativo de certificación de cargos, se ha agilizado el tiempo de entrega de estas certificaciones, ya que las mismas se generan en proceso semiautomático. </w:t>
      </w:r>
    </w:p>
    <w:p w14:paraId="3A5A3955" w14:textId="6082F68A" w:rsidR="00D03B1A" w:rsidRPr="007F17A7" w:rsidRDefault="00D03B1A" w:rsidP="00465A16">
      <w:pPr>
        <w:spacing w:line="360" w:lineRule="auto"/>
        <w:jc w:val="both"/>
        <w:rPr>
          <w:rFonts w:eastAsia="Calibri"/>
        </w:rPr>
      </w:pPr>
      <w:r w:rsidRPr="007F17A7">
        <w:rPr>
          <w:rFonts w:eastAsia="Calibri"/>
        </w:rPr>
        <w:t>Otro proceso que se ha fortalecido significativamente durante este año es la fiscalización de obras públicas, ejercida por el departamento de Ingeniería y Arquitectura, cuya función principal es garantizar que las inversiones públicas se ejecuten bajo los principios de legalidad, transparencia, eficiencia y calidad, a través de la fiscalización técnica, control de procesos constructivos y validación de cubicaciones y pagos, bajo el estricto cumplimiento de las normativas aplicables. En ese orden, fue ejercida la fiscalización oportuna de 72 proyectos.</w:t>
      </w:r>
      <w:r w:rsidR="00E64053">
        <w:rPr>
          <w:rFonts w:eastAsia="Calibri"/>
        </w:rPr>
        <w:t xml:space="preserve"> </w:t>
      </w:r>
      <w:r w:rsidRPr="007F17A7">
        <w:rPr>
          <w:rFonts w:eastAsia="Calibri"/>
        </w:rPr>
        <w:t xml:space="preserve">Con la solicitud de 80 obras adicionales por parte del MINERD se espera que este número ascienda a 152 fiscalizaciones al cierre de año. </w:t>
      </w:r>
    </w:p>
    <w:p w14:paraId="1FB4D56A" w14:textId="77777777" w:rsidR="001E4918" w:rsidRDefault="001E4918" w:rsidP="00465A16">
      <w:pPr>
        <w:spacing w:line="360" w:lineRule="auto"/>
        <w:jc w:val="both"/>
        <w:rPr>
          <w:rFonts w:eastAsia="Calibri"/>
        </w:rPr>
      </w:pPr>
    </w:p>
    <w:p w14:paraId="20193E55" w14:textId="0414518B" w:rsidR="00D03B1A" w:rsidRPr="00FA378C" w:rsidRDefault="00D03B1A" w:rsidP="00465A16">
      <w:pPr>
        <w:spacing w:line="360" w:lineRule="auto"/>
        <w:jc w:val="both"/>
        <w:rPr>
          <w:rFonts w:eastAsia="Calibri"/>
        </w:rPr>
      </w:pPr>
      <w:r w:rsidRPr="007F17A7">
        <w:rPr>
          <w:rFonts w:eastAsia="Calibri"/>
        </w:rPr>
        <w:lastRenderedPageBreak/>
        <w:t>En cuanto las auditorías internas ejecutadas por la institución en miras a verificar la correcta ejecución de los controles internos en las instituciones bajo el alcance de la ley 10-07, se han emitido al 30 de noviembre un total de 61 informes (24 de enfoque general, 22 especiales y 15 de seguimientos a los hallazgos), alcanzando tanto instit</w:t>
      </w:r>
      <w:r w:rsidRPr="00FA378C">
        <w:rPr>
          <w:rFonts w:eastAsia="Calibri"/>
        </w:rPr>
        <w:t xml:space="preserve">uciones del gobierno central como gobiernos locales. </w:t>
      </w:r>
      <w:r w:rsidR="001E4918">
        <w:rPr>
          <w:rFonts w:eastAsia="Calibri"/>
        </w:rPr>
        <w:t xml:space="preserve"> </w:t>
      </w:r>
      <w:r w:rsidRPr="00FA378C">
        <w:rPr>
          <w:rFonts w:eastAsia="Calibri"/>
        </w:rPr>
        <w:t>Se proyecta la e</w:t>
      </w:r>
      <w:r w:rsidR="00CC434C" w:rsidRPr="00FA378C">
        <w:rPr>
          <w:rFonts w:eastAsia="Calibri"/>
        </w:rPr>
        <w:t>misión</w:t>
      </w:r>
      <w:r w:rsidRPr="00FA378C">
        <w:rPr>
          <w:rFonts w:eastAsia="Calibri"/>
        </w:rPr>
        <w:t xml:space="preserve"> de </w:t>
      </w:r>
      <w:r w:rsidR="00CC434C" w:rsidRPr="00FA378C">
        <w:rPr>
          <w:rFonts w:eastAsia="Calibri"/>
        </w:rPr>
        <w:t xml:space="preserve">66 informes de auditoría más que se encuentran en revisión para cierre de año. </w:t>
      </w:r>
    </w:p>
    <w:p w14:paraId="7DFDB60F" w14:textId="03EF54DE" w:rsidR="00FB496B" w:rsidRPr="00FA378C" w:rsidRDefault="00FB496B" w:rsidP="00465A16">
      <w:pPr>
        <w:spacing w:line="360" w:lineRule="auto"/>
        <w:jc w:val="both"/>
        <w:rPr>
          <w:rFonts w:eastAsia="Calibri"/>
        </w:rPr>
      </w:pPr>
      <w:r w:rsidRPr="00FA378C">
        <w:rPr>
          <w:rFonts w:eastAsia="Calibri"/>
        </w:rPr>
        <w:t>En la lucha contra la corrupción y el fraude en el sector público, la Unidad Antifraude de la CGR ha emitido 2</w:t>
      </w:r>
      <w:r w:rsidR="00CC434C" w:rsidRPr="00FA378C">
        <w:rPr>
          <w:rFonts w:eastAsia="Calibri"/>
        </w:rPr>
        <w:t>2</w:t>
      </w:r>
      <w:r w:rsidRPr="00FA378C">
        <w:rPr>
          <w:rFonts w:eastAsia="Calibri"/>
        </w:rPr>
        <w:t xml:space="preserve"> informes de investigación de fraudes</w:t>
      </w:r>
      <w:r w:rsidR="00CC434C" w:rsidRPr="00FA378C">
        <w:rPr>
          <w:rFonts w:eastAsia="Calibri"/>
        </w:rPr>
        <w:t xml:space="preserve"> cerradas, proyectándose para final de año el cierre de dos investigaciones más. Diez de estos informes fueron remitidos a la DI</w:t>
      </w:r>
      <w:r w:rsidR="00416FA8">
        <w:rPr>
          <w:rFonts w:eastAsia="Calibri"/>
        </w:rPr>
        <w:t>GEIG</w:t>
      </w:r>
      <w:r w:rsidR="00CC434C" w:rsidRPr="00FA378C">
        <w:rPr>
          <w:rFonts w:eastAsia="Calibri"/>
        </w:rPr>
        <w:t xml:space="preserve">, 15 a la PEPCA y 13 a la DCGP con fines de colaboración. </w:t>
      </w:r>
    </w:p>
    <w:p w14:paraId="2F6312A1" w14:textId="1C99A3A4" w:rsidR="00C5778B" w:rsidRPr="00FA378C" w:rsidRDefault="00BB20BA" w:rsidP="00465A16">
      <w:pPr>
        <w:spacing w:line="360" w:lineRule="auto"/>
        <w:jc w:val="both"/>
        <w:rPr>
          <w:rFonts w:eastAsia="Calibri"/>
        </w:rPr>
      </w:pPr>
      <w:r w:rsidRPr="00FA378C">
        <w:rPr>
          <w:rFonts w:eastAsia="Calibri"/>
        </w:rPr>
        <w:t xml:space="preserve">Por otra parte la Dirección de análisis Financiero ha emitido un total de </w:t>
      </w:r>
      <w:r w:rsidR="00C5778B" w:rsidRPr="00FA378C">
        <w:rPr>
          <w:rFonts w:eastAsia="Calibri"/>
        </w:rPr>
        <w:t>61 informes de análisis de las finanzas públicas, dentro de los cuales se destacan</w:t>
      </w:r>
      <w:r w:rsidR="00115604">
        <w:rPr>
          <w:rFonts w:eastAsia="Calibri"/>
        </w:rPr>
        <w:t>:</w:t>
      </w:r>
      <w:r w:rsidR="00C5778B" w:rsidRPr="00FA378C">
        <w:rPr>
          <w:rFonts w:eastAsia="Calibri"/>
        </w:rPr>
        <w:t xml:space="preserve"> revisión del ERIR período fiscal 2024 y primer semestre 2025; análisis de los estados financieros comparados 2024 vs 2023 de las instituciones, informes de análisis de los ingresos tributarios y no tributarios y de la ejecución del gasto aprobado. Se estima la emisión de 40 informes más para cierre de año. Además respecto al análisis de ejecuciones presupuestarias de los gobiernos locales </w:t>
      </w:r>
      <w:r w:rsidR="00115604">
        <w:rPr>
          <w:rFonts w:eastAsia="Calibri"/>
        </w:rPr>
        <w:t>se</w:t>
      </w:r>
      <w:r w:rsidR="00C5778B" w:rsidRPr="00FA378C">
        <w:rPr>
          <w:rFonts w:eastAsia="Calibri"/>
        </w:rPr>
        <w:t xml:space="preserve"> han hecho revisiones a un promedio de 254 entidades cada mes, y publicados sus resultados a través del SISMAP municipal.  </w:t>
      </w:r>
    </w:p>
    <w:p w14:paraId="10D4E108" w14:textId="77777777" w:rsidR="001E4918" w:rsidRDefault="00FB496B" w:rsidP="00465A16">
      <w:pPr>
        <w:spacing w:line="360" w:lineRule="auto"/>
        <w:jc w:val="both"/>
        <w:rPr>
          <w:rFonts w:eastAsia="Calibri"/>
        </w:rPr>
      </w:pPr>
      <w:r w:rsidRPr="00FA378C">
        <w:rPr>
          <w:rFonts w:eastAsia="Calibri"/>
        </w:rPr>
        <w:t xml:space="preserve">Durante este período, la Contraloría General de la República fortaleció las alianzas estratégicas con otras instituciones, a través de la firma de acuerdos interinstitucionales. </w:t>
      </w:r>
    </w:p>
    <w:p w14:paraId="4176624A" w14:textId="77777777" w:rsidR="001E4918" w:rsidRDefault="001E4918" w:rsidP="00465A16">
      <w:pPr>
        <w:spacing w:line="360" w:lineRule="auto"/>
        <w:jc w:val="both"/>
        <w:rPr>
          <w:rFonts w:eastAsia="Calibri"/>
        </w:rPr>
      </w:pPr>
    </w:p>
    <w:p w14:paraId="3817675D" w14:textId="51C9B01E" w:rsidR="00FB496B" w:rsidRPr="00FA378C" w:rsidRDefault="00FB496B" w:rsidP="00465A16">
      <w:pPr>
        <w:spacing w:line="360" w:lineRule="auto"/>
        <w:jc w:val="both"/>
        <w:rPr>
          <w:rFonts w:eastAsia="Calibri"/>
        </w:rPr>
      </w:pPr>
      <w:r w:rsidRPr="00FA378C">
        <w:rPr>
          <w:rFonts w:eastAsia="Calibri"/>
        </w:rPr>
        <w:lastRenderedPageBreak/>
        <w:t xml:space="preserve">Se destacan los acuerdos de colaboración firmados con </w:t>
      </w:r>
      <w:r w:rsidR="00E25091" w:rsidRPr="00FA378C">
        <w:rPr>
          <w:rFonts w:eastAsia="Calibri"/>
        </w:rPr>
        <w:t xml:space="preserve">Superintendencia de Seguros, en aras de fortalecer los controles de supervisión, monitoreo y control de las fianzas que emiten las aseguradoras cuyo beneficiario es el Estado dominicano; Departamento Nacional de Investigaciones (DNI) que busca fortalecer los trabajos de inteligencia; con el Instituto Geográfico Nacional, para la provisión de servicios de asesoría y acompañamiento para la implementación de un Geoportal, entre otros. </w:t>
      </w:r>
    </w:p>
    <w:p w14:paraId="18C4886E" w14:textId="30B5A648" w:rsidR="00FB496B" w:rsidRPr="00FA378C" w:rsidRDefault="00FB496B" w:rsidP="00465A16">
      <w:pPr>
        <w:spacing w:line="360" w:lineRule="auto"/>
        <w:jc w:val="both"/>
        <w:rPr>
          <w:rFonts w:eastAsia="Calibri"/>
        </w:rPr>
      </w:pPr>
      <w:r w:rsidRPr="00FA378C">
        <w:rPr>
          <w:rFonts w:eastAsia="Calibri"/>
        </w:rPr>
        <w:t xml:space="preserve">Además, la institución estuvo inmersa en </w:t>
      </w:r>
      <w:r w:rsidR="00115604">
        <w:rPr>
          <w:rFonts w:eastAsia="Calibri"/>
        </w:rPr>
        <w:t>la</w:t>
      </w:r>
      <w:r w:rsidRPr="00FA378C">
        <w:rPr>
          <w:rFonts w:eastAsia="Calibri"/>
        </w:rPr>
        <w:t xml:space="preserve"> reestructuración de los procesos institucionales, a fin de optimizar y favorecer la productividad y la eficiencia institucional, procurando las mejores prácticas y la mejora continua. </w:t>
      </w:r>
    </w:p>
    <w:p w14:paraId="46B29257" w14:textId="37ED905F" w:rsidR="00FB496B" w:rsidRPr="00FA378C" w:rsidRDefault="00FB496B" w:rsidP="00465A16">
      <w:pPr>
        <w:spacing w:line="360" w:lineRule="auto"/>
        <w:jc w:val="both"/>
        <w:rPr>
          <w:rFonts w:eastAsia="Calibri"/>
        </w:rPr>
      </w:pPr>
      <w:r w:rsidRPr="00FA378C">
        <w:rPr>
          <w:rFonts w:eastAsia="Calibri"/>
        </w:rPr>
        <w:t>Estas acciones dieron como resultado la ejecución satisfactoria de la 1ra auditoría de seguimiento a la certificación del sistema de gestión de calidad de la Contraloría basado en la norma ISO 9001:2015, con cero no conformidades reportadas. En este mismo orden, y evidenciando una vez más el compromiso con la implementación de la calidad en la gestión y los modelos de excelencia, la institución logró este 2025 obtener medalla de plata en el Premio Nacional de la Calidad otorgado por el Ministerio de Administración Pública (MAP).</w:t>
      </w:r>
    </w:p>
    <w:p w14:paraId="32F36EB4" w14:textId="75A5803B" w:rsidR="00654164" w:rsidRPr="00FA378C" w:rsidRDefault="00FB496B" w:rsidP="001E4918">
      <w:pPr>
        <w:spacing w:line="360" w:lineRule="auto"/>
        <w:jc w:val="both"/>
        <w:rPr>
          <w:rFonts w:eastAsia="Calibri"/>
        </w:rPr>
      </w:pPr>
      <w:r w:rsidRPr="00FA378C">
        <w:rPr>
          <w:rFonts w:eastAsia="Calibri"/>
        </w:rPr>
        <w:t xml:space="preserve">Otro logro de suma importancia ha sido la </w:t>
      </w:r>
      <w:r w:rsidR="001F24D9">
        <w:rPr>
          <w:rFonts w:eastAsia="Calibri"/>
        </w:rPr>
        <w:t xml:space="preserve">certificación </w:t>
      </w:r>
      <w:r w:rsidR="008853B0" w:rsidRPr="00FA378C">
        <w:rPr>
          <w:rFonts w:eastAsia="Calibri"/>
        </w:rPr>
        <w:t xml:space="preserve">por parte de Indocal </w:t>
      </w:r>
      <w:r w:rsidR="001F24D9">
        <w:rPr>
          <w:rFonts w:eastAsia="Calibri"/>
        </w:rPr>
        <w:t>de</w:t>
      </w:r>
      <w:r w:rsidR="008853B0" w:rsidRPr="00FA378C">
        <w:rPr>
          <w:rFonts w:eastAsia="Calibri"/>
        </w:rPr>
        <w:t xml:space="preserve"> la </w:t>
      </w:r>
      <w:r w:rsidR="001F24D9" w:rsidRPr="00FA378C">
        <w:rPr>
          <w:rFonts w:eastAsia="Calibri"/>
        </w:rPr>
        <w:t>certificación del</w:t>
      </w:r>
      <w:r w:rsidRPr="00FA378C">
        <w:rPr>
          <w:rFonts w:eastAsia="Calibri"/>
        </w:rPr>
        <w:t xml:space="preserve"> sistema de gestión antisoborno y cumplimiento basado en las normas ISO 37000 y 37301, en cuyo alcance se incluyen los procesos de mayor riesgo, esto con el fin dar seguimiento al cumplimiento regulatorio y autorregulatorio a lo interno de la institución, procurando así la prevención de los incumplimientos normativos y casos de soborno en la Contraloría.</w:t>
      </w:r>
      <w:r w:rsidR="00544419" w:rsidRPr="00FA378C">
        <w:rPr>
          <w:rFonts w:eastAsia="Calibri"/>
        </w:rPr>
        <w:br w:type="page"/>
      </w:r>
    </w:p>
    <w:p w14:paraId="6384D0D4" w14:textId="4D632B7D" w:rsidR="00654164" w:rsidRPr="00FA378C" w:rsidRDefault="00654164">
      <w:pPr>
        <w:pStyle w:val="Ttulo1"/>
        <w:numPr>
          <w:ilvl w:val="0"/>
          <w:numId w:val="3"/>
        </w:numPr>
        <w:rPr>
          <w:rFonts w:cs="Times New Roman"/>
          <w:color w:val="767171"/>
        </w:rPr>
      </w:pPr>
      <w:bookmarkStart w:id="5" w:name="_Toc217997924"/>
      <w:r w:rsidRPr="00FA378C">
        <w:rPr>
          <w:rFonts w:cs="Times New Roman"/>
          <w:color w:val="767171"/>
        </w:rPr>
        <w:lastRenderedPageBreak/>
        <w:t>INFORMACIÓN INSTITUCIONAL</w:t>
      </w:r>
      <w:bookmarkEnd w:id="5"/>
    </w:p>
    <w:p w14:paraId="794C2FD3" w14:textId="73C7B9AC" w:rsidR="00654164" w:rsidRPr="00FA378C" w:rsidRDefault="00654164" w:rsidP="00654164">
      <w:pPr>
        <w:jc w:val="both"/>
        <w:rPr>
          <w:rFonts w:eastAsia="Calibri"/>
          <w:sz w:val="18"/>
        </w:rPr>
      </w:pPr>
      <w:r w:rsidRPr="00FA378C">
        <w:rPr>
          <w:rFonts w:eastAsia="Calibri"/>
          <w:noProof/>
          <w:sz w:val="18"/>
        </w:rPr>
        <mc:AlternateContent>
          <mc:Choice Requires="wps">
            <w:drawing>
              <wp:anchor distT="0" distB="0" distL="114300" distR="114300" simplePos="0" relativeHeight="251651584" behindDoc="0" locked="0" layoutInCell="1" allowOverlap="1" wp14:anchorId="2735667A" wp14:editId="0522A870">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9DC85" id="Straight Connector 8" o:spid="_x0000_s1026" style="position:absolute;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7448FBED" w:rsidR="00654164" w:rsidRPr="00FA378C" w:rsidRDefault="00654164" w:rsidP="00465A16">
      <w:pPr>
        <w:spacing w:line="360" w:lineRule="auto"/>
        <w:jc w:val="center"/>
        <w:rPr>
          <w:rFonts w:eastAsia="Calibri"/>
          <w:szCs w:val="36"/>
        </w:rPr>
      </w:pPr>
      <w:r w:rsidRPr="00FA378C">
        <w:rPr>
          <w:rFonts w:eastAsia="Calibri"/>
          <w:szCs w:val="36"/>
        </w:rPr>
        <w:t xml:space="preserve">Memoria </w:t>
      </w:r>
      <w:r w:rsidR="00ED401F" w:rsidRPr="00FA378C">
        <w:rPr>
          <w:rFonts w:eastAsia="Calibri"/>
          <w:szCs w:val="36"/>
        </w:rPr>
        <w:t>Institucional</w:t>
      </w:r>
      <w:r w:rsidRPr="00FA378C">
        <w:rPr>
          <w:rFonts w:eastAsia="Calibri"/>
          <w:szCs w:val="36"/>
        </w:rPr>
        <w:t xml:space="preserve"> </w:t>
      </w:r>
      <w:r w:rsidR="000025D4" w:rsidRPr="00FA378C">
        <w:rPr>
          <w:rFonts w:eastAsia="Calibri"/>
          <w:szCs w:val="36"/>
        </w:rPr>
        <w:t>202</w:t>
      </w:r>
      <w:r w:rsidR="00FB05E4" w:rsidRPr="00FA378C">
        <w:rPr>
          <w:rFonts w:eastAsia="Calibri"/>
          <w:szCs w:val="36"/>
        </w:rPr>
        <w:t>5</w:t>
      </w:r>
    </w:p>
    <w:p w14:paraId="3C6CAFE4" w14:textId="77777777" w:rsidR="002039A2" w:rsidRPr="00097ADC" w:rsidRDefault="002039A2" w:rsidP="00465A16">
      <w:pPr>
        <w:spacing w:line="360" w:lineRule="auto"/>
        <w:jc w:val="center"/>
        <w:rPr>
          <w:rFonts w:eastAsia="Calibri"/>
          <w:szCs w:val="36"/>
        </w:rPr>
      </w:pPr>
    </w:p>
    <w:p w14:paraId="67A021AA" w14:textId="2753DA3B" w:rsidR="00F80B81" w:rsidRPr="00097ADC" w:rsidRDefault="00F80B81">
      <w:pPr>
        <w:pStyle w:val="Ttulo2"/>
        <w:numPr>
          <w:ilvl w:val="1"/>
          <w:numId w:val="3"/>
        </w:numPr>
        <w:spacing w:line="360" w:lineRule="auto"/>
        <w:ind w:left="567" w:hanging="567"/>
        <w:rPr>
          <w:rFonts w:cs="Times New Roman"/>
          <w:b/>
          <w:bCs/>
          <w:color w:val="767171"/>
          <w:szCs w:val="24"/>
        </w:rPr>
      </w:pPr>
      <w:bookmarkStart w:id="6" w:name="_Toc217997925"/>
      <w:r w:rsidRPr="00097ADC">
        <w:rPr>
          <w:rFonts w:cs="Times New Roman"/>
          <w:b/>
          <w:bCs/>
          <w:color w:val="767171"/>
          <w:szCs w:val="24"/>
        </w:rPr>
        <w:t>Marco filosófico institucional</w:t>
      </w:r>
      <w:bookmarkEnd w:id="6"/>
    </w:p>
    <w:p w14:paraId="3F1C57BD" w14:textId="77777777" w:rsidR="002039A2" w:rsidRPr="00097ADC" w:rsidRDefault="002039A2" w:rsidP="002039A2"/>
    <w:p w14:paraId="0538601C" w14:textId="4C75CAEA" w:rsidR="00F80B81" w:rsidRPr="00097ADC" w:rsidRDefault="00F80B81" w:rsidP="004A67E5">
      <w:pPr>
        <w:pStyle w:val="Ttulo2"/>
        <w:spacing w:line="360" w:lineRule="auto"/>
        <w:rPr>
          <w:b/>
          <w:bCs/>
          <w:color w:val="767171"/>
        </w:rPr>
      </w:pPr>
      <w:bookmarkStart w:id="7" w:name="_Toc217997926"/>
      <w:r w:rsidRPr="00097ADC">
        <w:rPr>
          <w:b/>
          <w:bCs/>
          <w:color w:val="767171"/>
        </w:rPr>
        <w:t>a. Misión</w:t>
      </w:r>
      <w:bookmarkEnd w:id="7"/>
    </w:p>
    <w:p w14:paraId="0D4ED931" w14:textId="436C3366" w:rsidR="00CF29E1" w:rsidRPr="00097ADC" w:rsidRDefault="00CF29E1" w:rsidP="004A67E5">
      <w:pPr>
        <w:pStyle w:val="Textoindependiente"/>
        <w:spacing w:line="360" w:lineRule="auto"/>
        <w:rPr>
          <w:rFonts w:eastAsia="Calibri"/>
          <w:color w:val="767171"/>
          <w:spacing w:val="20"/>
          <w:szCs w:val="24"/>
          <w:lang w:eastAsia="en-US"/>
        </w:rPr>
      </w:pPr>
      <w:r w:rsidRPr="00097ADC">
        <w:rPr>
          <w:rFonts w:eastAsia="Calibri"/>
          <w:color w:val="767171"/>
          <w:spacing w:val="20"/>
          <w:szCs w:val="24"/>
          <w:lang w:eastAsia="en-US"/>
        </w:rPr>
        <w:t>Asegurar la evaluación y fiscalización del debido recaudo, manejo uso e inversión de los recursos públicos, a través de la rectoría del Sistema de Nacional de Control Interno.</w:t>
      </w:r>
    </w:p>
    <w:p w14:paraId="7DD56177" w14:textId="77777777" w:rsidR="00CF29E1" w:rsidRPr="00097ADC" w:rsidRDefault="00CF29E1" w:rsidP="004A67E5">
      <w:pPr>
        <w:pStyle w:val="Textoindependiente"/>
        <w:spacing w:line="360" w:lineRule="auto"/>
        <w:rPr>
          <w:rFonts w:eastAsia="Calibri"/>
          <w:color w:val="767171"/>
          <w:spacing w:val="20"/>
          <w:szCs w:val="24"/>
          <w:lang w:eastAsia="en-US"/>
        </w:rPr>
      </w:pPr>
    </w:p>
    <w:p w14:paraId="5ECBD47B" w14:textId="24EEEB11" w:rsidR="00F80B81" w:rsidRPr="00097ADC" w:rsidRDefault="00F80B81" w:rsidP="004A67E5">
      <w:pPr>
        <w:pStyle w:val="Ttulo2"/>
        <w:spacing w:line="360" w:lineRule="auto"/>
        <w:rPr>
          <w:b/>
          <w:bCs/>
          <w:color w:val="767171"/>
        </w:rPr>
      </w:pPr>
      <w:bookmarkStart w:id="8" w:name="_Toc217997927"/>
      <w:r w:rsidRPr="00097ADC">
        <w:rPr>
          <w:b/>
          <w:bCs/>
          <w:color w:val="767171"/>
        </w:rPr>
        <w:t>b. Visión</w:t>
      </w:r>
      <w:bookmarkEnd w:id="8"/>
    </w:p>
    <w:p w14:paraId="2F400D23" w14:textId="77777777" w:rsidR="000E6321" w:rsidRPr="00097ADC" w:rsidRDefault="00CF29E1" w:rsidP="004A67E5">
      <w:pPr>
        <w:pStyle w:val="Textoindependiente"/>
        <w:spacing w:line="360" w:lineRule="auto"/>
        <w:rPr>
          <w:rFonts w:eastAsia="Calibri"/>
          <w:color w:val="767171"/>
          <w:spacing w:val="20"/>
          <w:szCs w:val="24"/>
          <w:lang w:eastAsia="en-US"/>
        </w:rPr>
      </w:pPr>
      <w:r w:rsidRPr="00097ADC">
        <w:rPr>
          <w:rFonts w:eastAsia="Calibri"/>
          <w:color w:val="767171"/>
          <w:spacing w:val="20"/>
          <w:szCs w:val="24"/>
          <w:lang w:eastAsia="en-US"/>
        </w:rPr>
        <w:t xml:space="preserve">Ser referente de excelencia con los más altos estándares de calidad en la rectoría del control interno y la fiscalización de los recursos públicos, con una gestión ética, eficiente, eficaz y transparente, que inspire confianza y credibilidad para el beneficio de la sociedad dominicana.  </w:t>
      </w:r>
    </w:p>
    <w:p w14:paraId="08F99528" w14:textId="25C91BE6" w:rsidR="00CF29E1" w:rsidRPr="00097ADC" w:rsidRDefault="00CF29E1" w:rsidP="004A67E5">
      <w:pPr>
        <w:pStyle w:val="Textoindependiente"/>
        <w:spacing w:line="360" w:lineRule="auto"/>
        <w:rPr>
          <w:rFonts w:eastAsia="Calibri"/>
          <w:color w:val="767171"/>
          <w:spacing w:val="20"/>
          <w:szCs w:val="24"/>
          <w:lang w:eastAsia="en-US"/>
        </w:rPr>
      </w:pPr>
      <w:r w:rsidRPr="00097ADC">
        <w:rPr>
          <w:rFonts w:eastAsia="Calibri"/>
          <w:color w:val="767171"/>
          <w:spacing w:val="20"/>
          <w:szCs w:val="24"/>
          <w:lang w:eastAsia="en-US"/>
        </w:rPr>
        <w:t xml:space="preserve">         </w:t>
      </w:r>
    </w:p>
    <w:p w14:paraId="4CA3695F" w14:textId="775B31AD" w:rsidR="00F80B81" w:rsidRPr="00097ADC" w:rsidRDefault="00F80B81" w:rsidP="004A67E5">
      <w:pPr>
        <w:pStyle w:val="Ttulo2"/>
        <w:spacing w:line="360" w:lineRule="auto"/>
        <w:rPr>
          <w:b/>
          <w:bCs/>
          <w:color w:val="767171"/>
        </w:rPr>
      </w:pPr>
      <w:bookmarkStart w:id="9" w:name="_Toc217997928"/>
      <w:r w:rsidRPr="00097ADC">
        <w:rPr>
          <w:b/>
          <w:bCs/>
          <w:color w:val="767171"/>
        </w:rPr>
        <w:t>c. Valores</w:t>
      </w:r>
      <w:bookmarkEnd w:id="9"/>
    </w:p>
    <w:p w14:paraId="2478769F" w14:textId="54ACA073" w:rsidR="00393C65" w:rsidRPr="00097ADC" w:rsidRDefault="00393C65" w:rsidP="00465A16">
      <w:pPr>
        <w:spacing w:line="360" w:lineRule="auto"/>
        <w:jc w:val="both"/>
        <w:rPr>
          <w:rFonts w:eastAsia="Calibri"/>
        </w:rPr>
      </w:pPr>
      <w:r w:rsidRPr="00097ADC">
        <w:rPr>
          <w:rFonts w:eastAsia="Calibri"/>
          <w:b/>
          <w:bCs/>
        </w:rPr>
        <w:t>Transparencia:</w:t>
      </w:r>
      <w:r w:rsidRPr="00097ADC">
        <w:rPr>
          <w:rFonts w:eastAsia="Calibri"/>
        </w:rPr>
        <w:t xml:space="preserve"> </w:t>
      </w:r>
      <w:r w:rsidR="00CF29E1" w:rsidRPr="00097ADC">
        <w:rPr>
          <w:rFonts w:eastAsia="Calibri"/>
        </w:rPr>
        <w:t>Manejamos con pulcritud y honestidad los recursos que disponemos, abiertos siempre al escrutinio público.</w:t>
      </w:r>
    </w:p>
    <w:p w14:paraId="03AC7212" w14:textId="40EF8E37" w:rsidR="00393C65" w:rsidRPr="00097ADC" w:rsidRDefault="00CF29E1" w:rsidP="00465A16">
      <w:pPr>
        <w:spacing w:line="360" w:lineRule="auto"/>
        <w:jc w:val="both"/>
        <w:rPr>
          <w:rFonts w:eastAsia="Calibri"/>
        </w:rPr>
      </w:pPr>
      <w:r w:rsidRPr="00097ADC">
        <w:rPr>
          <w:rFonts w:eastAsia="Calibri"/>
          <w:b/>
          <w:bCs/>
        </w:rPr>
        <w:t>Compromiso</w:t>
      </w:r>
      <w:r w:rsidR="00393C65" w:rsidRPr="00097ADC">
        <w:rPr>
          <w:rFonts w:eastAsia="Calibri"/>
          <w:b/>
          <w:bCs/>
        </w:rPr>
        <w:t>:</w:t>
      </w:r>
      <w:r w:rsidR="00393C65" w:rsidRPr="00097ADC">
        <w:rPr>
          <w:rFonts w:eastAsia="Calibri"/>
        </w:rPr>
        <w:t xml:space="preserve"> </w:t>
      </w:r>
      <w:r w:rsidRPr="00097ADC">
        <w:rPr>
          <w:rFonts w:eastAsia="Calibri"/>
        </w:rPr>
        <w:t>Realizamos con excelencia, calidad y esmero las responsabilidades asumidas, cumpliendo con las expectativas.</w:t>
      </w:r>
    </w:p>
    <w:p w14:paraId="09A0D62A" w14:textId="1359718F" w:rsidR="00393C65" w:rsidRPr="00097ADC" w:rsidRDefault="00CF29E1" w:rsidP="00465A16">
      <w:pPr>
        <w:spacing w:line="360" w:lineRule="auto"/>
        <w:jc w:val="both"/>
        <w:rPr>
          <w:rFonts w:eastAsia="Calibri"/>
        </w:rPr>
      </w:pPr>
      <w:r w:rsidRPr="00097ADC">
        <w:rPr>
          <w:rFonts w:eastAsia="Calibri"/>
          <w:b/>
          <w:bCs/>
        </w:rPr>
        <w:t>Integridad</w:t>
      </w:r>
      <w:r w:rsidR="00393C65" w:rsidRPr="00097ADC">
        <w:rPr>
          <w:rFonts w:eastAsia="Calibri"/>
          <w:b/>
          <w:bCs/>
        </w:rPr>
        <w:t>:</w:t>
      </w:r>
      <w:r w:rsidRPr="00097ADC">
        <w:t xml:space="preserve"> </w:t>
      </w:r>
      <w:r w:rsidRPr="00097ADC">
        <w:rPr>
          <w:rFonts w:eastAsia="Calibri"/>
        </w:rPr>
        <w:t>Actuamos apegados a los principios éticos y morales en todas nuestras acciones como servidores públicos.</w:t>
      </w:r>
    </w:p>
    <w:p w14:paraId="483B7D2A" w14:textId="0180745F" w:rsidR="00FB6558" w:rsidRPr="007F17A7" w:rsidRDefault="00CF29E1" w:rsidP="00465A16">
      <w:pPr>
        <w:spacing w:line="360" w:lineRule="auto"/>
        <w:jc w:val="both"/>
        <w:rPr>
          <w:rFonts w:eastAsia="Calibri"/>
        </w:rPr>
      </w:pPr>
      <w:r w:rsidRPr="00097ADC">
        <w:rPr>
          <w:rFonts w:eastAsia="Calibri"/>
          <w:b/>
          <w:bCs/>
        </w:rPr>
        <w:t>Confiabilidad</w:t>
      </w:r>
      <w:r w:rsidR="00393C65" w:rsidRPr="00097ADC">
        <w:rPr>
          <w:rFonts w:eastAsia="Calibri"/>
          <w:b/>
          <w:bCs/>
        </w:rPr>
        <w:t xml:space="preserve">: </w:t>
      </w:r>
      <w:r w:rsidRPr="00097ADC">
        <w:rPr>
          <w:rFonts w:eastAsia="Calibri"/>
        </w:rPr>
        <w:t xml:space="preserve">Producimos información apegadas a la verdad, generando confianza en todo lo que hacemos en el </w:t>
      </w:r>
      <w:r w:rsidRPr="007F17A7">
        <w:rPr>
          <w:rFonts w:eastAsia="Calibri"/>
        </w:rPr>
        <w:t>cumplimiento de nuestras funciones y responsabilidades.</w:t>
      </w:r>
    </w:p>
    <w:p w14:paraId="1F69CFFE" w14:textId="2D3D931E" w:rsidR="00F80B81" w:rsidRPr="007F17A7" w:rsidRDefault="00F80B81" w:rsidP="004A67E5">
      <w:pPr>
        <w:pStyle w:val="Ttulo2"/>
        <w:spacing w:line="360" w:lineRule="auto"/>
        <w:rPr>
          <w:b/>
          <w:bCs/>
          <w:color w:val="767171"/>
        </w:rPr>
      </w:pPr>
      <w:bookmarkStart w:id="10" w:name="_Toc217997929"/>
      <w:r w:rsidRPr="007F17A7">
        <w:rPr>
          <w:b/>
          <w:bCs/>
          <w:color w:val="767171"/>
        </w:rPr>
        <w:lastRenderedPageBreak/>
        <w:t>2.2 Base legal</w:t>
      </w:r>
      <w:bookmarkEnd w:id="10"/>
    </w:p>
    <w:p w14:paraId="63504887" w14:textId="77777777" w:rsidR="004A67E5" w:rsidRPr="007F17A7" w:rsidRDefault="004A67E5" w:rsidP="004A67E5"/>
    <w:p w14:paraId="0B027D5A" w14:textId="7C947EED" w:rsidR="00393C65" w:rsidRPr="007F17A7" w:rsidRDefault="00393C65" w:rsidP="00465A16">
      <w:pPr>
        <w:spacing w:line="360" w:lineRule="auto"/>
        <w:jc w:val="both"/>
        <w:rPr>
          <w:rFonts w:eastAsia="Calibri"/>
        </w:rPr>
      </w:pPr>
      <w:r w:rsidRPr="007F17A7">
        <w:rPr>
          <w:rFonts w:eastAsia="Calibri"/>
        </w:rPr>
        <w:t>• Constitución de la República Dominicana, proclamada el 26 de enero del 2010.</w:t>
      </w:r>
    </w:p>
    <w:p w14:paraId="798F9978" w14:textId="77777777" w:rsidR="00393C65" w:rsidRPr="007F17A7" w:rsidRDefault="00393C65" w:rsidP="00465A16">
      <w:pPr>
        <w:spacing w:line="360" w:lineRule="auto"/>
        <w:jc w:val="both"/>
        <w:rPr>
          <w:rFonts w:eastAsia="Calibri"/>
        </w:rPr>
      </w:pPr>
      <w:r w:rsidRPr="007F17A7">
        <w:rPr>
          <w:rFonts w:eastAsia="Calibri"/>
        </w:rPr>
        <w:t>• Ley No.10 – 07, del 8 de enero del 2007, que instituye el Sistema Nacional de Control Interno y de la Contraloría General de la República.</w:t>
      </w:r>
    </w:p>
    <w:p w14:paraId="14FF7E24" w14:textId="77777777" w:rsidR="00393C65" w:rsidRPr="007F17A7" w:rsidRDefault="00393C65" w:rsidP="00465A16">
      <w:pPr>
        <w:spacing w:line="360" w:lineRule="auto"/>
        <w:jc w:val="both"/>
        <w:rPr>
          <w:rFonts w:eastAsia="Calibri"/>
        </w:rPr>
      </w:pPr>
      <w:r w:rsidRPr="007F17A7">
        <w:rPr>
          <w:rFonts w:eastAsia="Calibri"/>
        </w:rPr>
        <w:t>• Ley No. 41-08 de Función Pública.</w:t>
      </w:r>
    </w:p>
    <w:p w14:paraId="2896F423" w14:textId="3116827F" w:rsidR="00393C65" w:rsidRPr="007F17A7" w:rsidRDefault="00393C65" w:rsidP="00465A16">
      <w:pPr>
        <w:spacing w:line="360" w:lineRule="auto"/>
        <w:jc w:val="both"/>
        <w:rPr>
          <w:rFonts w:eastAsia="Calibri"/>
        </w:rPr>
      </w:pPr>
      <w:r w:rsidRPr="007F17A7">
        <w:rPr>
          <w:rFonts w:eastAsia="Calibri"/>
        </w:rPr>
        <w:t xml:space="preserve">• </w:t>
      </w:r>
      <w:r w:rsidR="00F176EA" w:rsidRPr="007F17A7">
        <w:rPr>
          <w:rFonts w:eastAsia="Calibri"/>
        </w:rPr>
        <w:t>La Ley 107-13 en República Dominicana es la Ley sobre los Derechos de las Personas en sus Relaciones con la Administración y de Procedimiento Administrativo</w:t>
      </w:r>
      <w:r w:rsidRPr="007F17A7">
        <w:rPr>
          <w:rFonts w:eastAsia="Calibri"/>
        </w:rPr>
        <w:t>.</w:t>
      </w:r>
    </w:p>
    <w:p w14:paraId="42209A03" w14:textId="77777777" w:rsidR="00393C65" w:rsidRPr="007F17A7" w:rsidRDefault="00393C65" w:rsidP="00465A16">
      <w:pPr>
        <w:spacing w:line="360" w:lineRule="auto"/>
        <w:jc w:val="both"/>
        <w:rPr>
          <w:rFonts w:eastAsia="Calibri"/>
        </w:rPr>
      </w:pPr>
      <w:r w:rsidRPr="007F17A7">
        <w:rPr>
          <w:rFonts w:eastAsia="Calibri"/>
        </w:rPr>
        <w:t>• Ley No. 247-12, Orgánica de la Administración Pública.</w:t>
      </w:r>
    </w:p>
    <w:p w14:paraId="4BE2BEC5" w14:textId="76B96CAA" w:rsidR="00393C65" w:rsidRPr="007F17A7" w:rsidRDefault="00393C65" w:rsidP="00465A16">
      <w:pPr>
        <w:spacing w:line="360" w:lineRule="auto"/>
        <w:jc w:val="both"/>
        <w:rPr>
          <w:rFonts w:eastAsia="Calibri"/>
        </w:rPr>
      </w:pPr>
      <w:r w:rsidRPr="007F17A7">
        <w:rPr>
          <w:rFonts w:eastAsia="Calibri"/>
        </w:rPr>
        <w:t>• Ley No. 340-06 sobre Compras y Contrataciones</w:t>
      </w:r>
      <w:r w:rsidR="00F176EA" w:rsidRPr="007F17A7">
        <w:rPr>
          <w:rFonts w:eastAsia="Calibri"/>
        </w:rPr>
        <w:t xml:space="preserve"> y su </w:t>
      </w:r>
      <w:r w:rsidRPr="007F17A7">
        <w:rPr>
          <w:rFonts w:eastAsia="Calibri"/>
        </w:rPr>
        <w:t xml:space="preserve">Reglamento de </w:t>
      </w:r>
      <w:r w:rsidR="00F176EA" w:rsidRPr="007F17A7">
        <w:rPr>
          <w:rFonts w:eastAsia="Calibri"/>
        </w:rPr>
        <w:t>Aplicación No</w:t>
      </w:r>
      <w:r w:rsidRPr="007F17A7">
        <w:rPr>
          <w:rFonts w:eastAsia="Calibri"/>
        </w:rPr>
        <w:t>. 543-12.</w:t>
      </w:r>
    </w:p>
    <w:p w14:paraId="54BD6CE6" w14:textId="77777777" w:rsidR="00393C65" w:rsidRPr="007F17A7" w:rsidRDefault="00393C65" w:rsidP="00465A16">
      <w:pPr>
        <w:spacing w:line="360" w:lineRule="auto"/>
        <w:jc w:val="both"/>
        <w:rPr>
          <w:rFonts w:eastAsia="Calibri"/>
        </w:rPr>
      </w:pPr>
      <w:r w:rsidRPr="007F17A7">
        <w:rPr>
          <w:rFonts w:eastAsia="Calibri"/>
        </w:rPr>
        <w:t>• Reglamento No. 543-12 de Aplicación de la Ley 340-06.</w:t>
      </w:r>
    </w:p>
    <w:p w14:paraId="02078B86" w14:textId="77777777" w:rsidR="00393C65" w:rsidRPr="007F17A7" w:rsidRDefault="00393C65" w:rsidP="00465A16">
      <w:pPr>
        <w:spacing w:line="360" w:lineRule="auto"/>
        <w:jc w:val="both"/>
        <w:rPr>
          <w:rFonts w:eastAsia="Calibri"/>
        </w:rPr>
      </w:pPr>
      <w:r w:rsidRPr="007F17A7">
        <w:rPr>
          <w:rFonts w:eastAsia="Calibri"/>
        </w:rPr>
        <w:t>• Ley No. 105-13 de Regulación Salarial.</w:t>
      </w:r>
    </w:p>
    <w:p w14:paraId="76805098" w14:textId="77777777" w:rsidR="00393C65" w:rsidRPr="007F17A7" w:rsidRDefault="00393C65" w:rsidP="00465A16">
      <w:pPr>
        <w:spacing w:line="360" w:lineRule="auto"/>
        <w:jc w:val="both"/>
        <w:rPr>
          <w:rFonts w:eastAsia="Calibri"/>
        </w:rPr>
      </w:pPr>
      <w:r w:rsidRPr="007F17A7">
        <w:rPr>
          <w:rFonts w:eastAsia="Calibri"/>
        </w:rPr>
        <w:t>• Ley No. 498-06, que crea el Sistema Nacional de Planificación e Inversión Pública.</w:t>
      </w:r>
    </w:p>
    <w:p w14:paraId="33A0CAE9" w14:textId="77777777" w:rsidR="00393C65" w:rsidRPr="007F17A7" w:rsidRDefault="00393C65" w:rsidP="00465A16">
      <w:pPr>
        <w:spacing w:line="360" w:lineRule="auto"/>
        <w:jc w:val="both"/>
        <w:rPr>
          <w:rFonts w:eastAsia="Calibri"/>
        </w:rPr>
      </w:pPr>
      <w:r w:rsidRPr="007F17A7">
        <w:rPr>
          <w:rFonts w:eastAsia="Calibri"/>
        </w:rPr>
        <w:t>• Ley No. 496-06, que crea la Secretaría de Estado de Economía, Planificación y Desarrollo actualmente Ministerio de Economía, Planificación y Desarrollo.</w:t>
      </w:r>
    </w:p>
    <w:p w14:paraId="3A952895" w14:textId="77777777" w:rsidR="00393C65" w:rsidRPr="007F17A7" w:rsidRDefault="00393C65" w:rsidP="00465A16">
      <w:pPr>
        <w:spacing w:line="360" w:lineRule="auto"/>
        <w:jc w:val="both"/>
        <w:rPr>
          <w:rFonts w:eastAsia="Calibri"/>
        </w:rPr>
      </w:pPr>
      <w:r w:rsidRPr="007F17A7">
        <w:rPr>
          <w:rFonts w:eastAsia="Calibri"/>
        </w:rPr>
        <w:t>• Ley No. 200-04 General de Acceso a la Información Pública, y su Reglamento de aplicación.</w:t>
      </w:r>
    </w:p>
    <w:p w14:paraId="2490E52C" w14:textId="102CCC96" w:rsidR="00393C65" w:rsidRPr="007F17A7" w:rsidRDefault="00393C65" w:rsidP="00465A16">
      <w:pPr>
        <w:spacing w:line="360" w:lineRule="auto"/>
        <w:jc w:val="both"/>
        <w:rPr>
          <w:rFonts w:eastAsia="Calibri"/>
        </w:rPr>
      </w:pPr>
      <w:r w:rsidRPr="007F17A7">
        <w:rPr>
          <w:rFonts w:eastAsia="Calibri"/>
        </w:rPr>
        <w:t>• Ley No. 14-94 del Tribunal Superior Administrativo.</w:t>
      </w:r>
    </w:p>
    <w:p w14:paraId="65B4A1B3" w14:textId="77777777" w:rsidR="00393C65" w:rsidRPr="007F17A7" w:rsidRDefault="00393C65" w:rsidP="00465A16">
      <w:pPr>
        <w:spacing w:line="360" w:lineRule="auto"/>
        <w:jc w:val="both"/>
        <w:rPr>
          <w:rFonts w:eastAsia="Calibri"/>
        </w:rPr>
      </w:pPr>
      <w:r w:rsidRPr="007F17A7">
        <w:rPr>
          <w:rFonts w:eastAsia="Calibri"/>
        </w:rPr>
        <w:t>• Ley No. 137-11 de Procedimientos Constitucionales.</w:t>
      </w:r>
    </w:p>
    <w:p w14:paraId="5DAC2C43" w14:textId="77777777" w:rsidR="00393C65" w:rsidRPr="007F17A7" w:rsidRDefault="00393C65" w:rsidP="00B716EE">
      <w:pPr>
        <w:spacing w:line="360" w:lineRule="auto"/>
        <w:jc w:val="both"/>
        <w:rPr>
          <w:rFonts w:eastAsia="Calibri"/>
        </w:rPr>
      </w:pPr>
      <w:r w:rsidRPr="007F17A7">
        <w:rPr>
          <w:rFonts w:eastAsia="Calibri"/>
        </w:rPr>
        <w:lastRenderedPageBreak/>
        <w:t>• Código Civil y Código de Procedimiento Civil.</w:t>
      </w:r>
    </w:p>
    <w:p w14:paraId="312AF72F" w14:textId="77777777" w:rsidR="00393C65" w:rsidRPr="007F17A7" w:rsidRDefault="00393C65" w:rsidP="00B716EE">
      <w:pPr>
        <w:spacing w:line="360" w:lineRule="auto"/>
        <w:jc w:val="both"/>
        <w:rPr>
          <w:rFonts w:eastAsia="Calibri"/>
        </w:rPr>
      </w:pPr>
      <w:r w:rsidRPr="007F17A7">
        <w:rPr>
          <w:rFonts w:eastAsia="Calibri"/>
        </w:rPr>
        <w:t>• Ley No. 379-81 de Pensiones y Jubilaciones.</w:t>
      </w:r>
    </w:p>
    <w:p w14:paraId="58598EAE" w14:textId="4CF0577E" w:rsidR="00393C65" w:rsidRPr="007F17A7" w:rsidRDefault="00393C65" w:rsidP="00B716EE">
      <w:pPr>
        <w:spacing w:line="360" w:lineRule="auto"/>
        <w:jc w:val="both"/>
        <w:rPr>
          <w:rFonts w:eastAsia="Calibri"/>
        </w:rPr>
      </w:pPr>
      <w:r w:rsidRPr="007F17A7">
        <w:rPr>
          <w:rFonts w:eastAsia="Calibri"/>
        </w:rPr>
        <w:t>• Ley No. 87-01 de Seguridad Social</w:t>
      </w:r>
      <w:r w:rsidR="00B92938" w:rsidRPr="007F17A7">
        <w:rPr>
          <w:rFonts w:eastAsia="Calibri"/>
        </w:rPr>
        <w:t>.</w:t>
      </w:r>
    </w:p>
    <w:p w14:paraId="7EC3836C" w14:textId="77777777" w:rsidR="00393C65" w:rsidRPr="007F17A7" w:rsidRDefault="00393C65" w:rsidP="00B716EE">
      <w:pPr>
        <w:spacing w:line="360" w:lineRule="auto"/>
        <w:jc w:val="both"/>
        <w:rPr>
          <w:rFonts w:eastAsia="Calibri"/>
        </w:rPr>
      </w:pPr>
      <w:r w:rsidRPr="007F17A7">
        <w:rPr>
          <w:rFonts w:eastAsia="Calibri"/>
        </w:rPr>
        <w:t>• Decreto No. 130-05, Reglamento de la Ley de Acceso a la Información Pública.</w:t>
      </w:r>
    </w:p>
    <w:p w14:paraId="2D95BAC0" w14:textId="77777777" w:rsidR="00393C65" w:rsidRPr="007F17A7" w:rsidRDefault="00393C65" w:rsidP="00B716EE">
      <w:pPr>
        <w:spacing w:line="360" w:lineRule="auto"/>
        <w:jc w:val="both"/>
        <w:rPr>
          <w:rFonts w:eastAsia="Calibri"/>
        </w:rPr>
      </w:pPr>
      <w:r w:rsidRPr="007F17A7">
        <w:rPr>
          <w:rFonts w:eastAsia="Calibri"/>
        </w:rPr>
        <w:t>• Decreto No. 491-07, del 30 de agosto del 2007, Reglamento de</w:t>
      </w:r>
    </w:p>
    <w:p w14:paraId="7A3792BA" w14:textId="77777777" w:rsidR="00393C65" w:rsidRPr="007F17A7" w:rsidRDefault="00393C65" w:rsidP="00B716EE">
      <w:pPr>
        <w:spacing w:line="360" w:lineRule="auto"/>
        <w:jc w:val="both"/>
        <w:rPr>
          <w:rFonts w:eastAsia="Calibri"/>
        </w:rPr>
      </w:pPr>
      <w:r w:rsidRPr="007F17A7">
        <w:rPr>
          <w:rFonts w:eastAsia="Calibri"/>
        </w:rPr>
        <w:t>Aplicación de la Ley No. 10</w:t>
      </w:r>
    </w:p>
    <w:p w14:paraId="52B6BE08" w14:textId="77777777" w:rsidR="002039A2" w:rsidRPr="007F17A7" w:rsidRDefault="002039A2" w:rsidP="00B716EE">
      <w:pPr>
        <w:spacing w:line="360" w:lineRule="auto"/>
        <w:jc w:val="both"/>
        <w:rPr>
          <w:rFonts w:eastAsia="Calibri"/>
        </w:rPr>
      </w:pPr>
    </w:p>
    <w:p w14:paraId="6BACAEDF" w14:textId="5ABD8411" w:rsidR="002039A2" w:rsidRPr="00465A16" w:rsidRDefault="002039A2" w:rsidP="00B716EE">
      <w:pPr>
        <w:spacing w:line="360" w:lineRule="auto"/>
        <w:jc w:val="both"/>
        <w:rPr>
          <w:rFonts w:eastAsia="Calibri"/>
          <w:color w:val="4C4747"/>
        </w:rPr>
        <w:sectPr w:rsidR="002039A2" w:rsidRPr="00465A16" w:rsidSect="00C64CEF">
          <w:headerReference w:type="default" r:id="rId14"/>
          <w:footerReference w:type="default" r:id="rId15"/>
          <w:pgSz w:w="12240" w:h="15840"/>
          <w:pgMar w:top="1440" w:right="2160" w:bottom="1440" w:left="2160" w:header="720" w:footer="720" w:gutter="0"/>
          <w:pgNumType w:start="1"/>
          <w:cols w:space="720"/>
          <w:docGrid w:linePitch="360"/>
        </w:sectPr>
      </w:pPr>
    </w:p>
    <w:p w14:paraId="395D0848" w14:textId="3FCF0002" w:rsidR="00F80B81" w:rsidRPr="007F17A7" w:rsidRDefault="00F80B81" w:rsidP="004007DE">
      <w:pPr>
        <w:pStyle w:val="Ttulo2"/>
        <w:spacing w:line="360" w:lineRule="auto"/>
        <w:rPr>
          <w:rFonts w:eastAsia="Calibri" w:cs="Times New Roman"/>
          <w:b/>
          <w:bCs/>
          <w:color w:val="767171"/>
          <w:szCs w:val="24"/>
        </w:rPr>
      </w:pPr>
      <w:bookmarkStart w:id="11" w:name="_Toc217997930"/>
      <w:r w:rsidRPr="007F17A7">
        <w:rPr>
          <w:rFonts w:eastAsia="Calibri" w:cs="Times New Roman"/>
          <w:b/>
          <w:bCs/>
          <w:color w:val="767171"/>
          <w:szCs w:val="24"/>
        </w:rPr>
        <w:lastRenderedPageBreak/>
        <w:t>2.3 Estructura organizativa</w:t>
      </w:r>
      <w:bookmarkEnd w:id="11"/>
    </w:p>
    <w:p w14:paraId="2E5EA9A3" w14:textId="1A2AA690" w:rsidR="00393C65" w:rsidRPr="00465A16" w:rsidRDefault="00287505" w:rsidP="00287505">
      <w:pPr>
        <w:spacing w:line="360" w:lineRule="auto"/>
        <w:jc w:val="center"/>
        <w:rPr>
          <w:rFonts w:eastAsia="Calibri"/>
          <w:color w:val="4C4747"/>
          <w:sz w:val="18"/>
          <w:szCs w:val="18"/>
        </w:rPr>
      </w:pPr>
      <w:r w:rsidRPr="00465A16">
        <w:rPr>
          <w:rFonts w:eastAsia="Calibri"/>
          <w:color w:val="4C4747"/>
          <w:sz w:val="18"/>
          <w:szCs w:val="18"/>
        </w:rPr>
        <w:t>Imagen 1. Estructura organizativa CGR</w:t>
      </w:r>
    </w:p>
    <w:p w14:paraId="11FD2E6C" w14:textId="621D331F" w:rsidR="00393C65" w:rsidRPr="00465A16" w:rsidRDefault="00287505" w:rsidP="00393C65">
      <w:pPr>
        <w:jc w:val="both"/>
        <w:rPr>
          <w:rFonts w:eastAsia="Calibri"/>
          <w:color w:val="4C4747"/>
        </w:rPr>
      </w:pPr>
      <w:r w:rsidRPr="00465A16">
        <w:rPr>
          <w:noProof/>
        </w:rPr>
        <w:drawing>
          <wp:anchor distT="0" distB="0" distL="114300" distR="114300" simplePos="0" relativeHeight="251725824" behindDoc="1" locked="0" layoutInCell="1" allowOverlap="1" wp14:anchorId="5F936B77" wp14:editId="085A5F90">
            <wp:simplePos x="0" y="0"/>
            <wp:positionH relativeFrom="margin">
              <wp:align>center</wp:align>
            </wp:positionH>
            <wp:positionV relativeFrom="paragraph">
              <wp:posOffset>17145</wp:posOffset>
            </wp:positionV>
            <wp:extent cx="7711440" cy="3994814"/>
            <wp:effectExtent l="0" t="0" r="3810" b="5715"/>
            <wp:wrapNone/>
            <wp:docPr id="1567748388" name="Imagen 2" descr="Diagrama,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48388" name="Imagen 2" descr="Diagrama, Escala de tiempo&#10;&#10;Descripción generada automáticamente"/>
                    <pic:cNvPicPr/>
                  </pic:nvPicPr>
                  <pic:blipFill rotWithShape="1">
                    <a:blip r:embed="rId16">
                      <a:extLst>
                        <a:ext uri="{28A0092B-C50C-407E-A947-70E740481C1C}">
                          <a14:useLocalDpi xmlns:a14="http://schemas.microsoft.com/office/drawing/2010/main" val="0"/>
                        </a:ext>
                      </a:extLst>
                    </a:blip>
                    <a:srcRect t="2707" b="3866"/>
                    <a:stretch/>
                  </pic:blipFill>
                  <pic:spPr bwMode="auto">
                    <a:xfrm>
                      <a:off x="0" y="0"/>
                      <a:ext cx="7711440" cy="39948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93420E" w14:textId="77777777" w:rsidR="00C704D3" w:rsidRPr="00465A16" w:rsidRDefault="00C704D3" w:rsidP="00393C65">
      <w:pPr>
        <w:jc w:val="both"/>
        <w:rPr>
          <w:rFonts w:eastAsia="Calibri"/>
          <w:color w:val="4C4747"/>
        </w:rPr>
      </w:pPr>
    </w:p>
    <w:p w14:paraId="648F8A02" w14:textId="77777777" w:rsidR="00C704D3" w:rsidRPr="00465A16" w:rsidRDefault="00C704D3" w:rsidP="00393C65">
      <w:pPr>
        <w:jc w:val="both"/>
        <w:rPr>
          <w:rFonts w:eastAsia="Calibri"/>
          <w:color w:val="4C4747"/>
        </w:rPr>
      </w:pPr>
    </w:p>
    <w:p w14:paraId="4941D065" w14:textId="77777777" w:rsidR="00C704D3" w:rsidRPr="00465A16" w:rsidRDefault="00C704D3" w:rsidP="00393C65">
      <w:pPr>
        <w:jc w:val="both"/>
        <w:rPr>
          <w:rFonts w:eastAsia="Calibri"/>
          <w:color w:val="4C4747"/>
        </w:rPr>
      </w:pPr>
    </w:p>
    <w:p w14:paraId="67A806CD" w14:textId="77777777" w:rsidR="00C704D3" w:rsidRPr="00465A16" w:rsidRDefault="00C704D3" w:rsidP="00393C65">
      <w:pPr>
        <w:jc w:val="both"/>
        <w:rPr>
          <w:rFonts w:eastAsia="Calibri"/>
          <w:color w:val="4C4747"/>
        </w:rPr>
      </w:pPr>
    </w:p>
    <w:p w14:paraId="5BA006F9" w14:textId="77777777" w:rsidR="00C704D3" w:rsidRPr="00465A16" w:rsidRDefault="00C704D3" w:rsidP="00393C65">
      <w:pPr>
        <w:jc w:val="both"/>
        <w:rPr>
          <w:rFonts w:eastAsia="Calibri"/>
          <w:color w:val="4C4747"/>
        </w:rPr>
      </w:pPr>
    </w:p>
    <w:p w14:paraId="00BF4955" w14:textId="77777777" w:rsidR="00C704D3" w:rsidRPr="00465A16" w:rsidRDefault="00C704D3" w:rsidP="00393C65">
      <w:pPr>
        <w:jc w:val="both"/>
        <w:rPr>
          <w:rFonts w:eastAsia="Calibri"/>
          <w:color w:val="4C4747"/>
        </w:rPr>
      </w:pPr>
    </w:p>
    <w:p w14:paraId="00C56D75" w14:textId="77777777" w:rsidR="00C704D3" w:rsidRPr="00465A16" w:rsidRDefault="00C704D3" w:rsidP="00393C65">
      <w:pPr>
        <w:jc w:val="both"/>
        <w:rPr>
          <w:rFonts w:eastAsia="Calibri"/>
          <w:color w:val="4C4747"/>
        </w:rPr>
      </w:pPr>
    </w:p>
    <w:p w14:paraId="23C9F792" w14:textId="77777777" w:rsidR="00C704D3" w:rsidRPr="00465A16" w:rsidRDefault="00C704D3" w:rsidP="00393C65">
      <w:pPr>
        <w:jc w:val="both"/>
        <w:rPr>
          <w:rFonts w:eastAsia="Calibri"/>
          <w:color w:val="4C4747"/>
        </w:rPr>
      </w:pPr>
    </w:p>
    <w:p w14:paraId="1A29D370" w14:textId="77777777" w:rsidR="00C704D3" w:rsidRPr="00465A16" w:rsidRDefault="00C704D3" w:rsidP="00393C65">
      <w:pPr>
        <w:jc w:val="both"/>
        <w:rPr>
          <w:rFonts w:eastAsia="Calibri"/>
          <w:color w:val="4C4747"/>
        </w:rPr>
      </w:pPr>
    </w:p>
    <w:p w14:paraId="2F62B1C3" w14:textId="77777777" w:rsidR="00C704D3" w:rsidRPr="00465A16" w:rsidRDefault="00C704D3" w:rsidP="00393C65">
      <w:pPr>
        <w:jc w:val="both"/>
        <w:rPr>
          <w:rFonts w:eastAsia="Calibri"/>
          <w:color w:val="4C4747"/>
        </w:rPr>
      </w:pPr>
    </w:p>
    <w:p w14:paraId="54CD2FD8" w14:textId="77777777" w:rsidR="00C704D3" w:rsidRPr="00465A16" w:rsidRDefault="00C704D3" w:rsidP="00393C65">
      <w:pPr>
        <w:jc w:val="both"/>
        <w:rPr>
          <w:rFonts w:eastAsia="Calibri"/>
          <w:color w:val="4C4747"/>
        </w:rPr>
      </w:pPr>
    </w:p>
    <w:p w14:paraId="53B11B37" w14:textId="77777777" w:rsidR="00C704D3" w:rsidRPr="00465A16" w:rsidRDefault="00C704D3" w:rsidP="00393C65">
      <w:pPr>
        <w:jc w:val="both"/>
        <w:rPr>
          <w:rFonts w:eastAsia="Calibri"/>
          <w:color w:val="4C4747"/>
        </w:rPr>
      </w:pPr>
    </w:p>
    <w:p w14:paraId="2E9BDF34" w14:textId="77777777" w:rsidR="00C704D3" w:rsidRPr="00465A16" w:rsidRDefault="00C704D3" w:rsidP="00393C65">
      <w:pPr>
        <w:jc w:val="both"/>
        <w:rPr>
          <w:rFonts w:eastAsia="Calibri"/>
          <w:color w:val="4C4747"/>
        </w:rPr>
      </w:pPr>
    </w:p>
    <w:p w14:paraId="7C0A5258" w14:textId="6CB87745" w:rsidR="00C704D3" w:rsidRPr="0077472F" w:rsidRDefault="00C704D3" w:rsidP="00287505">
      <w:pPr>
        <w:spacing w:line="360" w:lineRule="auto"/>
        <w:jc w:val="center"/>
        <w:rPr>
          <w:rFonts w:eastAsia="Calibri"/>
          <w:i/>
          <w:iCs/>
          <w:color w:val="4C4747"/>
          <w:sz w:val="18"/>
          <w:szCs w:val="18"/>
        </w:rPr>
        <w:sectPr w:rsidR="00C704D3" w:rsidRPr="0077472F" w:rsidSect="002325B7">
          <w:pgSz w:w="15840" w:h="12240" w:orient="landscape"/>
          <w:pgMar w:top="2160" w:right="1440" w:bottom="2160" w:left="1440" w:header="720" w:footer="720" w:gutter="0"/>
          <w:cols w:space="720"/>
          <w:docGrid w:linePitch="360"/>
        </w:sectPr>
      </w:pPr>
      <w:r w:rsidRPr="0077472F">
        <w:rPr>
          <w:rFonts w:eastAsia="Calibri"/>
          <w:i/>
          <w:iCs/>
          <w:color w:val="4C4747"/>
          <w:sz w:val="18"/>
          <w:szCs w:val="18"/>
        </w:rPr>
        <w:t>Fuente: Dirección de Planificación y Desarrollo</w:t>
      </w:r>
    </w:p>
    <w:p w14:paraId="54371598" w14:textId="0685D9D4" w:rsidR="00F80B81" w:rsidRPr="007F17A7" w:rsidRDefault="00F80B81" w:rsidP="00903BC2">
      <w:pPr>
        <w:pStyle w:val="Ttulo2"/>
        <w:rPr>
          <w:b/>
          <w:bCs/>
          <w:color w:val="767171"/>
          <w:szCs w:val="24"/>
        </w:rPr>
      </w:pPr>
      <w:bookmarkStart w:id="12" w:name="_Toc217997931"/>
      <w:r w:rsidRPr="007F17A7">
        <w:rPr>
          <w:b/>
          <w:bCs/>
          <w:color w:val="767171"/>
          <w:szCs w:val="24"/>
        </w:rPr>
        <w:lastRenderedPageBreak/>
        <w:t>2.4 Planificación estratégica institucional</w:t>
      </w:r>
      <w:bookmarkEnd w:id="12"/>
    </w:p>
    <w:p w14:paraId="4DDC8477" w14:textId="77777777" w:rsidR="00903BC2" w:rsidRPr="007F17A7" w:rsidRDefault="00903BC2" w:rsidP="00903BC2"/>
    <w:p w14:paraId="6FD8DA87" w14:textId="62C9E1B8" w:rsidR="00B716EE" w:rsidRPr="007F17A7" w:rsidRDefault="00393C65" w:rsidP="00465A16">
      <w:pPr>
        <w:spacing w:line="360" w:lineRule="auto"/>
        <w:jc w:val="both"/>
        <w:rPr>
          <w:rFonts w:eastAsia="Calibri"/>
        </w:rPr>
      </w:pPr>
      <w:r w:rsidRPr="007F17A7">
        <w:rPr>
          <w:rFonts w:eastAsia="Calibri"/>
        </w:rPr>
        <w:t>El Plan Estratégico Institucional (PEI) de la Contraloría General de la República 202</w:t>
      </w:r>
      <w:r w:rsidR="00B716EE" w:rsidRPr="007F17A7">
        <w:rPr>
          <w:rFonts w:eastAsia="Calibri"/>
        </w:rPr>
        <w:t>5</w:t>
      </w:r>
      <w:r w:rsidRPr="007F17A7">
        <w:rPr>
          <w:rFonts w:eastAsia="Calibri"/>
        </w:rPr>
        <w:t>-202</w:t>
      </w:r>
      <w:r w:rsidR="00B716EE" w:rsidRPr="007F17A7">
        <w:rPr>
          <w:rFonts w:eastAsia="Calibri"/>
        </w:rPr>
        <w:t>8</w:t>
      </w:r>
      <w:r w:rsidRPr="007F17A7">
        <w:rPr>
          <w:rFonts w:eastAsia="Calibri"/>
        </w:rPr>
        <w:t>, funge como la agenda principal que articula el quehacer institucional hacia el logro de los objetivos estratégicos</w:t>
      </w:r>
      <w:r w:rsidR="00B716EE" w:rsidRPr="007F17A7">
        <w:rPr>
          <w:rFonts w:eastAsia="Calibri"/>
        </w:rPr>
        <w:t xml:space="preserve"> de la organización y su vinculación a los planes nacionales. </w:t>
      </w:r>
    </w:p>
    <w:p w14:paraId="4D66A6CE" w14:textId="27753343" w:rsidR="00393C65" w:rsidRPr="007F17A7" w:rsidRDefault="00393C65" w:rsidP="00465A16">
      <w:pPr>
        <w:spacing w:line="360" w:lineRule="auto"/>
        <w:jc w:val="both"/>
        <w:rPr>
          <w:rFonts w:eastAsia="Calibri"/>
        </w:rPr>
      </w:pPr>
      <w:r w:rsidRPr="007F17A7">
        <w:rPr>
          <w:rFonts w:eastAsia="Calibri"/>
        </w:rPr>
        <w:t xml:space="preserve">En ese mismo orden, el PEI cuenta con </w:t>
      </w:r>
      <w:r w:rsidR="006B3348" w:rsidRPr="007F17A7">
        <w:rPr>
          <w:rFonts w:eastAsia="Calibri"/>
        </w:rPr>
        <w:t xml:space="preserve">tres </w:t>
      </w:r>
      <w:r w:rsidRPr="007F17A7">
        <w:rPr>
          <w:rFonts w:eastAsia="Calibri"/>
        </w:rPr>
        <w:t>ejes estratégicos, los cuales se presentan a continuación:</w:t>
      </w:r>
    </w:p>
    <w:p w14:paraId="714A7BB0" w14:textId="77777777" w:rsidR="005E0AF7" w:rsidRPr="007F17A7" w:rsidRDefault="00393C65" w:rsidP="00465A16">
      <w:pPr>
        <w:spacing w:line="360" w:lineRule="auto"/>
        <w:jc w:val="both"/>
        <w:rPr>
          <w:rFonts w:eastAsia="Calibri"/>
        </w:rPr>
      </w:pPr>
      <w:r w:rsidRPr="007F17A7">
        <w:rPr>
          <w:rFonts w:eastAsia="Calibri"/>
          <w:b/>
          <w:bCs/>
        </w:rPr>
        <w:t xml:space="preserve">Eje I. </w:t>
      </w:r>
      <w:r w:rsidR="005E0AF7" w:rsidRPr="007F17A7">
        <w:rPr>
          <w:rFonts w:eastAsia="Calibri"/>
          <w:b/>
          <w:bCs/>
        </w:rPr>
        <w:t>Rectoría del Sistema Nacional de Control Interno</w:t>
      </w:r>
    </w:p>
    <w:p w14:paraId="2D4FAB89" w14:textId="77777777" w:rsidR="005E0AF7" w:rsidRPr="007F17A7" w:rsidRDefault="005E0AF7" w:rsidP="00465A16">
      <w:pPr>
        <w:spacing w:line="360" w:lineRule="auto"/>
        <w:jc w:val="both"/>
        <w:rPr>
          <w:rFonts w:eastAsia="Calibri"/>
        </w:rPr>
      </w:pPr>
      <w:r w:rsidRPr="007F17A7">
        <w:rPr>
          <w:rFonts w:eastAsia="Calibri"/>
        </w:rPr>
        <w:t>Este eje procura el fortalecimiento del Sistema Nacional de Control Interno, mediante la emisión de normas de control interno de primer y segundo grado, la orientación técnica y el monitoreo del cumplimiento de dichas normas en las instituciones públicas, así como el aumento de su cobertura en las instituciones del Estado.</w:t>
      </w:r>
    </w:p>
    <w:p w14:paraId="6036E43E" w14:textId="238B7609" w:rsidR="00393C65" w:rsidRPr="007F17A7" w:rsidRDefault="005E0AF7" w:rsidP="00465A16">
      <w:pPr>
        <w:spacing w:line="360" w:lineRule="auto"/>
        <w:jc w:val="both"/>
        <w:rPr>
          <w:rFonts w:eastAsia="Calibri"/>
          <w:b/>
          <w:bCs/>
        </w:rPr>
      </w:pPr>
      <w:r w:rsidRPr="007F17A7">
        <w:rPr>
          <w:rFonts w:eastAsia="Calibri"/>
          <w:b/>
          <w:bCs/>
        </w:rPr>
        <w:t>O</w:t>
      </w:r>
      <w:r w:rsidR="00393C65" w:rsidRPr="007F17A7">
        <w:rPr>
          <w:rFonts w:eastAsia="Calibri"/>
          <w:b/>
          <w:bCs/>
        </w:rPr>
        <w:t>bjetivo estratégico:</w:t>
      </w:r>
    </w:p>
    <w:p w14:paraId="30EA05FF" w14:textId="244ECB2E" w:rsidR="005E0AF7" w:rsidRPr="007F17A7" w:rsidRDefault="005E0AF7" w:rsidP="00465A16">
      <w:pPr>
        <w:spacing w:line="360" w:lineRule="auto"/>
        <w:jc w:val="both"/>
        <w:rPr>
          <w:rFonts w:eastAsia="Calibri"/>
        </w:rPr>
      </w:pPr>
      <w:r w:rsidRPr="007F17A7">
        <w:rPr>
          <w:rFonts w:eastAsia="Calibri"/>
        </w:rPr>
        <w:t>1.1 Fortalecer el Sistema Nacional de Control Interno a través del desarrollo e implementación de las normas, políticas y procedimientos de fiscalización y control interno en las instituciones públicas dentro del ámbito de ley.</w:t>
      </w:r>
    </w:p>
    <w:p w14:paraId="2A0BD5E2" w14:textId="2AA6FE76" w:rsidR="00393C65" w:rsidRPr="007F17A7" w:rsidRDefault="00393C65" w:rsidP="00465A16">
      <w:pPr>
        <w:spacing w:line="360" w:lineRule="auto"/>
        <w:jc w:val="both"/>
        <w:rPr>
          <w:rFonts w:eastAsia="Calibri"/>
          <w:b/>
          <w:bCs/>
        </w:rPr>
      </w:pPr>
      <w:r w:rsidRPr="007F17A7">
        <w:rPr>
          <w:rFonts w:eastAsia="Calibri"/>
          <w:b/>
          <w:bCs/>
        </w:rPr>
        <w:t xml:space="preserve">Eje II. </w:t>
      </w:r>
      <w:r w:rsidR="00FB05E4" w:rsidRPr="007F17A7">
        <w:rPr>
          <w:rFonts w:eastAsia="Calibri"/>
          <w:b/>
          <w:bCs/>
        </w:rPr>
        <w:t>Fiscalización y control de los recursos públicos</w:t>
      </w:r>
      <w:r w:rsidRPr="007F17A7">
        <w:rPr>
          <w:rFonts w:eastAsia="Calibri"/>
          <w:b/>
          <w:bCs/>
        </w:rPr>
        <w:t>:</w:t>
      </w:r>
    </w:p>
    <w:p w14:paraId="7AB0A045" w14:textId="77777777" w:rsidR="00FB05E4" w:rsidRPr="007F17A7" w:rsidRDefault="00FB05E4" w:rsidP="00465A16">
      <w:pPr>
        <w:spacing w:line="360" w:lineRule="auto"/>
        <w:jc w:val="both"/>
        <w:rPr>
          <w:rFonts w:eastAsia="Calibri"/>
        </w:rPr>
      </w:pPr>
      <w:r w:rsidRPr="007F17A7">
        <w:rPr>
          <w:rFonts w:eastAsia="Calibri"/>
        </w:rPr>
        <w:t xml:space="preserve">Con este eje se pretende, el aseguramiento, con altos estándares de calidad, de los procesos de fiscalización y control del debido recaudo y uso de los recursos públicos, la ampliación de la cobertura de las auditorías, el fortalecimiento del Sistema Antifraude, garantizando el cumplimiento de los compromisos contractuales asumidos entre instituciones públicas y proveedores.  </w:t>
      </w:r>
    </w:p>
    <w:p w14:paraId="6B9B9164" w14:textId="77777777" w:rsidR="00FB05E4" w:rsidRPr="007F17A7" w:rsidRDefault="00FB05E4" w:rsidP="00465A16">
      <w:pPr>
        <w:spacing w:line="360" w:lineRule="auto"/>
        <w:jc w:val="both"/>
        <w:rPr>
          <w:rFonts w:eastAsia="Calibri"/>
        </w:rPr>
      </w:pPr>
    </w:p>
    <w:p w14:paraId="3FA301A7" w14:textId="77777777" w:rsidR="00903BC2" w:rsidRPr="007F17A7" w:rsidRDefault="00903BC2" w:rsidP="00465A16">
      <w:pPr>
        <w:spacing w:line="360" w:lineRule="auto"/>
        <w:jc w:val="both"/>
        <w:rPr>
          <w:rFonts w:eastAsia="Calibri"/>
          <w:b/>
          <w:bCs/>
        </w:rPr>
      </w:pPr>
    </w:p>
    <w:p w14:paraId="4A25985F" w14:textId="18A9A81C" w:rsidR="00FB05E4" w:rsidRPr="007F17A7" w:rsidRDefault="00FB05E4" w:rsidP="00465A16">
      <w:pPr>
        <w:spacing w:line="360" w:lineRule="auto"/>
        <w:jc w:val="both"/>
        <w:rPr>
          <w:rFonts w:eastAsia="Calibri"/>
          <w:b/>
          <w:bCs/>
        </w:rPr>
      </w:pPr>
      <w:r w:rsidRPr="007F17A7">
        <w:rPr>
          <w:rFonts w:eastAsia="Calibri"/>
          <w:b/>
          <w:bCs/>
        </w:rPr>
        <w:lastRenderedPageBreak/>
        <w:t>Objetivo estratégico:</w:t>
      </w:r>
    </w:p>
    <w:p w14:paraId="4ACFAC35" w14:textId="3B595052" w:rsidR="00FB05E4" w:rsidRPr="007F17A7" w:rsidRDefault="00FB05E4" w:rsidP="00465A16">
      <w:pPr>
        <w:spacing w:line="360" w:lineRule="auto"/>
        <w:jc w:val="both"/>
        <w:rPr>
          <w:rFonts w:eastAsia="Calibri"/>
        </w:rPr>
      </w:pPr>
      <w:r w:rsidRPr="007F17A7">
        <w:rPr>
          <w:rFonts w:eastAsia="Calibri"/>
        </w:rPr>
        <w:t>2.1 Asegurar altos niveles de calidad en los procesos de fiscalización y control del debido recaudo y uso de los recursos públicos.</w:t>
      </w:r>
    </w:p>
    <w:p w14:paraId="7451B9EB" w14:textId="77777777" w:rsidR="00FB05E4" w:rsidRPr="007F17A7" w:rsidRDefault="00393C65" w:rsidP="00465A16">
      <w:pPr>
        <w:spacing w:line="360" w:lineRule="auto"/>
        <w:jc w:val="both"/>
        <w:rPr>
          <w:rFonts w:eastAsia="Calibri"/>
          <w:b/>
          <w:bCs/>
        </w:rPr>
      </w:pPr>
      <w:r w:rsidRPr="007F17A7">
        <w:rPr>
          <w:rFonts w:eastAsia="Calibri"/>
          <w:b/>
          <w:bCs/>
        </w:rPr>
        <w:t xml:space="preserve">Eje III. </w:t>
      </w:r>
      <w:r w:rsidR="00FB05E4" w:rsidRPr="007F17A7">
        <w:rPr>
          <w:rFonts w:eastAsia="Calibri"/>
          <w:b/>
          <w:bCs/>
        </w:rPr>
        <w:t>Fortalecimiento de la gestión institucional.</w:t>
      </w:r>
    </w:p>
    <w:p w14:paraId="206B8DC5" w14:textId="3F165C76" w:rsidR="00393C65" w:rsidRPr="007F17A7" w:rsidRDefault="00FB05E4" w:rsidP="00465A16">
      <w:pPr>
        <w:spacing w:line="360" w:lineRule="auto"/>
        <w:jc w:val="both"/>
        <w:rPr>
          <w:rFonts w:eastAsia="Calibri"/>
        </w:rPr>
      </w:pPr>
      <w:r w:rsidRPr="007F17A7">
        <w:rPr>
          <w:rFonts w:eastAsia="Calibri"/>
        </w:rPr>
        <w:t>Este eje tiene como objetivo asegurar la eficiencia y eficacia de la labor sustantiva o misional de la CGR, en la medida que provee, las condiciones y requerimientos, de forma oportuna, pertinente y con calidad, que demandan las unidades sustantivas. Este eje contempla un conjunto de intervenciones orientada</w:t>
      </w:r>
      <w:r w:rsidR="00E023A6">
        <w:rPr>
          <w:rFonts w:eastAsia="Calibri"/>
        </w:rPr>
        <w:t>s</w:t>
      </w:r>
      <w:r w:rsidRPr="007F17A7">
        <w:rPr>
          <w:rFonts w:eastAsia="Calibri"/>
        </w:rPr>
        <w:t xml:space="preserve"> a fortalecer las capacidades institucionales internas y de gestión que permitan la estandarización y eficiencia de los procesos, el fortalecimiento del sistema de planificación, el desarrollo de capacidades y competencias del personal, la eficiencia de la gestión administrativa y financiera, el mejoramiento del sistema de información de cara a facilitar la toma oportuna de decisiones</w:t>
      </w:r>
      <w:r w:rsidR="00ED4853">
        <w:rPr>
          <w:rFonts w:eastAsia="Calibri"/>
        </w:rPr>
        <w:t xml:space="preserve"> y</w:t>
      </w:r>
      <w:r w:rsidRPr="007F17A7">
        <w:rPr>
          <w:rFonts w:eastAsia="Calibri"/>
        </w:rPr>
        <w:t xml:space="preserve"> el posicionamiento y valoración de la imagen institucional.</w:t>
      </w:r>
    </w:p>
    <w:p w14:paraId="3FDA6421" w14:textId="77777777" w:rsidR="00FB05E4" w:rsidRPr="007F17A7" w:rsidRDefault="00FB05E4" w:rsidP="00465A16">
      <w:pPr>
        <w:spacing w:line="360" w:lineRule="auto"/>
        <w:jc w:val="both"/>
        <w:rPr>
          <w:rFonts w:eastAsia="Calibri"/>
          <w:b/>
          <w:bCs/>
        </w:rPr>
      </w:pPr>
      <w:r w:rsidRPr="007F17A7">
        <w:rPr>
          <w:rFonts w:eastAsia="Calibri"/>
          <w:b/>
          <w:bCs/>
        </w:rPr>
        <w:t>Objetivo estratégico:</w:t>
      </w:r>
    </w:p>
    <w:p w14:paraId="18FD440E" w14:textId="23EACA72" w:rsidR="00654164" w:rsidRPr="007F17A7" w:rsidRDefault="00FB05E4" w:rsidP="00465A16">
      <w:pPr>
        <w:spacing w:line="360" w:lineRule="auto"/>
        <w:jc w:val="both"/>
        <w:rPr>
          <w:rFonts w:eastAsia="Calibri"/>
        </w:rPr>
      </w:pPr>
      <w:r w:rsidRPr="007F17A7">
        <w:rPr>
          <w:rFonts w:eastAsia="Calibri"/>
        </w:rPr>
        <w:t xml:space="preserve">3.1 Eficientizar los procesos Internos para garantizar la labor misional e institucional. </w:t>
      </w:r>
      <w:r w:rsidR="00F80B81" w:rsidRPr="007F17A7">
        <w:rPr>
          <w:rFonts w:eastAsia="Calibri"/>
        </w:rPr>
        <w:br w:type="page"/>
      </w:r>
    </w:p>
    <w:p w14:paraId="5E396B73" w14:textId="0E0CC17C" w:rsidR="00654164" w:rsidRPr="00FA378C" w:rsidRDefault="00654164">
      <w:pPr>
        <w:pStyle w:val="Ttulo1"/>
        <w:numPr>
          <w:ilvl w:val="0"/>
          <w:numId w:val="3"/>
        </w:numPr>
        <w:rPr>
          <w:rFonts w:cs="Times New Roman"/>
          <w:color w:val="767171"/>
        </w:rPr>
      </w:pPr>
      <w:bookmarkStart w:id="13" w:name="_Toc217997932"/>
      <w:r w:rsidRPr="00FA378C">
        <w:rPr>
          <w:rFonts w:cs="Times New Roman"/>
          <w:color w:val="767171"/>
        </w:rPr>
        <w:lastRenderedPageBreak/>
        <w:t>RESULTADOS MISIONALES</w:t>
      </w:r>
      <w:bookmarkEnd w:id="13"/>
    </w:p>
    <w:p w14:paraId="5BAE0DB8" w14:textId="77777777" w:rsidR="00FB05E4" w:rsidRPr="00FA378C" w:rsidRDefault="00654164" w:rsidP="00FB05E4">
      <w:pPr>
        <w:jc w:val="both"/>
        <w:rPr>
          <w:rFonts w:eastAsia="Calibri"/>
          <w:szCs w:val="36"/>
        </w:rPr>
      </w:pPr>
      <w:r w:rsidRPr="00FA378C">
        <w:rPr>
          <w:rFonts w:eastAsia="Calibri"/>
          <w:noProof/>
          <w:sz w:val="18"/>
        </w:rPr>
        <mc:AlternateContent>
          <mc:Choice Requires="wps">
            <w:drawing>
              <wp:anchor distT="0" distB="0" distL="114300" distR="114300" simplePos="0" relativeHeight="251655680" behindDoc="0" locked="0" layoutInCell="1" allowOverlap="1" wp14:anchorId="4DF5F78D" wp14:editId="5525E9E8">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289E2" id="Straight Connector 14"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111487E5" w:rsidR="00654164" w:rsidRPr="00FA378C" w:rsidRDefault="00654164" w:rsidP="00465A16">
      <w:pPr>
        <w:spacing w:line="360" w:lineRule="auto"/>
        <w:jc w:val="center"/>
        <w:rPr>
          <w:rFonts w:eastAsia="Calibri"/>
          <w:szCs w:val="36"/>
        </w:rPr>
      </w:pPr>
      <w:r w:rsidRPr="00FA378C">
        <w:rPr>
          <w:rFonts w:eastAsia="Calibri"/>
          <w:szCs w:val="36"/>
        </w:rPr>
        <w:t xml:space="preserve">Memoria </w:t>
      </w:r>
      <w:r w:rsidR="00D837AC" w:rsidRPr="00FA378C">
        <w:rPr>
          <w:rFonts w:eastAsia="Calibri"/>
          <w:szCs w:val="36"/>
        </w:rPr>
        <w:t>I</w:t>
      </w:r>
      <w:r w:rsidRPr="00FA378C">
        <w:rPr>
          <w:rFonts w:eastAsia="Calibri"/>
          <w:szCs w:val="36"/>
        </w:rPr>
        <w:t xml:space="preserve">nstitucional </w:t>
      </w:r>
      <w:r w:rsidR="000025D4" w:rsidRPr="00FA378C">
        <w:rPr>
          <w:rFonts w:eastAsia="Calibri"/>
          <w:szCs w:val="36"/>
        </w:rPr>
        <w:t>202</w:t>
      </w:r>
      <w:r w:rsidR="00FB05E4" w:rsidRPr="00FA378C">
        <w:rPr>
          <w:rFonts w:eastAsia="Calibri"/>
          <w:szCs w:val="36"/>
        </w:rPr>
        <w:t>5</w:t>
      </w:r>
    </w:p>
    <w:p w14:paraId="7329C429" w14:textId="77777777" w:rsidR="00FB05E4" w:rsidRPr="007F17A7" w:rsidRDefault="00FB05E4" w:rsidP="00465A16">
      <w:pPr>
        <w:spacing w:line="360" w:lineRule="auto"/>
        <w:jc w:val="center"/>
        <w:rPr>
          <w:rFonts w:eastAsia="Calibri"/>
          <w:szCs w:val="36"/>
        </w:rPr>
      </w:pPr>
    </w:p>
    <w:p w14:paraId="167364CE" w14:textId="4792CE0D" w:rsidR="00B906E8" w:rsidRPr="00EE1AAD" w:rsidRDefault="00FB05E4" w:rsidP="00903BC2">
      <w:pPr>
        <w:pStyle w:val="Ttulo2"/>
        <w:spacing w:line="360" w:lineRule="auto"/>
        <w:rPr>
          <w:b/>
          <w:bCs/>
          <w:color w:val="767171"/>
          <w:szCs w:val="24"/>
        </w:rPr>
      </w:pPr>
      <w:bookmarkStart w:id="14" w:name="_Toc217997933"/>
      <w:bookmarkStart w:id="15" w:name="_Hlk214611415"/>
      <w:r w:rsidRPr="00EE1AAD">
        <w:rPr>
          <w:b/>
          <w:bCs/>
          <w:color w:val="767171"/>
          <w:szCs w:val="24"/>
        </w:rPr>
        <w:t xml:space="preserve">3.1 </w:t>
      </w:r>
      <w:r w:rsidR="005E321B" w:rsidRPr="00EE1AAD">
        <w:rPr>
          <w:b/>
          <w:bCs/>
          <w:color w:val="767171"/>
          <w:szCs w:val="24"/>
        </w:rPr>
        <w:t xml:space="preserve">Implementación y </w:t>
      </w:r>
      <w:r w:rsidR="00C901A9" w:rsidRPr="00EE1AAD">
        <w:rPr>
          <w:b/>
          <w:bCs/>
          <w:color w:val="767171"/>
          <w:szCs w:val="24"/>
        </w:rPr>
        <w:t>fortalecimiento</w:t>
      </w:r>
      <w:r w:rsidR="005E321B" w:rsidRPr="00EE1AAD">
        <w:rPr>
          <w:b/>
          <w:bCs/>
          <w:color w:val="767171"/>
          <w:szCs w:val="24"/>
        </w:rPr>
        <w:t xml:space="preserve"> del </w:t>
      </w:r>
      <w:r w:rsidR="00EE1AAD">
        <w:rPr>
          <w:b/>
          <w:bCs/>
          <w:color w:val="767171"/>
          <w:szCs w:val="24"/>
        </w:rPr>
        <w:t>S</w:t>
      </w:r>
      <w:r w:rsidR="005E321B" w:rsidRPr="00EE1AAD">
        <w:rPr>
          <w:b/>
          <w:bCs/>
          <w:color w:val="767171"/>
          <w:szCs w:val="24"/>
        </w:rPr>
        <w:t xml:space="preserve">istema </w:t>
      </w:r>
      <w:r w:rsidR="00EE1AAD">
        <w:rPr>
          <w:b/>
          <w:bCs/>
          <w:color w:val="767171"/>
          <w:szCs w:val="24"/>
        </w:rPr>
        <w:t>N</w:t>
      </w:r>
      <w:r w:rsidR="005E321B" w:rsidRPr="00EE1AAD">
        <w:rPr>
          <w:b/>
          <w:bCs/>
          <w:color w:val="767171"/>
          <w:szCs w:val="24"/>
        </w:rPr>
        <w:t xml:space="preserve">acional de </w:t>
      </w:r>
      <w:r w:rsidR="00EE1AAD">
        <w:rPr>
          <w:b/>
          <w:bCs/>
          <w:color w:val="767171"/>
          <w:szCs w:val="24"/>
        </w:rPr>
        <w:t>C</w:t>
      </w:r>
      <w:r w:rsidR="005E321B" w:rsidRPr="00EE1AAD">
        <w:rPr>
          <w:b/>
          <w:bCs/>
          <w:color w:val="767171"/>
          <w:szCs w:val="24"/>
        </w:rPr>
        <w:t xml:space="preserve">ontrol </w:t>
      </w:r>
      <w:r w:rsidR="00EE1AAD">
        <w:rPr>
          <w:b/>
          <w:bCs/>
          <w:color w:val="767171"/>
          <w:szCs w:val="24"/>
        </w:rPr>
        <w:t>I</w:t>
      </w:r>
      <w:r w:rsidR="005E321B" w:rsidRPr="00EE1AAD">
        <w:rPr>
          <w:b/>
          <w:bCs/>
          <w:color w:val="767171"/>
          <w:szCs w:val="24"/>
        </w:rPr>
        <w:t>nterno</w:t>
      </w:r>
      <w:bookmarkEnd w:id="14"/>
    </w:p>
    <w:p w14:paraId="6E263FB5" w14:textId="77777777" w:rsidR="00903BC2" w:rsidRPr="007F17A7" w:rsidRDefault="00903BC2" w:rsidP="00903BC2"/>
    <w:p w14:paraId="67352759" w14:textId="13BE3D6F" w:rsidR="004007DE" w:rsidRPr="007F17A7" w:rsidRDefault="00A775DA" w:rsidP="00465A16">
      <w:pPr>
        <w:spacing w:line="360" w:lineRule="auto"/>
        <w:jc w:val="both"/>
        <w:rPr>
          <w:rFonts w:eastAsia="Calibri"/>
          <w:b/>
          <w:bCs/>
        </w:rPr>
      </w:pPr>
      <w:r w:rsidRPr="007F17A7">
        <w:rPr>
          <w:rFonts w:eastAsia="Calibri"/>
          <w:b/>
          <w:bCs/>
        </w:rPr>
        <w:t xml:space="preserve">a. </w:t>
      </w:r>
      <w:r w:rsidR="000C4DB0" w:rsidRPr="007F17A7">
        <w:rPr>
          <w:rFonts w:eastAsia="Calibri"/>
          <w:b/>
          <w:bCs/>
        </w:rPr>
        <w:t>Normas básicas de control interno  (Nobaci)</w:t>
      </w:r>
    </w:p>
    <w:p w14:paraId="00AF5614" w14:textId="77777777" w:rsidR="00FB05E4" w:rsidRPr="007F17A7" w:rsidRDefault="00FB05E4" w:rsidP="00465A16">
      <w:pPr>
        <w:spacing w:line="360" w:lineRule="auto"/>
        <w:jc w:val="both"/>
        <w:rPr>
          <w:rFonts w:eastAsia="Calibri"/>
        </w:rPr>
      </w:pPr>
      <w:r w:rsidRPr="007F17A7">
        <w:rPr>
          <w:rFonts w:eastAsia="Calibri"/>
        </w:rPr>
        <w:t xml:space="preserve">La Contraloría General de la República como órgano rector del control interno emite las Normas básicas de control interno (Nobaci) de primer y segundo grado, las cuales representan la base del control normativo y de procesos, sobre la cual se sustentan los pilares del control previo y control fiscalizador que componen el Sistema Nacional de Control Interno. </w:t>
      </w:r>
    </w:p>
    <w:p w14:paraId="2D4279D9" w14:textId="41A68D0E" w:rsidR="00FB05E4" w:rsidRPr="007F17A7" w:rsidRDefault="00FB05E4" w:rsidP="00465A16">
      <w:pPr>
        <w:spacing w:line="360" w:lineRule="auto"/>
        <w:jc w:val="both"/>
        <w:rPr>
          <w:rFonts w:eastAsia="Calibri"/>
        </w:rPr>
      </w:pPr>
      <w:r w:rsidRPr="007F17A7">
        <w:rPr>
          <w:rFonts w:eastAsia="Calibri"/>
        </w:rPr>
        <w:t>Al 30 de noviembre, se logró la implementación de 10 nuevas instituciones en Nobaci, alcanzando un total 285 instituciones implementadas a la fecha. De estas</w:t>
      </w:r>
      <w:r w:rsidR="00BD3C5A">
        <w:rPr>
          <w:rFonts w:eastAsia="Calibri"/>
        </w:rPr>
        <w:t>,</w:t>
      </w:r>
      <w:r w:rsidRPr="007F17A7">
        <w:rPr>
          <w:rFonts w:eastAsia="Calibri"/>
        </w:rPr>
        <w:t xml:space="preserve"> 200 corresponden a Nobaci Institucional, 75 a Nobaci Municipal y 10 a Nobaci sector salud, continuando con el piloto de implementación de este sector, cuya finalidad es brindar un tratamiento diferenciado a esas entidades integrando requerimientos de control interno más apegados a la normativa legal que les compete. Este es el resultado de la realización de 1,635 visitas de asesoría, con una participación total de 8,750 funcionarios representantes de las distintas entidades de gobierno central, sector salud y municipal. </w:t>
      </w:r>
      <w:r w:rsidR="00415E4D">
        <w:rPr>
          <w:rFonts w:eastAsia="Calibri"/>
        </w:rPr>
        <w:t>Se proyecta el cierre de año con las 28</w:t>
      </w:r>
      <w:r w:rsidR="00D3278D">
        <w:rPr>
          <w:rFonts w:eastAsia="Calibri"/>
        </w:rPr>
        <w:t>5</w:t>
      </w:r>
      <w:r w:rsidR="00415E4D">
        <w:rPr>
          <w:rFonts w:eastAsia="Calibri"/>
        </w:rPr>
        <w:t xml:space="preserve"> instituciones implementadas a la fecha</w:t>
      </w:r>
      <w:r w:rsidR="00BD3C5A">
        <w:rPr>
          <w:rFonts w:eastAsia="Calibri"/>
        </w:rPr>
        <w:t>, según la programación operativa.</w:t>
      </w:r>
    </w:p>
    <w:p w14:paraId="59A1F4B6" w14:textId="77777777" w:rsidR="00BD3C5A" w:rsidRDefault="00BD3C5A" w:rsidP="00465A16">
      <w:pPr>
        <w:spacing w:line="360" w:lineRule="auto"/>
        <w:jc w:val="both"/>
        <w:rPr>
          <w:rFonts w:eastAsia="Calibri"/>
        </w:rPr>
      </w:pPr>
    </w:p>
    <w:p w14:paraId="72FBF2E2" w14:textId="13F7CAAC" w:rsidR="00E11F17" w:rsidRPr="007F17A7" w:rsidRDefault="00FB05E4" w:rsidP="00465A16">
      <w:pPr>
        <w:spacing w:line="360" w:lineRule="auto"/>
        <w:jc w:val="both"/>
        <w:rPr>
          <w:rFonts w:eastAsia="Calibri"/>
        </w:rPr>
      </w:pPr>
      <w:r w:rsidRPr="007F17A7">
        <w:rPr>
          <w:rFonts w:eastAsia="Calibri"/>
        </w:rPr>
        <w:lastRenderedPageBreak/>
        <w:t xml:space="preserve">Además, es importante mencionar que durante este período se han realizado jornadas para la validación del cumplimiento de las Nobaci en 8 instituciones </w:t>
      </w:r>
      <w:r w:rsidR="0091716D" w:rsidRPr="007F17A7">
        <w:rPr>
          <w:rFonts w:eastAsia="Calibri"/>
        </w:rPr>
        <w:t>para un</w:t>
      </w:r>
      <w:r w:rsidRPr="007F17A7">
        <w:rPr>
          <w:rFonts w:eastAsia="Calibri"/>
        </w:rPr>
        <w:t xml:space="preserve"> total de 42 instituciones validadadas a la fecha</w:t>
      </w:r>
      <w:r w:rsidR="00DA612A">
        <w:rPr>
          <w:rFonts w:eastAsia="Calibri"/>
        </w:rPr>
        <w:t>, cifra que se mantendrá hasta el cierre de año</w:t>
      </w:r>
      <w:r w:rsidR="00BD3C5A">
        <w:rPr>
          <w:rFonts w:eastAsia="Calibri"/>
        </w:rPr>
        <w:t xml:space="preserve"> según proyecciones.</w:t>
      </w:r>
    </w:p>
    <w:p w14:paraId="1B742949" w14:textId="35517CD4" w:rsidR="00FB05E4" w:rsidRPr="007F17A7" w:rsidRDefault="00FB05E4" w:rsidP="00465A16">
      <w:pPr>
        <w:spacing w:line="360" w:lineRule="auto"/>
        <w:jc w:val="both"/>
        <w:rPr>
          <w:rFonts w:eastAsia="Calibri"/>
        </w:rPr>
      </w:pPr>
      <w:r w:rsidRPr="007F17A7">
        <w:rPr>
          <w:rFonts w:eastAsia="Calibri"/>
        </w:rPr>
        <w:t>A través de las Nobaci se evalúan cinco componentes, a saber</w:t>
      </w:r>
      <w:r w:rsidR="00C7690D" w:rsidRPr="007F17A7">
        <w:rPr>
          <w:rFonts w:eastAsia="Calibri"/>
        </w:rPr>
        <w:t xml:space="preserve">, </w:t>
      </w:r>
      <w:r w:rsidRPr="007F17A7">
        <w:rPr>
          <w:rFonts w:eastAsia="Calibri"/>
        </w:rPr>
        <w:t xml:space="preserve">Ambiente de control, Valoración y administración de riesgos, Actividades de control, Información y comunicación, Monitoreo y evaluación. En ese sentido, presentamos el avance en la implementación de estas normas según componente, donde a nivel institucional el ambiente de control presenta el porcentaje más alto con un 85.85% y para el nivel municipal el monitoreo y evaluación con un 88.67% de avance. </w:t>
      </w:r>
    </w:p>
    <w:p w14:paraId="77F29F49" w14:textId="5DA43333" w:rsidR="00FB05E4" w:rsidRPr="007F17A7" w:rsidRDefault="00FB05E4" w:rsidP="00465A16">
      <w:pPr>
        <w:spacing w:line="360" w:lineRule="auto"/>
        <w:jc w:val="both"/>
        <w:rPr>
          <w:rFonts w:eastAsia="Calibri"/>
        </w:rPr>
      </w:pPr>
      <w:r w:rsidRPr="007F17A7">
        <w:rPr>
          <w:rFonts w:eastAsia="Calibri"/>
        </w:rPr>
        <w:t>De modo general la implementación de Nobaci institucional contemplando sus cinco componentes ha alcanzado un promedio de 80.34% con un aumento de un 8.44% respecto al cierre del año 202</w:t>
      </w:r>
      <w:r w:rsidR="00BD3C5A">
        <w:rPr>
          <w:rFonts w:eastAsia="Calibri"/>
        </w:rPr>
        <w:t>4</w:t>
      </w:r>
      <w:r w:rsidRPr="007F17A7">
        <w:rPr>
          <w:rFonts w:eastAsia="Calibri"/>
        </w:rPr>
        <w:t>.</w:t>
      </w:r>
      <w:r w:rsidR="000F720A">
        <w:rPr>
          <w:rFonts w:eastAsia="Calibri"/>
        </w:rPr>
        <w:t xml:space="preserve"> </w:t>
      </w:r>
      <w:r w:rsidRPr="007F17A7">
        <w:rPr>
          <w:rFonts w:eastAsia="Calibri"/>
        </w:rPr>
        <w:t xml:space="preserve">Nobaci municipal por otro lado, ha alcanzado un 63.20%, significando esto un incremento de un 36.15% respecto del año pasado. </w:t>
      </w:r>
      <w:r w:rsidR="002D58B5" w:rsidRPr="007F17A7">
        <w:rPr>
          <w:rFonts w:eastAsia="Calibri"/>
        </w:rPr>
        <w:t>E</w:t>
      </w:r>
      <w:r w:rsidRPr="007F17A7">
        <w:rPr>
          <w:rFonts w:eastAsia="Calibri"/>
        </w:rPr>
        <w:t>l sector salud ha alcanzado un 2.70% de implementación.</w:t>
      </w:r>
      <w:r w:rsidR="000F720A">
        <w:rPr>
          <w:rFonts w:eastAsia="Calibri"/>
        </w:rPr>
        <w:t xml:space="preserve"> Se proyecta que estas </w:t>
      </w:r>
      <w:r w:rsidR="005A7423">
        <w:rPr>
          <w:rFonts w:eastAsia="Calibri"/>
        </w:rPr>
        <w:t>porcentajes</w:t>
      </w:r>
      <w:r w:rsidR="000F720A">
        <w:rPr>
          <w:rFonts w:eastAsia="Calibri"/>
        </w:rPr>
        <w:t xml:space="preserve"> se mantienen para cierre de año.</w:t>
      </w:r>
    </w:p>
    <w:p w14:paraId="7FA5557B" w14:textId="7A87A20F" w:rsidR="00ED401F" w:rsidRPr="007F17A7" w:rsidRDefault="00ED401F" w:rsidP="00FB05E4">
      <w:pPr>
        <w:spacing w:line="360" w:lineRule="auto"/>
        <w:jc w:val="center"/>
        <w:rPr>
          <w:rFonts w:eastAsia="Calibri"/>
          <w:sz w:val="18"/>
          <w:szCs w:val="18"/>
        </w:rPr>
      </w:pPr>
      <w:r w:rsidRPr="007F17A7">
        <w:rPr>
          <w:rFonts w:eastAsia="Calibri"/>
          <w:sz w:val="18"/>
          <w:szCs w:val="18"/>
        </w:rPr>
        <w:t xml:space="preserve">Tabla </w:t>
      </w:r>
      <w:r w:rsidR="001C515D" w:rsidRPr="007F17A7">
        <w:rPr>
          <w:rFonts w:eastAsia="Calibri"/>
          <w:sz w:val="18"/>
          <w:szCs w:val="18"/>
        </w:rPr>
        <w:t>1</w:t>
      </w:r>
      <w:r w:rsidRPr="007F17A7">
        <w:rPr>
          <w:rFonts w:eastAsia="Calibri"/>
          <w:sz w:val="18"/>
          <w:szCs w:val="18"/>
        </w:rPr>
        <w:t>. Porcentaje de implementación de la Nobaci en las instituciones</w:t>
      </w:r>
      <w:r w:rsidR="00BD3C5A">
        <w:rPr>
          <w:rFonts w:eastAsia="Calibri"/>
          <w:sz w:val="18"/>
          <w:szCs w:val="18"/>
        </w:rPr>
        <w:t xml:space="preserve"> al 31 de diciembre 2025</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1"/>
        <w:gridCol w:w="1537"/>
        <w:gridCol w:w="1581"/>
        <w:gridCol w:w="1559"/>
      </w:tblGrid>
      <w:tr w:rsidR="00FB05E4" w:rsidRPr="00465A16" w14:paraId="643BF5C6" w14:textId="77777777" w:rsidTr="00FB05E4">
        <w:trPr>
          <w:trHeight w:val="492"/>
        </w:trPr>
        <w:tc>
          <w:tcPr>
            <w:tcW w:w="3261" w:type="dxa"/>
            <w:shd w:val="clear" w:color="auto" w:fill="011C50"/>
            <w:vAlign w:val="center"/>
            <w:hideMark/>
          </w:tcPr>
          <w:p w14:paraId="08665342" w14:textId="77777777" w:rsidR="00FB05E4" w:rsidRPr="00465A16" w:rsidRDefault="00FB05E4" w:rsidP="00B41FF8">
            <w:pPr>
              <w:spacing w:after="0" w:line="240" w:lineRule="auto"/>
              <w:jc w:val="center"/>
              <w:rPr>
                <w:rFonts w:eastAsia="Times New Roman"/>
                <w:b/>
                <w:bCs/>
                <w:color w:val="FFFFFF"/>
                <w:spacing w:val="0"/>
                <w:lang w:eastAsia="es-DO"/>
              </w:rPr>
            </w:pPr>
            <w:r w:rsidRPr="00465A16">
              <w:rPr>
                <w:rFonts w:eastAsia="Times New Roman"/>
                <w:b/>
                <w:bCs/>
                <w:color w:val="FFFFFF" w:themeColor="background1"/>
                <w:spacing w:val="0"/>
                <w:lang w:eastAsia="es-DO"/>
              </w:rPr>
              <w:t>Ambiente</w:t>
            </w:r>
          </w:p>
        </w:tc>
        <w:tc>
          <w:tcPr>
            <w:tcW w:w="1537" w:type="dxa"/>
            <w:shd w:val="clear" w:color="auto" w:fill="011C50"/>
            <w:vAlign w:val="center"/>
            <w:hideMark/>
          </w:tcPr>
          <w:p w14:paraId="5894C63E" w14:textId="77777777" w:rsidR="00FB05E4" w:rsidRPr="00465A16" w:rsidRDefault="00FB05E4" w:rsidP="00B41FF8">
            <w:pPr>
              <w:spacing w:after="0" w:line="240" w:lineRule="auto"/>
              <w:jc w:val="center"/>
              <w:rPr>
                <w:rFonts w:eastAsia="Times New Roman"/>
                <w:b/>
                <w:bCs/>
                <w:color w:val="FFFFFF"/>
                <w:spacing w:val="0"/>
                <w:lang w:eastAsia="es-DO"/>
              </w:rPr>
            </w:pPr>
            <w:r w:rsidRPr="00465A16">
              <w:rPr>
                <w:rFonts w:eastAsia="Times New Roman"/>
                <w:b/>
                <w:bCs/>
                <w:color w:val="FFFFFF" w:themeColor="background1"/>
                <w:spacing w:val="0"/>
                <w:lang w:eastAsia="es-DO"/>
              </w:rPr>
              <w:t>Nobaci institucional</w:t>
            </w:r>
          </w:p>
        </w:tc>
        <w:tc>
          <w:tcPr>
            <w:tcW w:w="1581" w:type="dxa"/>
            <w:shd w:val="clear" w:color="auto" w:fill="011C50"/>
            <w:vAlign w:val="center"/>
            <w:hideMark/>
          </w:tcPr>
          <w:p w14:paraId="5E862C5C" w14:textId="77777777" w:rsidR="00FB05E4" w:rsidRPr="00465A16" w:rsidRDefault="00FB05E4" w:rsidP="00B41FF8">
            <w:pPr>
              <w:spacing w:after="0" w:line="240" w:lineRule="auto"/>
              <w:jc w:val="center"/>
              <w:rPr>
                <w:rFonts w:eastAsia="Times New Roman"/>
                <w:b/>
                <w:bCs/>
                <w:color w:val="FFFFFF"/>
                <w:spacing w:val="0"/>
                <w:lang w:eastAsia="es-DO"/>
              </w:rPr>
            </w:pPr>
            <w:r w:rsidRPr="00465A16">
              <w:rPr>
                <w:rFonts w:eastAsia="Times New Roman"/>
                <w:b/>
                <w:bCs/>
                <w:color w:val="FFFFFF" w:themeColor="background1"/>
                <w:spacing w:val="0"/>
                <w:lang w:eastAsia="es-DO"/>
              </w:rPr>
              <w:t>Nobaci municipal</w:t>
            </w:r>
          </w:p>
        </w:tc>
        <w:tc>
          <w:tcPr>
            <w:tcW w:w="1559" w:type="dxa"/>
            <w:shd w:val="clear" w:color="auto" w:fill="011C50"/>
          </w:tcPr>
          <w:p w14:paraId="5C60BE94" w14:textId="77777777" w:rsidR="00FB05E4" w:rsidRPr="00465A16" w:rsidRDefault="00FB05E4" w:rsidP="00B41FF8">
            <w:pPr>
              <w:spacing w:after="0" w:line="24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 xml:space="preserve">Nobaci </w:t>
            </w:r>
          </w:p>
          <w:p w14:paraId="067C28F5" w14:textId="77777777" w:rsidR="00FB05E4" w:rsidRPr="00465A16" w:rsidRDefault="00FB05E4" w:rsidP="00B41FF8">
            <w:pPr>
              <w:spacing w:after="0" w:line="24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salud</w:t>
            </w:r>
          </w:p>
        </w:tc>
      </w:tr>
      <w:tr w:rsidR="007F17A7" w:rsidRPr="007F17A7" w14:paraId="1961AEA7" w14:textId="77777777" w:rsidTr="00BD3C5A">
        <w:trPr>
          <w:trHeight w:val="215"/>
        </w:trPr>
        <w:tc>
          <w:tcPr>
            <w:tcW w:w="3261" w:type="dxa"/>
            <w:vAlign w:val="center"/>
            <w:hideMark/>
          </w:tcPr>
          <w:p w14:paraId="6B50A4AA" w14:textId="77777777" w:rsidR="00FB05E4" w:rsidRPr="007F17A7" w:rsidRDefault="00FB05E4" w:rsidP="00B41FF8">
            <w:pPr>
              <w:spacing w:after="0" w:line="240" w:lineRule="auto"/>
              <w:rPr>
                <w:rFonts w:eastAsia="Calibri"/>
              </w:rPr>
            </w:pPr>
            <w:r w:rsidRPr="007F17A7">
              <w:rPr>
                <w:rFonts w:eastAsia="Calibri"/>
              </w:rPr>
              <w:t>Ambiente de Control</w:t>
            </w:r>
          </w:p>
        </w:tc>
        <w:tc>
          <w:tcPr>
            <w:tcW w:w="1537" w:type="dxa"/>
            <w:vAlign w:val="center"/>
            <w:hideMark/>
          </w:tcPr>
          <w:p w14:paraId="0FC9F1A4" w14:textId="77777777" w:rsidR="00FB05E4" w:rsidRPr="007F17A7" w:rsidRDefault="00FB05E4" w:rsidP="00B41FF8">
            <w:pPr>
              <w:spacing w:after="0" w:line="240" w:lineRule="auto"/>
              <w:jc w:val="center"/>
              <w:rPr>
                <w:rFonts w:eastAsia="Calibri"/>
              </w:rPr>
            </w:pPr>
            <w:r w:rsidRPr="007F17A7">
              <w:rPr>
                <w:rFonts w:eastAsia="Calibri"/>
              </w:rPr>
              <w:t>85.85%</w:t>
            </w:r>
          </w:p>
        </w:tc>
        <w:tc>
          <w:tcPr>
            <w:tcW w:w="1581" w:type="dxa"/>
            <w:vAlign w:val="center"/>
            <w:hideMark/>
          </w:tcPr>
          <w:p w14:paraId="5147D900" w14:textId="77777777" w:rsidR="00FB05E4" w:rsidRPr="007F17A7" w:rsidRDefault="00FB05E4" w:rsidP="00B41FF8">
            <w:pPr>
              <w:spacing w:after="0" w:line="240" w:lineRule="auto"/>
              <w:jc w:val="center"/>
              <w:rPr>
                <w:rFonts w:eastAsia="Calibri"/>
              </w:rPr>
            </w:pPr>
            <w:r w:rsidRPr="007F17A7">
              <w:rPr>
                <w:rFonts w:eastAsia="Calibri"/>
              </w:rPr>
              <w:t>72.60%</w:t>
            </w:r>
          </w:p>
        </w:tc>
        <w:tc>
          <w:tcPr>
            <w:tcW w:w="1559" w:type="dxa"/>
          </w:tcPr>
          <w:p w14:paraId="4C5CA639" w14:textId="77777777" w:rsidR="00FB05E4" w:rsidRPr="007F17A7" w:rsidRDefault="00FB05E4" w:rsidP="00B41FF8">
            <w:pPr>
              <w:spacing w:after="0" w:line="240" w:lineRule="auto"/>
              <w:jc w:val="center"/>
              <w:rPr>
                <w:rFonts w:eastAsia="Calibri"/>
              </w:rPr>
            </w:pPr>
            <w:r w:rsidRPr="007F17A7">
              <w:rPr>
                <w:rFonts w:eastAsia="Calibri"/>
              </w:rPr>
              <w:t>6.60%</w:t>
            </w:r>
          </w:p>
        </w:tc>
      </w:tr>
      <w:tr w:rsidR="007F17A7" w:rsidRPr="007F17A7" w14:paraId="4E4F797B" w14:textId="77777777" w:rsidTr="00BD3C5A">
        <w:trPr>
          <w:trHeight w:val="263"/>
        </w:trPr>
        <w:tc>
          <w:tcPr>
            <w:tcW w:w="3261" w:type="dxa"/>
            <w:vAlign w:val="center"/>
            <w:hideMark/>
          </w:tcPr>
          <w:p w14:paraId="5375FD41" w14:textId="77777777" w:rsidR="00FB05E4" w:rsidRPr="007F17A7" w:rsidRDefault="00FB05E4" w:rsidP="00B41FF8">
            <w:pPr>
              <w:spacing w:after="0" w:line="240" w:lineRule="auto"/>
              <w:rPr>
                <w:rFonts w:eastAsia="Calibri"/>
              </w:rPr>
            </w:pPr>
            <w:r w:rsidRPr="007F17A7">
              <w:rPr>
                <w:rFonts w:eastAsia="Calibri"/>
              </w:rPr>
              <w:t>Valoración de Riesgos</w:t>
            </w:r>
          </w:p>
        </w:tc>
        <w:tc>
          <w:tcPr>
            <w:tcW w:w="1537" w:type="dxa"/>
            <w:vAlign w:val="center"/>
            <w:hideMark/>
          </w:tcPr>
          <w:p w14:paraId="7081967B" w14:textId="77777777" w:rsidR="00FB05E4" w:rsidRPr="007F17A7" w:rsidRDefault="00FB05E4" w:rsidP="00B41FF8">
            <w:pPr>
              <w:spacing w:after="0" w:line="240" w:lineRule="auto"/>
              <w:jc w:val="center"/>
              <w:rPr>
                <w:rFonts w:eastAsia="Calibri"/>
              </w:rPr>
            </w:pPr>
            <w:r w:rsidRPr="007F17A7">
              <w:rPr>
                <w:rFonts w:eastAsia="Calibri"/>
              </w:rPr>
              <w:t>84.14%</w:t>
            </w:r>
          </w:p>
        </w:tc>
        <w:tc>
          <w:tcPr>
            <w:tcW w:w="1581" w:type="dxa"/>
            <w:vAlign w:val="center"/>
            <w:hideMark/>
          </w:tcPr>
          <w:p w14:paraId="3676CDCB" w14:textId="77777777" w:rsidR="00FB05E4" w:rsidRPr="007F17A7" w:rsidRDefault="00FB05E4" w:rsidP="00B41FF8">
            <w:pPr>
              <w:spacing w:after="0" w:line="240" w:lineRule="auto"/>
              <w:jc w:val="center"/>
              <w:rPr>
                <w:rFonts w:eastAsia="Calibri"/>
              </w:rPr>
            </w:pPr>
            <w:r w:rsidRPr="007F17A7">
              <w:rPr>
                <w:rFonts w:eastAsia="Calibri"/>
              </w:rPr>
              <w:t>51.71%</w:t>
            </w:r>
          </w:p>
        </w:tc>
        <w:tc>
          <w:tcPr>
            <w:tcW w:w="1559" w:type="dxa"/>
          </w:tcPr>
          <w:p w14:paraId="06C1A7D0" w14:textId="77777777" w:rsidR="00FB05E4" w:rsidRPr="007F17A7" w:rsidRDefault="00FB05E4" w:rsidP="00B41FF8">
            <w:pPr>
              <w:spacing w:after="0" w:line="240" w:lineRule="auto"/>
              <w:jc w:val="center"/>
              <w:rPr>
                <w:rFonts w:eastAsia="Calibri"/>
              </w:rPr>
            </w:pPr>
            <w:r w:rsidRPr="007F17A7">
              <w:rPr>
                <w:rFonts w:eastAsia="Calibri"/>
              </w:rPr>
              <w:t>2.40%</w:t>
            </w:r>
          </w:p>
        </w:tc>
      </w:tr>
      <w:tr w:rsidR="007F17A7" w:rsidRPr="007F17A7" w14:paraId="22E255F1" w14:textId="77777777" w:rsidTr="00BD3C5A">
        <w:trPr>
          <w:trHeight w:val="351"/>
        </w:trPr>
        <w:tc>
          <w:tcPr>
            <w:tcW w:w="3261" w:type="dxa"/>
            <w:vAlign w:val="center"/>
            <w:hideMark/>
          </w:tcPr>
          <w:p w14:paraId="59F42FE2" w14:textId="77777777" w:rsidR="00FB05E4" w:rsidRPr="007F17A7" w:rsidRDefault="00FB05E4" w:rsidP="00B41FF8">
            <w:pPr>
              <w:spacing w:after="0" w:line="240" w:lineRule="auto"/>
              <w:rPr>
                <w:rFonts w:eastAsia="Calibri"/>
              </w:rPr>
            </w:pPr>
            <w:r w:rsidRPr="007F17A7">
              <w:rPr>
                <w:rFonts w:eastAsia="Calibri"/>
              </w:rPr>
              <w:t>Actividades de Control</w:t>
            </w:r>
          </w:p>
        </w:tc>
        <w:tc>
          <w:tcPr>
            <w:tcW w:w="1537" w:type="dxa"/>
            <w:vAlign w:val="center"/>
            <w:hideMark/>
          </w:tcPr>
          <w:p w14:paraId="07DDE6E5" w14:textId="77777777" w:rsidR="00FB05E4" w:rsidRPr="007F17A7" w:rsidRDefault="00FB05E4" w:rsidP="00B41FF8">
            <w:pPr>
              <w:spacing w:after="0" w:line="240" w:lineRule="auto"/>
              <w:jc w:val="center"/>
              <w:rPr>
                <w:rFonts w:eastAsia="Calibri"/>
              </w:rPr>
            </w:pPr>
            <w:r w:rsidRPr="007F17A7">
              <w:rPr>
                <w:rFonts w:eastAsia="Calibri"/>
              </w:rPr>
              <w:t>74.44%</w:t>
            </w:r>
          </w:p>
        </w:tc>
        <w:tc>
          <w:tcPr>
            <w:tcW w:w="1581" w:type="dxa"/>
            <w:vAlign w:val="center"/>
            <w:hideMark/>
          </w:tcPr>
          <w:p w14:paraId="66EF80FB" w14:textId="77777777" w:rsidR="00FB05E4" w:rsidRPr="007F17A7" w:rsidRDefault="00FB05E4" w:rsidP="00B41FF8">
            <w:pPr>
              <w:spacing w:after="0" w:line="240" w:lineRule="auto"/>
              <w:jc w:val="center"/>
              <w:rPr>
                <w:rFonts w:eastAsia="Calibri"/>
              </w:rPr>
            </w:pPr>
            <w:r w:rsidRPr="007F17A7">
              <w:rPr>
                <w:rFonts w:eastAsia="Calibri"/>
              </w:rPr>
              <w:t>38.79%</w:t>
            </w:r>
          </w:p>
        </w:tc>
        <w:tc>
          <w:tcPr>
            <w:tcW w:w="1559" w:type="dxa"/>
          </w:tcPr>
          <w:p w14:paraId="0D341A51" w14:textId="77777777" w:rsidR="00FB05E4" w:rsidRPr="007F17A7" w:rsidRDefault="00FB05E4" w:rsidP="00B41FF8">
            <w:pPr>
              <w:spacing w:after="0" w:line="240" w:lineRule="auto"/>
              <w:jc w:val="center"/>
              <w:rPr>
                <w:rFonts w:eastAsia="Calibri"/>
              </w:rPr>
            </w:pPr>
            <w:r w:rsidRPr="007F17A7">
              <w:rPr>
                <w:rFonts w:eastAsia="Calibri"/>
              </w:rPr>
              <w:t>0.80%</w:t>
            </w:r>
          </w:p>
        </w:tc>
      </w:tr>
      <w:tr w:rsidR="007F17A7" w:rsidRPr="007F17A7" w14:paraId="3FE690A8" w14:textId="77777777" w:rsidTr="00BD3C5A">
        <w:trPr>
          <w:trHeight w:val="492"/>
        </w:trPr>
        <w:tc>
          <w:tcPr>
            <w:tcW w:w="3261" w:type="dxa"/>
            <w:vAlign w:val="center"/>
            <w:hideMark/>
          </w:tcPr>
          <w:p w14:paraId="6007C116" w14:textId="77777777" w:rsidR="00FB05E4" w:rsidRPr="007F17A7" w:rsidRDefault="00FB05E4" w:rsidP="00B41FF8">
            <w:pPr>
              <w:spacing w:after="0" w:line="240" w:lineRule="auto"/>
              <w:rPr>
                <w:rFonts w:eastAsia="Calibri"/>
              </w:rPr>
            </w:pPr>
            <w:r w:rsidRPr="007F17A7">
              <w:rPr>
                <w:rFonts w:eastAsia="Calibri"/>
              </w:rPr>
              <w:t>Información y Comunicación</w:t>
            </w:r>
          </w:p>
        </w:tc>
        <w:tc>
          <w:tcPr>
            <w:tcW w:w="1537" w:type="dxa"/>
            <w:vAlign w:val="center"/>
            <w:hideMark/>
          </w:tcPr>
          <w:p w14:paraId="24874E39" w14:textId="77777777" w:rsidR="00FB05E4" w:rsidRPr="007F17A7" w:rsidRDefault="00FB05E4" w:rsidP="00BD3C5A">
            <w:pPr>
              <w:spacing w:after="0" w:line="240" w:lineRule="auto"/>
              <w:jc w:val="center"/>
              <w:rPr>
                <w:rFonts w:eastAsia="Calibri"/>
              </w:rPr>
            </w:pPr>
            <w:r w:rsidRPr="007F17A7">
              <w:rPr>
                <w:rFonts w:eastAsia="Calibri"/>
              </w:rPr>
              <w:t>79.54%</w:t>
            </w:r>
          </w:p>
        </w:tc>
        <w:tc>
          <w:tcPr>
            <w:tcW w:w="1581" w:type="dxa"/>
            <w:vAlign w:val="center"/>
            <w:hideMark/>
          </w:tcPr>
          <w:p w14:paraId="75D0A364" w14:textId="77777777" w:rsidR="00FB05E4" w:rsidRPr="007F17A7" w:rsidRDefault="00FB05E4" w:rsidP="00BD3C5A">
            <w:pPr>
              <w:spacing w:after="0" w:line="240" w:lineRule="auto"/>
              <w:jc w:val="center"/>
              <w:rPr>
                <w:rFonts w:eastAsia="Calibri"/>
              </w:rPr>
            </w:pPr>
            <w:r w:rsidRPr="007F17A7">
              <w:rPr>
                <w:rFonts w:eastAsia="Calibri"/>
              </w:rPr>
              <w:t>64.44%</w:t>
            </w:r>
          </w:p>
        </w:tc>
        <w:tc>
          <w:tcPr>
            <w:tcW w:w="1559" w:type="dxa"/>
            <w:vAlign w:val="center"/>
          </w:tcPr>
          <w:p w14:paraId="6019267E" w14:textId="77777777" w:rsidR="00FB05E4" w:rsidRPr="007F17A7" w:rsidRDefault="00FB05E4" w:rsidP="00BD3C5A">
            <w:pPr>
              <w:spacing w:after="0" w:line="240" w:lineRule="auto"/>
              <w:jc w:val="center"/>
              <w:rPr>
                <w:rFonts w:eastAsia="Calibri"/>
              </w:rPr>
            </w:pPr>
            <w:r w:rsidRPr="007F17A7">
              <w:rPr>
                <w:rFonts w:eastAsia="Calibri"/>
              </w:rPr>
              <w:t>3.70%</w:t>
            </w:r>
          </w:p>
        </w:tc>
      </w:tr>
      <w:tr w:rsidR="007F17A7" w:rsidRPr="007F17A7" w14:paraId="4E20F84C" w14:textId="77777777" w:rsidTr="00BD3C5A">
        <w:trPr>
          <w:trHeight w:val="279"/>
        </w:trPr>
        <w:tc>
          <w:tcPr>
            <w:tcW w:w="3261" w:type="dxa"/>
            <w:vAlign w:val="center"/>
            <w:hideMark/>
          </w:tcPr>
          <w:p w14:paraId="0B48518E" w14:textId="77777777" w:rsidR="00FB05E4" w:rsidRPr="007F17A7" w:rsidRDefault="00FB05E4" w:rsidP="00B41FF8">
            <w:pPr>
              <w:spacing w:after="0" w:line="240" w:lineRule="auto"/>
              <w:rPr>
                <w:rFonts w:eastAsia="Calibri"/>
              </w:rPr>
            </w:pPr>
            <w:r w:rsidRPr="007F17A7">
              <w:rPr>
                <w:rFonts w:eastAsia="Calibri"/>
              </w:rPr>
              <w:t>Monitoreo y Evaluación</w:t>
            </w:r>
          </w:p>
        </w:tc>
        <w:tc>
          <w:tcPr>
            <w:tcW w:w="1537" w:type="dxa"/>
            <w:vAlign w:val="center"/>
            <w:hideMark/>
          </w:tcPr>
          <w:p w14:paraId="706D63DD" w14:textId="77777777" w:rsidR="00FB05E4" w:rsidRPr="007F17A7" w:rsidRDefault="00FB05E4" w:rsidP="00B41FF8">
            <w:pPr>
              <w:spacing w:after="0" w:line="240" w:lineRule="auto"/>
              <w:jc w:val="center"/>
              <w:rPr>
                <w:rFonts w:eastAsia="Calibri"/>
              </w:rPr>
            </w:pPr>
            <w:r w:rsidRPr="007F17A7">
              <w:rPr>
                <w:rFonts w:eastAsia="Calibri"/>
              </w:rPr>
              <w:t>77.73%</w:t>
            </w:r>
          </w:p>
        </w:tc>
        <w:tc>
          <w:tcPr>
            <w:tcW w:w="1581" w:type="dxa"/>
            <w:vAlign w:val="center"/>
            <w:hideMark/>
          </w:tcPr>
          <w:p w14:paraId="2F9D06BA" w14:textId="77777777" w:rsidR="00FB05E4" w:rsidRPr="007F17A7" w:rsidRDefault="00FB05E4" w:rsidP="00B41FF8">
            <w:pPr>
              <w:spacing w:after="0" w:line="240" w:lineRule="auto"/>
              <w:jc w:val="center"/>
              <w:rPr>
                <w:rFonts w:eastAsia="Calibri"/>
              </w:rPr>
            </w:pPr>
            <w:r w:rsidRPr="007F17A7">
              <w:rPr>
                <w:rFonts w:eastAsia="Calibri"/>
              </w:rPr>
              <w:t>88.67%</w:t>
            </w:r>
          </w:p>
        </w:tc>
        <w:tc>
          <w:tcPr>
            <w:tcW w:w="1559" w:type="dxa"/>
          </w:tcPr>
          <w:p w14:paraId="3617E7B6" w14:textId="77777777" w:rsidR="00FB05E4" w:rsidRPr="007F17A7" w:rsidRDefault="00FB05E4" w:rsidP="00B41FF8">
            <w:pPr>
              <w:spacing w:after="0" w:line="240" w:lineRule="auto"/>
              <w:jc w:val="center"/>
              <w:rPr>
                <w:rFonts w:eastAsia="Calibri"/>
              </w:rPr>
            </w:pPr>
            <w:r w:rsidRPr="007F17A7">
              <w:rPr>
                <w:rFonts w:eastAsia="Calibri"/>
              </w:rPr>
              <w:t>0.00%</w:t>
            </w:r>
          </w:p>
        </w:tc>
      </w:tr>
      <w:tr w:rsidR="007F17A7" w:rsidRPr="007F17A7" w14:paraId="320DF245" w14:textId="77777777" w:rsidTr="00BD3C5A">
        <w:trPr>
          <w:trHeight w:val="269"/>
        </w:trPr>
        <w:tc>
          <w:tcPr>
            <w:tcW w:w="3261" w:type="dxa"/>
            <w:vAlign w:val="center"/>
            <w:hideMark/>
          </w:tcPr>
          <w:p w14:paraId="61E26AE0" w14:textId="77777777" w:rsidR="00FB05E4" w:rsidRPr="007F17A7" w:rsidRDefault="00FB05E4" w:rsidP="00B41FF8">
            <w:pPr>
              <w:spacing w:after="0" w:line="240" w:lineRule="auto"/>
              <w:rPr>
                <w:rFonts w:eastAsia="Calibri"/>
              </w:rPr>
            </w:pPr>
            <w:r w:rsidRPr="007F17A7">
              <w:rPr>
                <w:rFonts w:eastAsia="Calibri"/>
              </w:rPr>
              <w:t>Promedio</w:t>
            </w:r>
          </w:p>
        </w:tc>
        <w:tc>
          <w:tcPr>
            <w:tcW w:w="1537" w:type="dxa"/>
            <w:vAlign w:val="center"/>
            <w:hideMark/>
          </w:tcPr>
          <w:p w14:paraId="462B0976" w14:textId="77777777" w:rsidR="00FB05E4" w:rsidRPr="007F17A7" w:rsidRDefault="00FB05E4" w:rsidP="00B41FF8">
            <w:pPr>
              <w:spacing w:after="0" w:line="240" w:lineRule="auto"/>
              <w:jc w:val="center"/>
              <w:rPr>
                <w:rFonts w:eastAsia="Calibri"/>
              </w:rPr>
            </w:pPr>
            <w:r w:rsidRPr="007F17A7">
              <w:rPr>
                <w:rFonts w:eastAsia="Calibri"/>
              </w:rPr>
              <w:t>80.34%</w:t>
            </w:r>
          </w:p>
        </w:tc>
        <w:tc>
          <w:tcPr>
            <w:tcW w:w="1581" w:type="dxa"/>
            <w:vAlign w:val="center"/>
            <w:hideMark/>
          </w:tcPr>
          <w:p w14:paraId="7C16D7E5" w14:textId="77777777" w:rsidR="00FB05E4" w:rsidRPr="007F17A7" w:rsidRDefault="00FB05E4" w:rsidP="00B41FF8">
            <w:pPr>
              <w:spacing w:after="0" w:line="240" w:lineRule="auto"/>
              <w:jc w:val="center"/>
              <w:rPr>
                <w:rFonts w:eastAsia="Calibri"/>
              </w:rPr>
            </w:pPr>
            <w:r w:rsidRPr="007F17A7">
              <w:rPr>
                <w:rFonts w:eastAsia="Calibri"/>
              </w:rPr>
              <w:t>63.20%</w:t>
            </w:r>
          </w:p>
        </w:tc>
        <w:tc>
          <w:tcPr>
            <w:tcW w:w="1559" w:type="dxa"/>
          </w:tcPr>
          <w:p w14:paraId="136558D7" w14:textId="77777777" w:rsidR="00FB05E4" w:rsidRPr="007F17A7" w:rsidRDefault="00FB05E4" w:rsidP="00B41FF8">
            <w:pPr>
              <w:spacing w:after="0" w:line="240" w:lineRule="auto"/>
              <w:jc w:val="center"/>
              <w:rPr>
                <w:rFonts w:eastAsia="Calibri"/>
              </w:rPr>
            </w:pPr>
            <w:r w:rsidRPr="007F17A7">
              <w:rPr>
                <w:rFonts w:eastAsia="Calibri"/>
              </w:rPr>
              <w:t>2.70%</w:t>
            </w:r>
          </w:p>
        </w:tc>
      </w:tr>
    </w:tbl>
    <w:p w14:paraId="6BFC74F6" w14:textId="3769F02C" w:rsidR="006B5298" w:rsidRPr="0077472F" w:rsidRDefault="00ED401F" w:rsidP="00FB05E4">
      <w:pPr>
        <w:spacing w:line="360" w:lineRule="auto"/>
        <w:jc w:val="center"/>
        <w:rPr>
          <w:rFonts w:eastAsia="Calibri"/>
          <w:i/>
          <w:iCs/>
          <w:sz w:val="18"/>
          <w:szCs w:val="18"/>
        </w:rPr>
      </w:pPr>
      <w:r w:rsidRPr="0077472F">
        <w:rPr>
          <w:rFonts w:eastAsia="Calibri"/>
          <w:i/>
          <w:iCs/>
          <w:sz w:val="18"/>
          <w:szCs w:val="18"/>
        </w:rPr>
        <w:t xml:space="preserve">Fuente: </w:t>
      </w:r>
      <w:r w:rsidR="00B253E1" w:rsidRPr="0077472F">
        <w:rPr>
          <w:rFonts w:eastAsia="Calibri"/>
          <w:i/>
          <w:iCs/>
          <w:sz w:val="18"/>
          <w:szCs w:val="18"/>
        </w:rPr>
        <w:t>Portal Nobaci</w:t>
      </w:r>
    </w:p>
    <w:p w14:paraId="3AE659D6" w14:textId="31A8C520" w:rsidR="00FB05E4" w:rsidRPr="007F17A7" w:rsidRDefault="00FB05E4" w:rsidP="00465A16">
      <w:pPr>
        <w:spacing w:line="360" w:lineRule="auto"/>
        <w:jc w:val="both"/>
        <w:rPr>
          <w:rFonts w:eastAsia="Calibri"/>
        </w:rPr>
      </w:pPr>
      <w:r w:rsidRPr="007F17A7">
        <w:rPr>
          <w:rFonts w:eastAsia="Calibri"/>
        </w:rPr>
        <w:lastRenderedPageBreak/>
        <w:t>En adición a estas gestiones, se ha desarrollado la norma básica de segundo grado Nobaci 3 ADC-3-010 “Gestión de Ingresos Públicos” y la norma básica de segundo grado Nobaci 3 ADC-3-011  “Norma de Contabilidad Gubernamental”; en el marco de lo cual se llevaron a cabo acercamientos con la Dirección General de Impuestos Internos (DGII), la Dirección General de Aduanas (DGA), Ministerio de Hacienda</w:t>
      </w:r>
      <w:r w:rsidR="007B77E4">
        <w:rPr>
          <w:rFonts w:eastAsia="Calibri"/>
        </w:rPr>
        <w:t xml:space="preserve"> y Economía</w:t>
      </w:r>
      <w:r w:rsidR="00A9771C">
        <w:rPr>
          <w:rFonts w:eastAsia="Calibri"/>
        </w:rPr>
        <w:t>,</w:t>
      </w:r>
      <w:r w:rsidRPr="007F17A7">
        <w:rPr>
          <w:rFonts w:eastAsia="Calibri"/>
        </w:rPr>
        <w:t xml:space="preserve"> y con la Dirección General de Contabilidad Gubernamental. De igual forma se realizaron dos actualizaciones normativas: ADC-3-002 de Propiedad Planta y Equipos y la ADC-3-001 de Control de Inventarios, con miras a fortalecer el control interno de las instituciones, unificando los criterios de control vinculantes con las normas emitidas por esta CGR.  </w:t>
      </w:r>
    </w:p>
    <w:p w14:paraId="0870392B" w14:textId="0B0ADDA9" w:rsidR="000C4DB0" w:rsidRPr="007F17A7" w:rsidRDefault="000C4DB0" w:rsidP="00465A16">
      <w:pPr>
        <w:spacing w:line="360" w:lineRule="auto"/>
        <w:jc w:val="both"/>
        <w:rPr>
          <w:rFonts w:eastAsia="Calibri"/>
          <w:b/>
          <w:bCs/>
        </w:rPr>
      </w:pPr>
      <w:r w:rsidRPr="007F17A7">
        <w:rPr>
          <w:rFonts w:eastAsia="Calibri"/>
          <w:b/>
          <w:bCs/>
        </w:rPr>
        <w:t>b</w:t>
      </w:r>
      <w:r w:rsidR="00ED4E8F" w:rsidRPr="007F17A7">
        <w:rPr>
          <w:rFonts w:eastAsia="Calibri"/>
          <w:b/>
          <w:bCs/>
        </w:rPr>
        <w:t>.</w:t>
      </w:r>
      <w:r w:rsidRPr="007F17A7">
        <w:rPr>
          <w:rFonts w:eastAsia="Calibri"/>
          <w:b/>
          <w:bCs/>
        </w:rPr>
        <w:t xml:space="preserve"> Índice de control interno</w:t>
      </w:r>
    </w:p>
    <w:p w14:paraId="39A013E9" w14:textId="77777777" w:rsidR="00E56278" w:rsidRDefault="00FB05E4" w:rsidP="00465A16">
      <w:pPr>
        <w:spacing w:line="360" w:lineRule="auto"/>
        <w:jc w:val="both"/>
        <w:rPr>
          <w:rFonts w:eastAsia="Calibri"/>
        </w:rPr>
      </w:pPr>
      <w:r w:rsidRPr="007F17A7">
        <w:rPr>
          <w:rFonts w:eastAsia="Calibri"/>
        </w:rPr>
        <w:t xml:space="preserve">El Índice de Control Interno (ICI) es una métrica agrupada que refleja una valoración más confiable de la realidad actual del control interno de las instituciones bajo nuestro alcance legal, a través del desarrollo de un sistema de medición basado en criterios más robustos y objetivos. </w:t>
      </w:r>
      <w:r w:rsidR="00287505" w:rsidRPr="007F17A7">
        <w:rPr>
          <w:rFonts w:eastAsia="Calibri"/>
        </w:rPr>
        <w:t xml:space="preserve">Como parte de la implementación del ICI, este 2025 se han realizado visitas y asesorías para acompañamiento técnico. </w:t>
      </w:r>
    </w:p>
    <w:p w14:paraId="537F7BF7" w14:textId="07F769BC" w:rsidR="00287505" w:rsidRPr="007F17A7" w:rsidRDefault="00287505" w:rsidP="00465A16">
      <w:pPr>
        <w:spacing w:line="360" w:lineRule="auto"/>
        <w:jc w:val="both"/>
        <w:rPr>
          <w:rFonts w:eastAsia="Calibri"/>
        </w:rPr>
      </w:pPr>
      <w:r w:rsidRPr="007F17A7">
        <w:rPr>
          <w:rFonts w:eastAsia="Calibri"/>
        </w:rPr>
        <w:t xml:space="preserve">Estos esfuerzos han dado como resultado la incorporación de </w:t>
      </w:r>
      <w:r w:rsidR="00FC645C" w:rsidRPr="007F17A7">
        <w:rPr>
          <w:rFonts w:eastAsia="Calibri"/>
        </w:rPr>
        <w:t>21</w:t>
      </w:r>
      <w:r w:rsidRPr="007F17A7">
        <w:rPr>
          <w:rFonts w:eastAsia="Calibri"/>
        </w:rPr>
        <w:t xml:space="preserve"> nuevas instituciones al sistema, </w:t>
      </w:r>
      <w:r w:rsidR="00FC645C" w:rsidRPr="007F17A7">
        <w:rPr>
          <w:rFonts w:eastAsia="Calibri"/>
        </w:rPr>
        <w:t>alcanzando 171 a la fecha</w:t>
      </w:r>
      <w:r w:rsidR="00E56278">
        <w:rPr>
          <w:rFonts w:eastAsia="Calibri"/>
        </w:rPr>
        <w:t>, cifra que se mantendrá como proyección para el cierre de año</w:t>
      </w:r>
      <w:r w:rsidR="00FC645C" w:rsidRPr="007F17A7">
        <w:rPr>
          <w:rFonts w:eastAsia="Calibri"/>
        </w:rPr>
        <w:t xml:space="preserve">; </w:t>
      </w:r>
      <w:r w:rsidRPr="007F17A7">
        <w:rPr>
          <w:rFonts w:eastAsia="Calibri"/>
        </w:rPr>
        <w:t>de las cuales se encuentran en fase de evaluación activa 163</w:t>
      </w:r>
      <w:r w:rsidR="00FC645C" w:rsidRPr="007F17A7">
        <w:rPr>
          <w:rFonts w:eastAsia="Calibri"/>
        </w:rPr>
        <w:t xml:space="preserve">, y fueron reportadas evaluadas 138 a Presidencia tras agotar el período de 6 meses determinado para la emisión de </w:t>
      </w:r>
      <w:r w:rsidR="00901032" w:rsidRPr="007F17A7">
        <w:rPr>
          <w:rFonts w:eastAsia="Calibri"/>
        </w:rPr>
        <w:t>resultados según resolución IN-CGR-RES-2023-0009.</w:t>
      </w:r>
      <w:r w:rsidRPr="007F17A7">
        <w:rPr>
          <w:rFonts w:eastAsia="Calibri"/>
        </w:rPr>
        <w:t xml:space="preserve"> Este resultado refleja la ejecución de 1,036 jornadas de asesoría técnica especializada, con la participación acumulada de 3,822 servidores públicos representantes de las distintas entidades involucradas en el proceso de validación y evaluación.</w:t>
      </w:r>
    </w:p>
    <w:p w14:paraId="220C1653" w14:textId="00B7A97B" w:rsidR="00442EF0" w:rsidRPr="007F17A7" w:rsidRDefault="00FB05E4" w:rsidP="00465A16">
      <w:pPr>
        <w:spacing w:line="360" w:lineRule="auto"/>
        <w:jc w:val="both"/>
        <w:rPr>
          <w:rFonts w:eastAsia="Calibri"/>
        </w:rPr>
      </w:pPr>
      <w:r w:rsidRPr="007F17A7">
        <w:rPr>
          <w:rFonts w:eastAsia="Calibri"/>
        </w:rPr>
        <w:lastRenderedPageBreak/>
        <w:t xml:space="preserve">El índice de Control Interno (ICI) es resultado de la evaluación de 14 subindicadores. En ese sentido, en la siguiente tabla presentamos el avance obtenido en el mismo en las instituciones por cada subindicador, correspondiente </w:t>
      </w:r>
      <w:r w:rsidR="00E56278">
        <w:rPr>
          <w:rFonts w:eastAsia="Calibri"/>
        </w:rPr>
        <w:t>a la última evaluación realizada el</w:t>
      </w:r>
      <w:r w:rsidRPr="007F17A7">
        <w:rPr>
          <w:rFonts w:eastAsia="Calibri"/>
        </w:rPr>
        <w:t xml:space="preserve"> 30 de</w:t>
      </w:r>
      <w:r w:rsidR="00E56278">
        <w:rPr>
          <w:rFonts w:eastAsia="Calibri"/>
        </w:rPr>
        <w:t xml:space="preserve"> septiembre. La próxima evaluación será realizada a finales de enero 2026, por lo que se proyecta el cierre de año con las calificaciones actuales. </w:t>
      </w:r>
    </w:p>
    <w:p w14:paraId="63C12C12" w14:textId="7A5EECF8" w:rsidR="00B253E1" w:rsidRPr="007F17A7" w:rsidRDefault="00B253E1" w:rsidP="00465A16">
      <w:pPr>
        <w:spacing w:line="360" w:lineRule="auto"/>
        <w:jc w:val="center"/>
        <w:rPr>
          <w:rFonts w:eastAsia="Calibri"/>
          <w:sz w:val="18"/>
          <w:szCs w:val="18"/>
        </w:rPr>
      </w:pPr>
      <w:r w:rsidRPr="007F17A7">
        <w:rPr>
          <w:rFonts w:eastAsia="Calibri"/>
          <w:sz w:val="18"/>
          <w:szCs w:val="18"/>
        </w:rPr>
        <w:t xml:space="preserve">Tabla </w:t>
      </w:r>
      <w:r w:rsidR="001C515D" w:rsidRPr="007F17A7">
        <w:rPr>
          <w:rFonts w:eastAsia="Calibri"/>
          <w:sz w:val="18"/>
          <w:szCs w:val="18"/>
        </w:rPr>
        <w:t>2</w:t>
      </w:r>
      <w:r w:rsidRPr="007F17A7">
        <w:rPr>
          <w:rFonts w:eastAsia="Calibri"/>
          <w:sz w:val="18"/>
          <w:szCs w:val="18"/>
        </w:rPr>
        <w:t>. Porcentaje de implementación de la Nobaci en las instituciones</w:t>
      </w:r>
      <w:r w:rsidR="00E56278">
        <w:rPr>
          <w:rFonts w:eastAsia="Calibri"/>
          <w:sz w:val="18"/>
          <w:szCs w:val="18"/>
        </w:rPr>
        <w:t xml:space="preserve"> al 31 de diciembre 2025.</w:t>
      </w:r>
    </w:p>
    <w:tbl>
      <w:tblPr>
        <w:tblW w:w="7415" w:type="dxa"/>
        <w:tblInd w:w="5" w:type="dxa"/>
        <w:tblCellMar>
          <w:left w:w="70" w:type="dxa"/>
          <w:right w:w="70" w:type="dxa"/>
        </w:tblCellMar>
        <w:tblLook w:val="04A0" w:firstRow="1" w:lastRow="0" w:firstColumn="1" w:lastColumn="0" w:noHBand="0" w:noVBand="1"/>
      </w:tblPr>
      <w:tblGrid>
        <w:gridCol w:w="5171"/>
        <w:gridCol w:w="2244"/>
      </w:tblGrid>
      <w:tr w:rsidR="0067582D" w:rsidRPr="00465A16" w14:paraId="03AC628A" w14:textId="77777777" w:rsidTr="0067582D">
        <w:trPr>
          <w:trHeight w:val="431"/>
        </w:trPr>
        <w:tc>
          <w:tcPr>
            <w:tcW w:w="5171" w:type="dxa"/>
            <w:tcBorders>
              <w:top w:val="single" w:sz="4" w:space="0" w:color="auto"/>
              <w:left w:val="nil"/>
              <w:bottom w:val="single" w:sz="4" w:space="0" w:color="auto"/>
              <w:right w:val="single" w:sz="4" w:space="0" w:color="auto"/>
            </w:tcBorders>
            <w:shd w:val="clear" w:color="auto" w:fill="011C50"/>
            <w:vAlign w:val="center"/>
            <w:hideMark/>
          </w:tcPr>
          <w:p w14:paraId="3EDDB0C1" w14:textId="77777777" w:rsidR="0067582D" w:rsidRPr="00465A16" w:rsidRDefault="0067582D" w:rsidP="00FB05E4">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MX"/>
              </w:rPr>
              <w:t>Sub Indicadores ICI</w:t>
            </w:r>
          </w:p>
        </w:tc>
        <w:tc>
          <w:tcPr>
            <w:tcW w:w="2244" w:type="dxa"/>
            <w:tcBorders>
              <w:top w:val="single" w:sz="4" w:space="0" w:color="auto"/>
              <w:left w:val="nil"/>
              <w:bottom w:val="single" w:sz="4" w:space="0" w:color="auto"/>
              <w:right w:val="single" w:sz="4" w:space="0" w:color="auto"/>
            </w:tcBorders>
            <w:shd w:val="clear" w:color="auto" w:fill="011C50"/>
            <w:vAlign w:val="center"/>
            <w:hideMark/>
          </w:tcPr>
          <w:p w14:paraId="59D2B667" w14:textId="69A09476" w:rsidR="0067582D" w:rsidRPr="00465A16" w:rsidRDefault="00E56278" w:rsidP="00FB05E4">
            <w:pPr>
              <w:spacing w:after="0" w:line="240" w:lineRule="auto"/>
              <w:jc w:val="center"/>
              <w:rPr>
                <w:rFonts w:eastAsia="Times New Roman"/>
                <w:b/>
                <w:bCs/>
                <w:color w:val="FFFFFF"/>
                <w:spacing w:val="0"/>
                <w:lang w:eastAsia="es-DO"/>
              </w:rPr>
            </w:pPr>
            <w:r>
              <w:rPr>
                <w:rFonts w:eastAsia="Times New Roman"/>
                <w:b/>
                <w:bCs/>
                <w:color w:val="FFFFFF"/>
                <w:spacing w:val="0"/>
                <w:lang w:eastAsia="es-MX"/>
              </w:rPr>
              <w:t>3er trimestre</w:t>
            </w:r>
            <w:r w:rsidR="0067582D" w:rsidRPr="00465A16">
              <w:rPr>
                <w:rFonts w:eastAsia="Times New Roman"/>
                <w:b/>
                <w:bCs/>
                <w:color w:val="FFFFFF"/>
                <w:spacing w:val="0"/>
                <w:lang w:eastAsia="es-MX"/>
              </w:rPr>
              <w:t xml:space="preserve"> </w:t>
            </w:r>
          </w:p>
        </w:tc>
      </w:tr>
      <w:tr w:rsidR="0067582D" w:rsidRPr="00465A16" w14:paraId="154B2956" w14:textId="77777777" w:rsidTr="0067582D">
        <w:trPr>
          <w:trHeight w:val="397"/>
        </w:trPr>
        <w:tc>
          <w:tcPr>
            <w:tcW w:w="5171" w:type="dxa"/>
            <w:tcBorders>
              <w:top w:val="single" w:sz="4" w:space="0" w:color="auto"/>
              <w:left w:val="single" w:sz="4" w:space="0" w:color="auto"/>
              <w:bottom w:val="single" w:sz="4" w:space="0" w:color="auto"/>
              <w:right w:val="single" w:sz="4" w:space="0" w:color="auto"/>
            </w:tcBorders>
            <w:vAlign w:val="center"/>
            <w:hideMark/>
          </w:tcPr>
          <w:p w14:paraId="31574A95" w14:textId="350FB58E" w:rsidR="0067582D" w:rsidRPr="007F17A7" w:rsidRDefault="0067582D" w:rsidP="008F05FF">
            <w:pPr>
              <w:spacing w:after="0" w:line="240" w:lineRule="auto"/>
              <w:rPr>
                <w:rFonts w:eastAsia="Calibri"/>
              </w:rPr>
            </w:pPr>
            <w:r w:rsidRPr="007F17A7">
              <w:rPr>
                <w:rFonts w:eastAsia="Calibri"/>
              </w:rPr>
              <w:t xml:space="preserve">1.1 Normas </w:t>
            </w:r>
            <w:r w:rsidR="00AA30FC">
              <w:rPr>
                <w:rFonts w:eastAsia="Calibri"/>
              </w:rPr>
              <w:t>B</w:t>
            </w:r>
            <w:r w:rsidRPr="007F17A7">
              <w:rPr>
                <w:rFonts w:eastAsia="Calibri"/>
              </w:rPr>
              <w:t xml:space="preserve">ásicas de </w:t>
            </w:r>
            <w:r w:rsidR="00AA30FC">
              <w:rPr>
                <w:rFonts w:eastAsia="Calibri"/>
              </w:rPr>
              <w:t>C</w:t>
            </w:r>
            <w:r w:rsidRPr="007F17A7">
              <w:rPr>
                <w:rFonts w:eastAsia="Calibri"/>
              </w:rPr>
              <w:t xml:space="preserve">ontrol </w:t>
            </w:r>
            <w:r w:rsidR="00AA30FC">
              <w:rPr>
                <w:rFonts w:eastAsia="Calibri"/>
              </w:rPr>
              <w:t>I</w:t>
            </w:r>
            <w:r w:rsidRPr="007F17A7">
              <w:rPr>
                <w:rFonts w:eastAsia="Calibri"/>
              </w:rPr>
              <w:t>nterno</w:t>
            </w:r>
          </w:p>
        </w:tc>
        <w:tc>
          <w:tcPr>
            <w:tcW w:w="2244" w:type="dxa"/>
            <w:tcBorders>
              <w:top w:val="nil"/>
              <w:left w:val="nil"/>
              <w:bottom w:val="single" w:sz="4" w:space="0" w:color="auto"/>
              <w:right w:val="single" w:sz="4" w:space="0" w:color="auto"/>
            </w:tcBorders>
            <w:vAlign w:val="center"/>
            <w:hideMark/>
          </w:tcPr>
          <w:p w14:paraId="7CD5131D" w14:textId="724BF469" w:rsidR="0067582D" w:rsidRPr="007F17A7" w:rsidRDefault="0067582D" w:rsidP="008F05FF">
            <w:pPr>
              <w:spacing w:after="0" w:line="240" w:lineRule="auto"/>
              <w:jc w:val="center"/>
              <w:rPr>
                <w:rFonts w:eastAsia="Calibri"/>
              </w:rPr>
            </w:pPr>
            <w:r w:rsidRPr="007F17A7">
              <w:rPr>
                <w:lang w:eastAsia="es-MX"/>
              </w:rPr>
              <w:t>88%</w:t>
            </w:r>
          </w:p>
        </w:tc>
      </w:tr>
      <w:tr w:rsidR="0067582D" w:rsidRPr="00465A16" w14:paraId="19B2976A" w14:textId="77777777" w:rsidTr="0067582D">
        <w:trPr>
          <w:trHeight w:val="431"/>
        </w:trPr>
        <w:tc>
          <w:tcPr>
            <w:tcW w:w="5171" w:type="dxa"/>
            <w:tcBorders>
              <w:top w:val="single" w:sz="4" w:space="0" w:color="auto"/>
              <w:left w:val="single" w:sz="4" w:space="0" w:color="auto"/>
              <w:bottom w:val="single" w:sz="4" w:space="0" w:color="auto"/>
              <w:right w:val="single" w:sz="4" w:space="0" w:color="auto"/>
            </w:tcBorders>
            <w:vAlign w:val="center"/>
            <w:hideMark/>
          </w:tcPr>
          <w:p w14:paraId="0EBD73F7" w14:textId="0CCCDDAF" w:rsidR="0067582D" w:rsidRPr="007F17A7" w:rsidRDefault="0067582D" w:rsidP="008F05FF">
            <w:pPr>
              <w:spacing w:after="0" w:line="240" w:lineRule="auto"/>
              <w:rPr>
                <w:rFonts w:eastAsia="Calibri"/>
              </w:rPr>
            </w:pPr>
            <w:r w:rsidRPr="007F17A7">
              <w:rPr>
                <w:rFonts w:eastAsia="Calibri"/>
              </w:rPr>
              <w:t>1.2 Alineación POA, PACC y presupuesto</w:t>
            </w:r>
          </w:p>
        </w:tc>
        <w:tc>
          <w:tcPr>
            <w:tcW w:w="2244" w:type="dxa"/>
            <w:tcBorders>
              <w:top w:val="nil"/>
              <w:left w:val="nil"/>
              <w:bottom w:val="single" w:sz="4" w:space="0" w:color="auto"/>
              <w:right w:val="single" w:sz="4" w:space="0" w:color="auto"/>
            </w:tcBorders>
            <w:vAlign w:val="center"/>
            <w:hideMark/>
          </w:tcPr>
          <w:p w14:paraId="151675D1" w14:textId="6E384455" w:rsidR="0067582D" w:rsidRPr="007F17A7" w:rsidRDefault="0067582D" w:rsidP="008F05FF">
            <w:pPr>
              <w:spacing w:after="0" w:line="240" w:lineRule="auto"/>
              <w:jc w:val="center"/>
              <w:rPr>
                <w:rFonts w:eastAsia="Calibri"/>
              </w:rPr>
            </w:pPr>
            <w:r w:rsidRPr="007F17A7">
              <w:rPr>
                <w:lang w:eastAsia="es-MX"/>
              </w:rPr>
              <w:t>95%</w:t>
            </w:r>
          </w:p>
        </w:tc>
      </w:tr>
      <w:tr w:rsidR="0067582D" w:rsidRPr="00465A16" w14:paraId="7826728C" w14:textId="77777777" w:rsidTr="0067582D">
        <w:trPr>
          <w:trHeight w:val="422"/>
        </w:trPr>
        <w:tc>
          <w:tcPr>
            <w:tcW w:w="5171" w:type="dxa"/>
            <w:tcBorders>
              <w:top w:val="single" w:sz="4" w:space="0" w:color="auto"/>
              <w:left w:val="single" w:sz="4" w:space="0" w:color="auto"/>
              <w:bottom w:val="single" w:sz="4" w:space="0" w:color="auto"/>
              <w:right w:val="single" w:sz="4" w:space="0" w:color="auto"/>
            </w:tcBorders>
            <w:vAlign w:val="center"/>
            <w:hideMark/>
          </w:tcPr>
          <w:p w14:paraId="628303EC" w14:textId="25745319" w:rsidR="0067582D" w:rsidRPr="007F17A7" w:rsidRDefault="0067582D" w:rsidP="008F05FF">
            <w:pPr>
              <w:spacing w:after="0" w:line="240" w:lineRule="auto"/>
              <w:rPr>
                <w:rFonts w:eastAsia="Calibri"/>
              </w:rPr>
            </w:pPr>
            <w:r w:rsidRPr="007F17A7">
              <w:rPr>
                <w:rFonts w:eastAsia="Calibri"/>
              </w:rPr>
              <w:t>1.3 Cronograma de recepción de bienes</w:t>
            </w:r>
          </w:p>
        </w:tc>
        <w:tc>
          <w:tcPr>
            <w:tcW w:w="2244" w:type="dxa"/>
            <w:tcBorders>
              <w:top w:val="nil"/>
              <w:left w:val="nil"/>
              <w:bottom w:val="single" w:sz="4" w:space="0" w:color="auto"/>
              <w:right w:val="single" w:sz="4" w:space="0" w:color="auto"/>
            </w:tcBorders>
            <w:vAlign w:val="center"/>
            <w:hideMark/>
          </w:tcPr>
          <w:p w14:paraId="573A71A4" w14:textId="19C03C4F" w:rsidR="0067582D" w:rsidRPr="007F17A7" w:rsidRDefault="0067582D" w:rsidP="008F05FF">
            <w:pPr>
              <w:spacing w:after="0" w:line="240" w:lineRule="auto"/>
              <w:jc w:val="center"/>
              <w:rPr>
                <w:rFonts w:eastAsia="Calibri"/>
              </w:rPr>
            </w:pPr>
            <w:r w:rsidRPr="007F17A7">
              <w:rPr>
                <w:lang w:eastAsia="es-MX"/>
              </w:rPr>
              <w:t>95%</w:t>
            </w:r>
          </w:p>
        </w:tc>
      </w:tr>
      <w:tr w:rsidR="0067582D" w:rsidRPr="00465A16" w14:paraId="74304111" w14:textId="77777777" w:rsidTr="0067582D">
        <w:trPr>
          <w:trHeight w:val="415"/>
        </w:trPr>
        <w:tc>
          <w:tcPr>
            <w:tcW w:w="5171" w:type="dxa"/>
            <w:tcBorders>
              <w:top w:val="single" w:sz="4" w:space="0" w:color="auto"/>
              <w:left w:val="single" w:sz="4" w:space="0" w:color="auto"/>
              <w:bottom w:val="single" w:sz="4" w:space="0" w:color="auto"/>
              <w:right w:val="single" w:sz="4" w:space="0" w:color="auto"/>
            </w:tcBorders>
            <w:vAlign w:val="center"/>
            <w:hideMark/>
          </w:tcPr>
          <w:p w14:paraId="465F3B71" w14:textId="286CA4F3" w:rsidR="0067582D" w:rsidRPr="007F17A7" w:rsidRDefault="0067582D" w:rsidP="008F05FF">
            <w:pPr>
              <w:spacing w:after="0" w:line="240" w:lineRule="auto"/>
              <w:rPr>
                <w:rFonts w:eastAsia="Calibri"/>
              </w:rPr>
            </w:pPr>
            <w:r w:rsidRPr="007F17A7">
              <w:rPr>
                <w:rFonts w:eastAsia="Calibri"/>
              </w:rPr>
              <w:t>1.4 Presentación de conciliaciones bancarias</w:t>
            </w:r>
          </w:p>
        </w:tc>
        <w:tc>
          <w:tcPr>
            <w:tcW w:w="2244" w:type="dxa"/>
            <w:tcBorders>
              <w:top w:val="nil"/>
              <w:left w:val="nil"/>
              <w:bottom w:val="single" w:sz="4" w:space="0" w:color="auto"/>
              <w:right w:val="single" w:sz="4" w:space="0" w:color="auto"/>
            </w:tcBorders>
            <w:vAlign w:val="center"/>
            <w:hideMark/>
          </w:tcPr>
          <w:p w14:paraId="4E783258" w14:textId="1A3C0AE7" w:rsidR="0067582D" w:rsidRPr="007F17A7" w:rsidRDefault="0067582D" w:rsidP="008F05FF">
            <w:pPr>
              <w:spacing w:after="0" w:line="240" w:lineRule="auto"/>
              <w:jc w:val="center"/>
              <w:rPr>
                <w:rFonts w:eastAsia="Calibri"/>
              </w:rPr>
            </w:pPr>
            <w:r w:rsidRPr="007F17A7">
              <w:rPr>
                <w:lang w:eastAsia="es-MX"/>
              </w:rPr>
              <w:t>99%</w:t>
            </w:r>
          </w:p>
        </w:tc>
      </w:tr>
      <w:tr w:rsidR="0067582D" w:rsidRPr="00465A16" w14:paraId="2D6515C5" w14:textId="77777777" w:rsidTr="0067582D">
        <w:trPr>
          <w:trHeight w:val="510"/>
        </w:trPr>
        <w:tc>
          <w:tcPr>
            <w:tcW w:w="5171" w:type="dxa"/>
            <w:tcBorders>
              <w:top w:val="single" w:sz="4" w:space="0" w:color="auto"/>
              <w:left w:val="single" w:sz="4" w:space="0" w:color="auto"/>
              <w:bottom w:val="single" w:sz="4" w:space="0" w:color="auto"/>
              <w:right w:val="single" w:sz="4" w:space="0" w:color="auto"/>
            </w:tcBorders>
            <w:vAlign w:val="center"/>
            <w:hideMark/>
          </w:tcPr>
          <w:p w14:paraId="170D4420" w14:textId="7DCDA398" w:rsidR="0067582D" w:rsidRPr="007F17A7" w:rsidRDefault="0067582D" w:rsidP="008F05FF">
            <w:pPr>
              <w:spacing w:after="0" w:line="240" w:lineRule="auto"/>
              <w:rPr>
                <w:rFonts w:eastAsia="Calibri"/>
              </w:rPr>
            </w:pPr>
            <w:r w:rsidRPr="007F17A7">
              <w:rPr>
                <w:rFonts w:eastAsia="Calibri"/>
              </w:rPr>
              <w:t xml:space="preserve">2.1 Cumplimiento </w:t>
            </w:r>
            <w:r w:rsidR="003F6A69">
              <w:rPr>
                <w:rFonts w:eastAsia="Calibri"/>
              </w:rPr>
              <w:t>N</w:t>
            </w:r>
            <w:r w:rsidRPr="007F17A7">
              <w:rPr>
                <w:rFonts w:eastAsia="Calibri"/>
              </w:rPr>
              <w:t xml:space="preserve">ormas </w:t>
            </w:r>
            <w:r w:rsidR="003F6A69">
              <w:rPr>
                <w:rFonts w:eastAsia="Calibri"/>
              </w:rPr>
              <w:t>B</w:t>
            </w:r>
            <w:r w:rsidRPr="007F17A7">
              <w:rPr>
                <w:rFonts w:eastAsia="Calibri"/>
              </w:rPr>
              <w:t xml:space="preserve">ásicas de </w:t>
            </w:r>
            <w:r w:rsidR="003F6A69">
              <w:rPr>
                <w:rFonts w:eastAsia="Calibri"/>
              </w:rPr>
              <w:t>C</w:t>
            </w:r>
            <w:r w:rsidRPr="007F17A7">
              <w:rPr>
                <w:rFonts w:eastAsia="Calibri"/>
              </w:rPr>
              <w:t xml:space="preserve">ontrol </w:t>
            </w:r>
            <w:r w:rsidR="003F6A69">
              <w:rPr>
                <w:rFonts w:eastAsia="Calibri"/>
              </w:rPr>
              <w:t>I</w:t>
            </w:r>
            <w:r w:rsidRPr="007F17A7">
              <w:rPr>
                <w:rFonts w:eastAsia="Calibri"/>
              </w:rPr>
              <w:t>nterno</w:t>
            </w:r>
          </w:p>
        </w:tc>
        <w:tc>
          <w:tcPr>
            <w:tcW w:w="2244" w:type="dxa"/>
            <w:tcBorders>
              <w:top w:val="nil"/>
              <w:left w:val="nil"/>
              <w:bottom w:val="single" w:sz="4" w:space="0" w:color="auto"/>
              <w:right w:val="single" w:sz="4" w:space="0" w:color="auto"/>
            </w:tcBorders>
            <w:vAlign w:val="center"/>
            <w:hideMark/>
          </w:tcPr>
          <w:p w14:paraId="72FB4A7A" w14:textId="79990153" w:rsidR="0067582D" w:rsidRPr="007F17A7" w:rsidRDefault="0067582D" w:rsidP="008F05FF">
            <w:pPr>
              <w:spacing w:after="0" w:line="240" w:lineRule="auto"/>
              <w:jc w:val="center"/>
              <w:rPr>
                <w:rFonts w:eastAsia="Calibri"/>
              </w:rPr>
            </w:pPr>
            <w:r w:rsidRPr="007F17A7">
              <w:rPr>
                <w:lang w:eastAsia="es-MX"/>
              </w:rPr>
              <w:t>94%</w:t>
            </w:r>
          </w:p>
        </w:tc>
      </w:tr>
      <w:tr w:rsidR="0067582D" w:rsidRPr="00465A16" w14:paraId="6257874A" w14:textId="77777777" w:rsidTr="0067582D">
        <w:trPr>
          <w:trHeight w:val="415"/>
        </w:trPr>
        <w:tc>
          <w:tcPr>
            <w:tcW w:w="5171" w:type="dxa"/>
            <w:tcBorders>
              <w:top w:val="single" w:sz="4" w:space="0" w:color="auto"/>
              <w:left w:val="single" w:sz="4" w:space="0" w:color="auto"/>
              <w:bottom w:val="single" w:sz="4" w:space="0" w:color="auto"/>
              <w:right w:val="single" w:sz="4" w:space="0" w:color="auto"/>
            </w:tcBorders>
            <w:vAlign w:val="center"/>
            <w:hideMark/>
          </w:tcPr>
          <w:p w14:paraId="30770A1D" w14:textId="0D9ABD00" w:rsidR="0067582D" w:rsidRPr="007F17A7" w:rsidRDefault="0067582D" w:rsidP="008F05FF">
            <w:pPr>
              <w:spacing w:after="0" w:line="240" w:lineRule="auto"/>
              <w:rPr>
                <w:rFonts w:eastAsia="Calibri"/>
              </w:rPr>
            </w:pPr>
            <w:r w:rsidRPr="007F17A7">
              <w:rPr>
                <w:rFonts w:eastAsia="Calibri"/>
              </w:rPr>
              <w:t>2.2 Cumplimiento normas de 2do grado</w:t>
            </w:r>
          </w:p>
        </w:tc>
        <w:tc>
          <w:tcPr>
            <w:tcW w:w="2244" w:type="dxa"/>
            <w:tcBorders>
              <w:top w:val="nil"/>
              <w:left w:val="nil"/>
              <w:bottom w:val="single" w:sz="4" w:space="0" w:color="auto"/>
              <w:right w:val="single" w:sz="4" w:space="0" w:color="auto"/>
            </w:tcBorders>
            <w:vAlign w:val="center"/>
            <w:hideMark/>
          </w:tcPr>
          <w:p w14:paraId="61CBCBD5" w14:textId="41583A5A" w:rsidR="0067582D" w:rsidRPr="007F17A7" w:rsidRDefault="0067582D" w:rsidP="008F05FF">
            <w:pPr>
              <w:spacing w:after="0" w:line="240" w:lineRule="auto"/>
              <w:jc w:val="center"/>
              <w:rPr>
                <w:rFonts w:eastAsia="Calibri"/>
              </w:rPr>
            </w:pPr>
            <w:r w:rsidRPr="007F17A7">
              <w:rPr>
                <w:lang w:eastAsia="es-MX"/>
              </w:rPr>
              <w:t>100%</w:t>
            </w:r>
          </w:p>
        </w:tc>
      </w:tr>
      <w:tr w:rsidR="0067582D" w:rsidRPr="00465A16" w14:paraId="12BC468C" w14:textId="77777777" w:rsidTr="0067582D">
        <w:trPr>
          <w:trHeight w:val="421"/>
        </w:trPr>
        <w:tc>
          <w:tcPr>
            <w:tcW w:w="5171" w:type="dxa"/>
            <w:tcBorders>
              <w:top w:val="single" w:sz="4" w:space="0" w:color="auto"/>
              <w:left w:val="single" w:sz="4" w:space="0" w:color="auto"/>
              <w:bottom w:val="single" w:sz="4" w:space="0" w:color="auto"/>
              <w:right w:val="single" w:sz="4" w:space="0" w:color="auto"/>
            </w:tcBorders>
            <w:vAlign w:val="center"/>
            <w:hideMark/>
          </w:tcPr>
          <w:p w14:paraId="1037AA5D" w14:textId="657D6F45" w:rsidR="0067582D" w:rsidRPr="007F17A7" w:rsidRDefault="0067582D" w:rsidP="008F05FF">
            <w:pPr>
              <w:spacing w:after="0" w:line="240" w:lineRule="auto"/>
              <w:rPr>
                <w:rFonts w:eastAsia="Calibri"/>
              </w:rPr>
            </w:pPr>
            <w:r w:rsidRPr="007F17A7">
              <w:rPr>
                <w:rFonts w:eastAsia="Calibri"/>
              </w:rPr>
              <w:t>2.3 Devolución de contratos</w:t>
            </w:r>
          </w:p>
        </w:tc>
        <w:tc>
          <w:tcPr>
            <w:tcW w:w="2244" w:type="dxa"/>
            <w:tcBorders>
              <w:top w:val="nil"/>
              <w:left w:val="nil"/>
              <w:bottom w:val="single" w:sz="4" w:space="0" w:color="auto"/>
              <w:right w:val="single" w:sz="4" w:space="0" w:color="auto"/>
            </w:tcBorders>
            <w:vAlign w:val="center"/>
            <w:hideMark/>
          </w:tcPr>
          <w:p w14:paraId="428F6902" w14:textId="014794A5" w:rsidR="0067582D" w:rsidRPr="007F17A7" w:rsidRDefault="0067582D" w:rsidP="008F05FF">
            <w:pPr>
              <w:spacing w:after="0" w:line="240" w:lineRule="auto"/>
              <w:jc w:val="center"/>
              <w:rPr>
                <w:rFonts w:eastAsia="Calibri"/>
              </w:rPr>
            </w:pPr>
            <w:r w:rsidRPr="007F17A7">
              <w:rPr>
                <w:lang w:eastAsia="es-MX"/>
              </w:rPr>
              <w:t>90%</w:t>
            </w:r>
          </w:p>
        </w:tc>
      </w:tr>
      <w:tr w:rsidR="0067582D" w:rsidRPr="00465A16" w14:paraId="44FCF95B" w14:textId="77777777" w:rsidTr="0067582D">
        <w:trPr>
          <w:trHeight w:val="412"/>
        </w:trPr>
        <w:tc>
          <w:tcPr>
            <w:tcW w:w="5171" w:type="dxa"/>
            <w:tcBorders>
              <w:top w:val="single" w:sz="4" w:space="0" w:color="auto"/>
              <w:left w:val="single" w:sz="4" w:space="0" w:color="auto"/>
              <w:bottom w:val="single" w:sz="4" w:space="0" w:color="auto"/>
              <w:right w:val="single" w:sz="4" w:space="0" w:color="auto"/>
            </w:tcBorders>
            <w:vAlign w:val="center"/>
            <w:hideMark/>
          </w:tcPr>
          <w:p w14:paraId="6937380B" w14:textId="4AB0D162" w:rsidR="0067582D" w:rsidRPr="007F17A7" w:rsidRDefault="0067582D" w:rsidP="008F05FF">
            <w:pPr>
              <w:spacing w:after="0" w:line="240" w:lineRule="auto"/>
              <w:rPr>
                <w:rFonts w:eastAsia="Calibri"/>
              </w:rPr>
            </w:pPr>
            <w:r w:rsidRPr="007F17A7">
              <w:rPr>
                <w:rFonts w:eastAsia="Calibri"/>
              </w:rPr>
              <w:t>2.4 Devolución de libramientos</w:t>
            </w:r>
          </w:p>
        </w:tc>
        <w:tc>
          <w:tcPr>
            <w:tcW w:w="2244" w:type="dxa"/>
            <w:tcBorders>
              <w:top w:val="nil"/>
              <w:left w:val="nil"/>
              <w:bottom w:val="single" w:sz="4" w:space="0" w:color="auto"/>
              <w:right w:val="single" w:sz="4" w:space="0" w:color="auto"/>
            </w:tcBorders>
            <w:vAlign w:val="center"/>
            <w:hideMark/>
          </w:tcPr>
          <w:p w14:paraId="066DFFDA" w14:textId="2861E10D" w:rsidR="0067582D" w:rsidRPr="007F17A7" w:rsidRDefault="0067582D" w:rsidP="008F05FF">
            <w:pPr>
              <w:spacing w:after="0" w:line="240" w:lineRule="auto"/>
              <w:jc w:val="center"/>
              <w:rPr>
                <w:rFonts w:eastAsia="Calibri"/>
              </w:rPr>
            </w:pPr>
            <w:r w:rsidRPr="007F17A7">
              <w:rPr>
                <w:lang w:eastAsia="es-MX"/>
              </w:rPr>
              <w:t>85%</w:t>
            </w:r>
          </w:p>
        </w:tc>
      </w:tr>
      <w:tr w:rsidR="0067582D" w:rsidRPr="00465A16" w14:paraId="0A517E2A" w14:textId="77777777" w:rsidTr="0067582D">
        <w:trPr>
          <w:trHeight w:val="418"/>
        </w:trPr>
        <w:tc>
          <w:tcPr>
            <w:tcW w:w="5171" w:type="dxa"/>
            <w:tcBorders>
              <w:top w:val="single" w:sz="4" w:space="0" w:color="auto"/>
              <w:left w:val="single" w:sz="4" w:space="0" w:color="auto"/>
              <w:bottom w:val="single" w:sz="4" w:space="0" w:color="auto"/>
              <w:right w:val="single" w:sz="4" w:space="0" w:color="auto"/>
            </w:tcBorders>
            <w:vAlign w:val="center"/>
            <w:hideMark/>
          </w:tcPr>
          <w:p w14:paraId="1582EF0F" w14:textId="3D7AE361" w:rsidR="0067582D" w:rsidRPr="007F17A7" w:rsidRDefault="0067582D" w:rsidP="008F05FF">
            <w:pPr>
              <w:spacing w:after="0" w:line="240" w:lineRule="auto"/>
              <w:rPr>
                <w:rFonts w:eastAsia="Calibri"/>
              </w:rPr>
            </w:pPr>
            <w:r w:rsidRPr="007F17A7">
              <w:rPr>
                <w:rFonts w:eastAsia="Calibri"/>
              </w:rPr>
              <w:t>2.5 Devolución de archivos de nomina</w:t>
            </w:r>
          </w:p>
        </w:tc>
        <w:tc>
          <w:tcPr>
            <w:tcW w:w="2244" w:type="dxa"/>
            <w:tcBorders>
              <w:top w:val="nil"/>
              <w:left w:val="nil"/>
              <w:bottom w:val="single" w:sz="4" w:space="0" w:color="auto"/>
              <w:right w:val="single" w:sz="4" w:space="0" w:color="auto"/>
            </w:tcBorders>
            <w:vAlign w:val="center"/>
            <w:hideMark/>
          </w:tcPr>
          <w:p w14:paraId="5B19DD73" w14:textId="5DD404F3" w:rsidR="0067582D" w:rsidRPr="007F17A7" w:rsidRDefault="0067582D" w:rsidP="008F05FF">
            <w:pPr>
              <w:spacing w:after="0" w:line="240" w:lineRule="auto"/>
              <w:jc w:val="center"/>
              <w:rPr>
                <w:rFonts w:eastAsia="Calibri"/>
              </w:rPr>
            </w:pPr>
            <w:r w:rsidRPr="007F17A7">
              <w:rPr>
                <w:lang w:eastAsia="es-MX"/>
              </w:rPr>
              <w:t>86%</w:t>
            </w:r>
          </w:p>
        </w:tc>
      </w:tr>
      <w:tr w:rsidR="0067582D" w:rsidRPr="00465A16" w14:paraId="231C0DC8" w14:textId="77777777" w:rsidTr="0067582D">
        <w:trPr>
          <w:trHeight w:val="455"/>
        </w:trPr>
        <w:tc>
          <w:tcPr>
            <w:tcW w:w="5171" w:type="dxa"/>
            <w:tcBorders>
              <w:top w:val="single" w:sz="4" w:space="0" w:color="auto"/>
              <w:left w:val="single" w:sz="4" w:space="0" w:color="auto"/>
              <w:bottom w:val="single" w:sz="4" w:space="0" w:color="auto"/>
              <w:right w:val="single" w:sz="4" w:space="0" w:color="auto"/>
            </w:tcBorders>
            <w:vAlign w:val="center"/>
            <w:hideMark/>
          </w:tcPr>
          <w:p w14:paraId="0A40A0E7" w14:textId="6572CD20" w:rsidR="0067582D" w:rsidRPr="007F17A7" w:rsidRDefault="0067582D" w:rsidP="008F05FF">
            <w:pPr>
              <w:spacing w:after="0" w:line="240" w:lineRule="auto"/>
              <w:rPr>
                <w:rFonts w:eastAsia="Calibri"/>
              </w:rPr>
            </w:pPr>
            <w:r w:rsidRPr="007F17A7">
              <w:rPr>
                <w:rFonts w:eastAsia="Calibri"/>
              </w:rPr>
              <w:t>2.6 Informe de recepción de bienes</w:t>
            </w:r>
          </w:p>
        </w:tc>
        <w:tc>
          <w:tcPr>
            <w:tcW w:w="2244" w:type="dxa"/>
            <w:tcBorders>
              <w:top w:val="nil"/>
              <w:left w:val="nil"/>
              <w:bottom w:val="single" w:sz="4" w:space="0" w:color="auto"/>
              <w:right w:val="single" w:sz="4" w:space="0" w:color="auto"/>
            </w:tcBorders>
            <w:vAlign w:val="center"/>
            <w:hideMark/>
          </w:tcPr>
          <w:p w14:paraId="6C696A33" w14:textId="6C789645" w:rsidR="0067582D" w:rsidRPr="007F17A7" w:rsidRDefault="0067582D" w:rsidP="008F05FF">
            <w:pPr>
              <w:spacing w:after="0" w:line="240" w:lineRule="auto"/>
              <w:jc w:val="center"/>
              <w:rPr>
                <w:rFonts w:eastAsia="Calibri"/>
              </w:rPr>
            </w:pPr>
            <w:r w:rsidRPr="007F17A7">
              <w:rPr>
                <w:lang w:eastAsia="es-MX"/>
              </w:rPr>
              <w:t>93%</w:t>
            </w:r>
          </w:p>
        </w:tc>
      </w:tr>
      <w:tr w:rsidR="0067582D" w:rsidRPr="00465A16" w14:paraId="4225A4E5" w14:textId="77777777" w:rsidTr="0067582D">
        <w:trPr>
          <w:trHeight w:val="375"/>
        </w:trPr>
        <w:tc>
          <w:tcPr>
            <w:tcW w:w="5171" w:type="dxa"/>
            <w:tcBorders>
              <w:top w:val="single" w:sz="4" w:space="0" w:color="auto"/>
              <w:left w:val="single" w:sz="4" w:space="0" w:color="auto"/>
              <w:bottom w:val="single" w:sz="4" w:space="0" w:color="auto"/>
              <w:right w:val="single" w:sz="4" w:space="0" w:color="auto"/>
            </w:tcBorders>
            <w:vAlign w:val="center"/>
            <w:hideMark/>
          </w:tcPr>
          <w:p w14:paraId="4A7A06D9" w14:textId="7294B4CE" w:rsidR="0067582D" w:rsidRPr="007F17A7" w:rsidRDefault="0067582D" w:rsidP="008F05FF">
            <w:pPr>
              <w:spacing w:after="0" w:line="240" w:lineRule="auto"/>
              <w:rPr>
                <w:rFonts w:eastAsia="Calibri"/>
              </w:rPr>
            </w:pPr>
            <w:r w:rsidRPr="007F17A7">
              <w:rPr>
                <w:rFonts w:eastAsia="Calibri"/>
              </w:rPr>
              <w:t>2.7 Cumplimiento del IGP</w:t>
            </w:r>
          </w:p>
        </w:tc>
        <w:tc>
          <w:tcPr>
            <w:tcW w:w="2244" w:type="dxa"/>
            <w:tcBorders>
              <w:top w:val="nil"/>
              <w:left w:val="nil"/>
              <w:bottom w:val="single" w:sz="4" w:space="0" w:color="auto"/>
              <w:right w:val="single" w:sz="4" w:space="0" w:color="auto"/>
            </w:tcBorders>
            <w:vAlign w:val="center"/>
            <w:hideMark/>
          </w:tcPr>
          <w:p w14:paraId="46659583" w14:textId="08A0E9AD" w:rsidR="0067582D" w:rsidRPr="007F17A7" w:rsidRDefault="0067582D" w:rsidP="008F05FF">
            <w:pPr>
              <w:spacing w:after="0" w:line="240" w:lineRule="auto"/>
              <w:jc w:val="center"/>
              <w:rPr>
                <w:rFonts w:eastAsia="Calibri"/>
              </w:rPr>
            </w:pPr>
            <w:r w:rsidRPr="007F17A7">
              <w:rPr>
                <w:lang w:eastAsia="es-MX"/>
              </w:rPr>
              <w:t>91%</w:t>
            </w:r>
          </w:p>
        </w:tc>
      </w:tr>
      <w:tr w:rsidR="0067582D" w:rsidRPr="00465A16" w14:paraId="44B85733" w14:textId="77777777" w:rsidTr="0067582D">
        <w:trPr>
          <w:trHeight w:val="422"/>
        </w:trPr>
        <w:tc>
          <w:tcPr>
            <w:tcW w:w="5171" w:type="dxa"/>
            <w:tcBorders>
              <w:top w:val="single" w:sz="4" w:space="0" w:color="auto"/>
              <w:left w:val="single" w:sz="4" w:space="0" w:color="auto"/>
              <w:bottom w:val="single" w:sz="4" w:space="0" w:color="auto"/>
              <w:right w:val="single" w:sz="4" w:space="0" w:color="auto"/>
            </w:tcBorders>
            <w:vAlign w:val="center"/>
            <w:hideMark/>
          </w:tcPr>
          <w:p w14:paraId="130052E4" w14:textId="18F89792" w:rsidR="0067582D" w:rsidRPr="007F17A7" w:rsidRDefault="0067582D" w:rsidP="008F05FF">
            <w:pPr>
              <w:spacing w:after="0" w:line="240" w:lineRule="auto"/>
              <w:rPr>
                <w:rFonts w:eastAsia="Calibri"/>
              </w:rPr>
            </w:pPr>
            <w:r w:rsidRPr="007F17A7">
              <w:rPr>
                <w:rFonts w:eastAsia="Calibri"/>
              </w:rPr>
              <w:t>2.8 Cumplimiento del POA</w:t>
            </w:r>
          </w:p>
        </w:tc>
        <w:tc>
          <w:tcPr>
            <w:tcW w:w="2244" w:type="dxa"/>
            <w:tcBorders>
              <w:top w:val="nil"/>
              <w:left w:val="nil"/>
              <w:bottom w:val="single" w:sz="4" w:space="0" w:color="auto"/>
              <w:right w:val="single" w:sz="4" w:space="0" w:color="auto"/>
            </w:tcBorders>
            <w:vAlign w:val="center"/>
            <w:hideMark/>
          </w:tcPr>
          <w:p w14:paraId="0E78A0AA" w14:textId="653AC226" w:rsidR="0067582D" w:rsidRPr="007F17A7" w:rsidRDefault="0067582D" w:rsidP="008F05FF">
            <w:pPr>
              <w:spacing w:after="0" w:line="240" w:lineRule="auto"/>
              <w:jc w:val="center"/>
              <w:rPr>
                <w:rFonts w:eastAsia="Calibri"/>
              </w:rPr>
            </w:pPr>
            <w:r w:rsidRPr="007F17A7">
              <w:rPr>
                <w:lang w:eastAsia="es-MX"/>
              </w:rPr>
              <w:t>91%</w:t>
            </w:r>
          </w:p>
        </w:tc>
      </w:tr>
      <w:tr w:rsidR="0067582D" w:rsidRPr="00465A16" w14:paraId="38F42493" w14:textId="77777777" w:rsidTr="0067582D">
        <w:trPr>
          <w:trHeight w:val="414"/>
        </w:trPr>
        <w:tc>
          <w:tcPr>
            <w:tcW w:w="5171" w:type="dxa"/>
            <w:tcBorders>
              <w:top w:val="single" w:sz="4" w:space="0" w:color="auto"/>
              <w:left w:val="single" w:sz="4" w:space="0" w:color="auto"/>
              <w:bottom w:val="single" w:sz="4" w:space="0" w:color="auto"/>
              <w:right w:val="single" w:sz="4" w:space="0" w:color="auto"/>
            </w:tcBorders>
            <w:vAlign w:val="center"/>
            <w:hideMark/>
          </w:tcPr>
          <w:p w14:paraId="71E78070" w14:textId="1D7A4DA2" w:rsidR="0067582D" w:rsidRPr="007F17A7" w:rsidRDefault="0067582D" w:rsidP="008F05FF">
            <w:pPr>
              <w:spacing w:after="0" w:line="240" w:lineRule="auto"/>
              <w:rPr>
                <w:rFonts w:eastAsia="Calibri"/>
              </w:rPr>
            </w:pPr>
            <w:r w:rsidRPr="007F17A7">
              <w:rPr>
                <w:rFonts w:eastAsia="Calibri"/>
              </w:rPr>
              <w:t>2.9 Informe de cierre de operaciones</w:t>
            </w:r>
          </w:p>
        </w:tc>
        <w:tc>
          <w:tcPr>
            <w:tcW w:w="2244" w:type="dxa"/>
            <w:tcBorders>
              <w:top w:val="nil"/>
              <w:left w:val="nil"/>
              <w:bottom w:val="single" w:sz="4" w:space="0" w:color="auto"/>
              <w:right w:val="single" w:sz="4" w:space="0" w:color="auto"/>
            </w:tcBorders>
            <w:vAlign w:val="center"/>
            <w:hideMark/>
          </w:tcPr>
          <w:p w14:paraId="593748E3" w14:textId="584FC601" w:rsidR="0067582D" w:rsidRPr="007F17A7" w:rsidRDefault="0067582D" w:rsidP="008F05FF">
            <w:pPr>
              <w:spacing w:after="0" w:line="240" w:lineRule="auto"/>
              <w:jc w:val="center"/>
              <w:rPr>
                <w:rFonts w:eastAsia="Calibri"/>
              </w:rPr>
            </w:pPr>
            <w:r w:rsidRPr="007F17A7">
              <w:rPr>
                <w:lang w:eastAsia="es-MX"/>
              </w:rPr>
              <w:t>94%</w:t>
            </w:r>
          </w:p>
        </w:tc>
      </w:tr>
      <w:tr w:rsidR="0067582D" w:rsidRPr="00465A16" w14:paraId="04AAB775" w14:textId="77777777" w:rsidTr="0067582D">
        <w:trPr>
          <w:trHeight w:val="421"/>
        </w:trPr>
        <w:tc>
          <w:tcPr>
            <w:tcW w:w="5171" w:type="dxa"/>
            <w:tcBorders>
              <w:top w:val="single" w:sz="4" w:space="0" w:color="auto"/>
              <w:left w:val="single" w:sz="4" w:space="0" w:color="auto"/>
              <w:bottom w:val="single" w:sz="4" w:space="0" w:color="auto"/>
              <w:right w:val="single" w:sz="4" w:space="0" w:color="auto"/>
            </w:tcBorders>
            <w:vAlign w:val="center"/>
            <w:hideMark/>
          </w:tcPr>
          <w:p w14:paraId="776631F1" w14:textId="77AFC854" w:rsidR="0067582D" w:rsidRPr="007F17A7" w:rsidRDefault="0067582D" w:rsidP="008F05FF">
            <w:pPr>
              <w:spacing w:after="0" w:line="240" w:lineRule="auto"/>
              <w:rPr>
                <w:rFonts w:eastAsia="Calibri"/>
              </w:rPr>
            </w:pPr>
            <w:r w:rsidRPr="007F17A7">
              <w:rPr>
                <w:rFonts w:eastAsia="Calibri"/>
              </w:rPr>
              <w:t>2.10 Manejo de cajas chicas</w:t>
            </w:r>
          </w:p>
        </w:tc>
        <w:tc>
          <w:tcPr>
            <w:tcW w:w="2244" w:type="dxa"/>
            <w:tcBorders>
              <w:top w:val="nil"/>
              <w:left w:val="nil"/>
              <w:bottom w:val="single" w:sz="4" w:space="0" w:color="auto"/>
              <w:right w:val="single" w:sz="4" w:space="0" w:color="auto"/>
            </w:tcBorders>
            <w:vAlign w:val="center"/>
            <w:hideMark/>
          </w:tcPr>
          <w:p w14:paraId="2696DD0B" w14:textId="34DA47D2" w:rsidR="0067582D" w:rsidRPr="007F17A7" w:rsidRDefault="0067582D" w:rsidP="008F05FF">
            <w:pPr>
              <w:spacing w:after="0" w:line="240" w:lineRule="auto"/>
              <w:jc w:val="center"/>
              <w:rPr>
                <w:rFonts w:eastAsia="Calibri"/>
              </w:rPr>
            </w:pPr>
            <w:r w:rsidRPr="007F17A7">
              <w:rPr>
                <w:lang w:eastAsia="es-MX"/>
              </w:rPr>
              <w:t>98%</w:t>
            </w:r>
          </w:p>
        </w:tc>
      </w:tr>
    </w:tbl>
    <w:p w14:paraId="07B5A91B" w14:textId="5F32A468" w:rsidR="001B4BA0" w:rsidRPr="0077472F" w:rsidRDefault="00B253E1" w:rsidP="008F05FF">
      <w:pPr>
        <w:spacing w:line="360" w:lineRule="auto"/>
        <w:jc w:val="center"/>
        <w:rPr>
          <w:rFonts w:eastAsia="Calibri"/>
          <w:i/>
          <w:iCs/>
          <w:color w:val="4C4747"/>
          <w:sz w:val="18"/>
          <w:szCs w:val="18"/>
        </w:rPr>
      </w:pPr>
      <w:r w:rsidRPr="0077472F">
        <w:rPr>
          <w:rFonts w:eastAsia="Calibri"/>
          <w:i/>
          <w:iCs/>
          <w:color w:val="4C4747"/>
          <w:sz w:val="18"/>
          <w:szCs w:val="18"/>
        </w:rPr>
        <w:t xml:space="preserve">Fuente: </w:t>
      </w:r>
      <w:r w:rsidR="00287505" w:rsidRPr="0077472F">
        <w:rPr>
          <w:rFonts w:eastAsia="Calibri"/>
          <w:i/>
          <w:iCs/>
          <w:color w:val="4C4747"/>
          <w:sz w:val="18"/>
          <w:szCs w:val="18"/>
        </w:rPr>
        <w:t>Sistema ICI</w:t>
      </w:r>
    </w:p>
    <w:bookmarkEnd w:id="15"/>
    <w:p w14:paraId="6C2C5D13" w14:textId="77777777" w:rsidR="00287505" w:rsidRPr="007F17A7" w:rsidRDefault="00287505" w:rsidP="008F05FF">
      <w:pPr>
        <w:spacing w:line="360" w:lineRule="auto"/>
        <w:jc w:val="both"/>
        <w:rPr>
          <w:rFonts w:eastAsia="Calibri"/>
        </w:rPr>
      </w:pPr>
    </w:p>
    <w:p w14:paraId="594ADCCD" w14:textId="77777777" w:rsidR="00287505" w:rsidRDefault="00287505" w:rsidP="008F05FF">
      <w:pPr>
        <w:spacing w:line="360" w:lineRule="auto"/>
        <w:jc w:val="both"/>
        <w:rPr>
          <w:rFonts w:eastAsia="Calibri"/>
        </w:rPr>
      </w:pPr>
    </w:p>
    <w:p w14:paraId="7E8A479B" w14:textId="77777777" w:rsidR="00BC1F5A" w:rsidRPr="007F17A7" w:rsidRDefault="00BC1F5A" w:rsidP="008F05FF">
      <w:pPr>
        <w:spacing w:line="360" w:lineRule="auto"/>
        <w:jc w:val="both"/>
        <w:rPr>
          <w:rFonts w:eastAsia="Calibri"/>
        </w:rPr>
      </w:pPr>
    </w:p>
    <w:p w14:paraId="26ABA1A4" w14:textId="3A8F9964" w:rsidR="001B4BA0" w:rsidRPr="007F17A7" w:rsidRDefault="001B4BA0" w:rsidP="00465A16">
      <w:pPr>
        <w:spacing w:line="360" w:lineRule="auto"/>
        <w:rPr>
          <w:rFonts w:eastAsia="Calibri"/>
          <w:b/>
          <w:bCs/>
        </w:rPr>
      </w:pPr>
      <w:r w:rsidRPr="007F17A7">
        <w:rPr>
          <w:rFonts w:eastAsia="Calibri"/>
          <w:b/>
          <w:bCs/>
        </w:rPr>
        <w:lastRenderedPageBreak/>
        <w:t xml:space="preserve">c. Escuela Nacional de </w:t>
      </w:r>
      <w:r w:rsidR="00D5319B" w:rsidRPr="007F17A7">
        <w:rPr>
          <w:rFonts w:eastAsia="Calibri"/>
          <w:b/>
          <w:bCs/>
        </w:rPr>
        <w:t>C</w:t>
      </w:r>
      <w:r w:rsidRPr="007F17A7">
        <w:rPr>
          <w:rFonts w:eastAsia="Calibri"/>
          <w:b/>
          <w:bCs/>
        </w:rPr>
        <w:t>ontrol Interno</w:t>
      </w:r>
      <w:r w:rsidR="00D5319B" w:rsidRPr="007F17A7">
        <w:rPr>
          <w:rFonts w:eastAsia="Calibri"/>
          <w:b/>
          <w:bCs/>
        </w:rPr>
        <w:t xml:space="preserve"> (ENCI)</w:t>
      </w:r>
    </w:p>
    <w:p w14:paraId="2610AA4E" w14:textId="3CC790D0" w:rsidR="00C23761" w:rsidRPr="007F17A7" w:rsidRDefault="001B4BA0" w:rsidP="00465A16">
      <w:pPr>
        <w:spacing w:line="360" w:lineRule="auto"/>
        <w:jc w:val="both"/>
        <w:rPr>
          <w:rFonts w:eastAsia="Calibri"/>
        </w:rPr>
      </w:pPr>
      <w:r w:rsidRPr="007F17A7">
        <w:rPr>
          <w:rFonts w:eastAsia="Calibri"/>
        </w:rPr>
        <w:t>Con el propósito de robustecer las competencias técnicas en diversas áreas y promover el desarrollo de aptitudes entre los funcionarios públicos de las in</w:t>
      </w:r>
      <w:r w:rsidR="00C23761" w:rsidRPr="007F17A7">
        <w:rPr>
          <w:rFonts w:eastAsia="Calibri"/>
        </w:rPr>
        <w:t>s</w:t>
      </w:r>
      <w:r w:rsidRPr="007F17A7">
        <w:rPr>
          <w:rFonts w:eastAsia="Calibri"/>
        </w:rPr>
        <w:t xml:space="preserve">tituciones, encargados de salvaguardar la transparencia, eficiencia y legalidad en la gestión de los recursos públicos, </w:t>
      </w:r>
      <w:bookmarkStart w:id="16" w:name="_Hlk185262990"/>
      <w:r w:rsidRPr="007F17A7">
        <w:rPr>
          <w:rFonts w:eastAsia="Calibri"/>
        </w:rPr>
        <w:t>la Escuela Nacional de Control Interno</w:t>
      </w:r>
      <w:r w:rsidR="008F05FF" w:rsidRPr="007F17A7">
        <w:rPr>
          <w:rFonts w:eastAsia="Calibri"/>
        </w:rPr>
        <w:t xml:space="preserve"> (ENCI)</w:t>
      </w:r>
      <w:r w:rsidRPr="007F17A7">
        <w:rPr>
          <w:rFonts w:eastAsia="Calibri"/>
        </w:rPr>
        <w:t xml:space="preserve"> ha llevado a cabo,</w:t>
      </w:r>
      <w:r w:rsidR="007F7684" w:rsidRPr="007F17A7">
        <w:rPr>
          <w:rFonts w:eastAsia="Calibri"/>
        </w:rPr>
        <w:t xml:space="preserve"> </w:t>
      </w:r>
      <w:bookmarkEnd w:id="16"/>
      <w:r w:rsidR="008F05FF" w:rsidRPr="007F17A7">
        <w:rPr>
          <w:rFonts w:eastAsia="Calibri"/>
        </w:rPr>
        <w:t>a través de su programa de formación 2025, un total de 130 eventos formativos al 30 de noviembre del 2025, agotando un total de 1,004 horas formativas.</w:t>
      </w:r>
    </w:p>
    <w:p w14:paraId="18BD0543" w14:textId="77777777" w:rsidR="008F05FF" w:rsidRPr="007F17A7" w:rsidRDefault="008F05FF" w:rsidP="00465A16">
      <w:pPr>
        <w:spacing w:line="360" w:lineRule="auto"/>
        <w:jc w:val="both"/>
        <w:rPr>
          <w:rFonts w:eastAsia="Calibri"/>
        </w:rPr>
      </w:pPr>
      <w:r w:rsidRPr="007F17A7">
        <w:rPr>
          <w:rFonts w:eastAsia="Calibri"/>
        </w:rPr>
        <w:t>Entre las capacitaciones desarrolladas destacan las actividades de formación en las modalidades, presenciales, virtuales y mixtas, diseñadas para ajustarse a las necesidades de las instituciones públicas, así como al marco regulatorio vigente. Algunas de éstas son:</w:t>
      </w:r>
    </w:p>
    <w:p w14:paraId="0CD435C4" w14:textId="36C220D3" w:rsidR="00EA73F7" w:rsidRPr="007F17A7" w:rsidRDefault="008F05FF" w:rsidP="000D2AF7">
      <w:pPr>
        <w:pStyle w:val="Prrafodelista"/>
        <w:numPr>
          <w:ilvl w:val="0"/>
          <w:numId w:val="10"/>
        </w:numPr>
        <w:spacing w:line="360" w:lineRule="auto"/>
        <w:ind w:left="284" w:hanging="284"/>
        <w:jc w:val="both"/>
        <w:rPr>
          <w:rFonts w:eastAsia="Calibri"/>
          <w:b/>
          <w:bCs/>
        </w:rPr>
      </w:pPr>
      <w:r w:rsidRPr="007F17A7">
        <w:rPr>
          <w:rFonts w:eastAsia="Calibri"/>
          <w:b/>
          <w:bCs/>
        </w:rPr>
        <w:t>Enfoque Estratégico para la Gestión del Control Interno Institucional.</w:t>
      </w:r>
      <w:r w:rsidR="00EA73F7" w:rsidRPr="007F17A7">
        <w:rPr>
          <w:rFonts w:eastAsia="Calibri"/>
          <w:b/>
          <w:bCs/>
        </w:rPr>
        <w:t xml:space="preserve"> 07 instituciones impactadas:</w:t>
      </w:r>
    </w:p>
    <w:p w14:paraId="441F5374" w14:textId="77777777" w:rsidR="00EA73F7" w:rsidRPr="007F17A7" w:rsidRDefault="00EA73F7">
      <w:pPr>
        <w:pStyle w:val="Prrafodelista"/>
        <w:numPr>
          <w:ilvl w:val="0"/>
          <w:numId w:val="11"/>
        </w:numPr>
        <w:spacing w:line="360" w:lineRule="auto"/>
        <w:jc w:val="both"/>
        <w:rPr>
          <w:rFonts w:eastAsia="Calibri"/>
        </w:rPr>
      </w:pPr>
      <w:r w:rsidRPr="007F17A7">
        <w:rPr>
          <w:rFonts w:eastAsia="Calibri"/>
        </w:rPr>
        <w:t>Universidad Autónoma de Santo Domingo (UASD)</w:t>
      </w:r>
    </w:p>
    <w:p w14:paraId="00D16C46" w14:textId="77777777" w:rsidR="00EA73F7" w:rsidRPr="007F17A7" w:rsidRDefault="00EA73F7">
      <w:pPr>
        <w:pStyle w:val="Prrafodelista"/>
        <w:numPr>
          <w:ilvl w:val="0"/>
          <w:numId w:val="11"/>
        </w:numPr>
        <w:spacing w:line="360" w:lineRule="auto"/>
        <w:jc w:val="both"/>
        <w:rPr>
          <w:rFonts w:eastAsia="Calibri"/>
        </w:rPr>
      </w:pPr>
      <w:r w:rsidRPr="007F17A7">
        <w:rPr>
          <w:rFonts w:eastAsia="Calibri"/>
        </w:rPr>
        <w:t>Instituto Postal Dominicano (INPOSDOM)</w:t>
      </w:r>
    </w:p>
    <w:p w14:paraId="7D3378D1" w14:textId="77777777" w:rsidR="00EA73F7" w:rsidRPr="007F17A7" w:rsidRDefault="00EA73F7">
      <w:pPr>
        <w:pStyle w:val="Prrafodelista"/>
        <w:numPr>
          <w:ilvl w:val="0"/>
          <w:numId w:val="11"/>
        </w:numPr>
        <w:spacing w:line="360" w:lineRule="auto"/>
        <w:jc w:val="both"/>
        <w:rPr>
          <w:rFonts w:eastAsia="Calibri"/>
        </w:rPr>
      </w:pPr>
      <w:r w:rsidRPr="007F17A7">
        <w:rPr>
          <w:rFonts w:eastAsia="Calibri"/>
        </w:rPr>
        <w:t>Policía Nacional</w:t>
      </w:r>
    </w:p>
    <w:p w14:paraId="3AAEDD64" w14:textId="77777777" w:rsidR="00EA73F7" w:rsidRPr="007F17A7" w:rsidRDefault="00EA73F7">
      <w:pPr>
        <w:pStyle w:val="Prrafodelista"/>
        <w:numPr>
          <w:ilvl w:val="0"/>
          <w:numId w:val="11"/>
        </w:numPr>
        <w:spacing w:line="360" w:lineRule="auto"/>
        <w:jc w:val="both"/>
        <w:rPr>
          <w:rFonts w:eastAsia="Calibri"/>
        </w:rPr>
      </w:pPr>
      <w:r w:rsidRPr="007F17A7">
        <w:rPr>
          <w:rFonts w:eastAsia="Calibri"/>
        </w:rPr>
        <w:t>Dirección General de Presupuesto (DIGEPRES)</w:t>
      </w:r>
    </w:p>
    <w:p w14:paraId="61702742" w14:textId="77777777" w:rsidR="00EA73F7" w:rsidRPr="007F17A7" w:rsidRDefault="00EA73F7">
      <w:pPr>
        <w:pStyle w:val="Prrafodelista"/>
        <w:numPr>
          <w:ilvl w:val="0"/>
          <w:numId w:val="11"/>
        </w:numPr>
        <w:spacing w:line="360" w:lineRule="auto"/>
        <w:jc w:val="both"/>
        <w:rPr>
          <w:rFonts w:eastAsia="Calibri"/>
        </w:rPr>
      </w:pPr>
      <w:r w:rsidRPr="007F17A7">
        <w:rPr>
          <w:rFonts w:eastAsia="Calibri"/>
        </w:rPr>
        <w:t>Empresa de Generación Hidroeléctrica Dominicana (EGEHID)</w:t>
      </w:r>
    </w:p>
    <w:p w14:paraId="375AF0A2" w14:textId="77777777" w:rsidR="00EA73F7" w:rsidRPr="007F17A7" w:rsidRDefault="00EA73F7">
      <w:pPr>
        <w:pStyle w:val="Prrafodelista"/>
        <w:numPr>
          <w:ilvl w:val="0"/>
          <w:numId w:val="11"/>
        </w:numPr>
        <w:spacing w:line="360" w:lineRule="auto"/>
        <w:jc w:val="both"/>
        <w:rPr>
          <w:rFonts w:eastAsia="Calibri"/>
        </w:rPr>
      </w:pPr>
      <w:r w:rsidRPr="007F17A7">
        <w:rPr>
          <w:rFonts w:eastAsia="Calibri"/>
        </w:rPr>
        <w:t>Ministerio Administrativo de la Presidencia (MAPRE)</w:t>
      </w:r>
    </w:p>
    <w:p w14:paraId="30DD06AB" w14:textId="0F59C53B" w:rsidR="000E3A51" w:rsidRPr="007F17A7" w:rsidRDefault="00EA73F7">
      <w:pPr>
        <w:pStyle w:val="Prrafodelista"/>
        <w:numPr>
          <w:ilvl w:val="0"/>
          <w:numId w:val="11"/>
        </w:numPr>
        <w:spacing w:line="360" w:lineRule="auto"/>
        <w:jc w:val="both"/>
        <w:rPr>
          <w:rFonts w:eastAsia="Calibri"/>
        </w:rPr>
      </w:pPr>
      <w:r w:rsidRPr="007F17A7">
        <w:rPr>
          <w:rFonts w:eastAsia="Calibri"/>
        </w:rPr>
        <w:t>Dirección General de Aduanas (DGA)</w:t>
      </w:r>
    </w:p>
    <w:p w14:paraId="24ACFFCA" w14:textId="77777777" w:rsidR="00463C08" w:rsidRDefault="00463C08" w:rsidP="00465A16">
      <w:pPr>
        <w:pStyle w:val="Prrafodelista"/>
        <w:spacing w:line="360" w:lineRule="auto"/>
        <w:ind w:left="993"/>
        <w:jc w:val="both"/>
        <w:rPr>
          <w:rFonts w:eastAsia="Calibri"/>
          <w:b/>
          <w:bCs/>
          <w:color w:val="4C4747"/>
        </w:rPr>
      </w:pPr>
    </w:p>
    <w:p w14:paraId="47ED0445" w14:textId="77777777" w:rsidR="000E3A51" w:rsidRPr="007F17A7" w:rsidRDefault="008F05FF">
      <w:pPr>
        <w:pStyle w:val="Prrafodelista"/>
        <w:numPr>
          <w:ilvl w:val="0"/>
          <w:numId w:val="8"/>
        </w:numPr>
        <w:spacing w:line="360" w:lineRule="auto"/>
        <w:ind w:left="426"/>
        <w:jc w:val="both"/>
        <w:rPr>
          <w:rFonts w:eastAsia="Calibri"/>
        </w:rPr>
      </w:pPr>
      <w:r w:rsidRPr="007F17A7">
        <w:rPr>
          <w:rFonts w:eastAsia="Calibri"/>
          <w:b/>
          <w:bCs/>
        </w:rPr>
        <w:t>Webinar: Sensibilización sobre Control Interno</w:t>
      </w:r>
      <w:r w:rsidRPr="007F17A7">
        <w:rPr>
          <w:rFonts w:eastAsia="Calibri"/>
        </w:rPr>
        <w:t>.</w:t>
      </w:r>
      <w:r w:rsidR="00ED531C" w:rsidRPr="007F17A7">
        <w:t xml:space="preserve"> </w:t>
      </w:r>
      <w:r w:rsidR="00ED531C" w:rsidRPr="007F17A7">
        <w:rPr>
          <w:rFonts w:eastAsia="Calibri"/>
        </w:rPr>
        <w:t xml:space="preserve">Más de 151 servidores públicos internos y externos, (112 mujeres y 39 hombres), participaron en este encuentro virtual, beneficiándose de una experiencia formativa moderna, orientada a reforzar la cultura de transparencia, legalidad y buen uso de los recursos. </w:t>
      </w:r>
    </w:p>
    <w:p w14:paraId="094B7A6F" w14:textId="053E73CC" w:rsidR="008F05FF" w:rsidRPr="007F17A7" w:rsidRDefault="00ED531C" w:rsidP="00463C08">
      <w:pPr>
        <w:pStyle w:val="Prrafodelista"/>
        <w:spacing w:line="360" w:lineRule="auto"/>
        <w:ind w:left="426"/>
        <w:jc w:val="both"/>
        <w:rPr>
          <w:rFonts w:eastAsia="Calibri"/>
        </w:rPr>
      </w:pPr>
      <w:r w:rsidRPr="007F17A7">
        <w:rPr>
          <w:rFonts w:eastAsia="Calibri"/>
        </w:rPr>
        <w:lastRenderedPageBreak/>
        <w:t>Este primer webinar sentó las bases para la implementación continua de este tipo de formato didáctico consolidándose como un pilar estratégico dentro del modelo formativo 2025.</w:t>
      </w:r>
    </w:p>
    <w:p w14:paraId="1C9F1801" w14:textId="77777777" w:rsidR="000E3A51" w:rsidRPr="007F17A7" w:rsidRDefault="000E3A51" w:rsidP="00463C08">
      <w:pPr>
        <w:pStyle w:val="Prrafodelista"/>
        <w:spacing w:line="360" w:lineRule="auto"/>
        <w:ind w:left="426"/>
        <w:jc w:val="both"/>
        <w:rPr>
          <w:rFonts w:eastAsia="Calibri"/>
        </w:rPr>
      </w:pPr>
    </w:p>
    <w:p w14:paraId="2FA4AB9F" w14:textId="08E6F46A" w:rsidR="008F05FF" w:rsidRPr="007F17A7" w:rsidRDefault="008F05FF">
      <w:pPr>
        <w:pStyle w:val="Prrafodelista"/>
        <w:numPr>
          <w:ilvl w:val="0"/>
          <w:numId w:val="8"/>
        </w:numPr>
        <w:spacing w:line="360" w:lineRule="auto"/>
        <w:ind w:left="426"/>
        <w:jc w:val="both"/>
        <w:rPr>
          <w:rFonts w:eastAsia="Calibri"/>
        </w:rPr>
      </w:pPr>
      <w:r w:rsidRPr="007F17A7">
        <w:rPr>
          <w:rFonts w:eastAsia="Calibri"/>
          <w:b/>
          <w:bCs/>
        </w:rPr>
        <w:t>Webinar: Importancia de la Auditoría Interna como apoyo en la Gestión Pública.</w:t>
      </w:r>
      <w:r w:rsidR="000E3A51" w:rsidRPr="007F17A7">
        <w:rPr>
          <w:rFonts w:eastAsia="Calibri"/>
        </w:rPr>
        <w:t xml:space="preserve"> Tras el éxito e impacto masivo del primer Webinar citado más arriba, la ENCI continuó apostado por esta modalidad al desarrollar un segundo encuentro virtual, esta vez, dirigido a los auditores y auxiliares de auditoría, alcanzando una cifra importante de una población de 302 participantes, segmentados en 173 hombres y 129 mujeres.</w:t>
      </w:r>
    </w:p>
    <w:p w14:paraId="3341983B" w14:textId="77777777" w:rsidR="000E3A51" w:rsidRPr="007F17A7" w:rsidRDefault="000E3A51" w:rsidP="00463C08">
      <w:pPr>
        <w:pStyle w:val="Prrafodelista"/>
        <w:spacing w:line="360" w:lineRule="auto"/>
        <w:ind w:left="426"/>
        <w:jc w:val="both"/>
        <w:rPr>
          <w:rFonts w:eastAsia="Calibri"/>
        </w:rPr>
      </w:pPr>
    </w:p>
    <w:p w14:paraId="4DAA5ED7" w14:textId="77777777" w:rsidR="007503F6" w:rsidRDefault="000E3A51" w:rsidP="007503F6">
      <w:pPr>
        <w:pStyle w:val="Prrafodelista"/>
        <w:numPr>
          <w:ilvl w:val="0"/>
          <w:numId w:val="8"/>
        </w:numPr>
        <w:spacing w:line="360" w:lineRule="auto"/>
        <w:ind w:left="426"/>
        <w:jc w:val="both"/>
        <w:rPr>
          <w:rFonts w:eastAsia="Calibri"/>
        </w:rPr>
      </w:pPr>
      <w:r w:rsidRPr="007F17A7">
        <w:rPr>
          <w:rFonts w:eastAsia="Calibri"/>
          <w:b/>
          <w:bCs/>
        </w:rPr>
        <w:t>Webinar: Cambios relevantes en la gestión del Control Interno; retos y oportunidades.</w:t>
      </w:r>
      <w:r w:rsidRPr="007F17A7">
        <w:rPr>
          <w:rFonts w:eastAsia="Calibri"/>
        </w:rPr>
        <w:t xml:space="preserve"> Se abordaron los principales cambios que actualmente redefinen la gestión del control interno en la administración pública, incluyendo nuevas exigencias regulatorias, prácticas emergentes de fiscalización, adopción de tecnologías de apoyo para el control y la necesidad de fortalecer una cultura institucional orientada a la transparencia y la mejora continua. Se logró impactar a un total de 377 colaboradores de la Contraloría General de la República, segmentados en 244 mujeres y 133 hombres.</w:t>
      </w:r>
    </w:p>
    <w:p w14:paraId="1C053C71" w14:textId="77777777" w:rsidR="007503F6" w:rsidRPr="007503F6" w:rsidRDefault="007503F6" w:rsidP="007503F6">
      <w:pPr>
        <w:pStyle w:val="Prrafodelista"/>
        <w:rPr>
          <w:rFonts w:eastAsia="Calibri"/>
          <w:b/>
          <w:bCs/>
        </w:rPr>
      </w:pPr>
    </w:p>
    <w:p w14:paraId="5FAE8763" w14:textId="084156C4" w:rsidR="007503F6" w:rsidRPr="007503F6" w:rsidRDefault="008F05FF" w:rsidP="007503F6">
      <w:pPr>
        <w:pStyle w:val="Prrafodelista"/>
        <w:numPr>
          <w:ilvl w:val="0"/>
          <w:numId w:val="8"/>
        </w:numPr>
        <w:spacing w:line="360" w:lineRule="auto"/>
        <w:ind w:left="426"/>
        <w:jc w:val="both"/>
        <w:rPr>
          <w:rFonts w:eastAsia="Calibri"/>
        </w:rPr>
      </w:pPr>
      <w:r w:rsidRPr="007503F6">
        <w:rPr>
          <w:rFonts w:eastAsia="Calibri"/>
          <w:b/>
          <w:bCs/>
        </w:rPr>
        <w:t>Gestión de la Inteligencia para el Control Interno</w:t>
      </w:r>
      <w:r w:rsidRPr="007503F6">
        <w:rPr>
          <w:rFonts w:eastAsia="Calibri"/>
        </w:rPr>
        <w:t>,</w:t>
      </w:r>
      <w:r w:rsidR="007503F6" w:rsidRPr="007503F6">
        <w:rPr>
          <w:rFonts w:eastAsia="Calibri"/>
        </w:rPr>
        <w:t xml:space="preserve"> una propuesta innovadora para fortalecer la capacidad analítica y estratégica del sector público. Con la primera sesión de este novedoso programa se logró impactar a un total de 18 colaboradores, segmentados en 14 mujeres y cuatro hombres, con un total de 24 horas académicas.</w:t>
      </w:r>
    </w:p>
    <w:p w14:paraId="6755C75D" w14:textId="458CC91D" w:rsidR="007503F6" w:rsidRDefault="008F05FF" w:rsidP="007503F6">
      <w:pPr>
        <w:pStyle w:val="Prrafodelista"/>
        <w:tabs>
          <w:tab w:val="left" w:pos="426"/>
        </w:tabs>
        <w:spacing w:line="360" w:lineRule="auto"/>
        <w:ind w:left="142"/>
        <w:jc w:val="both"/>
        <w:rPr>
          <w:rFonts w:eastAsia="Calibri"/>
        </w:rPr>
      </w:pPr>
      <w:r w:rsidRPr="00AF327F">
        <w:rPr>
          <w:rFonts w:eastAsia="Calibri"/>
        </w:rPr>
        <w:t xml:space="preserve"> </w:t>
      </w:r>
    </w:p>
    <w:p w14:paraId="0F264E83" w14:textId="77777777" w:rsidR="000E3A51" w:rsidRPr="00AF327F" w:rsidRDefault="000E3A51" w:rsidP="00463C08">
      <w:pPr>
        <w:pStyle w:val="Prrafodelista"/>
        <w:spacing w:line="360" w:lineRule="auto"/>
        <w:ind w:left="0"/>
        <w:rPr>
          <w:rFonts w:eastAsia="Calibri"/>
          <w:b/>
          <w:bCs/>
        </w:rPr>
      </w:pPr>
    </w:p>
    <w:p w14:paraId="2A11C7AF" w14:textId="3976F65F" w:rsidR="00FB1339" w:rsidRPr="00AF327F" w:rsidRDefault="00EA73F7">
      <w:pPr>
        <w:pStyle w:val="Prrafodelista"/>
        <w:numPr>
          <w:ilvl w:val="0"/>
          <w:numId w:val="8"/>
        </w:numPr>
        <w:tabs>
          <w:tab w:val="left" w:pos="66"/>
          <w:tab w:val="left" w:pos="284"/>
        </w:tabs>
        <w:spacing w:line="360" w:lineRule="auto"/>
        <w:ind w:left="0" w:firstLine="0"/>
        <w:jc w:val="both"/>
        <w:rPr>
          <w:rFonts w:eastAsia="Calibri"/>
        </w:rPr>
      </w:pPr>
      <w:r w:rsidRPr="00AF327F">
        <w:rPr>
          <w:rFonts w:eastAsia="Calibri"/>
          <w:b/>
          <w:bCs/>
        </w:rPr>
        <w:lastRenderedPageBreak/>
        <w:t>Curso Control Fiscalizador a través de la plataforma Moodle</w:t>
      </w:r>
      <w:r w:rsidRPr="00AF327F">
        <w:rPr>
          <w:rFonts w:eastAsia="Calibri"/>
        </w:rPr>
        <w:t>, convirtiéndose en el primer programa de la ENCI diseñado e impartido íntegramente bajo este entorno virtual de aprendizaje</w:t>
      </w:r>
      <w:r w:rsidR="00ED531C" w:rsidRPr="00AF327F">
        <w:rPr>
          <w:rFonts w:eastAsia="Calibri"/>
        </w:rPr>
        <w:t>, impactando 60 participantes.</w:t>
      </w:r>
    </w:p>
    <w:p w14:paraId="31E8C69A" w14:textId="5B7459E8" w:rsidR="00FB1339" w:rsidRPr="00AF327F" w:rsidRDefault="00FB1339" w:rsidP="00463C08">
      <w:pPr>
        <w:spacing w:line="360" w:lineRule="auto"/>
        <w:jc w:val="both"/>
        <w:rPr>
          <w:sz w:val="26"/>
          <w:szCs w:val="26"/>
        </w:rPr>
      </w:pPr>
      <w:r w:rsidRPr="00AF327F">
        <w:rPr>
          <w:rFonts w:eastAsia="Calibri"/>
        </w:rPr>
        <w:t>Este esfuerzo ha beneficiado a un total de 2,380 servidores públicos, de los cuales el 60.17% (1,432) son mujeres, mientras que el 39.83% (948) son hombres.</w:t>
      </w:r>
      <w:r w:rsidRPr="00AF327F">
        <w:rPr>
          <w:sz w:val="26"/>
          <w:szCs w:val="26"/>
        </w:rPr>
        <w:t xml:space="preserve"> </w:t>
      </w:r>
    </w:p>
    <w:p w14:paraId="3068D087" w14:textId="6B44916E" w:rsidR="00FB1339" w:rsidRPr="00AF327F" w:rsidRDefault="00FB1339" w:rsidP="00FB1339">
      <w:pPr>
        <w:spacing w:line="360" w:lineRule="auto"/>
        <w:jc w:val="center"/>
        <w:rPr>
          <w:rFonts w:eastAsia="Calibri"/>
          <w:sz w:val="18"/>
          <w:szCs w:val="18"/>
        </w:rPr>
      </w:pPr>
      <w:r w:rsidRPr="00AF327F">
        <w:rPr>
          <w:noProof/>
          <w:sz w:val="26"/>
          <w:szCs w:val="26"/>
        </w:rPr>
        <w:drawing>
          <wp:anchor distT="0" distB="0" distL="114300" distR="114300" simplePos="0" relativeHeight="251745280" behindDoc="1" locked="0" layoutInCell="1" allowOverlap="1" wp14:anchorId="2D49FECD" wp14:editId="31C91303">
            <wp:simplePos x="0" y="0"/>
            <wp:positionH relativeFrom="column">
              <wp:posOffset>761365</wp:posOffset>
            </wp:positionH>
            <wp:positionV relativeFrom="paragraph">
              <wp:posOffset>236855</wp:posOffset>
            </wp:positionV>
            <wp:extent cx="3750310" cy="1633855"/>
            <wp:effectExtent l="0" t="0" r="2540" b="4445"/>
            <wp:wrapTight wrapText="bothSides">
              <wp:wrapPolygon edited="0">
                <wp:start x="0" y="0"/>
                <wp:lineTo x="0" y="21407"/>
                <wp:lineTo x="21505" y="21407"/>
                <wp:lineTo x="21505" y="0"/>
                <wp:lineTo x="0" y="0"/>
              </wp:wrapPolygon>
            </wp:wrapTight>
            <wp:docPr id="189429465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AF327F">
        <w:rPr>
          <w:rFonts w:eastAsia="Calibri"/>
          <w:sz w:val="18"/>
          <w:szCs w:val="18"/>
        </w:rPr>
        <w:t>Gráfico 1</w:t>
      </w:r>
      <w:r w:rsidR="00287505" w:rsidRPr="00AF327F">
        <w:rPr>
          <w:rFonts w:eastAsia="Calibri"/>
          <w:sz w:val="18"/>
          <w:szCs w:val="18"/>
        </w:rPr>
        <w:t>.</w:t>
      </w:r>
      <w:r w:rsidRPr="00AF327F">
        <w:rPr>
          <w:rFonts w:eastAsia="Calibri"/>
          <w:sz w:val="18"/>
          <w:szCs w:val="18"/>
        </w:rPr>
        <w:t xml:space="preserve"> </w:t>
      </w:r>
      <w:r w:rsidR="00287505" w:rsidRPr="00AF327F">
        <w:rPr>
          <w:rFonts w:eastAsia="Calibri"/>
          <w:sz w:val="18"/>
          <w:szCs w:val="18"/>
        </w:rPr>
        <w:t>P</w:t>
      </w:r>
      <w:r w:rsidRPr="00AF327F">
        <w:rPr>
          <w:rFonts w:eastAsia="Calibri"/>
          <w:sz w:val="18"/>
          <w:szCs w:val="18"/>
        </w:rPr>
        <w:t>articipación capacitaciones ENCI M vs F</w:t>
      </w:r>
      <w:r w:rsidR="00455D12">
        <w:rPr>
          <w:rFonts w:eastAsia="Calibri"/>
          <w:sz w:val="18"/>
          <w:szCs w:val="18"/>
        </w:rPr>
        <w:t xml:space="preserve"> 2025</w:t>
      </w:r>
    </w:p>
    <w:p w14:paraId="3ED77528" w14:textId="77777777" w:rsidR="00FB1339" w:rsidRPr="00465A16" w:rsidRDefault="00FB1339" w:rsidP="00FB1339">
      <w:pPr>
        <w:spacing w:line="360" w:lineRule="auto"/>
        <w:jc w:val="both"/>
        <w:rPr>
          <w:rFonts w:eastAsia="Calibri"/>
          <w:color w:val="4C4747"/>
          <w:sz w:val="18"/>
          <w:szCs w:val="18"/>
        </w:rPr>
      </w:pPr>
    </w:p>
    <w:p w14:paraId="7169D95A" w14:textId="77777777" w:rsidR="00FB1339" w:rsidRPr="00465A16" w:rsidRDefault="00FB1339" w:rsidP="00FB1339">
      <w:pPr>
        <w:spacing w:line="360" w:lineRule="auto"/>
        <w:jc w:val="both"/>
        <w:rPr>
          <w:rFonts w:eastAsia="Calibri"/>
          <w:color w:val="4C4747"/>
          <w:sz w:val="18"/>
          <w:szCs w:val="18"/>
        </w:rPr>
      </w:pPr>
    </w:p>
    <w:p w14:paraId="798401F0" w14:textId="77777777" w:rsidR="00FB1339" w:rsidRPr="00465A16" w:rsidRDefault="00FB1339" w:rsidP="00FB1339">
      <w:pPr>
        <w:spacing w:line="360" w:lineRule="auto"/>
        <w:jc w:val="both"/>
        <w:rPr>
          <w:rFonts w:eastAsia="Calibri"/>
          <w:color w:val="4C4747"/>
          <w:sz w:val="18"/>
          <w:szCs w:val="18"/>
        </w:rPr>
      </w:pPr>
    </w:p>
    <w:p w14:paraId="5C02BCBC" w14:textId="77777777" w:rsidR="00FB1339" w:rsidRPr="00465A16" w:rsidRDefault="00FB1339" w:rsidP="00FB1339">
      <w:pPr>
        <w:spacing w:line="360" w:lineRule="auto"/>
        <w:jc w:val="both"/>
        <w:rPr>
          <w:rFonts w:eastAsia="Calibri"/>
          <w:color w:val="4C4747"/>
          <w:sz w:val="18"/>
          <w:szCs w:val="18"/>
        </w:rPr>
      </w:pPr>
    </w:p>
    <w:p w14:paraId="164200BA" w14:textId="77777777" w:rsidR="00FB1339" w:rsidRPr="00465A16" w:rsidRDefault="00FB1339" w:rsidP="00FB1339">
      <w:pPr>
        <w:spacing w:line="360" w:lineRule="auto"/>
        <w:jc w:val="both"/>
        <w:rPr>
          <w:rFonts w:eastAsia="Calibri"/>
          <w:color w:val="4C4747"/>
          <w:sz w:val="18"/>
          <w:szCs w:val="18"/>
        </w:rPr>
      </w:pPr>
    </w:p>
    <w:p w14:paraId="33E5B438" w14:textId="77777777" w:rsidR="00FB1339" w:rsidRPr="00465A16" w:rsidRDefault="00FB1339" w:rsidP="00FB1339">
      <w:pPr>
        <w:spacing w:line="360" w:lineRule="auto"/>
        <w:jc w:val="both"/>
        <w:rPr>
          <w:rFonts w:eastAsia="Calibri"/>
          <w:color w:val="4C4747"/>
          <w:sz w:val="18"/>
          <w:szCs w:val="18"/>
        </w:rPr>
      </w:pPr>
    </w:p>
    <w:p w14:paraId="049C17AB" w14:textId="57E30584" w:rsidR="00FB1339" w:rsidRPr="0077472F" w:rsidRDefault="00FB1339" w:rsidP="00FB1339">
      <w:pPr>
        <w:spacing w:line="360" w:lineRule="auto"/>
        <w:jc w:val="center"/>
        <w:rPr>
          <w:rFonts w:eastAsia="Calibri"/>
          <w:i/>
          <w:iCs/>
          <w:sz w:val="18"/>
          <w:szCs w:val="18"/>
        </w:rPr>
      </w:pPr>
      <w:r w:rsidRPr="0077472F">
        <w:rPr>
          <w:rFonts w:eastAsia="Calibri"/>
          <w:i/>
          <w:iCs/>
          <w:sz w:val="18"/>
          <w:szCs w:val="18"/>
        </w:rPr>
        <w:t>Fuente: Informe Anual ENCI</w:t>
      </w:r>
    </w:p>
    <w:p w14:paraId="4B509A7B" w14:textId="77777777" w:rsidR="00AF327F" w:rsidRDefault="00AF327F" w:rsidP="00463C08">
      <w:pPr>
        <w:spacing w:line="360" w:lineRule="auto"/>
        <w:rPr>
          <w:rFonts w:eastAsia="Calibri"/>
        </w:rPr>
      </w:pPr>
    </w:p>
    <w:p w14:paraId="0B4FA6F4" w14:textId="15391E6B" w:rsidR="00FB1339" w:rsidRPr="00AF327F" w:rsidRDefault="00FB1339" w:rsidP="00463C08">
      <w:pPr>
        <w:spacing w:line="360" w:lineRule="auto"/>
        <w:rPr>
          <w:rFonts w:eastAsia="Calibri"/>
        </w:rPr>
      </w:pPr>
      <w:r w:rsidRPr="00AF327F">
        <w:rPr>
          <w:rFonts w:eastAsia="Calibri"/>
        </w:rPr>
        <w:t xml:space="preserve">Estas cifras reafirman el interés de los entes públicos por elevar sus </w:t>
      </w:r>
      <w:r w:rsidRPr="00455D12">
        <w:rPr>
          <w:rFonts w:eastAsia="Calibri"/>
        </w:rPr>
        <w:t>competencias y cumplir con las</w:t>
      </w:r>
      <w:r w:rsidRPr="00AF327F">
        <w:rPr>
          <w:rFonts w:eastAsia="Calibri"/>
        </w:rPr>
        <w:t xml:space="preserve"> disposiciones del sistema de control interno.</w:t>
      </w:r>
    </w:p>
    <w:p w14:paraId="4140E47F" w14:textId="712614C5" w:rsidR="00ED531C" w:rsidRPr="00AF327F" w:rsidRDefault="00FB1339" w:rsidP="00463C08">
      <w:pPr>
        <w:spacing w:line="360" w:lineRule="auto"/>
        <w:jc w:val="both"/>
        <w:rPr>
          <w:rFonts w:eastAsia="Calibri"/>
        </w:rPr>
      </w:pPr>
      <w:r w:rsidRPr="00AF327F">
        <w:rPr>
          <w:rFonts w:eastAsia="Calibri"/>
        </w:rPr>
        <w:t xml:space="preserve">Al finalizar el año, la ENCI tiene programada la ejecución de seis eventos de formación adicional, que impactarán a 60 participantes. Se contempla un total de 15 horas formativas, completando así la planificación anual de la ENCI. </w:t>
      </w:r>
    </w:p>
    <w:p w14:paraId="0AAA87C1" w14:textId="651A6927" w:rsidR="00FB1339" w:rsidRPr="00AF327F" w:rsidRDefault="00FB1339" w:rsidP="00463C08">
      <w:pPr>
        <w:spacing w:line="360" w:lineRule="auto"/>
        <w:jc w:val="both"/>
        <w:rPr>
          <w:rFonts w:eastAsia="Calibri"/>
        </w:rPr>
      </w:pPr>
      <w:r w:rsidRPr="00AF327F">
        <w:rPr>
          <w:rFonts w:eastAsia="Calibri"/>
        </w:rPr>
        <w:t xml:space="preserve">Estas formaciones se describen a continuación:  </w:t>
      </w:r>
    </w:p>
    <w:p w14:paraId="5B0A9CDB" w14:textId="3F0A56A3" w:rsidR="00FB1339" w:rsidRPr="00AF327F" w:rsidRDefault="00FB1339">
      <w:pPr>
        <w:pStyle w:val="Prrafodelista"/>
        <w:numPr>
          <w:ilvl w:val="0"/>
          <w:numId w:val="9"/>
        </w:numPr>
        <w:spacing w:line="360" w:lineRule="auto"/>
        <w:ind w:left="284"/>
        <w:jc w:val="both"/>
        <w:rPr>
          <w:rFonts w:eastAsia="Calibri"/>
        </w:rPr>
      </w:pPr>
      <w:r w:rsidRPr="00AF327F">
        <w:rPr>
          <w:rFonts w:eastAsia="Calibri"/>
        </w:rPr>
        <w:t>Ley No. 10-07 de la CGR, que impactará a un total de 10 participantes (05 femenino y 05 masculino).</w:t>
      </w:r>
    </w:p>
    <w:p w14:paraId="41305659" w14:textId="252A8198" w:rsidR="00FB1339" w:rsidRPr="00AF327F" w:rsidRDefault="00FB1339">
      <w:pPr>
        <w:pStyle w:val="Prrafodelista"/>
        <w:numPr>
          <w:ilvl w:val="0"/>
          <w:numId w:val="9"/>
        </w:numPr>
        <w:spacing w:line="360" w:lineRule="auto"/>
        <w:ind w:left="284"/>
        <w:jc w:val="both"/>
        <w:rPr>
          <w:rFonts w:eastAsia="Calibri"/>
        </w:rPr>
      </w:pPr>
      <w:r w:rsidRPr="00AF327F">
        <w:rPr>
          <w:rFonts w:eastAsia="Calibri"/>
        </w:rPr>
        <w:lastRenderedPageBreak/>
        <w:t>Marco Técnico de Auditoría Interna Gubernamental, que impactará a un total de 10 participantes (05 femenino y 05 masculino).</w:t>
      </w:r>
    </w:p>
    <w:p w14:paraId="766D7789" w14:textId="09FF76A0" w:rsidR="00FB1339" w:rsidRPr="00AF327F" w:rsidRDefault="00FB1339">
      <w:pPr>
        <w:pStyle w:val="Prrafodelista"/>
        <w:numPr>
          <w:ilvl w:val="0"/>
          <w:numId w:val="9"/>
        </w:numPr>
        <w:spacing w:line="360" w:lineRule="auto"/>
        <w:ind w:left="284"/>
        <w:jc w:val="both"/>
        <w:rPr>
          <w:rFonts w:eastAsia="Calibri"/>
        </w:rPr>
      </w:pPr>
      <w:r w:rsidRPr="00AF327F">
        <w:rPr>
          <w:rFonts w:eastAsia="Calibri"/>
        </w:rPr>
        <w:t>Normas Básicas de Control Interno (Nobaci), que impactará a un total de 10 participantes (05 femenino y 05 masculino).</w:t>
      </w:r>
    </w:p>
    <w:p w14:paraId="608FAF7D" w14:textId="654C9655" w:rsidR="00FB1339" w:rsidRPr="00AF327F" w:rsidRDefault="00FB1339">
      <w:pPr>
        <w:pStyle w:val="Prrafodelista"/>
        <w:numPr>
          <w:ilvl w:val="0"/>
          <w:numId w:val="9"/>
        </w:numPr>
        <w:spacing w:line="360" w:lineRule="auto"/>
        <w:ind w:left="284"/>
        <w:jc w:val="both"/>
        <w:rPr>
          <w:rFonts w:eastAsia="Calibri"/>
        </w:rPr>
      </w:pPr>
      <w:r w:rsidRPr="00AF327F">
        <w:rPr>
          <w:rFonts w:eastAsia="Calibri"/>
        </w:rPr>
        <w:t>Índice de Control Interno (ICI), que impactará a un total de 10 participantes (05 femenino y 05 masculino).</w:t>
      </w:r>
    </w:p>
    <w:p w14:paraId="034C3DD5" w14:textId="41A559D4" w:rsidR="00FB1339" w:rsidRPr="00AF327F" w:rsidRDefault="00FB1339">
      <w:pPr>
        <w:pStyle w:val="Prrafodelista"/>
        <w:numPr>
          <w:ilvl w:val="0"/>
          <w:numId w:val="9"/>
        </w:numPr>
        <w:spacing w:line="360" w:lineRule="auto"/>
        <w:ind w:left="284"/>
        <w:jc w:val="both"/>
        <w:rPr>
          <w:rFonts w:eastAsia="Calibri"/>
        </w:rPr>
      </w:pPr>
      <w:r w:rsidRPr="00AF327F">
        <w:rPr>
          <w:rFonts w:eastAsia="Calibri"/>
        </w:rPr>
        <w:t>Ley 41-08 de Función Pública, que impactará a un total de 10 participantes (05 femenino y 05 masculino).</w:t>
      </w:r>
    </w:p>
    <w:p w14:paraId="7A84123F" w14:textId="1F927C65" w:rsidR="00FB1339" w:rsidRPr="00AF327F" w:rsidRDefault="00FB1339">
      <w:pPr>
        <w:pStyle w:val="Prrafodelista"/>
        <w:numPr>
          <w:ilvl w:val="0"/>
          <w:numId w:val="9"/>
        </w:numPr>
        <w:spacing w:line="360" w:lineRule="auto"/>
        <w:ind w:left="284"/>
        <w:jc w:val="both"/>
        <w:rPr>
          <w:rFonts w:eastAsia="Calibri"/>
        </w:rPr>
      </w:pPr>
      <w:r w:rsidRPr="00AF327F">
        <w:rPr>
          <w:rFonts w:eastAsia="Calibri"/>
        </w:rPr>
        <w:t>Políticas de Tecnología de la Información, que impactará a un total de 10 participantes (05 femenino y 05 masculino).</w:t>
      </w:r>
    </w:p>
    <w:p w14:paraId="68DC88F5" w14:textId="3CDEEB20" w:rsidR="00FB1339" w:rsidRPr="00AF327F" w:rsidRDefault="000E3A51" w:rsidP="007522DD">
      <w:pPr>
        <w:spacing w:line="360" w:lineRule="auto"/>
        <w:ind w:left="-76"/>
        <w:jc w:val="both"/>
        <w:rPr>
          <w:rFonts w:eastAsia="Calibri"/>
        </w:rPr>
      </w:pPr>
      <w:r w:rsidRPr="00AF327F">
        <w:rPr>
          <w:rFonts w:eastAsia="Calibri"/>
        </w:rPr>
        <w:t>Otro hito relevante fue el Relanzamiento Institucional de la ENCI, una actividad integral que incluyó difusión en medios digitales, redes sociales y comunicación interna, con el propósito de modernizar la imagen de la Escuela</w:t>
      </w:r>
      <w:r w:rsidR="00555EBE">
        <w:rPr>
          <w:rFonts w:eastAsia="Calibri"/>
        </w:rPr>
        <w:t>, sus procesos y</w:t>
      </w:r>
      <w:r w:rsidRPr="00AF327F">
        <w:rPr>
          <w:rFonts w:eastAsia="Calibri"/>
        </w:rPr>
        <w:t xml:space="preserve"> fortalecer su credibilidad como entidad formadora especializada. </w:t>
      </w:r>
    </w:p>
    <w:p w14:paraId="62BA9A7E" w14:textId="77777777" w:rsidR="007522DD" w:rsidRDefault="007522DD" w:rsidP="007522DD">
      <w:pPr>
        <w:spacing w:line="360" w:lineRule="auto"/>
        <w:ind w:left="-76"/>
        <w:jc w:val="both"/>
        <w:rPr>
          <w:rFonts w:eastAsia="Calibri"/>
        </w:rPr>
      </w:pPr>
    </w:p>
    <w:p w14:paraId="158C1607" w14:textId="77777777" w:rsidR="00AF327F" w:rsidRDefault="00AF327F" w:rsidP="007522DD">
      <w:pPr>
        <w:spacing w:line="360" w:lineRule="auto"/>
        <w:ind w:left="-76"/>
        <w:jc w:val="both"/>
        <w:rPr>
          <w:rFonts w:eastAsia="Calibri"/>
        </w:rPr>
      </w:pPr>
    </w:p>
    <w:p w14:paraId="3ED268EE" w14:textId="2E1141CF" w:rsidR="00FC4E47" w:rsidRDefault="00FC4E47">
      <w:pPr>
        <w:rPr>
          <w:rFonts w:eastAsia="Calibri"/>
        </w:rPr>
      </w:pPr>
      <w:r>
        <w:rPr>
          <w:rFonts w:eastAsia="Calibri"/>
        </w:rPr>
        <w:br w:type="page"/>
      </w:r>
    </w:p>
    <w:p w14:paraId="56F242D4" w14:textId="2BDA98D1" w:rsidR="008E11C2" w:rsidRDefault="008E11C2" w:rsidP="00903BC2">
      <w:pPr>
        <w:pStyle w:val="Ttulo2"/>
        <w:spacing w:line="360" w:lineRule="auto"/>
        <w:rPr>
          <w:b/>
          <w:bCs/>
          <w:color w:val="767171"/>
          <w:szCs w:val="24"/>
        </w:rPr>
      </w:pPr>
      <w:bookmarkStart w:id="17" w:name="_Toc217997934"/>
      <w:r w:rsidRPr="00AF327F">
        <w:rPr>
          <w:b/>
          <w:bCs/>
          <w:color w:val="767171"/>
          <w:szCs w:val="24"/>
        </w:rPr>
        <w:lastRenderedPageBreak/>
        <w:t>3.2 Fi</w:t>
      </w:r>
      <w:r w:rsidR="00825ED0" w:rsidRPr="00AF327F">
        <w:rPr>
          <w:b/>
          <w:bCs/>
          <w:color w:val="767171"/>
          <w:szCs w:val="24"/>
        </w:rPr>
        <w:t>s</w:t>
      </w:r>
      <w:r w:rsidRPr="00AF327F">
        <w:rPr>
          <w:b/>
          <w:bCs/>
          <w:color w:val="767171"/>
          <w:szCs w:val="24"/>
        </w:rPr>
        <w:t xml:space="preserve">calización de recursos públicos a través </w:t>
      </w:r>
      <w:r w:rsidR="00D5624F">
        <w:rPr>
          <w:b/>
          <w:bCs/>
          <w:color w:val="767171"/>
          <w:szCs w:val="24"/>
        </w:rPr>
        <w:t>del control previo</w:t>
      </w:r>
      <w:bookmarkEnd w:id="17"/>
    </w:p>
    <w:p w14:paraId="417127E0" w14:textId="77777777" w:rsidR="00D5624F" w:rsidRPr="00D5624F" w:rsidRDefault="00D5624F" w:rsidP="00D5624F"/>
    <w:p w14:paraId="53AE5598" w14:textId="74701799" w:rsidR="00975960" w:rsidRPr="00AF327F" w:rsidRDefault="00C04C19" w:rsidP="00463C08">
      <w:pPr>
        <w:spacing w:line="360" w:lineRule="auto"/>
        <w:ind w:left="-76"/>
        <w:jc w:val="both"/>
        <w:rPr>
          <w:rFonts w:eastAsia="Calibri"/>
          <w:b/>
          <w:bCs/>
        </w:rPr>
      </w:pPr>
      <w:r w:rsidRPr="00AF327F">
        <w:rPr>
          <w:rFonts w:eastAsia="Calibri"/>
          <w:b/>
          <w:bCs/>
        </w:rPr>
        <w:t xml:space="preserve">a. Ampliación </w:t>
      </w:r>
      <w:r w:rsidR="00B253E1" w:rsidRPr="00AF327F">
        <w:rPr>
          <w:rFonts w:eastAsia="Calibri"/>
          <w:b/>
          <w:bCs/>
        </w:rPr>
        <w:t xml:space="preserve">de Cobertura </w:t>
      </w:r>
      <w:r w:rsidR="00362A76" w:rsidRPr="00AF327F">
        <w:rPr>
          <w:rFonts w:eastAsia="Calibri"/>
          <w:b/>
          <w:bCs/>
        </w:rPr>
        <w:t>de</w:t>
      </w:r>
      <w:r w:rsidR="00B253E1" w:rsidRPr="00AF327F">
        <w:rPr>
          <w:rFonts w:eastAsia="Calibri"/>
          <w:b/>
          <w:bCs/>
        </w:rPr>
        <w:t xml:space="preserve"> las</w:t>
      </w:r>
      <w:r w:rsidR="00362A76" w:rsidRPr="00AF327F">
        <w:rPr>
          <w:rFonts w:eastAsia="Calibri"/>
          <w:b/>
          <w:bCs/>
        </w:rPr>
        <w:t xml:space="preserve"> </w:t>
      </w:r>
      <w:r w:rsidRPr="00AF327F">
        <w:rPr>
          <w:rFonts w:eastAsia="Calibri"/>
          <w:b/>
          <w:bCs/>
        </w:rPr>
        <w:t>Unidades de Auditoría Interna</w:t>
      </w:r>
      <w:r w:rsidR="00B253E1" w:rsidRPr="00AF327F">
        <w:rPr>
          <w:rFonts w:eastAsia="Calibri"/>
          <w:b/>
          <w:bCs/>
        </w:rPr>
        <w:t xml:space="preserve"> (UAI)</w:t>
      </w:r>
    </w:p>
    <w:p w14:paraId="1946C80A" w14:textId="77777777" w:rsidR="003123E8" w:rsidRPr="00AF327F" w:rsidRDefault="003123E8" w:rsidP="00463C08">
      <w:pPr>
        <w:spacing w:line="360" w:lineRule="auto"/>
        <w:ind w:left="-76"/>
        <w:jc w:val="both"/>
        <w:rPr>
          <w:rFonts w:eastAsia="Calibri"/>
        </w:rPr>
      </w:pPr>
      <w:r w:rsidRPr="00AF327F">
        <w:rPr>
          <w:rFonts w:eastAsia="Calibri"/>
        </w:rPr>
        <w:t xml:space="preserve">La CGR, intensificando sus esfuerzos para fortalecer su labor de supervisión y fiscalización, con el objetivo de garantizar un uso eficiente y responsable de los recursos estatales, y promover una cultura de transparencia y rendición de cuentas en todas las áreas gubernamentales, se ha propuesto ampliar la cobertura de las Unidades de Auditoría Interna (UAI) en las instituciones bajo el ámbito de la Ley 10-07. En ese sentido, se logró el establecimiento de 11 nuevas unidades de auditoría aumentando la cobertura a 308. </w:t>
      </w:r>
    </w:p>
    <w:p w14:paraId="23462EA0" w14:textId="4B74EBE4" w:rsidR="00B253E1" w:rsidRPr="00AF327F" w:rsidRDefault="003123E8" w:rsidP="00463C08">
      <w:pPr>
        <w:spacing w:line="360" w:lineRule="auto"/>
        <w:ind w:left="-76"/>
        <w:jc w:val="both"/>
        <w:rPr>
          <w:rFonts w:eastAsia="Calibri"/>
        </w:rPr>
      </w:pPr>
      <w:r w:rsidRPr="00AF327F">
        <w:rPr>
          <w:rFonts w:eastAsia="Calibri"/>
        </w:rPr>
        <w:t xml:space="preserve">Se proyecta la apertura de 4 nuevas UAI para cierre de año para un total de 312 UAI. </w:t>
      </w:r>
    </w:p>
    <w:p w14:paraId="3C19B5C2" w14:textId="35C16F2E" w:rsidR="00DD4FC9" w:rsidRPr="00AF327F" w:rsidRDefault="00DD4FC9" w:rsidP="000E3A51">
      <w:pPr>
        <w:spacing w:line="360" w:lineRule="auto"/>
        <w:ind w:left="-76"/>
        <w:jc w:val="center"/>
        <w:rPr>
          <w:rFonts w:eastAsia="Calibri"/>
          <w:sz w:val="18"/>
          <w:szCs w:val="18"/>
        </w:rPr>
      </w:pPr>
      <w:r w:rsidRPr="00AF327F">
        <w:rPr>
          <w:rFonts w:eastAsia="Calibri"/>
          <w:sz w:val="18"/>
          <w:szCs w:val="18"/>
        </w:rPr>
        <w:t xml:space="preserve">Tabla </w:t>
      </w:r>
      <w:r w:rsidR="001C515D" w:rsidRPr="00AF327F">
        <w:rPr>
          <w:rFonts w:eastAsia="Calibri"/>
          <w:sz w:val="18"/>
          <w:szCs w:val="18"/>
        </w:rPr>
        <w:t>3</w:t>
      </w:r>
      <w:r w:rsidRPr="00AF327F">
        <w:rPr>
          <w:rFonts w:eastAsia="Calibri"/>
          <w:sz w:val="18"/>
          <w:szCs w:val="18"/>
        </w:rPr>
        <w:t>. Apertura de Unidades de Auditoría Interna</w:t>
      </w:r>
      <w:r w:rsidR="00815B69">
        <w:rPr>
          <w:rFonts w:eastAsia="Calibri"/>
          <w:sz w:val="18"/>
          <w:szCs w:val="18"/>
        </w:rPr>
        <w:t xml:space="preserve"> al 31 de diciembre 2025</w:t>
      </w:r>
    </w:p>
    <w:tbl>
      <w:tblPr>
        <w:tblW w:w="7933" w:type="dxa"/>
        <w:tblCellMar>
          <w:left w:w="70" w:type="dxa"/>
          <w:right w:w="70" w:type="dxa"/>
        </w:tblCellMar>
        <w:tblLook w:val="04A0" w:firstRow="1" w:lastRow="0" w:firstColumn="1" w:lastColumn="0" w:noHBand="0" w:noVBand="1"/>
      </w:tblPr>
      <w:tblGrid>
        <w:gridCol w:w="3004"/>
        <w:gridCol w:w="1669"/>
        <w:gridCol w:w="1559"/>
        <w:gridCol w:w="1701"/>
      </w:tblGrid>
      <w:tr w:rsidR="00815B69" w:rsidRPr="00465A16" w14:paraId="5C1D685E" w14:textId="6585DAED" w:rsidTr="00815B69">
        <w:trPr>
          <w:trHeight w:val="663"/>
        </w:trPr>
        <w:tc>
          <w:tcPr>
            <w:tcW w:w="3004"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0AF02A2" w14:textId="77777777" w:rsidR="00815B69" w:rsidRPr="00465A16" w:rsidRDefault="00815B69" w:rsidP="00DD4FC9">
            <w:pPr>
              <w:spacing w:after="0" w:line="24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Clasificación Institucional</w:t>
            </w:r>
          </w:p>
        </w:tc>
        <w:tc>
          <w:tcPr>
            <w:tcW w:w="1669" w:type="dxa"/>
            <w:tcBorders>
              <w:top w:val="single" w:sz="4" w:space="0" w:color="auto"/>
              <w:left w:val="nil"/>
              <w:bottom w:val="single" w:sz="4" w:space="0" w:color="auto"/>
              <w:right w:val="single" w:sz="4" w:space="0" w:color="auto"/>
            </w:tcBorders>
            <w:shd w:val="clear" w:color="auto" w:fill="011C50"/>
            <w:vAlign w:val="center"/>
            <w:hideMark/>
          </w:tcPr>
          <w:p w14:paraId="2504C80A" w14:textId="4FE4F266" w:rsidR="00815B69" w:rsidRPr="00465A16" w:rsidRDefault="00815B69" w:rsidP="00925AF9">
            <w:pPr>
              <w:spacing w:after="0" w:line="24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Nuevas aperturas en 2025</w:t>
            </w:r>
          </w:p>
        </w:tc>
        <w:tc>
          <w:tcPr>
            <w:tcW w:w="1559" w:type="dxa"/>
            <w:tcBorders>
              <w:top w:val="single" w:sz="4" w:space="0" w:color="auto"/>
              <w:left w:val="nil"/>
              <w:bottom w:val="single" w:sz="4" w:space="0" w:color="auto"/>
              <w:right w:val="single" w:sz="4" w:space="0" w:color="auto"/>
            </w:tcBorders>
            <w:shd w:val="clear" w:color="auto" w:fill="011C50"/>
            <w:vAlign w:val="center"/>
            <w:hideMark/>
          </w:tcPr>
          <w:p w14:paraId="437AE12E" w14:textId="7E43FA3C" w:rsidR="00815B69" w:rsidRPr="00465A16" w:rsidRDefault="00815B69" w:rsidP="00925AF9">
            <w:pPr>
              <w:spacing w:after="0" w:line="24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Total presencia UAIs a la fecha</w:t>
            </w:r>
          </w:p>
        </w:tc>
        <w:tc>
          <w:tcPr>
            <w:tcW w:w="1701" w:type="dxa"/>
            <w:tcBorders>
              <w:top w:val="single" w:sz="4" w:space="0" w:color="auto"/>
              <w:bottom w:val="single" w:sz="4" w:space="0" w:color="auto"/>
              <w:right w:val="single" w:sz="4" w:space="0" w:color="auto"/>
            </w:tcBorders>
            <w:shd w:val="clear" w:color="auto" w:fill="011C50"/>
            <w:vAlign w:val="center"/>
          </w:tcPr>
          <w:p w14:paraId="5B2CACA2" w14:textId="7E8405DF" w:rsidR="00815B69" w:rsidRPr="00815B69" w:rsidRDefault="00815B69" w:rsidP="00815B69">
            <w:pPr>
              <w:spacing w:after="0" w:line="240" w:lineRule="auto"/>
              <w:jc w:val="center"/>
              <w:rPr>
                <w:rFonts w:eastAsia="Times New Roman"/>
                <w:b/>
                <w:bCs/>
                <w:color w:val="FFFFFF" w:themeColor="background1"/>
                <w:spacing w:val="0"/>
                <w:sz w:val="22"/>
                <w:szCs w:val="22"/>
                <w:lang w:eastAsia="es-DO"/>
              </w:rPr>
            </w:pPr>
            <w:r>
              <w:rPr>
                <w:rFonts w:eastAsia="Times New Roman"/>
                <w:b/>
                <w:bCs/>
                <w:color w:val="FFFFFF" w:themeColor="background1"/>
                <w:spacing w:val="0"/>
                <w:sz w:val="22"/>
                <w:szCs w:val="22"/>
                <w:lang w:eastAsia="es-DO"/>
              </w:rPr>
              <w:t>Proyección diciembre</w:t>
            </w:r>
          </w:p>
        </w:tc>
      </w:tr>
      <w:tr w:rsidR="00815B69" w:rsidRPr="00465A16" w14:paraId="00676939" w14:textId="5BE7AA53" w:rsidTr="00815B69">
        <w:trPr>
          <w:trHeight w:val="588"/>
        </w:trPr>
        <w:tc>
          <w:tcPr>
            <w:tcW w:w="3004" w:type="dxa"/>
            <w:tcBorders>
              <w:top w:val="nil"/>
              <w:left w:val="single" w:sz="4" w:space="0" w:color="auto"/>
              <w:bottom w:val="single" w:sz="4" w:space="0" w:color="auto"/>
              <w:right w:val="single" w:sz="4" w:space="0" w:color="auto"/>
            </w:tcBorders>
            <w:vAlign w:val="center"/>
            <w:hideMark/>
          </w:tcPr>
          <w:p w14:paraId="6F39C300" w14:textId="440F828A" w:rsidR="00815B69" w:rsidRPr="00AF327F" w:rsidRDefault="00815B69" w:rsidP="003123E8">
            <w:pPr>
              <w:spacing w:after="0" w:line="240" w:lineRule="auto"/>
              <w:rPr>
                <w:rFonts w:eastAsia="Calibri"/>
              </w:rPr>
            </w:pPr>
            <w:r w:rsidRPr="00AF327F">
              <w:rPr>
                <w:rFonts w:eastAsia="Calibri"/>
              </w:rPr>
              <w:t>Instituciones Públicas Del Gobierno Central</w:t>
            </w:r>
          </w:p>
        </w:tc>
        <w:tc>
          <w:tcPr>
            <w:tcW w:w="1669" w:type="dxa"/>
            <w:tcBorders>
              <w:top w:val="nil"/>
              <w:left w:val="nil"/>
              <w:bottom w:val="single" w:sz="4" w:space="0" w:color="auto"/>
              <w:right w:val="single" w:sz="4" w:space="0" w:color="auto"/>
            </w:tcBorders>
            <w:vAlign w:val="center"/>
            <w:hideMark/>
          </w:tcPr>
          <w:p w14:paraId="15FAC393" w14:textId="734A496E" w:rsidR="00815B69" w:rsidRPr="00AF327F" w:rsidRDefault="00815B69" w:rsidP="003123E8">
            <w:pPr>
              <w:spacing w:after="0" w:line="240" w:lineRule="auto"/>
              <w:jc w:val="center"/>
              <w:rPr>
                <w:rFonts w:eastAsia="Calibri"/>
              </w:rPr>
            </w:pPr>
            <w:r w:rsidRPr="00AF327F">
              <w:rPr>
                <w:rFonts w:eastAsia="Calibri"/>
              </w:rPr>
              <w:t>7</w:t>
            </w:r>
          </w:p>
        </w:tc>
        <w:tc>
          <w:tcPr>
            <w:tcW w:w="1559" w:type="dxa"/>
            <w:tcBorders>
              <w:top w:val="nil"/>
              <w:left w:val="nil"/>
              <w:bottom w:val="single" w:sz="4" w:space="0" w:color="auto"/>
              <w:right w:val="single" w:sz="4" w:space="0" w:color="auto"/>
            </w:tcBorders>
            <w:noWrap/>
            <w:vAlign w:val="center"/>
            <w:hideMark/>
          </w:tcPr>
          <w:p w14:paraId="502D9985" w14:textId="297AB93B" w:rsidR="00815B69" w:rsidRPr="00AF327F" w:rsidRDefault="00815B69" w:rsidP="003123E8">
            <w:pPr>
              <w:spacing w:after="0" w:line="240" w:lineRule="auto"/>
              <w:jc w:val="center"/>
              <w:rPr>
                <w:rFonts w:eastAsia="Calibri"/>
              </w:rPr>
            </w:pPr>
            <w:r w:rsidRPr="00AF327F">
              <w:rPr>
                <w:rFonts w:eastAsia="Calibri"/>
              </w:rPr>
              <w:t>165</w:t>
            </w:r>
          </w:p>
        </w:tc>
        <w:tc>
          <w:tcPr>
            <w:tcW w:w="1701" w:type="dxa"/>
            <w:tcBorders>
              <w:top w:val="single" w:sz="4" w:space="0" w:color="auto"/>
              <w:bottom w:val="single" w:sz="4" w:space="0" w:color="auto"/>
              <w:right w:val="single" w:sz="4" w:space="0" w:color="auto"/>
            </w:tcBorders>
            <w:vAlign w:val="center"/>
          </w:tcPr>
          <w:p w14:paraId="617E2C6F" w14:textId="2BF3833A" w:rsidR="00815B69" w:rsidRPr="00AF327F" w:rsidRDefault="00815B69" w:rsidP="00815B69">
            <w:pPr>
              <w:spacing w:after="0" w:line="240" w:lineRule="auto"/>
              <w:jc w:val="center"/>
              <w:rPr>
                <w:rFonts w:eastAsia="Calibri"/>
              </w:rPr>
            </w:pPr>
            <w:r>
              <w:rPr>
                <w:rFonts w:eastAsia="Calibri"/>
              </w:rPr>
              <w:t>2</w:t>
            </w:r>
          </w:p>
        </w:tc>
      </w:tr>
      <w:tr w:rsidR="00815B69" w:rsidRPr="00465A16" w14:paraId="318115F7" w14:textId="407B88F3" w:rsidTr="00815B69">
        <w:trPr>
          <w:trHeight w:val="588"/>
        </w:trPr>
        <w:tc>
          <w:tcPr>
            <w:tcW w:w="3004" w:type="dxa"/>
            <w:tcBorders>
              <w:top w:val="nil"/>
              <w:left w:val="single" w:sz="4" w:space="0" w:color="auto"/>
              <w:bottom w:val="single" w:sz="4" w:space="0" w:color="auto"/>
              <w:right w:val="single" w:sz="4" w:space="0" w:color="auto"/>
            </w:tcBorders>
            <w:vAlign w:val="center"/>
            <w:hideMark/>
          </w:tcPr>
          <w:p w14:paraId="1A3C6462" w14:textId="5AF354F8" w:rsidR="00815B69" w:rsidRPr="00AF327F" w:rsidRDefault="00815B69" w:rsidP="003123E8">
            <w:pPr>
              <w:spacing w:after="0" w:line="240" w:lineRule="auto"/>
              <w:rPr>
                <w:rFonts w:eastAsia="Calibri"/>
              </w:rPr>
            </w:pPr>
            <w:r w:rsidRPr="00AF327F">
              <w:rPr>
                <w:rFonts w:eastAsia="Calibri"/>
              </w:rPr>
              <w:t>Instituciones Públicas Descentralizadas</w:t>
            </w:r>
          </w:p>
        </w:tc>
        <w:tc>
          <w:tcPr>
            <w:tcW w:w="1669" w:type="dxa"/>
            <w:tcBorders>
              <w:top w:val="nil"/>
              <w:left w:val="nil"/>
              <w:bottom w:val="single" w:sz="4" w:space="0" w:color="auto"/>
              <w:right w:val="single" w:sz="4" w:space="0" w:color="auto"/>
            </w:tcBorders>
            <w:vAlign w:val="center"/>
            <w:hideMark/>
          </w:tcPr>
          <w:p w14:paraId="19E3D1AE" w14:textId="2FF2C802" w:rsidR="00815B69" w:rsidRPr="00AF327F" w:rsidRDefault="00815B69" w:rsidP="003123E8">
            <w:pPr>
              <w:spacing w:after="0" w:line="240" w:lineRule="auto"/>
              <w:jc w:val="center"/>
              <w:rPr>
                <w:rFonts w:eastAsia="Calibri"/>
              </w:rPr>
            </w:pPr>
            <w:r w:rsidRPr="00AF327F">
              <w:rPr>
                <w:rFonts w:eastAsia="Calibri"/>
              </w:rPr>
              <w:t>4</w:t>
            </w:r>
            <w:r>
              <w:rPr>
                <w:rFonts w:eastAsia="Calibri"/>
              </w:rPr>
              <w:t>5</w:t>
            </w:r>
          </w:p>
        </w:tc>
        <w:tc>
          <w:tcPr>
            <w:tcW w:w="1559" w:type="dxa"/>
            <w:tcBorders>
              <w:top w:val="nil"/>
              <w:left w:val="nil"/>
              <w:bottom w:val="single" w:sz="4" w:space="0" w:color="auto"/>
              <w:right w:val="single" w:sz="4" w:space="0" w:color="auto"/>
            </w:tcBorders>
            <w:noWrap/>
            <w:vAlign w:val="center"/>
            <w:hideMark/>
          </w:tcPr>
          <w:p w14:paraId="53EFCC65" w14:textId="70FA49B1" w:rsidR="00815B69" w:rsidRPr="00AF327F" w:rsidRDefault="00815B69" w:rsidP="003123E8">
            <w:pPr>
              <w:spacing w:after="0" w:line="240" w:lineRule="auto"/>
              <w:jc w:val="center"/>
              <w:rPr>
                <w:rFonts w:eastAsia="Calibri"/>
              </w:rPr>
            </w:pPr>
            <w:r w:rsidRPr="00AF327F">
              <w:rPr>
                <w:rFonts w:eastAsia="Calibri"/>
              </w:rPr>
              <w:t>110</w:t>
            </w:r>
          </w:p>
        </w:tc>
        <w:tc>
          <w:tcPr>
            <w:tcW w:w="1701" w:type="dxa"/>
            <w:tcBorders>
              <w:top w:val="single" w:sz="4" w:space="0" w:color="auto"/>
              <w:bottom w:val="single" w:sz="4" w:space="0" w:color="auto"/>
              <w:right w:val="single" w:sz="4" w:space="0" w:color="auto"/>
            </w:tcBorders>
            <w:vAlign w:val="center"/>
          </w:tcPr>
          <w:p w14:paraId="5E4197F6" w14:textId="26B34F81" w:rsidR="00815B69" w:rsidRPr="00AF327F" w:rsidRDefault="00815B69" w:rsidP="00815B69">
            <w:pPr>
              <w:spacing w:after="0" w:line="240" w:lineRule="auto"/>
              <w:jc w:val="center"/>
              <w:rPr>
                <w:rFonts w:eastAsia="Calibri"/>
              </w:rPr>
            </w:pPr>
            <w:r>
              <w:rPr>
                <w:rFonts w:eastAsia="Calibri"/>
              </w:rPr>
              <w:t>1</w:t>
            </w:r>
          </w:p>
        </w:tc>
      </w:tr>
      <w:tr w:rsidR="00815B69" w:rsidRPr="00465A16" w14:paraId="0E665165" w14:textId="156F8F5D" w:rsidTr="00815B69">
        <w:trPr>
          <w:trHeight w:val="588"/>
        </w:trPr>
        <w:tc>
          <w:tcPr>
            <w:tcW w:w="3004" w:type="dxa"/>
            <w:tcBorders>
              <w:top w:val="nil"/>
              <w:left w:val="single" w:sz="4" w:space="0" w:color="auto"/>
              <w:bottom w:val="single" w:sz="4" w:space="0" w:color="auto"/>
              <w:right w:val="single" w:sz="4" w:space="0" w:color="auto"/>
            </w:tcBorders>
            <w:vAlign w:val="center"/>
            <w:hideMark/>
          </w:tcPr>
          <w:p w14:paraId="40347787" w14:textId="77777777" w:rsidR="00815B69" w:rsidRPr="00AF327F" w:rsidRDefault="00815B69" w:rsidP="003123E8">
            <w:pPr>
              <w:spacing w:after="0" w:line="240" w:lineRule="auto"/>
              <w:rPr>
                <w:rFonts w:eastAsia="Calibri"/>
              </w:rPr>
            </w:pPr>
            <w:r w:rsidRPr="00AF327F">
              <w:rPr>
                <w:rFonts w:eastAsia="Calibri"/>
              </w:rPr>
              <w:t>Instituciones De La Seguridad Social</w:t>
            </w:r>
          </w:p>
        </w:tc>
        <w:tc>
          <w:tcPr>
            <w:tcW w:w="1669" w:type="dxa"/>
            <w:tcBorders>
              <w:top w:val="nil"/>
              <w:left w:val="nil"/>
              <w:bottom w:val="single" w:sz="4" w:space="0" w:color="auto"/>
              <w:right w:val="single" w:sz="4" w:space="0" w:color="auto"/>
            </w:tcBorders>
            <w:vAlign w:val="center"/>
            <w:hideMark/>
          </w:tcPr>
          <w:p w14:paraId="37DA44DE" w14:textId="496F098B" w:rsidR="00815B69" w:rsidRPr="00AF327F" w:rsidRDefault="00815B69" w:rsidP="003123E8">
            <w:pPr>
              <w:spacing w:after="0" w:line="240" w:lineRule="auto"/>
              <w:jc w:val="center"/>
              <w:rPr>
                <w:rFonts w:eastAsia="Calibri"/>
              </w:rPr>
            </w:pPr>
            <w:r w:rsidRPr="00AF327F">
              <w:rPr>
                <w:rFonts w:eastAsia="Calibri"/>
              </w:rPr>
              <w:t>0</w:t>
            </w:r>
          </w:p>
        </w:tc>
        <w:tc>
          <w:tcPr>
            <w:tcW w:w="1559" w:type="dxa"/>
            <w:tcBorders>
              <w:top w:val="nil"/>
              <w:left w:val="nil"/>
              <w:bottom w:val="single" w:sz="4" w:space="0" w:color="auto"/>
              <w:right w:val="single" w:sz="4" w:space="0" w:color="auto"/>
            </w:tcBorders>
            <w:noWrap/>
            <w:vAlign w:val="center"/>
            <w:hideMark/>
          </w:tcPr>
          <w:p w14:paraId="4B90D5C9" w14:textId="50D186D5" w:rsidR="00815B69" w:rsidRPr="00AF327F" w:rsidRDefault="00815B69" w:rsidP="003123E8">
            <w:pPr>
              <w:spacing w:after="0" w:line="240" w:lineRule="auto"/>
              <w:jc w:val="center"/>
              <w:rPr>
                <w:rFonts w:eastAsia="Calibri"/>
              </w:rPr>
            </w:pPr>
            <w:r w:rsidRPr="00AF327F">
              <w:rPr>
                <w:rFonts w:eastAsia="Calibri"/>
              </w:rPr>
              <w:t>9</w:t>
            </w:r>
          </w:p>
        </w:tc>
        <w:tc>
          <w:tcPr>
            <w:tcW w:w="1701" w:type="dxa"/>
            <w:tcBorders>
              <w:top w:val="single" w:sz="4" w:space="0" w:color="auto"/>
              <w:bottom w:val="single" w:sz="4" w:space="0" w:color="auto"/>
              <w:right w:val="single" w:sz="4" w:space="0" w:color="auto"/>
            </w:tcBorders>
            <w:vAlign w:val="center"/>
          </w:tcPr>
          <w:p w14:paraId="73DB91D6" w14:textId="37FE0284" w:rsidR="00815B69" w:rsidRPr="00AF327F" w:rsidRDefault="00815B69" w:rsidP="00815B69">
            <w:pPr>
              <w:spacing w:after="0" w:line="240" w:lineRule="auto"/>
              <w:jc w:val="center"/>
              <w:rPr>
                <w:rFonts w:eastAsia="Calibri"/>
              </w:rPr>
            </w:pPr>
            <w:r>
              <w:rPr>
                <w:rFonts w:eastAsia="Calibri"/>
              </w:rPr>
              <w:t>1</w:t>
            </w:r>
          </w:p>
        </w:tc>
      </w:tr>
      <w:tr w:rsidR="00815B69" w:rsidRPr="00465A16" w14:paraId="6C8C1E9C" w14:textId="4976C1A4" w:rsidTr="00815B69">
        <w:trPr>
          <w:trHeight w:val="588"/>
        </w:trPr>
        <w:tc>
          <w:tcPr>
            <w:tcW w:w="3004" w:type="dxa"/>
            <w:tcBorders>
              <w:top w:val="nil"/>
              <w:left w:val="single" w:sz="4" w:space="0" w:color="auto"/>
              <w:bottom w:val="single" w:sz="4" w:space="0" w:color="auto"/>
              <w:right w:val="single" w:sz="4" w:space="0" w:color="auto"/>
            </w:tcBorders>
            <w:vAlign w:val="center"/>
            <w:hideMark/>
          </w:tcPr>
          <w:p w14:paraId="064D4D36" w14:textId="77777777" w:rsidR="00815B69" w:rsidRPr="00AF327F" w:rsidRDefault="00815B69" w:rsidP="003123E8">
            <w:pPr>
              <w:spacing w:after="0" w:line="240" w:lineRule="auto"/>
              <w:rPr>
                <w:rFonts w:eastAsia="Calibri"/>
              </w:rPr>
            </w:pPr>
            <w:r w:rsidRPr="00AF327F">
              <w:rPr>
                <w:rFonts w:eastAsia="Calibri"/>
              </w:rPr>
              <w:t>Empresas Públicas No Financieras</w:t>
            </w:r>
          </w:p>
        </w:tc>
        <w:tc>
          <w:tcPr>
            <w:tcW w:w="1669" w:type="dxa"/>
            <w:tcBorders>
              <w:top w:val="nil"/>
              <w:left w:val="nil"/>
              <w:bottom w:val="single" w:sz="4" w:space="0" w:color="auto"/>
              <w:right w:val="single" w:sz="4" w:space="0" w:color="auto"/>
            </w:tcBorders>
            <w:vAlign w:val="center"/>
            <w:hideMark/>
          </w:tcPr>
          <w:p w14:paraId="5E97C8F6" w14:textId="40C73D55" w:rsidR="00815B69" w:rsidRPr="00AF327F" w:rsidRDefault="00815B69" w:rsidP="003123E8">
            <w:pPr>
              <w:spacing w:after="0" w:line="240" w:lineRule="auto"/>
              <w:jc w:val="center"/>
              <w:rPr>
                <w:rFonts w:eastAsia="Calibri"/>
              </w:rPr>
            </w:pPr>
            <w:r w:rsidRPr="00AF327F">
              <w:rPr>
                <w:rFonts w:eastAsia="Calibri"/>
              </w:rPr>
              <w:t>0</w:t>
            </w:r>
          </w:p>
        </w:tc>
        <w:tc>
          <w:tcPr>
            <w:tcW w:w="1559" w:type="dxa"/>
            <w:tcBorders>
              <w:top w:val="nil"/>
              <w:left w:val="nil"/>
              <w:bottom w:val="single" w:sz="4" w:space="0" w:color="auto"/>
              <w:right w:val="single" w:sz="4" w:space="0" w:color="auto"/>
            </w:tcBorders>
            <w:noWrap/>
            <w:vAlign w:val="center"/>
            <w:hideMark/>
          </w:tcPr>
          <w:p w14:paraId="000575FD" w14:textId="3549FD5F" w:rsidR="00815B69" w:rsidRPr="00AF327F" w:rsidRDefault="00815B69" w:rsidP="003123E8">
            <w:pPr>
              <w:spacing w:after="0" w:line="240" w:lineRule="auto"/>
              <w:jc w:val="center"/>
              <w:rPr>
                <w:rFonts w:eastAsia="Calibri"/>
              </w:rPr>
            </w:pPr>
            <w:r w:rsidRPr="00AF327F">
              <w:rPr>
                <w:rFonts w:eastAsia="Calibri"/>
              </w:rPr>
              <w:t>20</w:t>
            </w:r>
          </w:p>
        </w:tc>
        <w:tc>
          <w:tcPr>
            <w:tcW w:w="1701" w:type="dxa"/>
            <w:tcBorders>
              <w:top w:val="single" w:sz="4" w:space="0" w:color="auto"/>
              <w:bottom w:val="single" w:sz="4" w:space="0" w:color="auto"/>
              <w:right w:val="single" w:sz="4" w:space="0" w:color="auto"/>
            </w:tcBorders>
            <w:vAlign w:val="center"/>
          </w:tcPr>
          <w:p w14:paraId="6BEF9701" w14:textId="47FDE1A1" w:rsidR="00815B69" w:rsidRPr="00AF327F" w:rsidRDefault="00815B69" w:rsidP="00815B69">
            <w:pPr>
              <w:spacing w:after="0" w:line="240" w:lineRule="auto"/>
              <w:jc w:val="center"/>
              <w:rPr>
                <w:rFonts w:eastAsia="Calibri"/>
              </w:rPr>
            </w:pPr>
            <w:r>
              <w:rPr>
                <w:rFonts w:eastAsia="Calibri"/>
              </w:rPr>
              <w:t>0</w:t>
            </w:r>
          </w:p>
        </w:tc>
      </w:tr>
      <w:tr w:rsidR="00815B69" w:rsidRPr="00465A16" w14:paraId="2997FE67" w14:textId="6180E6D1" w:rsidTr="00815B69">
        <w:trPr>
          <w:trHeight w:val="588"/>
        </w:trPr>
        <w:tc>
          <w:tcPr>
            <w:tcW w:w="3004" w:type="dxa"/>
            <w:tcBorders>
              <w:top w:val="nil"/>
              <w:left w:val="single" w:sz="4" w:space="0" w:color="auto"/>
              <w:bottom w:val="single" w:sz="4" w:space="0" w:color="auto"/>
              <w:right w:val="single" w:sz="4" w:space="0" w:color="auto"/>
            </w:tcBorders>
            <w:vAlign w:val="center"/>
            <w:hideMark/>
          </w:tcPr>
          <w:p w14:paraId="567F2D40" w14:textId="77777777" w:rsidR="00815B69" w:rsidRPr="00AF327F" w:rsidRDefault="00815B69" w:rsidP="003123E8">
            <w:pPr>
              <w:spacing w:after="0" w:line="240" w:lineRule="auto"/>
              <w:rPr>
                <w:rFonts w:eastAsia="Calibri"/>
              </w:rPr>
            </w:pPr>
            <w:r w:rsidRPr="00AF327F">
              <w:rPr>
                <w:rFonts w:eastAsia="Calibri"/>
              </w:rPr>
              <w:t>Instituciones Públicas Financieras No Monetarias</w:t>
            </w:r>
          </w:p>
        </w:tc>
        <w:tc>
          <w:tcPr>
            <w:tcW w:w="1669" w:type="dxa"/>
            <w:tcBorders>
              <w:top w:val="nil"/>
              <w:left w:val="nil"/>
              <w:bottom w:val="single" w:sz="4" w:space="0" w:color="auto"/>
              <w:right w:val="single" w:sz="4" w:space="0" w:color="auto"/>
            </w:tcBorders>
            <w:vAlign w:val="center"/>
            <w:hideMark/>
          </w:tcPr>
          <w:p w14:paraId="67F7CB23" w14:textId="33E7C7ED" w:rsidR="00815B69" w:rsidRPr="00AF327F" w:rsidRDefault="00815B69" w:rsidP="003123E8">
            <w:pPr>
              <w:spacing w:after="0" w:line="240" w:lineRule="auto"/>
              <w:jc w:val="center"/>
              <w:rPr>
                <w:rFonts w:eastAsia="Calibri"/>
              </w:rPr>
            </w:pPr>
            <w:r w:rsidRPr="00AF327F">
              <w:rPr>
                <w:rFonts w:eastAsia="Calibri"/>
              </w:rPr>
              <w:t>0</w:t>
            </w:r>
          </w:p>
        </w:tc>
        <w:tc>
          <w:tcPr>
            <w:tcW w:w="1559" w:type="dxa"/>
            <w:tcBorders>
              <w:top w:val="nil"/>
              <w:left w:val="nil"/>
              <w:bottom w:val="single" w:sz="4" w:space="0" w:color="auto"/>
              <w:right w:val="single" w:sz="4" w:space="0" w:color="auto"/>
            </w:tcBorders>
            <w:noWrap/>
            <w:vAlign w:val="center"/>
            <w:hideMark/>
          </w:tcPr>
          <w:p w14:paraId="2838E438" w14:textId="02514709" w:rsidR="00815B69" w:rsidRPr="00AF327F" w:rsidRDefault="00815B69" w:rsidP="003123E8">
            <w:pPr>
              <w:spacing w:after="0" w:line="240" w:lineRule="auto"/>
              <w:jc w:val="center"/>
              <w:rPr>
                <w:rFonts w:eastAsia="Calibri"/>
              </w:rPr>
            </w:pPr>
            <w:r w:rsidRPr="00AF327F">
              <w:rPr>
                <w:rFonts w:eastAsia="Calibri"/>
              </w:rPr>
              <w:t>4</w:t>
            </w:r>
          </w:p>
        </w:tc>
        <w:tc>
          <w:tcPr>
            <w:tcW w:w="1701" w:type="dxa"/>
            <w:tcBorders>
              <w:top w:val="single" w:sz="4" w:space="0" w:color="auto"/>
              <w:bottom w:val="single" w:sz="4" w:space="0" w:color="auto"/>
              <w:right w:val="single" w:sz="4" w:space="0" w:color="auto"/>
            </w:tcBorders>
            <w:vAlign w:val="center"/>
          </w:tcPr>
          <w:p w14:paraId="2923B7AB" w14:textId="71C5A830" w:rsidR="00815B69" w:rsidRPr="00AF327F" w:rsidRDefault="00815B69" w:rsidP="00815B69">
            <w:pPr>
              <w:spacing w:after="0" w:line="240" w:lineRule="auto"/>
              <w:jc w:val="center"/>
              <w:rPr>
                <w:rFonts w:eastAsia="Calibri"/>
              </w:rPr>
            </w:pPr>
            <w:r>
              <w:rPr>
                <w:rFonts w:eastAsia="Calibri"/>
              </w:rPr>
              <w:t>0</w:t>
            </w:r>
          </w:p>
        </w:tc>
      </w:tr>
      <w:tr w:rsidR="00815B69" w:rsidRPr="00465A16" w14:paraId="344DF6A8" w14:textId="5A49E97F" w:rsidTr="00815B69">
        <w:trPr>
          <w:trHeight w:val="288"/>
        </w:trPr>
        <w:tc>
          <w:tcPr>
            <w:tcW w:w="3004" w:type="dxa"/>
            <w:tcBorders>
              <w:top w:val="nil"/>
              <w:left w:val="single" w:sz="4" w:space="0" w:color="auto"/>
              <w:bottom w:val="single" w:sz="4" w:space="0" w:color="auto"/>
              <w:right w:val="single" w:sz="4" w:space="0" w:color="auto"/>
            </w:tcBorders>
            <w:shd w:val="clear" w:color="auto" w:fill="011C50"/>
            <w:vAlign w:val="bottom"/>
            <w:hideMark/>
          </w:tcPr>
          <w:p w14:paraId="470788E3" w14:textId="77777777" w:rsidR="00815B69" w:rsidRPr="00465A16" w:rsidRDefault="00815B69" w:rsidP="00925AF9">
            <w:pPr>
              <w:spacing w:after="0" w:line="240" w:lineRule="auto"/>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 xml:space="preserve">Total </w:t>
            </w:r>
          </w:p>
        </w:tc>
        <w:tc>
          <w:tcPr>
            <w:tcW w:w="1669" w:type="dxa"/>
            <w:tcBorders>
              <w:top w:val="nil"/>
              <w:left w:val="nil"/>
              <w:bottom w:val="single" w:sz="4" w:space="0" w:color="auto"/>
              <w:right w:val="single" w:sz="4" w:space="0" w:color="auto"/>
            </w:tcBorders>
            <w:shd w:val="clear" w:color="auto" w:fill="011C50"/>
            <w:vAlign w:val="center"/>
            <w:hideMark/>
          </w:tcPr>
          <w:p w14:paraId="071B53A5" w14:textId="3E5B0F19" w:rsidR="00815B69" w:rsidRPr="00465A16" w:rsidRDefault="00815B69" w:rsidP="00925AF9">
            <w:pPr>
              <w:spacing w:after="0" w:line="24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11</w:t>
            </w:r>
          </w:p>
        </w:tc>
        <w:tc>
          <w:tcPr>
            <w:tcW w:w="1559" w:type="dxa"/>
            <w:tcBorders>
              <w:top w:val="nil"/>
              <w:left w:val="nil"/>
              <w:bottom w:val="single" w:sz="4" w:space="0" w:color="auto"/>
              <w:right w:val="single" w:sz="4" w:space="0" w:color="auto"/>
            </w:tcBorders>
            <w:shd w:val="clear" w:color="auto" w:fill="011C50"/>
            <w:noWrap/>
            <w:vAlign w:val="bottom"/>
            <w:hideMark/>
          </w:tcPr>
          <w:p w14:paraId="3E6498FD" w14:textId="0DDD8481" w:rsidR="00815B69" w:rsidRPr="00465A16" w:rsidRDefault="00815B69" w:rsidP="00925AF9">
            <w:pPr>
              <w:spacing w:after="0" w:line="24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308</w:t>
            </w:r>
          </w:p>
        </w:tc>
        <w:tc>
          <w:tcPr>
            <w:tcW w:w="1701" w:type="dxa"/>
            <w:tcBorders>
              <w:top w:val="single" w:sz="4" w:space="0" w:color="auto"/>
              <w:bottom w:val="single" w:sz="4" w:space="0" w:color="auto"/>
              <w:right w:val="single" w:sz="4" w:space="0" w:color="auto"/>
            </w:tcBorders>
            <w:shd w:val="clear" w:color="auto" w:fill="011C50"/>
          </w:tcPr>
          <w:p w14:paraId="608F86D3" w14:textId="76482747" w:rsidR="00815B69" w:rsidRPr="00815B69" w:rsidRDefault="00815B69" w:rsidP="00925AF9">
            <w:pPr>
              <w:spacing w:after="0" w:line="240" w:lineRule="auto"/>
              <w:jc w:val="center"/>
              <w:rPr>
                <w:rFonts w:eastAsia="Times New Roman"/>
                <w:b/>
                <w:bCs/>
                <w:color w:val="FFFFFF" w:themeColor="background1"/>
                <w:spacing w:val="0"/>
                <w:sz w:val="22"/>
                <w:szCs w:val="22"/>
                <w:lang w:eastAsia="es-DO"/>
              </w:rPr>
            </w:pPr>
            <w:r>
              <w:rPr>
                <w:rFonts w:eastAsia="Times New Roman"/>
                <w:b/>
                <w:bCs/>
                <w:color w:val="FFFFFF" w:themeColor="background1"/>
                <w:spacing w:val="0"/>
                <w:sz w:val="22"/>
                <w:szCs w:val="22"/>
                <w:lang w:eastAsia="es-DO"/>
              </w:rPr>
              <w:t>312</w:t>
            </w:r>
          </w:p>
        </w:tc>
      </w:tr>
    </w:tbl>
    <w:p w14:paraId="25BED95E" w14:textId="7215765B" w:rsidR="00DD4FC9" w:rsidRPr="0077472F" w:rsidRDefault="00DD4FC9" w:rsidP="000E3A51">
      <w:pPr>
        <w:spacing w:line="360" w:lineRule="auto"/>
        <w:ind w:left="-76"/>
        <w:jc w:val="center"/>
        <w:rPr>
          <w:rFonts w:eastAsia="Calibri"/>
          <w:i/>
          <w:iCs/>
          <w:color w:val="4C4747"/>
          <w:sz w:val="18"/>
          <w:szCs w:val="18"/>
        </w:rPr>
      </w:pPr>
      <w:r w:rsidRPr="0077472F">
        <w:rPr>
          <w:rFonts w:eastAsia="Calibri"/>
          <w:i/>
          <w:iCs/>
          <w:sz w:val="18"/>
          <w:szCs w:val="18"/>
        </w:rPr>
        <w:t>Fuente: Informe Anual DUAIG</w:t>
      </w:r>
    </w:p>
    <w:p w14:paraId="2DF051A0" w14:textId="77777777" w:rsidR="000E3A51" w:rsidRDefault="000E3A51" w:rsidP="000E3A51">
      <w:pPr>
        <w:spacing w:line="360" w:lineRule="auto"/>
        <w:ind w:left="-76"/>
        <w:jc w:val="center"/>
        <w:rPr>
          <w:rFonts w:eastAsia="Calibri"/>
          <w:color w:val="4C4747"/>
          <w:sz w:val="18"/>
          <w:szCs w:val="18"/>
        </w:rPr>
      </w:pPr>
    </w:p>
    <w:p w14:paraId="22854B3C" w14:textId="77777777" w:rsidR="00AF327F" w:rsidRDefault="00AF327F" w:rsidP="000E3A51">
      <w:pPr>
        <w:spacing w:line="360" w:lineRule="auto"/>
        <w:ind w:left="-76"/>
        <w:jc w:val="center"/>
        <w:rPr>
          <w:rFonts w:eastAsia="Calibri"/>
          <w:color w:val="4C4747"/>
          <w:sz w:val="18"/>
          <w:szCs w:val="18"/>
        </w:rPr>
      </w:pPr>
    </w:p>
    <w:p w14:paraId="0822D0AA" w14:textId="10591E33" w:rsidR="00B65539" w:rsidRPr="00AF327F" w:rsidRDefault="003123E8" w:rsidP="00463C08">
      <w:pPr>
        <w:spacing w:line="360" w:lineRule="auto"/>
        <w:ind w:left="-76"/>
        <w:jc w:val="both"/>
        <w:rPr>
          <w:rFonts w:eastAsia="Calibri"/>
          <w:b/>
          <w:bCs/>
        </w:rPr>
      </w:pPr>
      <w:r w:rsidRPr="00AF327F">
        <w:rPr>
          <w:rFonts w:eastAsia="Calibri"/>
          <w:b/>
          <w:bCs/>
        </w:rPr>
        <w:lastRenderedPageBreak/>
        <w:t xml:space="preserve">b. </w:t>
      </w:r>
      <w:r w:rsidR="00B65539" w:rsidRPr="00AF327F">
        <w:rPr>
          <w:rFonts w:eastAsia="Calibri"/>
          <w:b/>
          <w:bCs/>
        </w:rPr>
        <w:t>Desempeño operativo de las unidades de auditoría interna</w:t>
      </w:r>
    </w:p>
    <w:p w14:paraId="7CDAE153" w14:textId="1E6F26D8" w:rsidR="003123E8" w:rsidRPr="00AF327F" w:rsidRDefault="003123E8" w:rsidP="002D2897">
      <w:pPr>
        <w:spacing w:line="360" w:lineRule="auto"/>
        <w:ind w:left="-76"/>
        <w:jc w:val="both"/>
        <w:rPr>
          <w:rFonts w:eastAsia="Calibri"/>
        </w:rPr>
      </w:pPr>
      <w:r w:rsidRPr="00AF327F">
        <w:rPr>
          <w:rFonts w:eastAsia="Calibri"/>
        </w:rPr>
        <w:t>Respecto al desempeño operativo de las unidades de auditoría interna en las instituciones públicas, en el citado período,  podemos destacar que las UAIs han supervisado</w:t>
      </w:r>
      <w:r w:rsidR="002D2897">
        <w:rPr>
          <w:rFonts w:eastAsia="Calibri"/>
        </w:rPr>
        <w:t xml:space="preserve"> </w:t>
      </w:r>
      <w:r w:rsidR="002D2897" w:rsidRPr="00AF327F">
        <w:rPr>
          <w:rFonts w:eastAsia="Calibri"/>
        </w:rPr>
        <w:t>y 8,880 conciliaciones bancarias</w:t>
      </w:r>
      <w:r w:rsidR="002D2897">
        <w:rPr>
          <w:rFonts w:eastAsia="Calibri"/>
        </w:rPr>
        <w:t xml:space="preserve">, </w:t>
      </w:r>
      <w:r w:rsidRPr="00AF327F">
        <w:rPr>
          <w:rFonts w:eastAsia="Calibri"/>
        </w:rPr>
        <w:t xml:space="preserve"> 3,753 arqueos de caja chica representando un monto de RD$400,047,327.56, 876</w:t>
      </w:r>
      <w:r w:rsidR="002D2897">
        <w:rPr>
          <w:rFonts w:eastAsia="Calibri"/>
        </w:rPr>
        <w:t xml:space="preserve"> </w:t>
      </w:r>
      <w:r w:rsidRPr="00AF327F">
        <w:rPr>
          <w:rFonts w:eastAsia="Calibri"/>
        </w:rPr>
        <w:t xml:space="preserve">arqueos de caja general representando un monto de RD$149,633,425.20 </w:t>
      </w:r>
      <w:r w:rsidR="002D2897">
        <w:rPr>
          <w:rFonts w:eastAsia="Calibri"/>
        </w:rPr>
        <w:t xml:space="preserve">y </w:t>
      </w:r>
      <w:r w:rsidRPr="00AF327F">
        <w:rPr>
          <w:rFonts w:eastAsia="Calibri"/>
        </w:rPr>
        <w:t>83,425 recepciones de bienes representando un monto de RD$64,704,435,379.20</w:t>
      </w:r>
      <w:r w:rsidR="002D2897">
        <w:rPr>
          <w:rFonts w:eastAsia="Calibri"/>
        </w:rPr>
        <w:t>.</w:t>
      </w:r>
    </w:p>
    <w:p w14:paraId="38F93BFB" w14:textId="6FF14F12" w:rsidR="003123E8" w:rsidRPr="00AF327F" w:rsidRDefault="003123E8" w:rsidP="00463C08">
      <w:pPr>
        <w:spacing w:line="360" w:lineRule="auto"/>
        <w:ind w:left="-76"/>
        <w:jc w:val="both"/>
        <w:rPr>
          <w:rFonts w:eastAsia="Calibri"/>
        </w:rPr>
      </w:pPr>
      <w:r w:rsidRPr="00AF327F">
        <w:rPr>
          <w:rFonts w:eastAsia="Calibri"/>
        </w:rPr>
        <w:t>Se espera supervisar y realizar para el mes de diciembre lo siguiente: 351 arqueos de caja chica representando un monto de RD$351 36,766,165.73, 84 arqueos de caja general por RD$ RD$53,715,728.80, 9,592 recepciones de bienes por RD$14,064,702,995.57 y 731 conciliaciones bancarias.</w:t>
      </w:r>
    </w:p>
    <w:p w14:paraId="50C67068" w14:textId="74A8F5BB" w:rsidR="003123E8" w:rsidRPr="00AF327F" w:rsidRDefault="003123E8" w:rsidP="00463C08">
      <w:pPr>
        <w:spacing w:line="360" w:lineRule="auto"/>
        <w:jc w:val="both"/>
        <w:rPr>
          <w:rFonts w:eastAsia="Calibri"/>
        </w:rPr>
      </w:pPr>
      <w:r w:rsidRPr="00AF327F">
        <w:rPr>
          <w:rFonts w:eastAsia="Calibri"/>
        </w:rPr>
        <w:t>El equipo de supervisión de la DUAIG realizó durante los meses enero a noviembre</w:t>
      </w:r>
      <w:r w:rsidR="00DF14C4" w:rsidRPr="00AF327F">
        <w:rPr>
          <w:rFonts w:eastAsia="Calibri"/>
        </w:rPr>
        <w:t>,</w:t>
      </w:r>
      <w:r w:rsidRPr="00AF327F">
        <w:rPr>
          <w:rFonts w:eastAsia="Calibri"/>
        </w:rPr>
        <w:t xml:space="preserve"> 261 visitas formales para la supervisión de la labor de las Unidades de Auditoría Interna (UAI)</w:t>
      </w:r>
      <w:r w:rsidR="00E06AC9">
        <w:rPr>
          <w:rFonts w:eastAsia="Calibri"/>
        </w:rPr>
        <w:t>,</w:t>
      </w:r>
      <w:r w:rsidRPr="00AF327F">
        <w:rPr>
          <w:rFonts w:eastAsia="Calibri"/>
        </w:rPr>
        <w:t xml:space="preserve"> en función de evaluar el cumplimiento del régimen ético y disciplinario del personal, socializar aspectos técnicos del proceso de pagos y evaluación de procesos de compras, evaluar las necesidades de las UAIs a nivel de materiales y equipos. </w:t>
      </w:r>
      <w:r w:rsidR="00835AD2">
        <w:rPr>
          <w:rFonts w:eastAsia="Calibri"/>
        </w:rPr>
        <w:t xml:space="preserve">Esta cifra se mantendrá hasta el 31 de diciembre. </w:t>
      </w:r>
      <w:r w:rsidRPr="00AF327F">
        <w:rPr>
          <w:rFonts w:eastAsia="Calibri"/>
        </w:rPr>
        <w:t>Adicionalmente, han generado más de 30 informes de control previo, con recomendaciones que han aportado valor a las instituciones; de estos, 5 fueron remitidos a la Unidad de Antifraude de la CGR por los hallazgos identificados.</w:t>
      </w:r>
    </w:p>
    <w:p w14:paraId="30A6A04C" w14:textId="77777777" w:rsidR="007522DD" w:rsidRPr="00AF327F" w:rsidRDefault="00C72465" w:rsidP="00463C08">
      <w:pPr>
        <w:spacing w:line="360" w:lineRule="auto"/>
        <w:jc w:val="both"/>
        <w:rPr>
          <w:rFonts w:eastAsia="Calibri"/>
        </w:rPr>
      </w:pPr>
      <w:r w:rsidRPr="00AF327F">
        <w:rPr>
          <w:rFonts w:eastAsia="Calibri"/>
        </w:rPr>
        <w:t xml:space="preserve">Además las UAI experimentaron una rotación significativa de personal, destacando el movimiento de diversos cargos. </w:t>
      </w:r>
    </w:p>
    <w:p w14:paraId="1F9AFCBB" w14:textId="77777777" w:rsidR="007522DD" w:rsidRDefault="007522DD" w:rsidP="00463C08">
      <w:pPr>
        <w:spacing w:line="360" w:lineRule="auto"/>
        <w:jc w:val="both"/>
        <w:rPr>
          <w:rFonts w:eastAsia="Calibri"/>
          <w:color w:val="4C4747"/>
        </w:rPr>
      </w:pPr>
    </w:p>
    <w:p w14:paraId="499D2AD4" w14:textId="77777777" w:rsidR="007522DD" w:rsidRDefault="007522DD" w:rsidP="00463C08">
      <w:pPr>
        <w:spacing w:line="360" w:lineRule="auto"/>
        <w:jc w:val="both"/>
        <w:rPr>
          <w:rFonts w:eastAsia="Calibri"/>
          <w:color w:val="4C4747"/>
        </w:rPr>
      </w:pPr>
    </w:p>
    <w:p w14:paraId="4FAEE301" w14:textId="4C9C60A2" w:rsidR="00B65539" w:rsidRPr="00AF327F" w:rsidRDefault="00C72465" w:rsidP="00463C08">
      <w:pPr>
        <w:spacing w:line="360" w:lineRule="auto"/>
        <w:jc w:val="both"/>
        <w:rPr>
          <w:rFonts w:eastAsia="Calibri"/>
        </w:rPr>
      </w:pPr>
      <w:r w:rsidRPr="00AF327F">
        <w:rPr>
          <w:rFonts w:eastAsia="Calibri"/>
        </w:rPr>
        <w:lastRenderedPageBreak/>
        <w:t>En total se realizaron 679 movimientos</w:t>
      </w:r>
      <w:r w:rsidR="00463C08" w:rsidRPr="00AF327F">
        <w:rPr>
          <w:rFonts w:eastAsia="Calibri"/>
        </w:rPr>
        <w:t xml:space="preserve"> (</w:t>
      </w:r>
      <w:r w:rsidRPr="00AF327F">
        <w:rPr>
          <w:rFonts w:eastAsia="Calibri"/>
        </w:rPr>
        <w:t>319 encargados, 253 auditores y 107 auxiliares administrativos</w:t>
      </w:r>
      <w:r w:rsidR="00463C08" w:rsidRPr="00AF327F">
        <w:rPr>
          <w:rFonts w:eastAsia="Calibri"/>
        </w:rPr>
        <w:t>)</w:t>
      </w:r>
      <w:r w:rsidRPr="00AF327F">
        <w:rPr>
          <w:rFonts w:eastAsia="Calibri"/>
        </w:rPr>
        <w:t xml:space="preserve"> asegurando que los equipos cuenten con el personal adecuado para mantener la eficiencia, efectividad y objetividad en los procesos de control previo</w:t>
      </w:r>
      <w:r w:rsidR="00A01D9A">
        <w:rPr>
          <w:rFonts w:eastAsia="Calibri"/>
        </w:rPr>
        <w:t>, evitando cualquier oportunidad de colusión con las entidades auditadas.</w:t>
      </w:r>
    </w:p>
    <w:p w14:paraId="5504713F" w14:textId="3BCBCBCA" w:rsidR="002B1942" w:rsidRPr="00AF327F" w:rsidRDefault="002B1942" w:rsidP="003123E8">
      <w:pPr>
        <w:spacing w:line="360" w:lineRule="auto"/>
        <w:ind w:left="-76"/>
        <w:jc w:val="center"/>
        <w:rPr>
          <w:rFonts w:eastAsia="Calibri"/>
          <w:sz w:val="18"/>
          <w:szCs w:val="18"/>
        </w:rPr>
      </w:pPr>
      <w:r w:rsidRPr="00AF327F">
        <w:rPr>
          <w:rFonts w:eastAsia="Calibri"/>
          <w:sz w:val="18"/>
          <w:szCs w:val="18"/>
        </w:rPr>
        <w:t xml:space="preserve">Tabla </w:t>
      </w:r>
      <w:r w:rsidR="001C515D" w:rsidRPr="00AF327F">
        <w:rPr>
          <w:rFonts w:eastAsia="Calibri"/>
          <w:sz w:val="18"/>
          <w:szCs w:val="18"/>
        </w:rPr>
        <w:t>4</w:t>
      </w:r>
      <w:r w:rsidRPr="00AF327F">
        <w:rPr>
          <w:rFonts w:eastAsia="Calibri"/>
          <w:sz w:val="18"/>
          <w:szCs w:val="18"/>
        </w:rPr>
        <w:t>. Rotación Personal UAIs</w:t>
      </w:r>
      <w:r w:rsidR="00835AD2">
        <w:rPr>
          <w:rFonts w:eastAsia="Calibri"/>
          <w:sz w:val="18"/>
          <w:szCs w:val="18"/>
        </w:rPr>
        <w:t xml:space="preserve"> al 31 de diciembre 2025</w:t>
      </w:r>
    </w:p>
    <w:tbl>
      <w:tblPr>
        <w:tblW w:w="7655" w:type="dxa"/>
        <w:tblInd w:w="137" w:type="dxa"/>
        <w:tblCellMar>
          <w:left w:w="70" w:type="dxa"/>
          <w:right w:w="70" w:type="dxa"/>
        </w:tblCellMar>
        <w:tblLook w:val="04A0" w:firstRow="1" w:lastRow="0" w:firstColumn="1" w:lastColumn="0" w:noHBand="0" w:noVBand="1"/>
      </w:tblPr>
      <w:tblGrid>
        <w:gridCol w:w="3827"/>
        <w:gridCol w:w="3828"/>
      </w:tblGrid>
      <w:tr w:rsidR="002B1942" w:rsidRPr="00465A16" w14:paraId="2378F9A7" w14:textId="77777777" w:rsidTr="00EE0440">
        <w:trPr>
          <w:trHeight w:val="600"/>
        </w:trPr>
        <w:tc>
          <w:tcPr>
            <w:tcW w:w="3827"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59FBCFEC" w14:textId="77777777" w:rsidR="002B1942" w:rsidRPr="00465A16" w:rsidRDefault="002B1942" w:rsidP="002B1942">
            <w:pPr>
              <w:spacing w:after="0" w:line="240" w:lineRule="auto"/>
              <w:jc w:val="center"/>
              <w:rPr>
                <w:rFonts w:eastAsia="Times New Roman"/>
                <w:b/>
                <w:bCs/>
                <w:color w:val="FFFFFF"/>
                <w:spacing w:val="0"/>
                <w:lang w:eastAsia="es-DO"/>
              </w:rPr>
            </w:pPr>
            <w:r w:rsidRPr="00465A16">
              <w:rPr>
                <w:rFonts w:eastAsia="Calibri"/>
                <w:b/>
                <w:bCs/>
                <w:color w:val="FFFFFF" w:themeColor="background1"/>
                <w:spacing w:val="0"/>
                <w:lang w:eastAsia="es-DO"/>
              </w:rPr>
              <w:t>Cargo</w:t>
            </w:r>
          </w:p>
        </w:tc>
        <w:tc>
          <w:tcPr>
            <w:tcW w:w="3828" w:type="dxa"/>
            <w:tcBorders>
              <w:top w:val="single" w:sz="4" w:space="0" w:color="auto"/>
              <w:left w:val="nil"/>
              <w:bottom w:val="single" w:sz="4" w:space="0" w:color="auto"/>
              <w:right w:val="single" w:sz="4" w:space="0" w:color="auto"/>
            </w:tcBorders>
            <w:shd w:val="clear" w:color="auto" w:fill="011C50"/>
            <w:vAlign w:val="center"/>
            <w:hideMark/>
          </w:tcPr>
          <w:p w14:paraId="2C646B66" w14:textId="77777777" w:rsidR="002B1942" w:rsidRPr="00465A16" w:rsidRDefault="002B1942" w:rsidP="002B1942">
            <w:pPr>
              <w:spacing w:after="0" w:line="240" w:lineRule="auto"/>
              <w:jc w:val="center"/>
              <w:rPr>
                <w:rFonts w:eastAsia="Times New Roman"/>
                <w:b/>
                <w:bCs/>
                <w:color w:val="FFFFFF"/>
                <w:spacing w:val="0"/>
                <w:lang w:eastAsia="es-DO"/>
              </w:rPr>
            </w:pPr>
            <w:r w:rsidRPr="00465A16">
              <w:rPr>
                <w:rFonts w:eastAsia="Calibri"/>
                <w:b/>
                <w:bCs/>
                <w:color w:val="FFFFFF" w:themeColor="background1"/>
                <w:spacing w:val="0"/>
                <w:lang w:eastAsia="es-DO"/>
              </w:rPr>
              <w:t>Cantidad de Traslados</w:t>
            </w:r>
          </w:p>
        </w:tc>
      </w:tr>
      <w:tr w:rsidR="00C72465" w:rsidRPr="00465A16" w14:paraId="71F9B6D7" w14:textId="77777777" w:rsidTr="002B1942">
        <w:trPr>
          <w:trHeight w:val="312"/>
        </w:trPr>
        <w:tc>
          <w:tcPr>
            <w:tcW w:w="3827" w:type="dxa"/>
            <w:tcBorders>
              <w:top w:val="nil"/>
              <w:left w:val="single" w:sz="4" w:space="0" w:color="auto"/>
              <w:bottom w:val="single" w:sz="4" w:space="0" w:color="auto"/>
              <w:right w:val="single" w:sz="4" w:space="0" w:color="auto"/>
            </w:tcBorders>
            <w:vAlign w:val="center"/>
            <w:hideMark/>
          </w:tcPr>
          <w:p w14:paraId="730E4E16" w14:textId="77777777" w:rsidR="00C72465" w:rsidRPr="00AF327F" w:rsidRDefault="00C72465" w:rsidP="00C72465">
            <w:pPr>
              <w:spacing w:after="0" w:line="240" w:lineRule="auto"/>
              <w:jc w:val="center"/>
              <w:rPr>
                <w:rFonts w:eastAsia="Calibri"/>
              </w:rPr>
            </w:pPr>
            <w:r w:rsidRPr="00AF327F">
              <w:rPr>
                <w:rFonts w:eastAsia="Calibri"/>
              </w:rPr>
              <w:t>Encargado</w:t>
            </w:r>
          </w:p>
        </w:tc>
        <w:tc>
          <w:tcPr>
            <w:tcW w:w="3828" w:type="dxa"/>
            <w:tcBorders>
              <w:top w:val="nil"/>
              <w:left w:val="nil"/>
              <w:bottom w:val="single" w:sz="4" w:space="0" w:color="auto"/>
              <w:right w:val="single" w:sz="4" w:space="0" w:color="auto"/>
            </w:tcBorders>
            <w:vAlign w:val="center"/>
            <w:hideMark/>
          </w:tcPr>
          <w:p w14:paraId="06D69AB5" w14:textId="13637747" w:rsidR="00C72465" w:rsidRPr="00AF327F" w:rsidRDefault="00C72465" w:rsidP="00C72465">
            <w:pPr>
              <w:spacing w:after="0" w:line="240" w:lineRule="auto"/>
              <w:jc w:val="center"/>
              <w:rPr>
                <w:rFonts w:eastAsia="Calibri"/>
              </w:rPr>
            </w:pPr>
            <w:r w:rsidRPr="00AF327F">
              <w:rPr>
                <w:rFonts w:eastAsia="Calibri"/>
              </w:rPr>
              <w:t>319</w:t>
            </w:r>
          </w:p>
        </w:tc>
      </w:tr>
      <w:tr w:rsidR="00C72465" w:rsidRPr="00465A16" w14:paraId="0C8EC691" w14:textId="77777777" w:rsidTr="002B1942">
        <w:trPr>
          <w:trHeight w:val="312"/>
        </w:trPr>
        <w:tc>
          <w:tcPr>
            <w:tcW w:w="3827" w:type="dxa"/>
            <w:tcBorders>
              <w:top w:val="nil"/>
              <w:left w:val="single" w:sz="4" w:space="0" w:color="auto"/>
              <w:bottom w:val="single" w:sz="4" w:space="0" w:color="auto"/>
              <w:right w:val="single" w:sz="4" w:space="0" w:color="auto"/>
            </w:tcBorders>
            <w:vAlign w:val="center"/>
            <w:hideMark/>
          </w:tcPr>
          <w:p w14:paraId="13E852F0" w14:textId="77777777" w:rsidR="00C72465" w:rsidRPr="00AF327F" w:rsidRDefault="00C72465" w:rsidP="00C72465">
            <w:pPr>
              <w:spacing w:after="0" w:line="240" w:lineRule="auto"/>
              <w:jc w:val="center"/>
              <w:rPr>
                <w:rFonts w:eastAsia="Calibri"/>
              </w:rPr>
            </w:pPr>
            <w:r w:rsidRPr="00AF327F">
              <w:rPr>
                <w:rFonts w:eastAsia="Calibri"/>
              </w:rPr>
              <w:t>Auditor</w:t>
            </w:r>
          </w:p>
        </w:tc>
        <w:tc>
          <w:tcPr>
            <w:tcW w:w="3828" w:type="dxa"/>
            <w:tcBorders>
              <w:top w:val="nil"/>
              <w:left w:val="nil"/>
              <w:bottom w:val="single" w:sz="4" w:space="0" w:color="auto"/>
              <w:right w:val="single" w:sz="4" w:space="0" w:color="auto"/>
            </w:tcBorders>
            <w:vAlign w:val="center"/>
            <w:hideMark/>
          </w:tcPr>
          <w:p w14:paraId="52C28C57" w14:textId="5DB0CD3B" w:rsidR="00C72465" w:rsidRPr="00AF327F" w:rsidRDefault="00C72465" w:rsidP="00C72465">
            <w:pPr>
              <w:spacing w:after="0" w:line="240" w:lineRule="auto"/>
              <w:jc w:val="center"/>
              <w:rPr>
                <w:rFonts w:eastAsia="Calibri"/>
              </w:rPr>
            </w:pPr>
            <w:r w:rsidRPr="00AF327F">
              <w:rPr>
                <w:rFonts w:eastAsia="Calibri"/>
              </w:rPr>
              <w:t>253</w:t>
            </w:r>
          </w:p>
        </w:tc>
      </w:tr>
      <w:tr w:rsidR="00C72465" w:rsidRPr="00465A16" w14:paraId="76CFCC16" w14:textId="77777777" w:rsidTr="002B1942">
        <w:trPr>
          <w:trHeight w:val="312"/>
        </w:trPr>
        <w:tc>
          <w:tcPr>
            <w:tcW w:w="3827" w:type="dxa"/>
            <w:tcBorders>
              <w:top w:val="nil"/>
              <w:left w:val="single" w:sz="4" w:space="0" w:color="auto"/>
              <w:bottom w:val="single" w:sz="4" w:space="0" w:color="auto"/>
              <w:right w:val="single" w:sz="4" w:space="0" w:color="auto"/>
            </w:tcBorders>
            <w:vAlign w:val="center"/>
            <w:hideMark/>
          </w:tcPr>
          <w:p w14:paraId="5C645DCC" w14:textId="77777777" w:rsidR="00C72465" w:rsidRPr="00AF327F" w:rsidRDefault="00C72465" w:rsidP="00C72465">
            <w:pPr>
              <w:spacing w:after="0" w:line="240" w:lineRule="auto"/>
              <w:jc w:val="center"/>
              <w:rPr>
                <w:rFonts w:eastAsia="Calibri"/>
              </w:rPr>
            </w:pPr>
            <w:r w:rsidRPr="00AF327F">
              <w:rPr>
                <w:rFonts w:eastAsia="Calibri"/>
              </w:rPr>
              <w:t>Auxiliares</w:t>
            </w:r>
          </w:p>
        </w:tc>
        <w:tc>
          <w:tcPr>
            <w:tcW w:w="3828" w:type="dxa"/>
            <w:tcBorders>
              <w:top w:val="nil"/>
              <w:left w:val="nil"/>
              <w:bottom w:val="single" w:sz="4" w:space="0" w:color="auto"/>
              <w:right w:val="single" w:sz="4" w:space="0" w:color="auto"/>
            </w:tcBorders>
            <w:vAlign w:val="center"/>
            <w:hideMark/>
          </w:tcPr>
          <w:p w14:paraId="116F52FF" w14:textId="3936D9C0" w:rsidR="00C72465" w:rsidRPr="00AF327F" w:rsidRDefault="00C72465" w:rsidP="00C72465">
            <w:pPr>
              <w:spacing w:after="0" w:line="240" w:lineRule="auto"/>
              <w:jc w:val="center"/>
              <w:rPr>
                <w:rFonts w:eastAsia="Calibri"/>
              </w:rPr>
            </w:pPr>
            <w:r w:rsidRPr="00AF327F">
              <w:rPr>
                <w:rFonts w:eastAsia="Calibri"/>
              </w:rPr>
              <w:t>107</w:t>
            </w:r>
          </w:p>
        </w:tc>
      </w:tr>
      <w:tr w:rsidR="00C72465" w:rsidRPr="00465A16" w14:paraId="5C4368CB" w14:textId="77777777" w:rsidTr="00C72465">
        <w:trPr>
          <w:trHeight w:val="243"/>
        </w:trPr>
        <w:tc>
          <w:tcPr>
            <w:tcW w:w="3827" w:type="dxa"/>
            <w:tcBorders>
              <w:top w:val="nil"/>
              <w:left w:val="single" w:sz="4" w:space="0" w:color="auto"/>
              <w:bottom w:val="single" w:sz="4" w:space="0" w:color="auto"/>
              <w:right w:val="single" w:sz="4" w:space="0" w:color="auto"/>
            </w:tcBorders>
            <w:shd w:val="clear" w:color="auto" w:fill="011C50"/>
            <w:vAlign w:val="center"/>
            <w:hideMark/>
          </w:tcPr>
          <w:p w14:paraId="1CD564D3" w14:textId="77777777" w:rsidR="00C72465" w:rsidRPr="00465A16" w:rsidRDefault="00C72465" w:rsidP="00C72465">
            <w:pPr>
              <w:spacing w:after="0" w:line="360" w:lineRule="auto"/>
              <w:ind w:left="-76"/>
              <w:jc w:val="center"/>
              <w:rPr>
                <w:rFonts w:eastAsia="Calibri"/>
                <w:b/>
                <w:bCs/>
                <w:color w:val="FFFFFF" w:themeColor="background1"/>
              </w:rPr>
            </w:pPr>
            <w:r w:rsidRPr="00465A16">
              <w:rPr>
                <w:rFonts w:eastAsia="Calibri"/>
                <w:b/>
                <w:bCs/>
                <w:color w:val="FFFFFF" w:themeColor="background1"/>
              </w:rPr>
              <w:t xml:space="preserve">Total </w:t>
            </w:r>
          </w:p>
        </w:tc>
        <w:tc>
          <w:tcPr>
            <w:tcW w:w="3828" w:type="dxa"/>
            <w:tcBorders>
              <w:top w:val="nil"/>
              <w:left w:val="nil"/>
              <w:bottom w:val="single" w:sz="4" w:space="0" w:color="auto"/>
              <w:right w:val="single" w:sz="4" w:space="0" w:color="auto"/>
            </w:tcBorders>
            <w:shd w:val="clear" w:color="auto" w:fill="011C50"/>
            <w:vAlign w:val="center"/>
            <w:hideMark/>
          </w:tcPr>
          <w:p w14:paraId="4189BDCE" w14:textId="7832D5C0" w:rsidR="00C72465" w:rsidRPr="00465A16" w:rsidRDefault="00C72465" w:rsidP="00C72465">
            <w:pPr>
              <w:spacing w:after="0" w:line="360" w:lineRule="auto"/>
              <w:ind w:left="-76"/>
              <w:jc w:val="center"/>
              <w:rPr>
                <w:rFonts w:eastAsia="Calibri"/>
                <w:b/>
                <w:bCs/>
                <w:color w:val="FFFFFF" w:themeColor="background1"/>
              </w:rPr>
            </w:pPr>
            <w:r w:rsidRPr="00465A16">
              <w:rPr>
                <w:rFonts w:eastAsia="Times New Roman"/>
                <w:b/>
                <w:bCs/>
                <w:color w:val="FFFFFF" w:themeColor="background1"/>
                <w:lang w:eastAsia="es-DO"/>
              </w:rPr>
              <w:t>679</w:t>
            </w:r>
          </w:p>
        </w:tc>
      </w:tr>
    </w:tbl>
    <w:p w14:paraId="6901C684" w14:textId="77777777" w:rsidR="00467AD1" w:rsidRPr="0077472F" w:rsidRDefault="002B1942" w:rsidP="003123E8">
      <w:pPr>
        <w:spacing w:line="360" w:lineRule="auto"/>
        <w:ind w:left="-76"/>
        <w:jc w:val="center"/>
        <w:rPr>
          <w:rFonts w:eastAsia="Calibri"/>
          <w:i/>
          <w:iCs/>
          <w:sz w:val="18"/>
          <w:szCs w:val="18"/>
        </w:rPr>
      </w:pPr>
      <w:r w:rsidRPr="0077472F">
        <w:rPr>
          <w:rFonts w:eastAsia="Calibri"/>
          <w:i/>
          <w:iCs/>
          <w:sz w:val="18"/>
          <w:szCs w:val="18"/>
        </w:rPr>
        <w:t>Fuente: Informe Anual DUAI</w:t>
      </w:r>
    </w:p>
    <w:p w14:paraId="4A0B0A15" w14:textId="77777777" w:rsidR="00C72465" w:rsidRPr="00465A16" w:rsidRDefault="00C72465" w:rsidP="003123E8">
      <w:pPr>
        <w:spacing w:line="360" w:lineRule="auto"/>
        <w:ind w:left="-76"/>
        <w:jc w:val="center"/>
        <w:rPr>
          <w:rFonts w:eastAsia="Calibri"/>
          <w:color w:val="4C4747"/>
          <w:sz w:val="18"/>
          <w:szCs w:val="18"/>
        </w:rPr>
      </w:pPr>
    </w:p>
    <w:p w14:paraId="7D972EE3" w14:textId="77777777" w:rsidR="00FC74D5" w:rsidRPr="00465A16" w:rsidRDefault="00FC74D5" w:rsidP="007F6EA5">
      <w:pPr>
        <w:pStyle w:val="Prrafodelista"/>
        <w:ind w:left="0"/>
        <w:rPr>
          <w:b/>
          <w:bCs/>
          <w:color w:val="4C4747"/>
        </w:rPr>
        <w:sectPr w:rsidR="00FC74D5" w:rsidRPr="00465A16" w:rsidSect="00FC74D5">
          <w:pgSz w:w="12240" w:h="15840"/>
          <w:pgMar w:top="1440" w:right="2160" w:bottom="1440" w:left="2160" w:header="720" w:footer="720" w:gutter="0"/>
          <w:cols w:space="720"/>
          <w:docGrid w:linePitch="360"/>
        </w:sectPr>
      </w:pPr>
    </w:p>
    <w:p w14:paraId="61D4F044" w14:textId="674CDC83" w:rsidR="00D77049" w:rsidRPr="00AF327F" w:rsidRDefault="007F6EA5" w:rsidP="00463C08">
      <w:pPr>
        <w:pStyle w:val="Prrafodelista"/>
        <w:spacing w:line="360" w:lineRule="auto"/>
        <w:ind w:left="0"/>
        <w:rPr>
          <w:b/>
          <w:bCs/>
        </w:rPr>
      </w:pPr>
      <w:r w:rsidRPr="00AF327F">
        <w:rPr>
          <w:b/>
          <w:bCs/>
        </w:rPr>
        <w:lastRenderedPageBreak/>
        <w:t xml:space="preserve">c. </w:t>
      </w:r>
      <w:r w:rsidR="00BF06B2" w:rsidRPr="00AF327F">
        <w:rPr>
          <w:b/>
          <w:bCs/>
        </w:rPr>
        <w:t>Revisión de</w:t>
      </w:r>
      <w:r w:rsidR="00D77049" w:rsidRPr="00AF327F">
        <w:rPr>
          <w:b/>
          <w:bCs/>
        </w:rPr>
        <w:t xml:space="preserve"> pagos directos</w:t>
      </w:r>
      <w:r w:rsidR="00BF06B2" w:rsidRPr="00AF327F">
        <w:rPr>
          <w:b/>
          <w:bCs/>
        </w:rPr>
        <w:t xml:space="preserve"> a través de las UAI</w:t>
      </w:r>
    </w:p>
    <w:p w14:paraId="77796644" w14:textId="77777777" w:rsidR="004007DE" w:rsidRPr="00AF327F" w:rsidRDefault="004007DE" w:rsidP="00463C08">
      <w:pPr>
        <w:pStyle w:val="Prrafodelista"/>
        <w:spacing w:line="360" w:lineRule="auto"/>
      </w:pPr>
    </w:p>
    <w:p w14:paraId="0E957CC6" w14:textId="0198DF77" w:rsidR="00FC74D5" w:rsidRPr="00AF327F" w:rsidRDefault="00C72465" w:rsidP="00463C08">
      <w:pPr>
        <w:spacing w:line="360" w:lineRule="auto"/>
        <w:jc w:val="both"/>
        <w:rPr>
          <w:rFonts w:eastAsia="Calibri"/>
          <w:sz w:val="18"/>
          <w:szCs w:val="18"/>
        </w:rPr>
      </w:pPr>
      <w:r w:rsidRPr="00AF327F">
        <w:rPr>
          <w:rFonts w:eastAsia="Calibri"/>
        </w:rPr>
        <w:t>Los pagos directos comprenden las erogaciones efectuadas por las instituciones mediante cheques y transferencias bancarias, utilizando fondos de anticipos financieros, proyectos de inversión, fondos operativos, subvenciones, donaciones y recursos de captación directa. Las Unidades de Auditoría Interna (UAI) evalúan el cumplimiento de los trámites legales y administrativos asociados a estos pagos. Durante los meses enero - noviembre se evaluaron con fines de autorización 158,408 pagos directos (cheques y transferencias), por un monto de RD$235,900,118,611 junto con transacciones en moneda extranjera equivalentes a US$222,079,087.11 y EUR€1,720,379.94.</w:t>
      </w:r>
      <w:r w:rsidR="00FC74D5" w:rsidRPr="00AF327F">
        <w:rPr>
          <w:rFonts w:eastAsia="Calibri"/>
        </w:rPr>
        <w:t xml:space="preserve"> Se espera evaluar en el mes de diciembre con fines de autorización un total de 17,944 órdenes de pagos directos (cheques y transferencias) por monto de RD$25,825,048,918 junto con transacciones en moneda extranjera equivalentes a US$329,324,311.11 y EUR€19,233,750.</w:t>
      </w:r>
    </w:p>
    <w:p w14:paraId="4409B657" w14:textId="0AA87B63" w:rsidR="00E34FEB" w:rsidRPr="00AF327F" w:rsidRDefault="00E34FEB" w:rsidP="00FC74D5">
      <w:pPr>
        <w:spacing w:line="360" w:lineRule="auto"/>
        <w:jc w:val="center"/>
        <w:rPr>
          <w:rFonts w:eastAsia="Calibri"/>
          <w:sz w:val="18"/>
          <w:szCs w:val="18"/>
        </w:rPr>
      </w:pPr>
      <w:r w:rsidRPr="00AF327F">
        <w:rPr>
          <w:rFonts w:eastAsia="Calibri"/>
          <w:sz w:val="18"/>
          <w:szCs w:val="18"/>
        </w:rPr>
        <w:t xml:space="preserve">Tabla 5. </w:t>
      </w:r>
      <w:r w:rsidR="00C72465" w:rsidRPr="00AF327F">
        <w:rPr>
          <w:rFonts w:eastAsia="Calibri"/>
          <w:sz w:val="18"/>
          <w:szCs w:val="18"/>
        </w:rPr>
        <w:t>Órdenes de Pagos Directos Revisadas</w:t>
      </w:r>
      <w:r w:rsidR="0058629B">
        <w:rPr>
          <w:rFonts w:eastAsia="Calibri"/>
          <w:sz w:val="18"/>
          <w:szCs w:val="18"/>
        </w:rPr>
        <w:t xml:space="preserve"> 2025</w:t>
      </w:r>
    </w:p>
    <w:tbl>
      <w:tblPr>
        <w:tblW w:w="130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24"/>
        <w:gridCol w:w="2551"/>
        <w:gridCol w:w="2772"/>
        <w:gridCol w:w="2140"/>
        <w:gridCol w:w="2445"/>
      </w:tblGrid>
      <w:tr w:rsidR="00C72465" w:rsidRPr="00465A16" w14:paraId="1650A7B0" w14:textId="77777777" w:rsidTr="003F3AEA">
        <w:trPr>
          <w:trHeight w:val="428"/>
        </w:trPr>
        <w:tc>
          <w:tcPr>
            <w:tcW w:w="3124" w:type="dxa"/>
            <w:shd w:val="clear" w:color="auto" w:fill="011C50"/>
            <w:vAlign w:val="center"/>
            <w:hideMark/>
          </w:tcPr>
          <w:p w14:paraId="360E1DD6" w14:textId="77777777" w:rsidR="00C72465" w:rsidRPr="00465A16" w:rsidRDefault="00C72465" w:rsidP="00B41FF8">
            <w:pPr>
              <w:spacing w:after="0" w:line="240" w:lineRule="auto"/>
              <w:jc w:val="center"/>
              <w:rPr>
                <w:rFonts w:eastAsia="Calibri"/>
                <w:b/>
                <w:bCs/>
                <w:color w:val="FFFFFF" w:themeColor="background1"/>
              </w:rPr>
            </w:pPr>
            <w:r w:rsidRPr="00465A16">
              <w:rPr>
                <w:rFonts w:eastAsia="Calibri"/>
                <w:b/>
                <w:bCs/>
                <w:color w:val="FFFFFF" w:themeColor="background1"/>
              </w:rPr>
              <w:t>Tipo</w:t>
            </w:r>
          </w:p>
        </w:tc>
        <w:tc>
          <w:tcPr>
            <w:tcW w:w="2551" w:type="dxa"/>
            <w:shd w:val="clear" w:color="auto" w:fill="011C50"/>
            <w:vAlign w:val="center"/>
            <w:hideMark/>
          </w:tcPr>
          <w:p w14:paraId="569B6A17" w14:textId="77777777" w:rsidR="00C72465" w:rsidRPr="00465A16" w:rsidRDefault="00C72465" w:rsidP="00B41FF8">
            <w:pPr>
              <w:spacing w:after="0" w:line="240" w:lineRule="auto"/>
              <w:jc w:val="center"/>
              <w:rPr>
                <w:rFonts w:eastAsia="Calibri"/>
                <w:b/>
                <w:bCs/>
                <w:color w:val="FFFFFF" w:themeColor="background1"/>
              </w:rPr>
            </w:pPr>
            <w:r w:rsidRPr="00465A16">
              <w:rPr>
                <w:rFonts w:eastAsia="Calibri"/>
                <w:b/>
                <w:bCs/>
                <w:color w:val="FFFFFF" w:themeColor="background1"/>
              </w:rPr>
              <w:t xml:space="preserve">Cantidad </w:t>
            </w:r>
          </w:p>
        </w:tc>
        <w:tc>
          <w:tcPr>
            <w:tcW w:w="2772" w:type="dxa"/>
            <w:shd w:val="clear" w:color="auto" w:fill="011C50"/>
            <w:vAlign w:val="center"/>
            <w:hideMark/>
          </w:tcPr>
          <w:p w14:paraId="2341DBE9" w14:textId="77777777" w:rsidR="00C72465" w:rsidRPr="00465A16" w:rsidRDefault="00C72465" w:rsidP="00B41FF8">
            <w:pPr>
              <w:spacing w:after="0" w:line="240" w:lineRule="auto"/>
              <w:jc w:val="center"/>
              <w:rPr>
                <w:rFonts w:eastAsia="Calibri"/>
                <w:b/>
                <w:bCs/>
                <w:color w:val="FFFFFF" w:themeColor="background1"/>
              </w:rPr>
            </w:pPr>
            <w:r w:rsidRPr="00465A16">
              <w:rPr>
                <w:rFonts w:eastAsia="Calibri"/>
                <w:b/>
                <w:bCs/>
                <w:color w:val="FFFFFF" w:themeColor="background1"/>
              </w:rPr>
              <w:t>Monto (RD$)</w:t>
            </w:r>
          </w:p>
        </w:tc>
        <w:tc>
          <w:tcPr>
            <w:tcW w:w="2140" w:type="dxa"/>
            <w:shd w:val="clear" w:color="auto" w:fill="011C50"/>
            <w:vAlign w:val="center"/>
            <w:hideMark/>
          </w:tcPr>
          <w:p w14:paraId="309E2E2C" w14:textId="77777777" w:rsidR="00C72465" w:rsidRPr="00465A16" w:rsidRDefault="00C72465" w:rsidP="00B41FF8">
            <w:pPr>
              <w:spacing w:after="0" w:line="240" w:lineRule="auto"/>
              <w:jc w:val="center"/>
              <w:rPr>
                <w:rFonts w:eastAsia="Calibri"/>
                <w:b/>
                <w:bCs/>
                <w:color w:val="FFFFFF" w:themeColor="background1"/>
              </w:rPr>
            </w:pPr>
            <w:r w:rsidRPr="00465A16">
              <w:rPr>
                <w:rFonts w:eastAsia="Calibri"/>
                <w:b/>
                <w:bCs/>
                <w:color w:val="FFFFFF" w:themeColor="background1"/>
              </w:rPr>
              <w:t>Monto (US$)</w:t>
            </w:r>
          </w:p>
        </w:tc>
        <w:tc>
          <w:tcPr>
            <w:tcW w:w="2445" w:type="dxa"/>
            <w:shd w:val="clear" w:color="auto" w:fill="011C50"/>
            <w:vAlign w:val="center"/>
            <w:hideMark/>
          </w:tcPr>
          <w:p w14:paraId="3F5E0E20" w14:textId="77777777" w:rsidR="00C72465" w:rsidRPr="00465A16" w:rsidRDefault="00C72465" w:rsidP="00B41FF8">
            <w:pPr>
              <w:spacing w:after="0" w:line="240" w:lineRule="auto"/>
              <w:jc w:val="center"/>
              <w:rPr>
                <w:rFonts w:eastAsia="Calibri"/>
                <w:b/>
                <w:bCs/>
                <w:color w:val="FFFFFF" w:themeColor="background1"/>
              </w:rPr>
            </w:pPr>
            <w:r w:rsidRPr="00465A16">
              <w:rPr>
                <w:rFonts w:eastAsia="Calibri"/>
                <w:b/>
                <w:bCs/>
                <w:color w:val="FFFFFF" w:themeColor="background1"/>
              </w:rPr>
              <w:t>Monto (EUR$)</w:t>
            </w:r>
          </w:p>
        </w:tc>
      </w:tr>
      <w:tr w:rsidR="00C72465" w:rsidRPr="00465A16" w14:paraId="3D72DE17" w14:textId="77777777" w:rsidTr="003F3AEA">
        <w:trPr>
          <w:trHeight w:val="248"/>
        </w:trPr>
        <w:tc>
          <w:tcPr>
            <w:tcW w:w="3124" w:type="dxa"/>
            <w:vAlign w:val="center"/>
            <w:hideMark/>
          </w:tcPr>
          <w:p w14:paraId="2F3DB80C" w14:textId="77777777" w:rsidR="00C72465" w:rsidRPr="00AF327F" w:rsidRDefault="00C72465" w:rsidP="00C72465">
            <w:pPr>
              <w:spacing w:after="0" w:line="240" w:lineRule="auto"/>
              <w:rPr>
                <w:rFonts w:eastAsia="Calibri"/>
              </w:rPr>
            </w:pPr>
            <w:r w:rsidRPr="00AF327F">
              <w:rPr>
                <w:rFonts w:eastAsia="Calibri"/>
              </w:rPr>
              <w:t>Cheques</w:t>
            </w:r>
          </w:p>
        </w:tc>
        <w:tc>
          <w:tcPr>
            <w:tcW w:w="2551" w:type="dxa"/>
            <w:vAlign w:val="center"/>
            <w:hideMark/>
          </w:tcPr>
          <w:p w14:paraId="6DCA652B" w14:textId="77777777" w:rsidR="00C72465" w:rsidRPr="00AF327F" w:rsidRDefault="00C72465" w:rsidP="00B41FF8">
            <w:pPr>
              <w:spacing w:after="0" w:line="240" w:lineRule="auto"/>
              <w:jc w:val="center"/>
              <w:rPr>
                <w:rFonts w:eastAsia="Calibri"/>
              </w:rPr>
            </w:pPr>
            <w:r w:rsidRPr="00AF327F">
              <w:rPr>
                <w:rFonts w:eastAsia="Calibri"/>
              </w:rPr>
              <w:t>67,829</w:t>
            </w:r>
          </w:p>
        </w:tc>
        <w:tc>
          <w:tcPr>
            <w:tcW w:w="2772" w:type="dxa"/>
            <w:vAlign w:val="center"/>
            <w:hideMark/>
          </w:tcPr>
          <w:p w14:paraId="08982766" w14:textId="77777777" w:rsidR="00C72465" w:rsidRPr="00AF327F" w:rsidRDefault="00C72465" w:rsidP="00B41FF8">
            <w:pPr>
              <w:spacing w:after="0" w:line="240" w:lineRule="auto"/>
              <w:jc w:val="center"/>
              <w:rPr>
                <w:rFonts w:eastAsia="Calibri"/>
              </w:rPr>
            </w:pPr>
            <w:r w:rsidRPr="00AF327F">
              <w:rPr>
                <w:rFonts w:eastAsia="Calibri"/>
              </w:rPr>
              <w:t>28,936,199,355.55</w:t>
            </w:r>
          </w:p>
        </w:tc>
        <w:tc>
          <w:tcPr>
            <w:tcW w:w="2140" w:type="dxa"/>
            <w:vAlign w:val="center"/>
            <w:hideMark/>
          </w:tcPr>
          <w:p w14:paraId="502C226F" w14:textId="77777777" w:rsidR="00C72465" w:rsidRPr="00AF327F" w:rsidRDefault="00C72465" w:rsidP="00B41FF8">
            <w:pPr>
              <w:spacing w:after="0" w:line="240" w:lineRule="auto"/>
              <w:jc w:val="center"/>
              <w:rPr>
                <w:rFonts w:eastAsia="Calibri"/>
              </w:rPr>
            </w:pPr>
            <w:r w:rsidRPr="00AF327F">
              <w:rPr>
                <w:rFonts w:eastAsia="Calibri"/>
              </w:rPr>
              <w:t>27,092,769.40</w:t>
            </w:r>
          </w:p>
        </w:tc>
        <w:tc>
          <w:tcPr>
            <w:tcW w:w="2445" w:type="dxa"/>
            <w:vAlign w:val="center"/>
            <w:hideMark/>
          </w:tcPr>
          <w:p w14:paraId="4831E6DF" w14:textId="77777777" w:rsidR="00C72465" w:rsidRPr="00AF327F" w:rsidRDefault="00C72465" w:rsidP="00B41FF8">
            <w:pPr>
              <w:spacing w:after="0" w:line="240" w:lineRule="auto"/>
              <w:jc w:val="center"/>
              <w:rPr>
                <w:rFonts w:eastAsia="Calibri"/>
              </w:rPr>
            </w:pPr>
            <w:r w:rsidRPr="00AF327F">
              <w:rPr>
                <w:rFonts w:eastAsia="Calibri"/>
              </w:rPr>
              <w:t>3,269,519.90</w:t>
            </w:r>
          </w:p>
        </w:tc>
      </w:tr>
      <w:tr w:rsidR="00C72465" w:rsidRPr="00465A16" w14:paraId="5C11A6E8" w14:textId="77777777" w:rsidTr="003F3AEA">
        <w:trPr>
          <w:trHeight w:val="237"/>
        </w:trPr>
        <w:tc>
          <w:tcPr>
            <w:tcW w:w="3124" w:type="dxa"/>
            <w:vAlign w:val="center"/>
            <w:hideMark/>
          </w:tcPr>
          <w:p w14:paraId="7ABEF377" w14:textId="77777777" w:rsidR="00C72465" w:rsidRPr="00AF327F" w:rsidRDefault="00C72465" w:rsidP="00C72465">
            <w:pPr>
              <w:spacing w:after="0" w:line="240" w:lineRule="auto"/>
              <w:rPr>
                <w:rFonts w:eastAsia="Calibri"/>
              </w:rPr>
            </w:pPr>
            <w:r w:rsidRPr="00AF327F">
              <w:rPr>
                <w:rFonts w:eastAsia="Calibri"/>
              </w:rPr>
              <w:t>Transferencias</w:t>
            </w:r>
          </w:p>
        </w:tc>
        <w:tc>
          <w:tcPr>
            <w:tcW w:w="2551" w:type="dxa"/>
            <w:vAlign w:val="center"/>
            <w:hideMark/>
          </w:tcPr>
          <w:p w14:paraId="0A8F17A4" w14:textId="77777777" w:rsidR="00C72465" w:rsidRPr="00AF327F" w:rsidRDefault="00C72465" w:rsidP="00B41FF8">
            <w:pPr>
              <w:spacing w:after="0" w:line="240" w:lineRule="auto"/>
              <w:jc w:val="center"/>
              <w:rPr>
                <w:rFonts w:eastAsia="Calibri"/>
              </w:rPr>
            </w:pPr>
            <w:r w:rsidRPr="00AF327F">
              <w:rPr>
                <w:rFonts w:eastAsia="Calibri"/>
              </w:rPr>
              <w:t>90,579</w:t>
            </w:r>
          </w:p>
        </w:tc>
        <w:tc>
          <w:tcPr>
            <w:tcW w:w="2772" w:type="dxa"/>
            <w:vAlign w:val="center"/>
            <w:hideMark/>
          </w:tcPr>
          <w:p w14:paraId="2E8AA859" w14:textId="77777777" w:rsidR="00C72465" w:rsidRPr="00AF327F" w:rsidRDefault="00C72465" w:rsidP="00B41FF8">
            <w:pPr>
              <w:spacing w:after="0" w:line="240" w:lineRule="auto"/>
              <w:jc w:val="center"/>
              <w:rPr>
                <w:rFonts w:eastAsia="Calibri"/>
              </w:rPr>
            </w:pPr>
            <w:r w:rsidRPr="00AF327F">
              <w:rPr>
                <w:rFonts w:eastAsia="Calibri"/>
              </w:rPr>
              <w:t>206,963,919,255.06</w:t>
            </w:r>
          </w:p>
        </w:tc>
        <w:tc>
          <w:tcPr>
            <w:tcW w:w="2140" w:type="dxa"/>
            <w:vAlign w:val="center"/>
            <w:hideMark/>
          </w:tcPr>
          <w:p w14:paraId="186939E6" w14:textId="77777777" w:rsidR="00C72465" w:rsidRPr="00AF327F" w:rsidRDefault="00C72465" w:rsidP="00B41FF8">
            <w:pPr>
              <w:spacing w:after="0" w:line="240" w:lineRule="auto"/>
              <w:jc w:val="center"/>
              <w:rPr>
                <w:rFonts w:eastAsia="Calibri"/>
              </w:rPr>
            </w:pPr>
            <w:r w:rsidRPr="00AF327F">
              <w:rPr>
                <w:rFonts w:eastAsia="Calibri"/>
              </w:rPr>
              <w:t>2,545,829,418.35</w:t>
            </w:r>
          </w:p>
        </w:tc>
        <w:tc>
          <w:tcPr>
            <w:tcW w:w="2445" w:type="dxa"/>
            <w:vAlign w:val="center"/>
            <w:hideMark/>
          </w:tcPr>
          <w:p w14:paraId="17DEDEAF" w14:textId="77777777" w:rsidR="00C72465" w:rsidRPr="00AF327F" w:rsidRDefault="00C72465" w:rsidP="00B41FF8">
            <w:pPr>
              <w:spacing w:after="0" w:line="240" w:lineRule="auto"/>
              <w:jc w:val="center"/>
              <w:rPr>
                <w:rFonts w:eastAsia="Calibri"/>
              </w:rPr>
            </w:pPr>
            <w:r w:rsidRPr="00AF327F">
              <w:rPr>
                <w:rFonts w:eastAsia="Calibri"/>
              </w:rPr>
              <w:t>52,817,740.14</w:t>
            </w:r>
          </w:p>
        </w:tc>
      </w:tr>
      <w:tr w:rsidR="0058629B" w:rsidRPr="00465A16" w14:paraId="1C1BDD3B" w14:textId="77777777" w:rsidTr="0058629B">
        <w:trPr>
          <w:trHeight w:val="237"/>
        </w:trPr>
        <w:tc>
          <w:tcPr>
            <w:tcW w:w="3124" w:type="dxa"/>
            <w:shd w:val="clear" w:color="auto" w:fill="011C50"/>
            <w:vAlign w:val="center"/>
          </w:tcPr>
          <w:p w14:paraId="256382A2" w14:textId="7CEF4454" w:rsidR="0058629B" w:rsidRPr="00AF327F" w:rsidRDefault="0058629B" w:rsidP="0058629B">
            <w:pPr>
              <w:spacing w:after="0" w:line="240" w:lineRule="auto"/>
              <w:rPr>
                <w:rFonts w:eastAsia="Calibri"/>
              </w:rPr>
            </w:pPr>
            <w:r w:rsidRPr="00465A16">
              <w:rPr>
                <w:rFonts w:eastAsia="Calibri"/>
                <w:b/>
                <w:bCs/>
                <w:color w:val="FFFFFF" w:themeColor="background1"/>
              </w:rPr>
              <w:t>Total</w:t>
            </w:r>
          </w:p>
        </w:tc>
        <w:tc>
          <w:tcPr>
            <w:tcW w:w="2551" w:type="dxa"/>
            <w:shd w:val="clear" w:color="auto" w:fill="011C50"/>
            <w:vAlign w:val="center"/>
          </w:tcPr>
          <w:p w14:paraId="7597573E" w14:textId="021D3285" w:rsidR="0058629B" w:rsidRPr="00AF327F" w:rsidRDefault="0058629B" w:rsidP="0058629B">
            <w:pPr>
              <w:spacing w:after="0" w:line="240" w:lineRule="auto"/>
              <w:jc w:val="center"/>
              <w:rPr>
                <w:rFonts w:eastAsia="Calibri"/>
              </w:rPr>
            </w:pPr>
            <w:r w:rsidRPr="00465A16">
              <w:rPr>
                <w:rFonts w:eastAsia="Calibri"/>
                <w:b/>
                <w:bCs/>
                <w:color w:val="FFFFFF" w:themeColor="background1"/>
              </w:rPr>
              <w:t>158,408</w:t>
            </w:r>
          </w:p>
        </w:tc>
        <w:tc>
          <w:tcPr>
            <w:tcW w:w="2772" w:type="dxa"/>
            <w:shd w:val="clear" w:color="auto" w:fill="011C50"/>
            <w:vAlign w:val="center"/>
          </w:tcPr>
          <w:p w14:paraId="49FACFEC" w14:textId="3527D04A" w:rsidR="0058629B" w:rsidRPr="00AF327F" w:rsidRDefault="0058629B" w:rsidP="0058629B">
            <w:pPr>
              <w:spacing w:after="0" w:line="240" w:lineRule="auto"/>
              <w:jc w:val="center"/>
              <w:rPr>
                <w:rFonts w:eastAsia="Calibri"/>
              </w:rPr>
            </w:pPr>
            <w:r w:rsidRPr="00465A16">
              <w:rPr>
                <w:rFonts w:eastAsia="Calibri"/>
                <w:b/>
                <w:bCs/>
                <w:color w:val="FFFFFF" w:themeColor="background1"/>
              </w:rPr>
              <w:t>235,900,118,611</w:t>
            </w:r>
          </w:p>
        </w:tc>
        <w:tc>
          <w:tcPr>
            <w:tcW w:w="2140" w:type="dxa"/>
            <w:shd w:val="clear" w:color="auto" w:fill="011C50"/>
            <w:vAlign w:val="center"/>
          </w:tcPr>
          <w:p w14:paraId="360767E0" w14:textId="536E74A9" w:rsidR="0058629B" w:rsidRPr="00AF327F" w:rsidRDefault="0058629B" w:rsidP="0058629B">
            <w:pPr>
              <w:spacing w:after="0" w:line="240" w:lineRule="auto"/>
              <w:jc w:val="center"/>
              <w:rPr>
                <w:rFonts w:eastAsia="Calibri"/>
              </w:rPr>
            </w:pPr>
            <w:r w:rsidRPr="00465A16">
              <w:rPr>
                <w:rFonts w:eastAsia="Calibri"/>
                <w:b/>
                <w:bCs/>
                <w:color w:val="FFFFFF" w:themeColor="background1"/>
              </w:rPr>
              <w:t>2,572,922,188</w:t>
            </w:r>
          </w:p>
        </w:tc>
        <w:tc>
          <w:tcPr>
            <w:tcW w:w="2445" w:type="dxa"/>
            <w:shd w:val="clear" w:color="auto" w:fill="011C50"/>
            <w:vAlign w:val="center"/>
          </w:tcPr>
          <w:p w14:paraId="5528DFBB" w14:textId="4F7E56B4" w:rsidR="0058629B" w:rsidRPr="00AF327F" w:rsidRDefault="0058629B" w:rsidP="0058629B">
            <w:pPr>
              <w:spacing w:after="0" w:line="240" w:lineRule="auto"/>
              <w:jc w:val="center"/>
              <w:rPr>
                <w:rFonts w:eastAsia="Calibri"/>
              </w:rPr>
            </w:pPr>
            <w:r w:rsidRPr="00465A16">
              <w:rPr>
                <w:rFonts w:eastAsia="Calibri"/>
                <w:b/>
                <w:bCs/>
                <w:color w:val="FFFFFF" w:themeColor="background1"/>
              </w:rPr>
              <w:t>56,087,260</w:t>
            </w:r>
          </w:p>
        </w:tc>
      </w:tr>
      <w:tr w:rsidR="003F3AEA" w:rsidRPr="00465A16" w14:paraId="136637C7" w14:textId="77777777" w:rsidTr="0058629B">
        <w:trPr>
          <w:trHeight w:val="286"/>
        </w:trPr>
        <w:tc>
          <w:tcPr>
            <w:tcW w:w="3124" w:type="dxa"/>
            <w:vAlign w:val="center"/>
          </w:tcPr>
          <w:p w14:paraId="011A4207" w14:textId="2D4A68BE" w:rsidR="003F3AEA" w:rsidRPr="00AF327F" w:rsidRDefault="003F3AEA" w:rsidP="00C72465">
            <w:pPr>
              <w:spacing w:after="0" w:line="240" w:lineRule="auto"/>
              <w:rPr>
                <w:rFonts w:eastAsia="Calibri"/>
              </w:rPr>
            </w:pPr>
            <w:r>
              <w:rPr>
                <w:rFonts w:eastAsia="Calibri"/>
              </w:rPr>
              <w:t>Proyección diciembre</w:t>
            </w:r>
          </w:p>
        </w:tc>
        <w:tc>
          <w:tcPr>
            <w:tcW w:w="2551" w:type="dxa"/>
            <w:vAlign w:val="center"/>
          </w:tcPr>
          <w:p w14:paraId="6763ADCE" w14:textId="33FF9070" w:rsidR="003F3AEA" w:rsidRPr="00AF327F" w:rsidRDefault="003F3AEA" w:rsidP="00B41FF8">
            <w:pPr>
              <w:spacing w:after="0" w:line="240" w:lineRule="auto"/>
              <w:jc w:val="center"/>
              <w:rPr>
                <w:rFonts w:eastAsia="Calibri"/>
              </w:rPr>
            </w:pPr>
            <w:r w:rsidRPr="00AF327F">
              <w:rPr>
                <w:rFonts w:eastAsia="Calibri"/>
              </w:rPr>
              <w:t>17,944</w:t>
            </w:r>
          </w:p>
        </w:tc>
        <w:tc>
          <w:tcPr>
            <w:tcW w:w="2772" w:type="dxa"/>
            <w:vAlign w:val="center"/>
          </w:tcPr>
          <w:p w14:paraId="760F9891" w14:textId="32133C91" w:rsidR="003F3AEA" w:rsidRPr="00AF327F" w:rsidRDefault="0058629B" w:rsidP="0058629B">
            <w:pPr>
              <w:spacing w:after="0" w:line="240" w:lineRule="auto"/>
              <w:jc w:val="center"/>
              <w:rPr>
                <w:rFonts w:eastAsia="Calibri"/>
              </w:rPr>
            </w:pPr>
            <w:r w:rsidRPr="00AF327F">
              <w:rPr>
                <w:rFonts w:eastAsia="Calibri"/>
              </w:rPr>
              <w:t>25,825,048,918</w:t>
            </w:r>
          </w:p>
        </w:tc>
        <w:tc>
          <w:tcPr>
            <w:tcW w:w="2140" w:type="dxa"/>
            <w:vAlign w:val="center"/>
          </w:tcPr>
          <w:p w14:paraId="4F5CEB16" w14:textId="424A3960" w:rsidR="003F3AEA" w:rsidRPr="00AF327F" w:rsidRDefault="0058629B" w:rsidP="0058629B">
            <w:pPr>
              <w:spacing w:after="0" w:line="240" w:lineRule="auto"/>
              <w:jc w:val="center"/>
              <w:rPr>
                <w:rFonts w:eastAsia="Calibri"/>
              </w:rPr>
            </w:pPr>
            <w:r w:rsidRPr="00AF327F">
              <w:rPr>
                <w:rFonts w:eastAsia="Calibri"/>
              </w:rPr>
              <w:t>329,324,311.11</w:t>
            </w:r>
          </w:p>
        </w:tc>
        <w:tc>
          <w:tcPr>
            <w:tcW w:w="2445" w:type="dxa"/>
            <w:vAlign w:val="bottom"/>
          </w:tcPr>
          <w:p w14:paraId="3AB380F0" w14:textId="1E1DF355" w:rsidR="0058629B" w:rsidRPr="0058629B" w:rsidRDefault="0058629B" w:rsidP="0058629B">
            <w:pPr>
              <w:spacing w:after="0" w:line="240" w:lineRule="auto"/>
              <w:jc w:val="center"/>
              <w:rPr>
                <w:rFonts w:eastAsia="Calibri"/>
              </w:rPr>
            </w:pPr>
            <w:r w:rsidRPr="00AF327F">
              <w:rPr>
                <w:rFonts w:eastAsia="Calibri"/>
              </w:rPr>
              <w:t>19,233,750</w:t>
            </w:r>
          </w:p>
        </w:tc>
      </w:tr>
      <w:tr w:rsidR="00C72465" w:rsidRPr="00465A16" w14:paraId="1B40DD73" w14:textId="77777777" w:rsidTr="0058629B">
        <w:trPr>
          <w:trHeight w:val="242"/>
        </w:trPr>
        <w:tc>
          <w:tcPr>
            <w:tcW w:w="3124" w:type="dxa"/>
            <w:shd w:val="clear" w:color="auto" w:fill="011C50"/>
            <w:vAlign w:val="center"/>
          </w:tcPr>
          <w:p w14:paraId="2C3CE920" w14:textId="1F51D76A" w:rsidR="00C72465" w:rsidRPr="00465A16" w:rsidRDefault="0058629B" w:rsidP="00C72465">
            <w:pPr>
              <w:spacing w:after="0" w:line="240" w:lineRule="auto"/>
              <w:rPr>
                <w:rFonts w:eastAsia="Calibri"/>
                <w:b/>
                <w:bCs/>
                <w:color w:val="FFFFFF" w:themeColor="background1"/>
              </w:rPr>
            </w:pPr>
            <w:r>
              <w:rPr>
                <w:rFonts w:eastAsia="Calibri"/>
                <w:b/>
                <w:bCs/>
                <w:color w:val="FFFFFF" w:themeColor="background1"/>
              </w:rPr>
              <w:t>Total c/ proyección</w:t>
            </w:r>
          </w:p>
        </w:tc>
        <w:tc>
          <w:tcPr>
            <w:tcW w:w="2551" w:type="dxa"/>
            <w:shd w:val="clear" w:color="auto" w:fill="011C50"/>
            <w:vAlign w:val="center"/>
          </w:tcPr>
          <w:p w14:paraId="37C8381B" w14:textId="0B7626CA" w:rsidR="00C72465" w:rsidRPr="00465A16" w:rsidRDefault="0058629B" w:rsidP="00B41FF8">
            <w:pPr>
              <w:spacing w:after="0" w:line="240" w:lineRule="auto"/>
              <w:jc w:val="center"/>
              <w:rPr>
                <w:rFonts w:eastAsia="Calibri"/>
                <w:b/>
                <w:bCs/>
                <w:color w:val="FFFFFF" w:themeColor="background1"/>
              </w:rPr>
            </w:pPr>
            <w:r>
              <w:rPr>
                <w:rFonts w:eastAsia="Calibri"/>
                <w:b/>
                <w:bCs/>
                <w:color w:val="FFFFFF" w:themeColor="background1"/>
              </w:rPr>
              <w:t>176,352</w:t>
            </w:r>
          </w:p>
        </w:tc>
        <w:tc>
          <w:tcPr>
            <w:tcW w:w="2772" w:type="dxa"/>
            <w:shd w:val="clear" w:color="auto" w:fill="011C50"/>
            <w:vAlign w:val="center"/>
          </w:tcPr>
          <w:p w14:paraId="171D4897" w14:textId="7358925B" w:rsidR="00C72465" w:rsidRPr="00465A16" w:rsidRDefault="0058629B" w:rsidP="00B41FF8">
            <w:pPr>
              <w:spacing w:after="0" w:line="240" w:lineRule="auto"/>
              <w:jc w:val="center"/>
              <w:rPr>
                <w:rFonts w:eastAsia="Calibri"/>
                <w:b/>
                <w:bCs/>
                <w:color w:val="FFFFFF" w:themeColor="background1"/>
              </w:rPr>
            </w:pPr>
            <w:r>
              <w:rPr>
                <w:rFonts w:eastAsia="Calibri"/>
                <w:b/>
                <w:bCs/>
                <w:color w:val="FFFFFF" w:themeColor="background1"/>
              </w:rPr>
              <w:t>261,725,167,529</w:t>
            </w:r>
          </w:p>
        </w:tc>
        <w:tc>
          <w:tcPr>
            <w:tcW w:w="2140" w:type="dxa"/>
            <w:shd w:val="clear" w:color="auto" w:fill="011C50"/>
            <w:vAlign w:val="center"/>
          </w:tcPr>
          <w:p w14:paraId="59768818" w14:textId="0066097A" w:rsidR="00C72465" w:rsidRPr="00465A16" w:rsidRDefault="0058629B" w:rsidP="00B41FF8">
            <w:pPr>
              <w:spacing w:after="0" w:line="240" w:lineRule="auto"/>
              <w:jc w:val="center"/>
              <w:rPr>
                <w:rFonts w:eastAsia="Calibri"/>
                <w:b/>
                <w:bCs/>
                <w:color w:val="FFFFFF" w:themeColor="background1"/>
              </w:rPr>
            </w:pPr>
            <w:r>
              <w:rPr>
                <w:rFonts w:eastAsia="Calibri"/>
                <w:b/>
                <w:bCs/>
                <w:color w:val="FFFFFF" w:themeColor="background1"/>
              </w:rPr>
              <w:t>2,902,246,498.86</w:t>
            </w:r>
          </w:p>
        </w:tc>
        <w:tc>
          <w:tcPr>
            <w:tcW w:w="2445" w:type="dxa"/>
            <w:shd w:val="clear" w:color="auto" w:fill="011C50"/>
            <w:vAlign w:val="center"/>
          </w:tcPr>
          <w:p w14:paraId="334FE63F" w14:textId="5BFE5E3D" w:rsidR="00C72465" w:rsidRPr="00465A16" w:rsidRDefault="0058629B" w:rsidP="00B41FF8">
            <w:pPr>
              <w:spacing w:after="0" w:line="240" w:lineRule="auto"/>
              <w:jc w:val="center"/>
              <w:rPr>
                <w:rFonts w:eastAsia="Calibri"/>
                <w:b/>
                <w:bCs/>
                <w:color w:val="FFFFFF" w:themeColor="background1"/>
              </w:rPr>
            </w:pPr>
            <w:r>
              <w:rPr>
                <w:rFonts w:eastAsia="Calibri"/>
                <w:b/>
                <w:bCs/>
                <w:color w:val="FFFFFF" w:themeColor="background1"/>
              </w:rPr>
              <w:t>75,321,010</w:t>
            </w:r>
          </w:p>
        </w:tc>
      </w:tr>
    </w:tbl>
    <w:p w14:paraId="5E237962" w14:textId="77777777" w:rsidR="00E34FEB" w:rsidRPr="0077472F" w:rsidRDefault="00E34FEB" w:rsidP="00C72465">
      <w:pPr>
        <w:spacing w:line="360" w:lineRule="auto"/>
        <w:jc w:val="center"/>
        <w:rPr>
          <w:rFonts w:eastAsia="Calibri"/>
          <w:i/>
          <w:iCs/>
          <w:sz w:val="18"/>
          <w:szCs w:val="18"/>
        </w:rPr>
      </w:pPr>
      <w:r w:rsidRPr="0077472F">
        <w:rPr>
          <w:rFonts w:eastAsia="Calibri"/>
          <w:i/>
          <w:iCs/>
          <w:sz w:val="18"/>
          <w:szCs w:val="18"/>
        </w:rPr>
        <w:t>Fuente: Informe Anual DUAIG</w:t>
      </w:r>
    </w:p>
    <w:p w14:paraId="17C58AA6" w14:textId="77777777" w:rsidR="005C2300" w:rsidRPr="00AF327F" w:rsidRDefault="005C2300">
      <w:pPr>
        <w:rPr>
          <w:rFonts w:eastAsia="Calibri"/>
          <w:b/>
          <w:bCs/>
          <w:sz w:val="18"/>
          <w:szCs w:val="18"/>
        </w:rPr>
      </w:pPr>
    </w:p>
    <w:p w14:paraId="00AC4341" w14:textId="77777777" w:rsidR="00FC74D5" w:rsidRPr="00465A16" w:rsidRDefault="00FC74D5">
      <w:pPr>
        <w:rPr>
          <w:rFonts w:eastAsia="Calibri"/>
          <w:b/>
          <w:bCs/>
          <w:color w:val="FF0000"/>
          <w:sz w:val="18"/>
          <w:szCs w:val="18"/>
        </w:rPr>
        <w:sectPr w:rsidR="00FC74D5" w:rsidRPr="00465A16" w:rsidSect="00FC74D5">
          <w:pgSz w:w="15840" w:h="12240" w:orient="landscape"/>
          <w:pgMar w:top="2160" w:right="1440" w:bottom="2160" w:left="1440" w:header="720" w:footer="720" w:gutter="0"/>
          <w:cols w:space="720"/>
          <w:docGrid w:linePitch="360"/>
        </w:sectPr>
      </w:pPr>
    </w:p>
    <w:p w14:paraId="1AA8DA19" w14:textId="257E33A0" w:rsidR="00B90C0A" w:rsidRPr="00AF327F" w:rsidRDefault="00C72F79" w:rsidP="00463C08">
      <w:pPr>
        <w:spacing w:line="360" w:lineRule="auto"/>
        <w:jc w:val="both"/>
        <w:rPr>
          <w:rFonts w:eastAsia="Calibri"/>
          <w:b/>
          <w:bCs/>
        </w:rPr>
      </w:pPr>
      <w:r w:rsidRPr="00AF327F">
        <w:rPr>
          <w:rFonts w:eastAsia="Calibri"/>
          <w:b/>
          <w:bCs/>
        </w:rPr>
        <w:lastRenderedPageBreak/>
        <w:t xml:space="preserve">d. </w:t>
      </w:r>
      <w:r w:rsidR="00B90C0A" w:rsidRPr="00AF327F">
        <w:rPr>
          <w:rFonts w:eastAsia="Calibri"/>
          <w:b/>
          <w:bCs/>
        </w:rPr>
        <w:t>Autorización de órdenes de pago</w:t>
      </w:r>
      <w:r w:rsidR="00986B04" w:rsidRPr="00AF327F">
        <w:rPr>
          <w:rFonts w:eastAsia="Calibri"/>
          <w:b/>
          <w:bCs/>
        </w:rPr>
        <w:t xml:space="preserve"> vía </w:t>
      </w:r>
      <w:r w:rsidR="00115C3D" w:rsidRPr="00AF327F">
        <w:rPr>
          <w:rFonts w:eastAsia="Calibri"/>
          <w:b/>
          <w:bCs/>
        </w:rPr>
        <w:t>Sede</w:t>
      </w:r>
    </w:p>
    <w:p w14:paraId="01585AA8" w14:textId="3F60D1AD" w:rsidR="00B90C0A" w:rsidRPr="00AF327F" w:rsidRDefault="00B90C0A" w:rsidP="00463C08">
      <w:pPr>
        <w:spacing w:line="360" w:lineRule="auto"/>
        <w:jc w:val="both"/>
        <w:rPr>
          <w:rFonts w:eastAsia="Calibri"/>
        </w:rPr>
      </w:pPr>
      <w:r w:rsidRPr="00AF327F">
        <w:rPr>
          <w:rFonts w:eastAsia="Calibri"/>
        </w:rPr>
        <w:t xml:space="preserve">Al </w:t>
      </w:r>
      <w:r w:rsidR="007640FD" w:rsidRPr="00AF327F">
        <w:rPr>
          <w:rFonts w:eastAsia="Calibri"/>
        </w:rPr>
        <w:t>30 de noviembre</w:t>
      </w:r>
      <w:r w:rsidRPr="00AF327F">
        <w:rPr>
          <w:rFonts w:eastAsia="Calibri"/>
        </w:rPr>
        <w:t xml:space="preserve">, fueron aprobadas </w:t>
      </w:r>
      <w:r w:rsidR="00232C24" w:rsidRPr="00AF327F">
        <w:rPr>
          <w:rFonts w:eastAsia="Calibri"/>
        </w:rPr>
        <w:t>182,626</w:t>
      </w:r>
      <w:r w:rsidRPr="00AF327F">
        <w:rPr>
          <w:rFonts w:eastAsia="Calibri"/>
        </w:rPr>
        <w:t xml:space="preserve"> órdenes de pago</w:t>
      </w:r>
      <w:r w:rsidR="00232C24" w:rsidRPr="00AF327F">
        <w:rPr>
          <w:rFonts w:eastAsia="Calibri"/>
        </w:rPr>
        <w:t xml:space="preserve"> </w:t>
      </w:r>
      <w:r w:rsidR="00986B04" w:rsidRPr="00AF327F">
        <w:rPr>
          <w:rFonts w:eastAsia="Calibri"/>
        </w:rPr>
        <w:t>vía la Dirección de Revisión y Co</w:t>
      </w:r>
      <w:r w:rsidR="005414C3" w:rsidRPr="00AF327F">
        <w:rPr>
          <w:rFonts w:eastAsia="Calibri"/>
        </w:rPr>
        <w:t>n</w:t>
      </w:r>
      <w:r w:rsidR="00986B04" w:rsidRPr="00AF327F">
        <w:rPr>
          <w:rFonts w:eastAsia="Calibri"/>
        </w:rPr>
        <w:t xml:space="preserve">trol de Calidad </w:t>
      </w:r>
      <w:r w:rsidR="00F504EE" w:rsidRPr="00AF327F">
        <w:rPr>
          <w:rFonts w:eastAsia="Calibri"/>
        </w:rPr>
        <w:t xml:space="preserve">en la Sede de esta CGR, </w:t>
      </w:r>
      <w:r w:rsidRPr="00AF327F">
        <w:rPr>
          <w:rFonts w:eastAsia="Calibri"/>
        </w:rPr>
        <w:t>por un valor de RD$</w:t>
      </w:r>
      <w:r w:rsidR="00232C24" w:rsidRPr="00AF327F">
        <w:rPr>
          <w:rFonts w:eastAsia="Calibri"/>
        </w:rPr>
        <w:t>1,587,134,784,736.36</w:t>
      </w:r>
      <w:r w:rsidR="00F504EE" w:rsidRPr="00AF327F">
        <w:rPr>
          <w:rFonts w:eastAsia="Calibri"/>
        </w:rPr>
        <w:t xml:space="preserve">. </w:t>
      </w:r>
      <w:r w:rsidR="00232C24" w:rsidRPr="00AF327F">
        <w:rPr>
          <w:rFonts w:eastAsia="Calibri"/>
        </w:rPr>
        <w:t>Se proyecta para el cierre de año un total de 207,626 autorizaciones con 25,000 pagos más tramitados en diciembre</w:t>
      </w:r>
      <w:r w:rsidR="00F504EE" w:rsidRPr="00AF327F">
        <w:rPr>
          <w:rFonts w:eastAsia="Calibri"/>
        </w:rPr>
        <w:t>.</w:t>
      </w:r>
    </w:p>
    <w:p w14:paraId="78828404" w14:textId="14BCAA4A" w:rsidR="00D36AE4" w:rsidRPr="00AF327F" w:rsidRDefault="00D36AE4" w:rsidP="00D36AE4">
      <w:pPr>
        <w:spacing w:line="360" w:lineRule="auto"/>
        <w:jc w:val="center"/>
        <w:rPr>
          <w:rFonts w:eastAsia="Calibri"/>
          <w:sz w:val="18"/>
          <w:szCs w:val="18"/>
        </w:rPr>
      </w:pPr>
      <w:r w:rsidRPr="00AF327F">
        <w:rPr>
          <w:rFonts w:eastAsia="Calibri"/>
          <w:sz w:val="18"/>
          <w:szCs w:val="18"/>
        </w:rPr>
        <w:t xml:space="preserve">Tabla </w:t>
      </w:r>
      <w:r w:rsidR="00966232" w:rsidRPr="00AF327F">
        <w:rPr>
          <w:rFonts w:eastAsia="Calibri"/>
          <w:sz w:val="18"/>
          <w:szCs w:val="18"/>
        </w:rPr>
        <w:t>6</w:t>
      </w:r>
      <w:r w:rsidRPr="00AF327F">
        <w:rPr>
          <w:rFonts w:eastAsia="Calibri"/>
          <w:sz w:val="18"/>
          <w:szCs w:val="18"/>
        </w:rPr>
        <w:t>. Autorizaci</w:t>
      </w:r>
      <w:r w:rsidR="00B90C0A" w:rsidRPr="00AF327F">
        <w:rPr>
          <w:rFonts w:eastAsia="Calibri"/>
          <w:sz w:val="18"/>
          <w:szCs w:val="18"/>
        </w:rPr>
        <w:t>ones</w:t>
      </w:r>
      <w:r w:rsidRPr="00AF327F">
        <w:rPr>
          <w:rFonts w:eastAsia="Calibri"/>
          <w:sz w:val="18"/>
          <w:szCs w:val="18"/>
        </w:rPr>
        <w:t xml:space="preserve"> de Pagos </w:t>
      </w:r>
      <w:r w:rsidR="00B90C0A" w:rsidRPr="00AF327F">
        <w:rPr>
          <w:rFonts w:eastAsia="Calibri"/>
          <w:sz w:val="18"/>
          <w:szCs w:val="18"/>
        </w:rPr>
        <w:t>por tipo de autorización</w:t>
      </w:r>
      <w:r w:rsidR="0020143F">
        <w:rPr>
          <w:rFonts w:eastAsia="Calibri"/>
          <w:sz w:val="18"/>
          <w:szCs w:val="18"/>
        </w:rPr>
        <w:t xml:space="preserve"> 2025</w:t>
      </w:r>
    </w:p>
    <w:tbl>
      <w:tblPr>
        <w:tblW w:w="12820" w:type="dxa"/>
        <w:tblCellMar>
          <w:left w:w="70" w:type="dxa"/>
          <w:right w:w="70" w:type="dxa"/>
        </w:tblCellMar>
        <w:tblLook w:val="04A0" w:firstRow="1" w:lastRow="0" w:firstColumn="1" w:lastColumn="0" w:noHBand="0" w:noVBand="1"/>
      </w:tblPr>
      <w:tblGrid>
        <w:gridCol w:w="3823"/>
        <w:gridCol w:w="1417"/>
        <w:gridCol w:w="1265"/>
        <w:gridCol w:w="2421"/>
        <w:gridCol w:w="850"/>
        <w:gridCol w:w="1495"/>
        <w:gridCol w:w="1549"/>
      </w:tblGrid>
      <w:tr w:rsidR="00FC74D5" w:rsidRPr="00465A16" w14:paraId="00AD329F" w14:textId="77777777" w:rsidTr="00FC74D5">
        <w:trPr>
          <w:trHeight w:val="702"/>
        </w:trPr>
        <w:tc>
          <w:tcPr>
            <w:tcW w:w="3823"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42AF6D33" w14:textId="77777777" w:rsidR="00FC74D5" w:rsidRPr="00465A16" w:rsidRDefault="00FC74D5" w:rsidP="00FC74D5">
            <w:pPr>
              <w:spacing w:after="0" w:line="24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Descripción</w:t>
            </w:r>
          </w:p>
        </w:tc>
        <w:tc>
          <w:tcPr>
            <w:tcW w:w="1417" w:type="dxa"/>
            <w:tcBorders>
              <w:top w:val="single" w:sz="4" w:space="0" w:color="auto"/>
              <w:left w:val="nil"/>
              <w:bottom w:val="single" w:sz="4" w:space="0" w:color="auto"/>
              <w:right w:val="single" w:sz="4" w:space="0" w:color="auto"/>
            </w:tcBorders>
            <w:shd w:val="clear" w:color="auto" w:fill="011C50"/>
            <w:vAlign w:val="center"/>
            <w:hideMark/>
          </w:tcPr>
          <w:p w14:paraId="5EFD13B1" w14:textId="77777777" w:rsidR="00FC74D5" w:rsidRPr="00465A16" w:rsidRDefault="00FC74D5" w:rsidP="00FC74D5">
            <w:pPr>
              <w:spacing w:after="0" w:line="24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Cantidad</w:t>
            </w:r>
          </w:p>
        </w:tc>
        <w:tc>
          <w:tcPr>
            <w:tcW w:w="1265" w:type="dxa"/>
            <w:tcBorders>
              <w:top w:val="single" w:sz="4" w:space="0" w:color="auto"/>
              <w:left w:val="nil"/>
              <w:bottom w:val="single" w:sz="4" w:space="0" w:color="auto"/>
              <w:right w:val="single" w:sz="4" w:space="0" w:color="auto"/>
            </w:tcBorders>
            <w:shd w:val="clear" w:color="auto" w:fill="011C50"/>
            <w:vAlign w:val="center"/>
            <w:hideMark/>
          </w:tcPr>
          <w:p w14:paraId="2DE96929" w14:textId="77777777" w:rsidR="00FC74D5" w:rsidRPr="00465A16" w:rsidRDefault="00FC74D5" w:rsidP="00FC74D5">
            <w:pPr>
              <w:spacing w:after="0" w:line="24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w:t>
            </w:r>
          </w:p>
        </w:tc>
        <w:tc>
          <w:tcPr>
            <w:tcW w:w="2421" w:type="dxa"/>
            <w:tcBorders>
              <w:top w:val="single" w:sz="4" w:space="0" w:color="auto"/>
              <w:left w:val="nil"/>
              <w:bottom w:val="single" w:sz="4" w:space="0" w:color="auto"/>
              <w:right w:val="single" w:sz="4" w:space="0" w:color="auto"/>
            </w:tcBorders>
            <w:shd w:val="clear" w:color="auto" w:fill="011C50"/>
            <w:vAlign w:val="center"/>
            <w:hideMark/>
          </w:tcPr>
          <w:p w14:paraId="6E740709" w14:textId="77777777" w:rsidR="00FC74D5" w:rsidRPr="00465A16" w:rsidRDefault="00FC74D5" w:rsidP="00FC74D5">
            <w:pPr>
              <w:spacing w:after="0" w:line="24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Monto</w:t>
            </w:r>
          </w:p>
        </w:tc>
        <w:tc>
          <w:tcPr>
            <w:tcW w:w="850" w:type="dxa"/>
            <w:tcBorders>
              <w:top w:val="single" w:sz="4" w:space="0" w:color="auto"/>
              <w:left w:val="nil"/>
              <w:bottom w:val="single" w:sz="4" w:space="0" w:color="auto"/>
              <w:right w:val="single" w:sz="4" w:space="0" w:color="auto"/>
            </w:tcBorders>
            <w:shd w:val="clear" w:color="auto" w:fill="011C50"/>
            <w:vAlign w:val="center"/>
            <w:hideMark/>
          </w:tcPr>
          <w:p w14:paraId="743EC67F" w14:textId="77777777" w:rsidR="00FC74D5" w:rsidRPr="00465A16" w:rsidRDefault="00FC74D5" w:rsidP="00FC74D5">
            <w:pPr>
              <w:spacing w:after="0" w:line="24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w:t>
            </w:r>
          </w:p>
        </w:tc>
        <w:tc>
          <w:tcPr>
            <w:tcW w:w="1495" w:type="dxa"/>
            <w:tcBorders>
              <w:top w:val="single" w:sz="4" w:space="0" w:color="auto"/>
              <w:left w:val="nil"/>
              <w:bottom w:val="single" w:sz="4" w:space="0" w:color="auto"/>
              <w:right w:val="single" w:sz="4" w:space="0" w:color="auto"/>
            </w:tcBorders>
            <w:shd w:val="clear" w:color="auto" w:fill="011C50"/>
            <w:vAlign w:val="center"/>
            <w:hideMark/>
          </w:tcPr>
          <w:p w14:paraId="2751FB70" w14:textId="77777777" w:rsidR="00FC74D5" w:rsidRPr="00465A16" w:rsidRDefault="00FC74D5" w:rsidP="00FC74D5">
            <w:pPr>
              <w:spacing w:after="0" w:line="240" w:lineRule="auto"/>
              <w:jc w:val="center"/>
              <w:rPr>
                <w:rFonts w:eastAsia="Times New Roman"/>
                <w:b/>
                <w:bCs/>
                <w:color w:val="FFFFFF" w:themeColor="background1"/>
                <w:spacing w:val="0"/>
                <w:lang w:eastAsia="es-DO"/>
              </w:rPr>
            </w:pPr>
            <w:proofErr w:type="spellStart"/>
            <w:r w:rsidRPr="00465A16">
              <w:rPr>
                <w:rFonts w:eastAsia="Times New Roman"/>
                <w:b/>
                <w:bCs/>
                <w:color w:val="FFFFFF" w:themeColor="background1"/>
                <w:spacing w:val="0"/>
                <w:lang w:eastAsia="es-DO"/>
              </w:rPr>
              <w:t>Proyec</w:t>
            </w:r>
            <w:proofErr w:type="spellEnd"/>
            <w:r w:rsidRPr="00465A16">
              <w:rPr>
                <w:rFonts w:eastAsia="Times New Roman"/>
                <w:b/>
                <w:bCs/>
                <w:color w:val="FFFFFF" w:themeColor="background1"/>
                <w:spacing w:val="0"/>
                <w:lang w:eastAsia="es-DO"/>
              </w:rPr>
              <w:t>. Dic</w:t>
            </w:r>
          </w:p>
        </w:tc>
        <w:tc>
          <w:tcPr>
            <w:tcW w:w="1549" w:type="dxa"/>
            <w:tcBorders>
              <w:top w:val="single" w:sz="4" w:space="0" w:color="auto"/>
              <w:left w:val="nil"/>
              <w:bottom w:val="single" w:sz="4" w:space="0" w:color="auto"/>
              <w:right w:val="single" w:sz="4" w:space="0" w:color="auto"/>
            </w:tcBorders>
            <w:shd w:val="clear" w:color="auto" w:fill="011C50"/>
            <w:vAlign w:val="center"/>
            <w:hideMark/>
          </w:tcPr>
          <w:p w14:paraId="0F27B090" w14:textId="77777777" w:rsidR="00FC74D5" w:rsidRPr="00465A16" w:rsidRDefault="00FC74D5" w:rsidP="00FC74D5">
            <w:pPr>
              <w:spacing w:after="0" w:line="24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Resultado final</w:t>
            </w:r>
          </w:p>
        </w:tc>
      </w:tr>
      <w:tr w:rsidR="00FC74D5" w:rsidRPr="00465A16" w14:paraId="73E85073" w14:textId="77777777" w:rsidTr="00FC74D5">
        <w:trPr>
          <w:trHeight w:val="294"/>
        </w:trPr>
        <w:tc>
          <w:tcPr>
            <w:tcW w:w="3823" w:type="dxa"/>
            <w:tcBorders>
              <w:top w:val="nil"/>
              <w:left w:val="single" w:sz="4" w:space="0" w:color="auto"/>
              <w:bottom w:val="single" w:sz="4" w:space="0" w:color="auto"/>
              <w:right w:val="single" w:sz="4" w:space="0" w:color="auto"/>
            </w:tcBorders>
            <w:noWrap/>
            <w:vAlign w:val="bottom"/>
            <w:hideMark/>
          </w:tcPr>
          <w:p w14:paraId="0F7BBAFB" w14:textId="77777777" w:rsidR="00FC74D5" w:rsidRPr="00AF327F" w:rsidRDefault="00FC74D5" w:rsidP="00FC74D5">
            <w:pPr>
              <w:spacing w:after="0" w:line="240" w:lineRule="auto"/>
              <w:rPr>
                <w:rFonts w:eastAsia="Times New Roman"/>
                <w:spacing w:val="0"/>
                <w:lang w:eastAsia="es-DO"/>
              </w:rPr>
            </w:pPr>
            <w:r w:rsidRPr="00AF327F">
              <w:rPr>
                <w:rFonts w:eastAsia="Times New Roman"/>
                <w:spacing w:val="0"/>
                <w:lang w:eastAsia="es-DO"/>
              </w:rPr>
              <w:t>2.1 Remuneraciones y contribuciones</w:t>
            </w:r>
          </w:p>
        </w:tc>
        <w:tc>
          <w:tcPr>
            <w:tcW w:w="1417" w:type="dxa"/>
            <w:tcBorders>
              <w:top w:val="nil"/>
              <w:left w:val="nil"/>
              <w:bottom w:val="single" w:sz="4" w:space="0" w:color="auto"/>
              <w:right w:val="single" w:sz="4" w:space="0" w:color="auto"/>
            </w:tcBorders>
            <w:noWrap/>
            <w:vAlign w:val="bottom"/>
            <w:hideMark/>
          </w:tcPr>
          <w:p w14:paraId="18C0F206"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27,660</w:t>
            </w:r>
          </w:p>
        </w:tc>
        <w:tc>
          <w:tcPr>
            <w:tcW w:w="1265" w:type="dxa"/>
            <w:tcBorders>
              <w:top w:val="nil"/>
              <w:left w:val="nil"/>
              <w:bottom w:val="single" w:sz="4" w:space="0" w:color="auto"/>
              <w:right w:val="single" w:sz="4" w:space="0" w:color="auto"/>
            </w:tcBorders>
            <w:noWrap/>
            <w:vAlign w:val="bottom"/>
            <w:hideMark/>
          </w:tcPr>
          <w:p w14:paraId="3D11900E"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15.15%</w:t>
            </w:r>
          </w:p>
        </w:tc>
        <w:tc>
          <w:tcPr>
            <w:tcW w:w="2421" w:type="dxa"/>
            <w:tcBorders>
              <w:top w:val="nil"/>
              <w:left w:val="nil"/>
              <w:bottom w:val="single" w:sz="4" w:space="0" w:color="auto"/>
              <w:right w:val="single" w:sz="4" w:space="0" w:color="auto"/>
            </w:tcBorders>
            <w:noWrap/>
            <w:vAlign w:val="bottom"/>
            <w:hideMark/>
          </w:tcPr>
          <w:p w14:paraId="65D0504C"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$467,146,945,426.48</w:t>
            </w:r>
          </w:p>
        </w:tc>
        <w:tc>
          <w:tcPr>
            <w:tcW w:w="850" w:type="dxa"/>
            <w:tcBorders>
              <w:top w:val="nil"/>
              <w:left w:val="nil"/>
              <w:bottom w:val="single" w:sz="4" w:space="0" w:color="auto"/>
              <w:right w:val="single" w:sz="4" w:space="0" w:color="auto"/>
            </w:tcBorders>
            <w:noWrap/>
            <w:vAlign w:val="bottom"/>
            <w:hideMark/>
          </w:tcPr>
          <w:p w14:paraId="03A568A7"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29%</w:t>
            </w:r>
          </w:p>
        </w:tc>
        <w:tc>
          <w:tcPr>
            <w:tcW w:w="1495" w:type="dxa"/>
            <w:tcBorders>
              <w:top w:val="nil"/>
              <w:left w:val="nil"/>
              <w:bottom w:val="single" w:sz="4" w:space="0" w:color="auto"/>
              <w:right w:val="single" w:sz="4" w:space="0" w:color="auto"/>
            </w:tcBorders>
            <w:noWrap/>
            <w:vAlign w:val="bottom"/>
            <w:hideMark/>
          </w:tcPr>
          <w:p w14:paraId="7BAC7780"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7,358</w:t>
            </w:r>
          </w:p>
        </w:tc>
        <w:tc>
          <w:tcPr>
            <w:tcW w:w="1549" w:type="dxa"/>
            <w:tcBorders>
              <w:top w:val="nil"/>
              <w:left w:val="nil"/>
              <w:bottom w:val="single" w:sz="4" w:space="0" w:color="auto"/>
              <w:right w:val="single" w:sz="4" w:space="0" w:color="auto"/>
            </w:tcBorders>
            <w:noWrap/>
            <w:vAlign w:val="bottom"/>
            <w:hideMark/>
          </w:tcPr>
          <w:p w14:paraId="2271697B"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35,018</w:t>
            </w:r>
          </w:p>
        </w:tc>
      </w:tr>
      <w:tr w:rsidR="00FC74D5" w:rsidRPr="00465A16" w14:paraId="4693EC73" w14:textId="77777777" w:rsidTr="00FC74D5">
        <w:trPr>
          <w:trHeight w:val="294"/>
        </w:trPr>
        <w:tc>
          <w:tcPr>
            <w:tcW w:w="3823" w:type="dxa"/>
            <w:tcBorders>
              <w:top w:val="nil"/>
              <w:left w:val="single" w:sz="4" w:space="0" w:color="auto"/>
              <w:bottom w:val="single" w:sz="4" w:space="0" w:color="auto"/>
              <w:right w:val="single" w:sz="4" w:space="0" w:color="auto"/>
            </w:tcBorders>
            <w:noWrap/>
            <w:vAlign w:val="bottom"/>
            <w:hideMark/>
          </w:tcPr>
          <w:p w14:paraId="32633188" w14:textId="77777777" w:rsidR="00FC74D5" w:rsidRPr="00AF327F" w:rsidRDefault="00FC74D5" w:rsidP="00FC74D5">
            <w:pPr>
              <w:spacing w:after="0" w:line="240" w:lineRule="auto"/>
              <w:rPr>
                <w:rFonts w:eastAsia="Times New Roman"/>
                <w:spacing w:val="0"/>
                <w:lang w:eastAsia="es-DO"/>
              </w:rPr>
            </w:pPr>
            <w:r w:rsidRPr="00AF327F">
              <w:rPr>
                <w:rFonts w:eastAsia="Times New Roman"/>
                <w:spacing w:val="0"/>
                <w:lang w:eastAsia="es-DO"/>
              </w:rPr>
              <w:t>2.2 Contratación de servicios</w:t>
            </w:r>
          </w:p>
        </w:tc>
        <w:tc>
          <w:tcPr>
            <w:tcW w:w="1417" w:type="dxa"/>
            <w:tcBorders>
              <w:top w:val="nil"/>
              <w:left w:val="nil"/>
              <w:bottom w:val="single" w:sz="4" w:space="0" w:color="auto"/>
              <w:right w:val="single" w:sz="4" w:space="0" w:color="auto"/>
            </w:tcBorders>
            <w:noWrap/>
            <w:vAlign w:val="bottom"/>
            <w:hideMark/>
          </w:tcPr>
          <w:p w14:paraId="226FFBA9"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52,987</w:t>
            </w:r>
          </w:p>
        </w:tc>
        <w:tc>
          <w:tcPr>
            <w:tcW w:w="1265" w:type="dxa"/>
            <w:tcBorders>
              <w:top w:val="nil"/>
              <w:left w:val="nil"/>
              <w:bottom w:val="single" w:sz="4" w:space="0" w:color="auto"/>
              <w:right w:val="single" w:sz="4" w:space="0" w:color="auto"/>
            </w:tcBorders>
            <w:noWrap/>
            <w:vAlign w:val="bottom"/>
            <w:hideMark/>
          </w:tcPr>
          <w:p w14:paraId="3D164049"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29.01%</w:t>
            </w:r>
          </w:p>
        </w:tc>
        <w:tc>
          <w:tcPr>
            <w:tcW w:w="2421" w:type="dxa"/>
            <w:tcBorders>
              <w:top w:val="nil"/>
              <w:left w:val="nil"/>
              <w:bottom w:val="single" w:sz="4" w:space="0" w:color="auto"/>
              <w:right w:val="single" w:sz="4" w:space="0" w:color="auto"/>
            </w:tcBorders>
            <w:noWrap/>
            <w:vAlign w:val="bottom"/>
            <w:hideMark/>
          </w:tcPr>
          <w:p w14:paraId="19AD0BB6"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$66,319,058,005.25</w:t>
            </w:r>
          </w:p>
        </w:tc>
        <w:tc>
          <w:tcPr>
            <w:tcW w:w="850" w:type="dxa"/>
            <w:tcBorders>
              <w:top w:val="nil"/>
              <w:left w:val="nil"/>
              <w:bottom w:val="single" w:sz="4" w:space="0" w:color="auto"/>
              <w:right w:val="single" w:sz="4" w:space="0" w:color="auto"/>
            </w:tcBorders>
            <w:noWrap/>
            <w:vAlign w:val="bottom"/>
            <w:hideMark/>
          </w:tcPr>
          <w:p w14:paraId="1EA6FAC5"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4%</w:t>
            </w:r>
          </w:p>
        </w:tc>
        <w:tc>
          <w:tcPr>
            <w:tcW w:w="1495" w:type="dxa"/>
            <w:tcBorders>
              <w:top w:val="nil"/>
              <w:left w:val="nil"/>
              <w:bottom w:val="single" w:sz="4" w:space="0" w:color="auto"/>
              <w:right w:val="single" w:sz="4" w:space="0" w:color="auto"/>
            </w:tcBorders>
            <w:noWrap/>
            <w:vAlign w:val="bottom"/>
            <w:hideMark/>
          </w:tcPr>
          <w:p w14:paraId="06EF0D25"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1,045</w:t>
            </w:r>
          </w:p>
        </w:tc>
        <w:tc>
          <w:tcPr>
            <w:tcW w:w="1549" w:type="dxa"/>
            <w:tcBorders>
              <w:top w:val="nil"/>
              <w:left w:val="nil"/>
              <w:bottom w:val="single" w:sz="4" w:space="0" w:color="auto"/>
              <w:right w:val="single" w:sz="4" w:space="0" w:color="auto"/>
            </w:tcBorders>
            <w:noWrap/>
            <w:vAlign w:val="bottom"/>
            <w:hideMark/>
          </w:tcPr>
          <w:p w14:paraId="1BD7F30D"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54,032</w:t>
            </w:r>
          </w:p>
        </w:tc>
      </w:tr>
      <w:tr w:rsidR="00FC74D5" w:rsidRPr="00465A16" w14:paraId="514FFF85" w14:textId="77777777" w:rsidTr="00FC74D5">
        <w:trPr>
          <w:trHeight w:val="294"/>
        </w:trPr>
        <w:tc>
          <w:tcPr>
            <w:tcW w:w="3823" w:type="dxa"/>
            <w:tcBorders>
              <w:top w:val="nil"/>
              <w:left w:val="single" w:sz="4" w:space="0" w:color="auto"/>
              <w:bottom w:val="single" w:sz="4" w:space="0" w:color="auto"/>
              <w:right w:val="single" w:sz="4" w:space="0" w:color="auto"/>
            </w:tcBorders>
            <w:noWrap/>
            <w:vAlign w:val="bottom"/>
            <w:hideMark/>
          </w:tcPr>
          <w:p w14:paraId="33E2D07E" w14:textId="77777777" w:rsidR="00FC74D5" w:rsidRPr="00AF327F" w:rsidRDefault="00FC74D5" w:rsidP="00FC74D5">
            <w:pPr>
              <w:spacing w:after="0" w:line="240" w:lineRule="auto"/>
              <w:rPr>
                <w:rFonts w:eastAsia="Times New Roman"/>
                <w:spacing w:val="0"/>
                <w:lang w:eastAsia="es-DO"/>
              </w:rPr>
            </w:pPr>
            <w:r w:rsidRPr="00AF327F">
              <w:rPr>
                <w:rFonts w:eastAsia="Times New Roman"/>
                <w:spacing w:val="0"/>
                <w:lang w:eastAsia="es-DO"/>
              </w:rPr>
              <w:t>2.3 Materiales y suministros</w:t>
            </w:r>
          </w:p>
        </w:tc>
        <w:tc>
          <w:tcPr>
            <w:tcW w:w="1417" w:type="dxa"/>
            <w:tcBorders>
              <w:top w:val="nil"/>
              <w:left w:val="nil"/>
              <w:bottom w:val="single" w:sz="4" w:space="0" w:color="auto"/>
              <w:right w:val="single" w:sz="4" w:space="0" w:color="auto"/>
            </w:tcBorders>
            <w:noWrap/>
            <w:vAlign w:val="bottom"/>
            <w:hideMark/>
          </w:tcPr>
          <w:p w14:paraId="1F654E03"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69,085</w:t>
            </w:r>
          </w:p>
        </w:tc>
        <w:tc>
          <w:tcPr>
            <w:tcW w:w="1265" w:type="dxa"/>
            <w:tcBorders>
              <w:top w:val="nil"/>
              <w:left w:val="nil"/>
              <w:bottom w:val="single" w:sz="4" w:space="0" w:color="auto"/>
              <w:right w:val="single" w:sz="4" w:space="0" w:color="auto"/>
            </w:tcBorders>
            <w:noWrap/>
            <w:vAlign w:val="bottom"/>
            <w:hideMark/>
          </w:tcPr>
          <w:p w14:paraId="0C6E9392"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37.83%</w:t>
            </w:r>
          </w:p>
        </w:tc>
        <w:tc>
          <w:tcPr>
            <w:tcW w:w="2421" w:type="dxa"/>
            <w:tcBorders>
              <w:top w:val="nil"/>
              <w:left w:val="nil"/>
              <w:bottom w:val="single" w:sz="4" w:space="0" w:color="auto"/>
              <w:right w:val="single" w:sz="4" w:space="0" w:color="auto"/>
            </w:tcBorders>
            <w:noWrap/>
            <w:vAlign w:val="bottom"/>
            <w:hideMark/>
          </w:tcPr>
          <w:p w14:paraId="092010A6"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$100,625,940,459.78</w:t>
            </w:r>
          </w:p>
        </w:tc>
        <w:tc>
          <w:tcPr>
            <w:tcW w:w="850" w:type="dxa"/>
            <w:tcBorders>
              <w:top w:val="nil"/>
              <w:left w:val="nil"/>
              <w:bottom w:val="single" w:sz="4" w:space="0" w:color="auto"/>
              <w:right w:val="single" w:sz="4" w:space="0" w:color="auto"/>
            </w:tcBorders>
            <w:noWrap/>
            <w:vAlign w:val="bottom"/>
            <w:hideMark/>
          </w:tcPr>
          <w:p w14:paraId="2E2B6428"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6%</w:t>
            </w:r>
          </w:p>
        </w:tc>
        <w:tc>
          <w:tcPr>
            <w:tcW w:w="1495" w:type="dxa"/>
            <w:tcBorders>
              <w:top w:val="nil"/>
              <w:left w:val="nil"/>
              <w:bottom w:val="single" w:sz="4" w:space="0" w:color="auto"/>
              <w:right w:val="single" w:sz="4" w:space="0" w:color="auto"/>
            </w:tcBorders>
            <w:noWrap/>
            <w:vAlign w:val="bottom"/>
            <w:hideMark/>
          </w:tcPr>
          <w:p w14:paraId="51AE20AE"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1,585</w:t>
            </w:r>
          </w:p>
        </w:tc>
        <w:tc>
          <w:tcPr>
            <w:tcW w:w="1549" w:type="dxa"/>
            <w:tcBorders>
              <w:top w:val="nil"/>
              <w:left w:val="nil"/>
              <w:bottom w:val="single" w:sz="4" w:space="0" w:color="auto"/>
              <w:right w:val="single" w:sz="4" w:space="0" w:color="auto"/>
            </w:tcBorders>
            <w:noWrap/>
            <w:vAlign w:val="bottom"/>
            <w:hideMark/>
          </w:tcPr>
          <w:p w14:paraId="20289E5C"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70,670</w:t>
            </w:r>
          </w:p>
        </w:tc>
      </w:tr>
      <w:tr w:rsidR="00FC74D5" w:rsidRPr="00465A16" w14:paraId="1C93FC74" w14:textId="77777777" w:rsidTr="00FC74D5">
        <w:trPr>
          <w:trHeight w:val="294"/>
        </w:trPr>
        <w:tc>
          <w:tcPr>
            <w:tcW w:w="3823" w:type="dxa"/>
            <w:tcBorders>
              <w:top w:val="nil"/>
              <w:left w:val="single" w:sz="4" w:space="0" w:color="auto"/>
              <w:bottom w:val="single" w:sz="4" w:space="0" w:color="auto"/>
              <w:right w:val="single" w:sz="4" w:space="0" w:color="auto"/>
            </w:tcBorders>
            <w:noWrap/>
            <w:vAlign w:val="bottom"/>
            <w:hideMark/>
          </w:tcPr>
          <w:p w14:paraId="050A71D4" w14:textId="77777777" w:rsidR="00FC74D5" w:rsidRPr="00AF327F" w:rsidRDefault="00FC74D5" w:rsidP="00FC74D5">
            <w:pPr>
              <w:spacing w:after="0" w:line="240" w:lineRule="auto"/>
              <w:rPr>
                <w:rFonts w:eastAsia="Times New Roman"/>
                <w:spacing w:val="0"/>
                <w:lang w:eastAsia="es-DO"/>
              </w:rPr>
            </w:pPr>
            <w:r w:rsidRPr="00AF327F">
              <w:rPr>
                <w:rFonts w:eastAsia="Times New Roman"/>
                <w:spacing w:val="0"/>
                <w:lang w:eastAsia="es-DO"/>
              </w:rPr>
              <w:t>2.4 Transferencias corrientes</w:t>
            </w:r>
          </w:p>
        </w:tc>
        <w:tc>
          <w:tcPr>
            <w:tcW w:w="1417" w:type="dxa"/>
            <w:tcBorders>
              <w:top w:val="nil"/>
              <w:left w:val="nil"/>
              <w:bottom w:val="single" w:sz="4" w:space="0" w:color="auto"/>
              <w:right w:val="single" w:sz="4" w:space="0" w:color="auto"/>
            </w:tcBorders>
            <w:noWrap/>
            <w:vAlign w:val="bottom"/>
            <w:hideMark/>
          </w:tcPr>
          <w:p w14:paraId="7CBD83B1"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6,033</w:t>
            </w:r>
          </w:p>
        </w:tc>
        <w:tc>
          <w:tcPr>
            <w:tcW w:w="1265" w:type="dxa"/>
            <w:tcBorders>
              <w:top w:val="nil"/>
              <w:left w:val="nil"/>
              <w:bottom w:val="single" w:sz="4" w:space="0" w:color="auto"/>
              <w:right w:val="single" w:sz="4" w:space="0" w:color="auto"/>
            </w:tcBorders>
            <w:noWrap/>
            <w:vAlign w:val="bottom"/>
            <w:hideMark/>
          </w:tcPr>
          <w:p w14:paraId="0D72078D"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3.30%</w:t>
            </w:r>
          </w:p>
        </w:tc>
        <w:tc>
          <w:tcPr>
            <w:tcW w:w="2421" w:type="dxa"/>
            <w:tcBorders>
              <w:top w:val="nil"/>
              <w:left w:val="nil"/>
              <w:bottom w:val="single" w:sz="4" w:space="0" w:color="auto"/>
              <w:right w:val="single" w:sz="4" w:space="0" w:color="auto"/>
            </w:tcBorders>
            <w:noWrap/>
            <w:vAlign w:val="bottom"/>
            <w:hideMark/>
          </w:tcPr>
          <w:p w14:paraId="6A987593"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$370,025,152,692.55</w:t>
            </w:r>
          </w:p>
        </w:tc>
        <w:tc>
          <w:tcPr>
            <w:tcW w:w="850" w:type="dxa"/>
            <w:tcBorders>
              <w:top w:val="nil"/>
              <w:left w:val="nil"/>
              <w:bottom w:val="single" w:sz="4" w:space="0" w:color="auto"/>
              <w:right w:val="single" w:sz="4" w:space="0" w:color="auto"/>
            </w:tcBorders>
            <w:noWrap/>
            <w:vAlign w:val="bottom"/>
            <w:hideMark/>
          </w:tcPr>
          <w:p w14:paraId="75E381EF"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23%</w:t>
            </w:r>
          </w:p>
        </w:tc>
        <w:tc>
          <w:tcPr>
            <w:tcW w:w="1495" w:type="dxa"/>
            <w:tcBorders>
              <w:top w:val="nil"/>
              <w:left w:val="nil"/>
              <w:bottom w:val="single" w:sz="4" w:space="0" w:color="auto"/>
              <w:right w:val="single" w:sz="4" w:space="0" w:color="auto"/>
            </w:tcBorders>
            <w:noWrap/>
            <w:vAlign w:val="bottom"/>
            <w:hideMark/>
          </w:tcPr>
          <w:p w14:paraId="33FC9F7E"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5,829</w:t>
            </w:r>
          </w:p>
        </w:tc>
        <w:tc>
          <w:tcPr>
            <w:tcW w:w="1549" w:type="dxa"/>
            <w:tcBorders>
              <w:top w:val="nil"/>
              <w:left w:val="nil"/>
              <w:bottom w:val="single" w:sz="4" w:space="0" w:color="auto"/>
              <w:right w:val="single" w:sz="4" w:space="0" w:color="auto"/>
            </w:tcBorders>
            <w:noWrap/>
            <w:vAlign w:val="bottom"/>
            <w:hideMark/>
          </w:tcPr>
          <w:p w14:paraId="7D7F6D60"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11,862</w:t>
            </w:r>
          </w:p>
        </w:tc>
      </w:tr>
      <w:tr w:rsidR="00FC74D5" w:rsidRPr="00465A16" w14:paraId="5D5E2FCE" w14:textId="77777777" w:rsidTr="00FC74D5">
        <w:trPr>
          <w:trHeight w:val="294"/>
        </w:trPr>
        <w:tc>
          <w:tcPr>
            <w:tcW w:w="3823" w:type="dxa"/>
            <w:tcBorders>
              <w:top w:val="nil"/>
              <w:left w:val="single" w:sz="4" w:space="0" w:color="auto"/>
              <w:bottom w:val="single" w:sz="4" w:space="0" w:color="auto"/>
              <w:right w:val="single" w:sz="4" w:space="0" w:color="auto"/>
            </w:tcBorders>
            <w:noWrap/>
            <w:vAlign w:val="bottom"/>
            <w:hideMark/>
          </w:tcPr>
          <w:p w14:paraId="7448BC4A" w14:textId="77777777" w:rsidR="00FC74D5" w:rsidRPr="00AF327F" w:rsidRDefault="00FC74D5" w:rsidP="00FC74D5">
            <w:pPr>
              <w:spacing w:after="0" w:line="240" w:lineRule="auto"/>
              <w:rPr>
                <w:rFonts w:eastAsia="Times New Roman"/>
                <w:spacing w:val="0"/>
                <w:lang w:eastAsia="es-DO"/>
              </w:rPr>
            </w:pPr>
            <w:r w:rsidRPr="00AF327F">
              <w:rPr>
                <w:rFonts w:eastAsia="Times New Roman"/>
                <w:spacing w:val="0"/>
                <w:lang w:eastAsia="es-DO"/>
              </w:rPr>
              <w:t>2.5 Transferencias de capital</w:t>
            </w:r>
          </w:p>
        </w:tc>
        <w:tc>
          <w:tcPr>
            <w:tcW w:w="1417" w:type="dxa"/>
            <w:tcBorders>
              <w:top w:val="nil"/>
              <w:left w:val="nil"/>
              <w:bottom w:val="single" w:sz="4" w:space="0" w:color="auto"/>
              <w:right w:val="single" w:sz="4" w:space="0" w:color="auto"/>
            </w:tcBorders>
            <w:noWrap/>
            <w:vAlign w:val="bottom"/>
            <w:hideMark/>
          </w:tcPr>
          <w:p w14:paraId="256C4E08"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975</w:t>
            </w:r>
          </w:p>
        </w:tc>
        <w:tc>
          <w:tcPr>
            <w:tcW w:w="1265" w:type="dxa"/>
            <w:tcBorders>
              <w:top w:val="nil"/>
              <w:left w:val="nil"/>
              <w:bottom w:val="single" w:sz="4" w:space="0" w:color="auto"/>
              <w:right w:val="single" w:sz="4" w:space="0" w:color="auto"/>
            </w:tcBorders>
            <w:noWrap/>
            <w:vAlign w:val="bottom"/>
            <w:hideMark/>
          </w:tcPr>
          <w:p w14:paraId="46FA5928"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0.53%</w:t>
            </w:r>
          </w:p>
        </w:tc>
        <w:tc>
          <w:tcPr>
            <w:tcW w:w="2421" w:type="dxa"/>
            <w:tcBorders>
              <w:top w:val="nil"/>
              <w:left w:val="nil"/>
              <w:bottom w:val="single" w:sz="4" w:space="0" w:color="auto"/>
              <w:right w:val="single" w:sz="4" w:space="0" w:color="auto"/>
            </w:tcBorders>
            <w:noWrap/>
            <w:vAlign w:val="bottom"/>
            <w:hideMark/>
          </w:tcPr>
          <w:p w14:paraId="0D3B1B9E"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$59,975,447,693.55</w:t>
            </w:r>
          </w:p>
        </w:tc>
        <w:tc>
          <w:tcPr>
            <w:tcW w:w="850" w:type="dxa"/>
            <w:tcBorders>
              <w:top w:val="nil"/>
              <w:left w:val="nil"/>
              <w:bottom w:val="single" w:sz="4" w:space="0" w:color="auto"/>
              <w:right w:val="single" w:sz="4" w:space="0" w:color="auto"/>
            </w:tcBorders>
            <w:noWrap/>
            <w:vAlign w:val="bottom"/>
            <w:hideMark/>
          </w:tcPr>
          <w:p w14:paraId="2F9F25D6"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4%</w:t>
            </w:r>
          </w:p>
        </w:tc>
        <w:tc>
          <w:tcPr>
            <w:tcW w:w="1495" w:type="dxa"/>
            <w:tcBorders>
              <w:top w:val="nil"/>
              <w:left w:val="nil"/>
              <w:bottom w:val="single" w:sz="4" w:space="0" w:color="auto"/>
              <w:right w:val="single" w:sz="4" w:space="0" w:color="auto"/>
            </w:tcBorders>
            <w:noWrap/>
            <w:vAlign w:val="bottom"/>
            <w:hideMark/>
          </w:tcPr>
          <w:p w14:paraId="077B4761"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945</w:t>
            </w:r>
          </w:p>
        </w:tc>
        <w:tc>
          <w:tcPr>
            <w:tcW w:w="1549" w:type="dxa"/>
            <w:tcBorders>
              <w:top w:val="nil"/>
              <w:left w:val="nil"/>
              <w:bottom w:val="single" w:sz="4" w:space="0" w:color="auto"/>
              <w:right w:val="single" w:sz="4" w:space="0" w:color="auto"/>
            </w:tcBorders>
            <w:noWrap/>
            <w:vAlign w:val="bottom"/>
            <w:hideMark/>
          </w:tcPr>
          <w:p w14:paraId="1F6E1667"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1,920</w:t>
            </w:r>
          </w:p>
        </w:tc>
      </w:tr>
      <w:tr w:rsidR="00FC74D5" w:rsidRPr="00465A16" w14:paraId="22F305AC" w14:textId="77777777" w:rsidTr="00FC74D5">
        <w:trPr>
          <w:trHeight w:val="294"/>
        </w:trPr>
        <w:tc>
          <w:tcPr>
            <w:tcW w:w="3823" w:type="dxa"/>
            <w:tcBorders>
              <w:top w:val="nil"/>
              <w:left w:val="single" w:sz="4" w:space="0" w:color="auto"/>
              <w:bottom w:val="single" w:sz="4" w:space="0" w:color="auto"/>
              <w:right w:val="single" w:sz="4" w:space="0" w:color="auto"/>
            </w:tcBorders>
            <w:noWrap/>
            <w:vAlign w:val="bottom"/>
            <w:hideMark/>
          </w:tcPr>
          <w:p w14:paraId="015CC922" w14:textId="77777777" w:rsidR="00FC74D5" w:rsidRPr="00AF327F" w:rsidRDefault="00FC74D5" w:rsidP="00FC74D5">
            <w:pPr>
              <w:spacing w:after="0" w:line="240" w:lineRule="auto"/>
              <w:rPr>
                <w:rFonts w:eastAsia="Times New Roman"/>
                <w:spacing w:val="0"/>
                <w:lang w:eastAsia="es-DO"/>
              </w:rPr>
            </w:pPr>
            <w:r w:rsidRPr="00AF327F">
              <w:rPr>
                <w:rFonts w:eastAsia="Times New Roman"/>
                <w:spacing w:val="0"/>
                <w:lang w:eastAsia="es-DO"/>
              </w:rPr>
              <w:t>2.7 Obras</w:t>
            </w:r>
          </w:p>
        </w:tc>
        <w:tc>
          <w:tcPr>
            <w:tcW w:w="1417" w:type="dxa"/>
            <w:tcBorders>
              <w:top w:val="nil"/>
              <w:left w:val="nil"/>
              <w:bottom w:val="single" w:sz="4" w:space="0" w:color="auto"/>
              <w:right w:val="single" w:sz="4" w:space="0" w:color="auto"/>
            </w:tcBorders>
            <w:noWrap/>
            <w:vAlign w:val="bottom"/>
            <w:hideMark/>
          </w:tcPr>
          <w:p w14:paraId="5F9CC1EA"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3,534</w:t>
            </w:r>
          </w:p>
        </w:tc>
        <w:tc>
          <w:tcPr>
            <w:tcW w:w="1265" w:type="dxa"/>
            <w:tcBorders>
              <w:top w:val="nil"/>
              <w:left w:val="nil"/>
              <w:bottom w:val="single" w:sz="4" w:space="0" w:color="auto"/>
              <w:right w:val="single" w:sz="4" w:space="0" w:color="auto"/>
            </w:tcBorders>
            <w:noWrap/>
            <w:vAlign w:val="bottom"/>
            <w:hideMark/>
          </w:tcPr>
          <w:p w14:paraId="1BC8206D"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1.94%</w:t>
            </w:r>
          </w:p>
        </w:tc>
        <w:tc>
          <w:tcPr>
            <w:tcW w:w="2421" w:type="dxa"/>
            <w:tcBorders>
              <w:top w:val="nil"/>
              <w:left w:val="nil"/>
              <w:bottom w:val="single" w:sz="4" w:space="0" w:color="auto"/>
              <w:right w:val="single" w:sz="4" w:space="0" w:color="auto"/>
            </w:tcBorders>
            <w:noWrap/>
            <w:vAlign w:val="bottom"/>
            <w:hideMark/>
          </w:tcPr>
          <w:p w14:paraId="6790C28C"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$80,215,912,448.76</w:t>
            </w:r>
          </w:p>
        </w:tc>
        <w:tc>
          <w:tcPr>
            <w:tcW w:w="850" w:type="dxa"/>
            <w:tcBorders>
              <w:top w:val="nil"/>
              <w:left w:val="nil"/>
              <w:bottom w:val="single" w:sz="4" w:space="0" w:color="auto"/>
              <w:right w:val="single" w:sz="4" w:space="0" w:color="auto"/>
            </w:tcBorders>
            <w:noWrap/>
            <w:vAlign w:val="bottom"/>
            <w:hideMark/>
          </w:tcPr>
          <w:p w14:paraId="3784639B"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5%</w:t>
            </w:r>
          </w:p>
        </w:tc>
        <w:tc>
          <w:tcPr>
            <w:tcW w:w="1495" w:type="dxa"/>
            <w:tcBorders>
              <w:top w:val="nil"/>
              <w:left w:val="nil"/>
              <w:bottom w:val="single" w:sz="4" w:space="0" w:color="auto"/>
              <w:right w:val="single" w:sz="4" w:space="0" w:color="auto"/>
            </w:tcBorders>
            <w:noWrap/>
            <w:vAlign w:val="bottom"/>
            <w:hideMark/>
          </w:tcPr>
          <w:p w14:paraId="6CEDF69D"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1,264</w:t>
            </w:r>
          </w:p>
        </w:tc>
        <w:tc>
          <w:tcPr>
            <w:tcW w:w="1549" w:type="dxa"/>
            <w:tcBorders>
              <w:top w:val="nil"/>
              <w:left w:val="nil"/>
              <w:bottom w:val="single" w:sz="4" w:space="0" w:color="auto"/>
              <w:right w:val="single" w:sz="4" w:space="0" w:color="auto"/>
            </w:tcBorders>
            <w:noWrap/>
            <w:vAlign w:val="bottom"/>
            <w:hideMark/>
          </w:tcPr>
          <w:p w14:paraId="001AE5EB"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4,798</w:t>
            </w:r>
          </w:p>
        </w:tc>
      </w:tr>
      <w:tr w:rsidR="00FC74D5" w:rsidRPr="00465A16" w14:paraId="2205C966" w14:textId="77777777" w:rsidTr="00FC74D5">
        <w:trPr>
          <w:trHeight w:val="294"/>
        </w:trPr>
        <w:tc>
          <w:tcPr>
            <w:tcW w:w="3823" w:type="dxa"/>
            <w:tcBorders>
              <w:top w:val="nil"/>
              <w:left w:val="single" w:sz="4" w:space="0" w:color="auto"/>
              <w:bottom w:val="single" w:sz="4" w:space="0" w:color="auto"/>
              <w:right w:val="single" w:sz="4" w:space="0" w:color="auto"/>
            </w:tcBorders>
            <w:noWrap/>
            <w:vAlign w:val="bottom"/>
            <w:hideMark/>
          </w:tcPr>
          <w:p w14:paraId="602D4BC9" w14:textId="77777777" w:rsidR="00FC74D5" w:rsidRPr="00AF327F" w:rsidRDefault="00FC74D5" w:rsidP="00FC74D5">
            <w:pPr>
              <w:spacing w:after="0" w:line="240" w:lineRule="auto"/>
              <w:rPr>
                <w:rFonts w:eastAsia="Times New Roman"/>
                <w:spacing w:val="0"/>
                <w:lang w:eastAsia="es-DO"/>
              </w:rPr>
            </w:pPr>
            <w:r w:rsidRPr="00AF327F">
              <w:rPr>
                <w:rFonts w:eastAsia="Times New Roman"/>
                <w:spacing w:val="0"/>
                <w:lang w:eastAsia="es-DO"/>
              </w:rPr>
              <w:t>4.2 Disminución de pasivos</w:t>
            </w:r>
          </w:p>
        </w:tc>
        <w:tc>
          <w:tcPr>
            <w:tcW w:w="1417" w:type="dxa"/>
            <w:tcBorders>
              <w:top w:val="nil"/>
              <w:left w:val="nil"/>
              <w:bottom w:val="single" w:sz="4" w:space="0" w:color="auto"/>
              <w:right w:val="single" w:sz="4" w:space="0" w:color="auto"/>
            </w:tcBorders>
            <w:noWrap/>
            <w:vAlign w:val="bottom"/>
            <w:hideMark/>
          </w:tcPr>
          <w:p w14:paraId="44C13E01"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515</w:t>
            </w:r>
          </w:p>
        </w:tc>
        <w:tc>
          <w:tcPr>
            <w:tcW w:w="1265" w:type="dxa"/>
            <w:tcBorders>
              <w:top w:val="nil"/>
              <w:left w:val="nil"/>
              <w:bottom w:val="single" w:sz="4" w:space="0" w:color="auto"/>
              <w:right w:val="single" w:sz="4" w:space="0" w:color="auto"/>
            </w:tcBorders>
            <w:noWrap/>
            <w:vAlign w:val="bottom"/>
            <w:hideMark/>
          </w:tcPr>
          <w:p w14:paraId="447479FD"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0.28%</w:t>
            </w:r>
          </w:p>
        </w:tc>
        <w:tc>
          <w:tcPr>
            <w:tcW w:w="2421" w:type="dxa"/>
            <w:tcBorders>
              <w:top w:val="nil"/>
              <w:left w:val="nil"/>
              <w:bottom w:val="single" w:sz="4" w:space="0" w:color="auto"/>
              <w:right w:val="single" w:sz="4" w:space="0" w:color="auto"/>
            </w:tcBorders>
            <w:noWrap/>
            <w:vAlign w:val="bottom"/>
            <w:hideMark/>
          </w:tcPr>
          <w:p w14:paraId="4378BFA5"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$12,385,273,389.19</w:t>
            </w:r>
          </w:p>
        </w:tc>
        <w:tc>
          <w:tcPr>
            <w:tcW w:w="850" w:type="dxa"/>
            <w:tcBorders>
              <w:top w:val="nil"/>
              <w:left w:val="nil"/>
              <w:bottom w:val="single" w:sz="4" w:space="0" w:color="auto"/>
              <w:right w:val="single" w:sz="4" w:space="0" w:color="auto"/>
            </w:tcBorders>
            <w:noWrap/>
            <w:vAlign w:val="bottom"/>
            <w:hideMark/>
          </w:tcPr>
          <w:p w14:paraId="0A5CE387"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1%</w:t>
            </w:r>
          </w:p>
        </w:tc>
        <w:tc>
          <w:tcPr>
            <w:tcW w:w="1495" w:type="dxa"/>
            <w:tcBorders>
              <w:top w:val="nil"/>
              <w:left w:val="nil"/>
              <w:bottom w:val="single" w:sz="4" w:space="0" w:color="auto"/>
              <w:right w:val="single" w:sz="4" w:space="0" w:color="auto"/>
            </w:tcBorders>
            <w:noWrap/>
            <w:vAlign w:val="bottom"/>
            <w:hideMark/>
          </w:tcPr>
          <w:p w14:paraId="28916991"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195</w:t>
            </w:r>
          </w:p>
        </w:tc>
        <w:tc>
          <w:tcPr>
            <w:tcW w:w="1549" w:type="dxa"/>
            <w:tcBorders>
              <w:top w:val="nil"/>
              <w:left w:val="nil"/>
              <w:bottom w:val="single" w:sz="4" w:space="0" w:color="auto"/>
              <w:right w:val="single" w:sz="4" w:space="0" w:color="auto"/>
            </w:tcBorders>
            <w:noWrap/>
            <w:vAlign w:val="bottom"/>
            <w:hideMark/>
          </w:tcPr>
          <w:p w14:paraId="6D8BAA01"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710</w:t>
            </w:r>
          </w:p>
        </w:tc>
      </w:tr>
      <w:tr w:rsidR="00FC74D5" w:rsidRPr="00465A16" w14:paraId="5BC8EA7A" w14:textId="77777777" w:rsidTr="00FC74D5">
        <w:trPr>
          <w:trHeight w:val="294"/>
        </w:trPr>
        <w:tc>
          <w:tcPr>
            <w:tcW w:w="3823" w:type="dxa"/>
            <w:tcBorders>
              <w:top w:val="nil"/>
              <w:left w:val="single" w:sz="4" w:space="0" w:color="auto"/>
              <w:bottom w:val="nil"/>
              <w:right w:val="single" w:sz="4" w:space="0" w:color="auto"/>
            </w:tcBorders>
            <w:noWrap/>
            <w:vAlign w:val="bottom"/>
            <w:hideMark/>
          </w:tcPr>
          <w:p w14:paraId="530C0A39" w14:textId="77777777" w:rsidR="00FC74D5" w:rsidRPr="00AF327F" w:rsidRDefault="00FC74D5" w:rsidP="00FC74D5">
            <w:pPr>
              <w:spacing w:after="0" w:line="240" w:lineRule="auto"/>
              <w:rPr>
                <w:rFonts w:eastAsia="Times New Roman"/>
                <w:spacing w:val="0"/>
                <w:lang w:eastAsia="es-DO"/>
              </w:rPr>
            </w:pPr>
            <w:r w:rsidRPr="00AF327F">
              <w:rPr>
                <w:rFonts w:eastAsia="Times New Roman"/>
                <w:spacing w:val="0"/>
                <w:lang w:eastAsia="es-DO"/>
              </w:rPr>
              <w:t>No especificado</w:t>
            </w:r>
          </w:p>
        </w:tc>
        <w:tc>
          <w:tcPr>
            <w:tcW w:w="1417" w:type="dxa"/>
            <w:tcBorders>
              <w:top w:val="nil"/>
              <w:left w:val="nil"/>
              <w:bottom w:val="single" w:sz="4" w:space="0" w:color="auto"/>
              <w:right w:val="single" w:sz="4" w:space="0" w:color="auto"/>
            </w:tcBorders>
            <w:noWrap/>
            <w:vAlign w:val="bottom"/>
            <w:hideMark/>
          </w:tcPr>
          <w:p w14:paraId="0FF10114"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21,837</w:t>
            </w:r>
          </w:p>
        </w:tc>
        <w:tc>
          <w:tcPr>
            <w:tcW w:w="1265" w:type="dxa"/>
            <w:tcBorders>
              <w:top w:val="nil"/>
              <w:left w:val="nil"/>
              <w:bottom w:val="single" w:sz="4" w:space="0" w:color="auto"/>
              <w:right w:val="single" w:sz="4" w:space="0" w:color="auto"/>
            </w:tcBorders>
            <w:noWrap/>
            <w:vAlign w:val="bottom"/>
            <w:hideMark/>
          </w:tcPr>
          <w:p w14:paraId="2BC323F9"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11.96%</w:t>
            </w:r>
          </w:p>
        </w:tc>
        <w:tc>
          <w:tcPr>
            <w:tcW w:w="2421" w:type="dxa"/>
            <w:tcBorders>
              <w:top w:val="nil"/>
              <w:left w:val="nil"/>
              <w:bottom w:val="single" w:sz="4" w:space="0" w:color="auto"/>
              <w:right w:val="single" w:sz="4" w:space="0" w:color="auto"/>
            </w:tcBorders>
            <w:noWrap/>
            <w:vAlign w:val="bottom"/>
            <w:hideMark/>
          </w:tcPr>
          <w:p w14:paraId="7847DAC6"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$430,441,054,620.80</w:t>
            </w:r>
          </w:p>
        </w:tc>
        <w:tc>
          <w:tcPr>
            <w:tcW w:w="850" w:type="dxa"/>
            <w:tcBorders>
              <w:top w:val="nil"/>
              <w:left w:val="nil"/>
              <w:bottom w:val="single" w:sz="4" w:space="0" w:color="auto"/>
              <w:right w:val="single" w:sz="4" w:space="0" w:color="auto"/>
            </w:tcBorders>
            <w:noWrap/>
            <w:vAlign w:val="bottom"/>
            <w:hideMark/>
          </w:tcPr>
          <w:p w14:paraId="77A0DD88"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27%</w:t>
            </w:r>
          </w:p>
        </w:tc>
        <w:tc>
          <w:tcPr>
            <w:tcW w:w="1495" w:type="dxa"/>
            <w:tcBorders>
              <w:top w:val="nil"/>
              <w:left w:val="nil"/>
              <w:bottom w:val="single" w:sz="4" w:space="0" w:color="auto"/>
              <w:right w:val="single" w:sz="4" w:space="0" w:color="auto"/>
            </w:tcBorders>
            <w:noWrap/>
            <w:vAlign w:val="bottom"/>
            <w:hideMark/>
          </w:tcPr>
          <w:p w14:paraId="715F9121"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6,780</w:t>
            </w:r>
          </w:p>
        </w:tc>
        <w:tc>
          <w:tcPr>
            <w:tcW w:w="1549" w:type="dxa"/>
            <w:tcBorders>
              <w:top w:val="nil"/>
              <w:left w:val="nil"/>
              <w:bottom w:val="single" w:sz="4" w:space="0" w:color="auto"/>
              <w:right w:val="single" w:sz="4" w:space="0" w:color="auto"/>
            </w:tcBorders>
            <w:noWrap/>
            <w:vAlign w:val="bottom"/>
            <w:hideMark/>
          </w:tcPr>
          <w:p w14:paraId="7A4FA063" w14:textId="77777777" w:rsidR="00FC74D5" w:rsidRPr="00AF327F" w:rsidRDefault="00FC74D5" w:rsidP="00FC74D5">
            <w:pPr>
              <w:spacing w:after="0" w:line="240" w:lineRule="auto"/>
              <w:jc w:val="right"/>
              <w:rPr>
                <w:rFonts w:eastAsia="Times New Roman"/>
                <w:spacing w:val="0"/>
                <w:lang w:eastAsia="es-DO"/>
              </w:rPr>
            </w:pPr>
            <w:r w:rsidRPr="00AF327F">
              <w:rPr>
                <w:rFonts w:eastAsia="Times New Roman"/>
                <w:spacing w:val="0"/>
                <w:lang w:eastAsia="es-DO"/>
              </w:rPr>
              <w:t>28,617</w:t>
            </w:r>
          </w:p>
        </w:tc>
      </w:tr>
      <w:tr w:rsidR="00FC74D5" w:rsidRPr="00465A16" w14:paraId="738881ED" w14:textId="77777777" w:rsidTr="00BA1804">
        <w:trPr>
          <w:trHeight w:val="294"/>
        </w:trPr>
        <w:tc>
          <w:tcPr>
            <w:tcW w:w="3823"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45D8358B" w14:textId="77777777" w:rsidR="00FC74D5" w:rsidRPr="00465A16" w:rsidRDefault="00FC74D5" w:rsidP="00FC74D5">
            <w:pPr>
              <w:spacing w:after="0" w:line="240" w:lineRule="auto"/>
              <w:rPr>
                <w:rFonts w:eastAsia="Times New Roman"/>
                <w:b/>
                <w:bCs/>
                <w:color w:val="FFFFFF"/>
                <w:spacing w:val="0"/>
                <w:lang w:eastAsia="es-DO"/>
              </w:rPr>
            </w:pPr>
            <w:r w:rsidRPr="00465A16">
              <w:rPr>
                <w:rFonts w:eastAsia="Times New Roman"/>
                <w:b/>
                <w:bCs/>
                <w:color w:val="FFFFFF"/>
                <w:spacing w:val="0"/>
                <w:lang w:eastAsia="es-DO"/>
              </w:rPr>
              <w:t xml:space="preserve">Total </w:t>
            </w:r>
          </w:p>
        </w:tc>
        <w:tc>
          <w:tcPr>
            <w:tcW w:w="1417" w:type="dxa"/>
            <w:tcBorders>
              <w:top w:val="nil"/>
              <w:left w:val="nil"/>
              <w:bottom w:val="single" w:sz="4" w:space="0" w:color="auto"/>
              <w:right w:val="single" w:sz="4" w:space="0" w:color="auto"/>
            </w:tcBorders>
            <w:shd w:val="clear" w:color="auto" w:fill="011C50"/>
            <w:noWrap/>
            <w:vAlign w:val="bottom"/>
            <w:hideMark/>
          </w:tcPr>
          <w:p w14:paraId="128AEC91" w14:textId="77777777" w:rsidR="00FC74D5" w:rsidRPr="00465A16" w:rsidRDefault="00FC74D5" w:rsidP="00FC74D5">
            <w:pPr>
              <w:spacing w:after="0" w:line="240" w:lineRule="auto"/>
              <w:jc w:val="right"/>
              <w:rPr>
                <w:rFonts w:eastAsia="Times New Roman"/>
                <w:b/>
                <w:bCs/>
                <w:color w:val="FFFFFF"/>
                <w:spacing w:val="0"/>
                <w:lang w:eastAsia="es-DO"/>
              </w:rPr>
            </w:pPr>
            <w:r w:rsidRPr="00465A16">
              <w:rPr>
                <w:rFonts w:eastAsia="Times New Roman"/>
                <w:b/>
                <w:bCs/>
                <w:color w:val="FFFFFF"/>
                <w:spacing w:val="0"/>
                <w:lang w:eastAsia="es-DO"/>
              </w:rPr>
              <w:t>182,626</w:t>
            </w:r>
          </w:p>
        </w:tc>
        <w:tc>
          <w:tcPr>
            <w:tcW w:w="1265" w:type="dxa"/>
            <w:tcBorders>
              <w:top w:val="nil"/>
              <w:left w:val="nil"/>
              <w:bottom w:val="single" w:sz="4" w:space="0" w:color="auto"/>
              <w:right w:val="single" w:sz="4" w:space="0" w:color="auto"/>
            </w:tcBorders>
            <w:shd w:val="clear" w:color="auto" w:fill="011C50"/>
            <w:noWrap/>
            <w:vAlign w:val="bottom"/>
            <w:hideMark/>
          </w:tcPr>
          <w:p w14:paraId="76A22CB2" w14:textId="77777777" w:rsidR="00FC74D5" w:rsidRPr="00465A16" w:rsidRDefault="00FC74D5" w:rsidP="00FC74D5">
            <w:pPr>
              <w:spacing w:after="0" w:line="240" w:lineRule="auto"/>
              <w:jc w:val="right"/>
              <w:rPr>
                <w:rFonts w:eastAsia="Times New Roman"/>
                <w:b/>
                <w:bCs/>
                <w:color w:val="FFFFFF"/>
                <w:spacing w:val="0"/>
                <w:lang w:eastAsia="es-DO"/>
              </w:rPr>
            </w:pPr>
            <w:r w:rsidRPr="00465A16">
              <w:rPr>
                <w:rFonts w:eastAsia="Times New Roman"/>
                <w:b/>
                <w:bCs/>
                <w:color w:val="FFFFFF"/>
                <w:spacing w:val="0"/>
                <w:lang w:eastAsia="es-DO"/>
              </w:rPr>
              <w:t>100%</w:t>
            </w:r>
          </w:p>
        </w:tc>
        <w:tc>
          <w:tcPr>
            <w:tcW w:w="2421" w:type="dxa"/>
            <w:tcBorders>
              <w:top w:val="nil"/>
              <w:left w:val="nil"/>
              <w:bottom w:val="single" w:sz="4" w:space="0" w:color="auto"/>
              <w:right w:val="single" w:sz="4" w:space="0" w:color="auto"/>
            </w:tcBorders>
            <w:shd w:val="clear" w:color="auto" w:fill="011C50"/>
            <w:noWrap/>
            <w:vAlign w:val="bottom"/>
            <w:hideMark/>
          </w:tcPr>
          <w:p w14:paraId="4699A771" w14:textId="77777777" w:rsidR="00FC74D5" w:rsidRPr="00465A16" w:rsidRDefault="00FC74D5" w:rsidP="00FC74D5">
            <w:pPr>
              <w:spacing w:after="0" w:line="240" w:lineRule="auto"/>
              <w:jc w:val="right"/>
              <w:rPr>
                <w:rFonts w:eastAsia="Times New Roman"/>
                <w:b/>
                <w:bCs/>
                <w:color w:val="FFFFFF"/>
                <w:spacing w:val="0"/>
                <w:lang w:eastAsia="es-DO"/>
              </w:rPr>
            </w:pPr>
            <w:r w:rsidRPr="00465A16">
              <w:rPr>
                <w:rFonts w:eastAsia="Times New Roman"/>
                <w:b/>
                <w:bCs/>
                <w:color w:val="FFFFFF"/>
                <w:spacing w:val="0"/>
                <w:lang w:eastAsia="es-DO"/>
              </w:rPr>
              <w:t>$1,587,134,784,736.36</w:t>
            </w:r>
          </w:p>
        </w:tc>
        <w:tc>
          <w:tcPr>
            <w:tcW w:w="850" w:type="dxa"/>
            <w:tcBorders>
              <w:top w:val="nil"/>
              <w:left w:val="nil"/>
              <w:bottom w:val="single" w:sz="4" w:space="0" w:color="auto"/>
              <w:right w:val="single" w:sz="4" w:space="0" w:color="auto"/>
            </w:tcBorders>
            <w:shd w:val="clear" w:color="auto" w:fill="011C50"/>
            <w:noWrap/>
            <w:vAlign w:val="bottom"/>
            <w:hideMark/>
          </w:tcPr>
          <w:p w14:paraId="0FB980C8" w14:textId="77777777" w:rsidR="00FC74D5" w:rsidRPr="00465A16" w:rsidRDefault="00FC74D5" w:rsidP="00FC74D5">
            <w:pPr>
              <w:spacing w:after="0" w:line="240" w:lineRule="auto"/>
              <w:jc w:val="right"/>
              <w:rPr>
                <w:rFonts w:eastAsia="Times New Roman"/>
                <w:b/>
                <w:bCs/>
                <w:color w:val="FFFFFF"/>
                <w:spacing w:val="0"/>
                <w:lang w:eastAsia="es-DO"/>
              </w:rPr>
            </w:pPr>
            <w:r w:rsidRPr="00465A16">
              <w:rPr>
                <w:rFonts w:eastAsia="Times New Roman"/>
                <w:b/>
                <w:bCs/>
                <w:color w:val="FFFFFF"/>
                <w:spacing w:val="0"/>
                <w:lang w:eastAsia="es-DO"/>
              </w:rPr>
              <w:t>100%</w:t>
            </w:r>
          </w:p>
        </w:tc>
        <w:tc>
          <w:tcPr>
            <w:tcW w:w="1495" w:type="dxa"/>
            <w:tcBorders>
              <w:top w:val="nil"/>
              <w:left w:val="nil"/>
              <w:bottom w:val="single" w:sz="4" w:space="0" w:color="auto"/>
              <w:right w:val="single" w:sz="4" w:space="0" w:color="auto"/>
            </w:tcBorders>
            <w:shd w:val="clear" w:color="auto" w:fill="011C50"/>
            <w:noWrap/>
            <w:vAlign w:val="bottom"/>
            <w:hideMark/>
          </w:tcPr>
          <w:p w14:paraId="5A8E2D41" w14:textId="77777777" w:rsidR="00FC74D5" w:rsidRPr="00465A16" w:rsidRDefault="00FC74D5" w:rsidP="00FC74D5">
            <w:pPr>
              <w:spacing w:after="0" w:line="240" w:lineRule="auto"/>
              <w:jc w:val="right"/>
              <w:rPr>
                <w:rFonts w:eastAsia="Times New Roman"/>
                <w:b/>
                <w:bCs/>
                <w:color w:val="FFFFFF"/>
                <w:spacing w:val="0"/>
                <w:lang w:eastAsia="es-DO"/>
              </w:rPr>
            </w:pPr>
            <w:r w:rsidRPr="00465A16">
              <w:rPr>
                <w:rFonts w:eastAsia="Times New Roman"/>
                <w:b/>
                <w:bCs/>
                <w:color w:val="FFFFFF"/>
                <w:spacing w:val="0"/>
                <w:lang w:eastAsia="es-DO"/>
              </w:rPr>
              <w:t>25,000</w:t>
            </w:r>
          </w:p>
        </w:tc>
        <w:tc>
          <w:tcPr>
            <w:tcW w:w="1549" w:type="dxa"/>
            <w:tcBorders>
              <w:top w:val="nil"/>
              <w:left w:val="nil"/>
              <w:bottom w:val="single" w:sz="4" w:space="0" w:color="auto"/>
              <w:right w:val="single" w:sz="4" w:space="0" w:color="auto"/>
            </w:tcBorders>
            <w:shd w:val="clear" w:color="auto" w:fill="011C50"/>
            <w:noWrap/>
            <w:vAlign w:val="bottom"/>
            <w:hideMark/>
          </w:tcPr>
          <w:p w14:paraId="1B6B0416" w14:textId="77777777" w:rsidR="00FC74D5" w:rsidRPr="00465A16" w:rsidRDefault="00FC74D5" w:rsidP="00FC74D5">
            <w:pPr>
              <w:spacing w:after="0" w:line="240" w:lineRule="auto"/>
              <w:jc w:val="right"/>
              <w:rPr>
                <w:rFonts w:eastAsia="Times New Roman"/>
                <w:b/>
                <w:bCs/>
                <w:color w:val="FFFFFF"/>
                <w:spacing w:val="0"/>
                <w:lang w:eastAsia="es-DO"/>
              </w:rPr>
            </w:pPr>
            <w:r w:rsidRPr="00465A16">
              <w:rPr>
                <w:rFonts w:eastAsia="Times New Roman"/>
                <w:b/>
                <w:bCs/>
                <w:color w:val="FFFFFF"/>
                <w:spacing w:val="0"/>
                <w:lang w:eastAsia="es-DO"/>
              </w:rPr>
              <w:t>207,626</w:t>
            </w:r>
          </w:p>
        </w:tc>
      </w:tr>
    </w:tbl>
    <w:p w14:paraId="5950F2EE" w14:textId="331D949B" w:rsidR="00FC74D5" w:rsidRPr="0077472F" w:rsidRDefault="00FC74D5" w:rsidP="00FC74D5">
      <w:pPr>
        <w:spacing w:line="360" w:lineRule="auto"/>
        <w:jc w:val="center"/>
        <w:rPr>
          <w:rFonts w:eastAsia="Calibri"/>
          <w:i/>
          <w:iCs/>
          <w:sz w:val="18"/>
          <w:szCs w:val="18"/>
        </w:rPr>
      </w:pPr>
      <w:r w:rsidRPr="0077472F">
        <w:rPr>
          <w:rFonts w:eastAsia="Calibri"/>
          <w:i/>
          <w:iCs/>
          <w:color w:val="4C4747"/>
          <w:sz w:val="18"/>
          <w:szCs w:val="18"/>
        </w:rPr>
        <w:tab/>
      </w:r>
      <w:r w:rsidRPr="0077472F">
        <w:rPr>
          <w:rFonts w:eastAsia="Calibri"/>
          <w:i/>
          <w:iCs/>
          <w:sz w:val="18"/>
          <w:szCs w:val="18"/>
        </w:rPr>
        <w:t>Fuente. Sistemas SUGEP y RUTEO</w:t>
      </w:r>
    </w:p>
    <w:p w14:paraId="0058B39E" w14:textId="77777777" w:rsidR="00F504EE" w:rsidRPr="00465A16" w:rsidRDefault="00FC74D5" w:rsidP="00FC74D5">
      <w:pPr>
        <w:tabs>
          <w:tab w:val="left" w:pos="6343"/>
          <w:tab w:val="center" w:pos="6480"/>
        </w:tabs>
        <w:spacing w:line="360" w:lineRule="auto"/>
        <w:rPr>
          <w:rFonts w:eastAsia="Calibri"/>
          <w:color w:val="4C4747"/>
          <w:sz w:val="18"/>
          <w:szCs w:val="18"/>
        </w:rPr>
        <w:sectPr w:rsidR="00F504EE" w:rsidRPr="00465A16" w:rsidSect="00FC74D5">
          <w:pgSz w:w="15840" w:h="12240" w:orient="landscape"/>
          <w:pgMar w:top="2160" w:right="1440" w:bottom="2160" w:left="1440" w:header="720" w:footer="720" w:gutter="0"/>
          <w:cols w:space="720"/>
          <w:docGrid w:linePitch="360"/>
        </w:sectPr>
      </w:pPr>
      <w:r w:rsidRPr="00AF327F">
        <w:rPr>
          <w:rFonts w:eastAsia="Calibri"/>
          <w:sz w:val="18"/>
          <w:szCs w:val="18"/>
        </w:rPr>
        <w:tab/>
      </w:r>
    </w:p>
    <w:p w14:paraId="416820ED" w14:textId="12CA7B7A" w:rsidR="00B90C0A" w:rsidRPr="00AF327F" w:rsidRDefault="00271A6F" w:rsidP="00B90C0A">
      <w:pPr>
        <w:spacing w:line="360" w:lineRule="auto"/>
        <w:jc w:val="center"/>
        <w:rPr>
          <w:rFonts w:eastAsia="Calibri"/>
        </w:rPr>
      </w:pPr>
      <w:r w:rsidRPr="00AF327F">
        <w:rPr>
          <w:rFonts w:eastAsia="Calibri"/>
          <w:sz w:val="18"/>
          <w:szCs w:val="18"/>
        </w:rPr>
        <w:lastRenderedPageBreak/>
        <w:t xml:space="preserve">Gráfico </w:t>
      </w:r>
      <w:r w:rsidR="00287505" w:rsidRPr="00AF327F">
        <w:rPr>
          <w:rFonts w:eastAsia="Calibri"/>
          <w:sz w:val="18"/>
          <w:szCs w:val="18"/>
        </w:rPr>
        <w:t>2</w:t>
      </w:r>
      <w:r w:rsidRPr="00AF327F">
        <w:rPr>
          <w:rFonts w:eastAsia="Calibri"/>
          <w:sz w:val="18"/>
          <w:szCs w:val="18"/>
        </w:rPr>
        <w:t xml:space="preserve">. Autorización de Pagos </w:t>
      </w:r>
      <w:r w:rsidR="00B90C0A" w:rsidRPr="00AF327F">
        <w:rPr>
          <w:rFonts w:eastAsia="Calibri"/>
          <w:sz w:val="18"/>
          <w:szCs w:val="18"/>
        </w:rPr>
        <w:t>por tipo de autorización</w:t>
      </w:r>
    </w:p>
    <w:p w14:paraId="779E7B1F" w14:textId="2610EB92" w:rsidR="00D36AE4" w:rsidRPr="00465A16" w:rsidRDefault="00F504EE" w:rsidP="00D77049">
      <w:pPr>
        <w:spacing w:line="360" w:lineRule="auto"/>
        <w:jc w:val="both"/>
        <w:rPr>
          <w:rFonts w:eastAsia="Calibri"/>
          <w:color w:val="4C4747"/>
        </w:rPr>
      </w:pPr>
      <w:r w:rsidRPr="00465A16">
        <w:rPr>
          <w:noProof/>
        </w:rPr>
        <w:drawing>
          <wp:inline distT="0" distB="0" distL="0" distR="0" wp14:anchorId="7229FD2E" wp14:editId="6F1C3DA2">
            <wp:extent cx="5116195" cy="1894115"/>
            <wp:effectExtent l="0" t="0" r="8255" b="0"/>
            <wp:docPr id="1921226435" name="Gráfico 1">
              <a:extLst xmlns:a="http://schemas.openxmlformats.org/drawingml/2006/main">
                <a:ext uri="{FF2B5EF4-FFF2-40B4-BE49-F238E27FC236}">
                  <a16:creationId xmlns:a16="http://schemas.microsoft.com/office/drawing/2014/main" id="{911DCB71-92A6-A04E-8558-F775CFD5F1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C92168" w14:textId="542881EA" w:rsidR="00287505" w:rsidRPr="00AF327F" w:rsidRDefault="00287505" w:rsidP="00287505">
      <w:pPr>
        <w:spacing w:line="360" w:lineRule="auto"/>
        <w:jc w:val="center"/>
        <w:rPr>
          <w:b/>
          <w:bCs/>
        </w:rPr>
      </w:pPr>
      <w:r w:rsidRPr="00AF327F">
        <w:rPr>
          <w:rFonts w:eastAsia="Calibri"/>
          <w:sz w:val="18"/>
          <w:szCs w:val="18"/>
        </w:rPr>
        <w:t>Fuente. Sistemas SUGEP y RUTEO</w:t>
      </w:r>
    </w:p>
    <w:p w14:paraId="7BC22359" w14:textId="7367A8F1" w:rsidR="009F2A02" w:rsidRPr="00AF327F" w:rsidRDefault="00795EAD" w:rsidP="00463C08">
      <w:pPr>
        <w:spacing w:line="360" w:lineRule="auto"/>
        <w:jc w:val="both"/>
        <w:rPr>
          <w:b/>
          <w:bCs/>
        </w:rPr>
      </w:pPr>
      <w:r w:rsidRPr="00AF327F">
        <w:rPr>
          <w:b/>
          <w:bCs/>
        </w:rPr>
        <w:t xml:space="preserve">g. </w:t>
      </w:r>
      <w:r w:rsidR="009F2A02" w:rsidRPr="00AF327F">
        <w:rPr>
          <w:b/>
          <w:bCs/>
        </w:rPr>
        <w:t xml:space="preserve">Certificaciones de cargos </w:t>
      </w:r>
    </w:p>
    <w:p w14:paraId="7A254238" w14:textId="7443D162" w:rsidR="009F2A02" w:rsidRPr="00AF327F" w:rsidRDefault="009F2A02" w:rsidP="00463C08">
      <w:pPr>
        <w:spacing w:line="360" w:lineRule="auto"/>
        <w:jc w:val="both"/>
      </w:pPr>
      <w:r w:rsidRPr="00AF327F">
        <w:t xml:space="preserve">La CGR es responsable de emitir las </w:t>
      </w:r>
      <w:r w:rsidR="00947468">
        <w:t>c</w:t>
      </w:r>
      <w:r w:rsidRPr="00AF327F">
        <w:t xml:space="preserve">ertificaciones de </w:t>
      </w:r>
      <w:r w:rsidR="00947468">
        <w:t>c</w:t>
      </w:r>
      <w:r w:rsidRPr="00AF327F">
        <w:t>argos a los antiguos y actuales servidores públicos, las cuales fungen como un certificado que avalan el tiempo de servicio en el Estado. Esta certificación presenta las instituciones en las que ha laborado, el tiempo y salario devengado; y se emiten para distintos fines</w:t>
      </w:r>
      <w:r w:rsidR="00180D82" w:rsidRPr="00AF327F">
        <w:t>, como</w:t>
      </w:r>
      <w:r w:rsidRPr="00AF327F">
        <w:t xml:space="preserve"> pensiones, pago de prestaciones laborales y uso en el extranjero.</w:t>
      </w:r>
      <w:r w:rsidR="00492BD7" w:rsidRPr="00AF327F">
        <w:t xml:space="preserve"> </w:t>
      </w:r>
      <w:r w:rsidR="00286C1C" w:rsidRPr="00AF327F">
        <w:t>Durante el período enero- noviembre la División de certificaciones de cargos emitió un total 41,291 certificaciones de cargo, de las cuales 99.45% fueron atendidas de forma virtual. Se proyecta un total de 43,550 certificaciones al cierre de año con 2,259 nuevas certificaciones en diciembre.</w:t>
      </w:r>
    </w:p>
    <w:p w14:paraId="497F306A" w14:textId="7789967E" w:rsidR="007A5FA7" w:rsidRPr="00AF327F" w:rsidRDefault="007A5FA7" w:rsidP="007A5FA7">
      <w:pPr>
        <w:spacing w:line="360" w:lineRule="auto"/>
        <w:jc w:val="center"/>
        <w:rPr>
          <w:sz w:val="18"/>
          <w:szCs w:val="18"/>
        </w:rPr>
      </w:pPr>
      <w:r w:rsidRPr="00AF327F">
        <w:rPr>
          <w:sz w:val="18"/>
          <w:szCs w:val="18"/>
        </w:rPr>
        <w:t xml:space="preserve">Tabla </w:t>
      </w:r>
      <w:r w:rsidR="00B3656C" w:rsidRPr="00AF327F">
        <w:rPr>
          <w:sz w:val="18"/>
          <w:szCs w:val="18"/>
        </w:rPr>
        <w:t>7</w:t>
      </w:r>
      <w:r w:rsidRPr="00AF327F">
        <w:rPr>
          <w:sz w:val="18"/>
          <w:szCs w:val="18"/>
        </w:rPr>
        <w:t xml:space="preserve">. </w:t>
      </w:r>
      <w:r w:rsidR="00B3656C" w:rsidRPr="00AF327F">
        <w:rPr>
          <w:sz w:val="18"/>
          <w:szCs w:val="18"/>
        </w:rPr>
        <w:t xml:space="preserve">Certificaciones de cargo </w:t>
      </w:r>
      <w:r w:rsidR="00AB6840" w:rsidRPr="00AF327F">
        <w:rPr>
          <w:sz w:val="18"/>
          <w:szCs w:val="18"/>
        </w:rPr>
        <w:t>por canal de servicio</w:t>
      </w:r>
      <w:r w:rsidR="00B3656C" w:rsidRPr="00AF327F">
        <w:rPr>
          <w:sz w:val="18"/>
          <w:szCs w:val="18"/>
        </w:rPr>
        <w:t xml:space="preserve"> 202</w:t>
      </w:r>
      <w:r w:rsidR="007F6EA5" w:rsidRPr="00AF327F">
        <w:rPr>
          <w:sz w:val="18"/>
          <w:szCs w:val="18"/>
        </w:rPr>
        <w:t>5</w:t>
      </w:r>
    </w:p>
    <w:tbl>
      <w:tblPr>
        <w:tblW w:w="7914" w:type="dxa"/>
        <w:jc w:val="center"/>
        <w:tblCellMar>
          <w:left w:w="70" w:type="dxa"/>
          <w:right w:w="70" w:type="dxa"/>
        </w:tblCellMar>
        <w:tblLook w:val="04A0" w:firstRow="1" w:lastRow="0" w:firstColumn="1" w:lastColumn="0" w:noHBand="0" w:noVBand="1"/>
      </w:tblPr>
      <w:tblGrid>
        <w:gridCol w:w="1960"/>
        <w:gridCol w:w="1985"/>
        <w:gridCol w:w="1984"/>
        <w:gridCol w:w="1985"/>
      </w:tblGrid>
      <w:tr w:rsidR="00286C1C" w:rsidRPr="00465A16" w14:paraId="52B39A8E" w14:textId="77777777" w:rsidTr="00286C1C">
        <w:trPr>
          <w:trHeight w:val="442"/>
          <w:jc w:val="center"/>
        </w:trPr>
        <w:tc>
          <w:tcPr>
            <w:tcW w:w="1960"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480AB740" w14:textId="77777777" w:rsidR="00286C1C" w:rsidRPr="00465A16" w:rsidRDefault="00286C1C" w:rsidP="00286C1C">
            <w:pPr>
              <w:spacing w:after="0"/>
              <w:jc w:val="center"/>
              <w:rPr>
                <w:b/>
                <w:bCs/>
                <w:color w:val="FFFFFF" w:themeColor="background1"/>
              </w:rPr>
            </w:pPr>
            <w:r w:rsidRPr="00465A16">
              <w:rPr>
                <w:b/>
                <w:bCs/>
                <w:color w:val="FFFFFF" w:themeColor="background1"/>
              </w:rPr>
              <w:t>Canal</w:t>
            </w:r>
          </w:p>
        </w:tc>
        <w:tc>
          <w:tcPr>
            <w:tcW w:w="1985" w:type="dxa"/>
            <w:tcBorders>
              <w:top w:val="single" w:sz="4" w:space="0" w:color="auto"/>
              <w:left w:val="nil"/>
              <w:bottom w:val="single" w:sz="4" w:space="0" w:color="auto"/>
              <w:right w:val="single" w:sz="4" w:space="0" w:color="auto"/>
            </w:tcBorders>
            <w:shd w:val="clear" w:color="auto" w:fill="011C50"/>
            <w:noWrap/>
            <w:vAlign w:val="center"/>
            <w:hideMark/>
          </w:tcPr>
          <w:p w14:paraId="5E24E425" w14:textId="77777777" w:rsidR="00286C1C" w:rsidRPr="00465A16" w:rsidRDefault="00286C1C" w:rsidP="00286C1C">
            <w:pPr>
              <w:spacing w:after="0"/>
              <w:jc w:val="center"/>
              <w:rPr>
                <w:b/>
                <w:bCs/>
                <w:color w:val="FFFFFF" w:themeColor="background1"/>
              </w:rPr>
            </w:pPr>
            <w:r w:rsidRPr="00465A16">
              <w:rPr>
                <w:b/>
                <w:bCs/>
                <w:color w:val="FFFFFF" w:themeColor="background1"/>
              </w:rPr>
              <w:t>Ene- Nov</w:t>
            </w:r>
          </w:p>
        </w:tc>
        <w:tc>
          <w:tcPr>
            <w:tcW w:w="1984" w:type="dxa"/>
            <w:tcBorders>
              <w:top w:val="single" w:sz="4" w:space="0" w:color="auto"/>
              <w:left w:val="nil"/>
              <w:bottom w:val="single" w:sz="4" w:space="0" w:color="auto"/>
              <w:right w:val="single" w:sz="4" w:space="0" w:color="auto"/>
            </w:tcBorders>
            <w:shd w:val="clear" w:color="auto" w:fill="011C50"/>
            <w:vAlign w:val="center"/>
            <w:hideMark/>
          </w:tcPr>
          <w:p w14:paraId="48514DBC" w14:textId="77777777" w:rsidR="00286C1C" w:rsidRPr="00465A16" w:rsidRDefault="00286C1C" w:rsidP="00286C1C">
            <w:pPr>
              <w:spacing w:after="0"/>
              <w:jc w:val="center"/>
              <w:rPr>
                <w:b/>
                <w:bCs/>
                <w:color w:val="FFFFFF" w:themeColor="background1"/>
              </w:rPr>
            </w:pPr>
            <w:proofErr w:type="spellStart"/>
            <w:r w:rsidRPr="00465A16">
              <w:rPr>
                <w:b/>
                <w:bCs/>
                <w:color w:val="FFFFFF" w:themeColor="background1"/>
              </w:rPr>
              <w:t>Proyec</w:t>
            </w:r>
            <w:proofErr w:type="spellEnd"/>
            <w:r w:rsidRPr="00465A16">
              <w:rPr>
                <w:b/>
                <w:bCs/>
                <w:color w:val="FFFFFF" w:themeColor="background1"/>
              </w:rPr>
              <w:t>. Dic.</w:t>
            </w:r>
          </w:p>
        </w:tc>
        <w:tc>
          <w:tcPr>
            <w:tcW w:w="1985" w:type="dxa"/>
            <w:tcBorders>
              <w:top w:val="single" w:sz="4" w:space="0" w:color="auto"/>
              <w:left w:val="nil"/>
              <w:bottom w:val="single" w:sz="4" w:space="0" w:color="auto"/>
              <w:right w:val="single" w:sz="4" w:space="0" w:color="auto"/>
            </w:tcBorders>
            <w:shd w:val="clear" w:color="auto" w:fill="011C50"/>
            <w:vAlign w:val="center"/>
            <w:hideMark/>
          </w:tcPr>
          <w:p w14:paraId="72200D85" w14:textId="77777777" w:rsidR="00286C1C" w:rsidRPr="00465A16" w:rsidRDefault="00286C1C" w:rsidP="00286C1C">
            <w:pPr>
              <w:spacing w:after="0"/>
              <w:jc w:val="center"/>
              <w:rPr>
                <w:b/>
                <w:bCs/>
                <w:color w:val="FFFFFF" w:themeColor="background1"/>
              </w:rPr>
            </w:pPr>
            <w:r w:rsidRPr="00465A16">
              <w:rPr>
                <w:b/>
                <w:bCs/>
                <w:color w:val="FFFFFF" w:themeColor="background1"/>
              </w:rPr>
              <w:t>Total c/</w:t>
            </w:r>
            <w:proofErr w:type="spellStart"/>
            <w:r w:rsidRPr="00465A16">
              <w:rPr>
                <w:b/>
                <w:bCs/>
                <w:color w:val="FFFFFF" w:themeColor="background1"/>
              </w:rPr>
              <w:t>proyec</w:t>
            </w:r>
            <w:proofErr w:type="spellEnd"/>
            <w:r w:rsidRPr="00465A16">
              <w:rPr>
                <w:b/>
                <w:bCs/>
                <w:color w:val="FFFFFF" w:themeColor="background1"/>
              </w:rPr>
              <w:t>.</w:t>
            </w:r>
          </w:p>
        </w:tc>
      </w:tr>
      <w:tr w:rsidR="00286C1C" w:rsidRPr="00465A16" w14:paraId="1E430EEE" w14:textId="77777777" w:rsidTr="00286C1C">
        <w:trPr>
          <w:trHeight w:val="312"/>
          <w:jc w:val="center"/>
        </w:trPr>
        <w:tc>
          <w:tcPr>
            <w:tcW w:w="1960" w:type="dxa"/>
            <w:tcBorders>
              <w:top w:val="nil"/>
              <w:left w:val="single" w:sz="4" w:space="0" w:color="auto"/>
              <w:bottom w:val="single" w:sz="4" w:space="0" w:color="auto"/>
              <w:right w:val="single" w:sz="4" w:space="0" w:color="auto"/>
            </w:tcBorders>
            <w:noWrap/>
            <w:vAlign w:val="center"/>
            <w:hideMark/>
          </w:tcPr>
          <w:p w14:paraId="4F3D2183" w14:textId="77777777" w:rsidR="00286C1C" w:rsidRPr="00AF327F" w:rsidRDefault="00286C1C" w:rsidP="00286C1C">
            <w:pPr>
              <w:spacing w:after="0"/>
              <w:jc w:val="both"/>
            </w:pPr>
            <w:r w:rsidRPr="00AF327F">
              <w:t>Virtual</w:t>
            </w:r>
          </w:p>
        </w:tc>
        <w:tc>
          <w:tcPr>
            <w:tcW w:w="1985" w:type="dxa"/>
            <w:tcBorders>
              <w:top w:val="nil"/>
              <w:left w:val="nil"/>
              <w:bottom w:val="single" w:sz="4" w:space="0" w:color="auto"/>
              <w:right w:val="single" w:sz="4" w:space="0" w:color="auto"/>
            </w:tcBorders>
            <w:noWrap/>
            <w:vAlign w:val="center"/>
            <w:hideMark/>
          </w:tcPr>
          <w:p w14:paraId="773B75F4" w14:textId="77777777" w:rsidR="00286C1C" w:rsidRPr="00AF327F" w:rsidRDefault="00286C1C" w:rsidP="00286C1C">
            <w:pPr>
              <w:spacing w:after="0"/>
              <w:jc w:val="right"/>
            </w:pPr>
            <w:r w:rsidRPr="00AF327F">
              <w:t>41,065</w:t>
            </w:r>
          </w:p>
        </w:tc>
        <w:tc>
          <w:tcPr>
            <w:tcW w:w="1984" w:type="dxa"/>
            <w:tcBorders>
              <w:top w:val="nil"/>
              <w:left w:val="nil"/>
              <w:bottom w:val="single" w:sz="4" w:space="0" w:color="auto"/>
              <w:right w:val="single" w:sz="4" w:space="0" w:color="auto"/>
            </w:tcBorders>
            <w:noWrap/>
            <w:vAlign w:val="center"/>
            <w:hideMark/>
          </w:tcPr>
          <w:p w14:paraId="3F2909E7" w14:textId="77777777" w:rsidR="00286C1C" w:rsidRPr="00AF327F" w:rsidRDefault="00286C1C" w:rsidP="00286C1C">
            <w:pPr>
              <w:spacing w:after="0"/>
              <w:jc w:val="right"/>
            </w:pPr>
            <w:r w:rsidRPr="00AF327F">
              <w:t>2,239</w:t>
            </w:r>
          </w:p>
        </w:tc>
        <w:tc>
          <w:tcPr>
            <w:tcW w:w="1985" w:type="dxa"/>
            <w:tcBorders>
              <w:top w:val="nil"/>
              <w:left w:val="nil"/>
              <w:bottom w:val="single" w:sz="4" w:space="0" w:color="auto"/>
              <w:right w:val="single" w:sz="4" w:space="0" w:color="auto"/>
            </w:tcBorders>
            <w:noWrap/>
            <w:vAlign w:val="center"/>
            <w:hideMark/>
          </w:tcPr>
          <w:p w14:paraId="246DAAED" w14:textId="77777777" w:rsidR="00286C1C" w:rsidRPr="00AF327F" w:rsidRDefault="00286C1C" w:rsidP="00286C1C">
            <w:pPr>
              <w:spacing w:after="0"/>
              <w:jc w:val="right"/>
            </w:pPr>
            <w:r w:rsidRPr="00AF327F">
              <w:t>43,304</w:t>
            </w:r>
          </w:p>
        </w:tc>
      </w:tr>
      <w:tr w:rsidR="00286C1C" w:rsidRPr="00465A16" w14:paraId="1F67726F" w14:textId="77777777" w:rsidTr="00286C1C">
        <w:trPr>
          <w:trHeight w:val="312"/>
          <w:jc w:val="center"/>
        </w:trPr>
        <w:tc>
          <w:tcPr>
            <w:tcW w:w="1960" w:type="dxa"/>
            <w:tcBorders>
              <w:top w:val="nil"/>
              <w:left w:val="single" w:sz="4" w:space="0" w:color="auto"/>
              <w:bottom w:val="single" w:sz="4" w:space="0" w:color="auto"/>
              <w:right w:val="single" w:sz="4" w:space="0" w:color="auto"/>
            </w:tcBorders>
            <w:noWrap/>
            <w:vAlign w:val="center"/>
            <w:hideMark/>
          </w:tcPr>
          <w:p w14:paraId="0DA08938" w14:textId="77777777" w:rsidR="00286C1C" w:rsidRPr="00AF327F" w:rsidRDefault="00286C1C" w:rsidP="00286C1C">
            <w:pPr>
              <w:spacing w:after="0"/>
              <w:jc w:val="both"/>
            </w:pPr>
            <w:r w:rsidRPr="00AF327F">
              <w:t>Ventanilla</w:t>
            </w:r>
          </w:p>
        </w:tc>
        <w:tc>
          <w:tcPr>
            <w:tcW w:w="1985" w:type="dxa"/>
            <w:tcBorders>
              <w:top w:val="nil"/>
              <w:left w:val="nil"/>
              <w:bottom w:val="single" w:sz="4" w:space="0" w:color="auto"/>
              <w:right w:val="single" w:sz="4" w:space="0" w:color="auto"/>
            </w:tcBorders>
            <w:noWrap/>
            <w:vAlign w:val="center"/>
            <w:hideMark/>
          </w:tcPr>
          <w:p w14:paraId="62BCEB21" w14:textId="77777777" w:rsidR="00286C1C" w:rsidRPr="00AF327F" w:rsidRDefault="00286C1C" w:rsidP="00286C1C">
            <w:pPr>
              <w:spacing w:after="0"/>
              <w:jc w:val="right"/>
            </w:pPr>
            <w:r w:rsidRPr="00AF327F">
              <w:t>226</w:t>
            </w:r>
          </w:p>
        </w:tc>
        <w:tc>
          <w:tcPr>
            <w:tcW w:w="1984" w:type="dxa"/>
            <w:tcBorders>
              <w:top w:val="nil"/>
              <w:left w:val="nil"/>
              <w:bottom w:val="single" w:sz="4" w:space="0" w:color="auto"/>
              <w:right w:val="single" w:sz="4" w:space="0" w:color="auto"/>
            </w:tcBorders>
            <w:noWrap/>
            <w:vAlign w:val="center"/>
            <w:hideMark/>
          </w:tcPr>
          <w:p w14:paraId="04953D43" w14:textId="77777777" w:rsidR="00286C1C" w:rsidRPr="00AF327F" w:rsidRDefault="00286C1C" w:rsidP="00286C1C">
            <w:pPr>
              <w:spacing w:after="0"/>
              <w:jc w:val="right"/>
            </w:pPr>
            <w:r w:rsidRPr="00AF327F">
              <w:t>20</w:t>
            </w:r>
          </w:p>
        </w:tc>
        <w:tc>
          <w:tcPr>
            <w:tcW w:w="1985" w:type="dxa"/>
            <w:tcBorders>
              <w:top w:val="nil"/>
              <w:left w:val="nil"/>
              <w:bottom w:val="single" w:sz="4" w:space="0" w:color="auto"/>
              <w:right w:val="single" w:sz="4" w:space="0" w:color="auto"/>
            </w:tcBorders>
            <w:noWrap/>
            <w:vAlign w:val="center"/>
            <w:hideMark/>
          </w:tcPr>
          <w:p w14:paraId="6C5BF8DF" w14:textId="22E9F6FB" w:rsidR="00286C1C" w:rsidRPr="00AF327F" w:rsidRDefault="00286C1C" w:rsidP="00286C1C">
            <w:pPr>
              <w:spacing w:after="0"/>
              <w:jc w:val="right"/>
            </w:pPr>
            <w:r w:rsidRPr="00AF327F">
              <w:t>246</w:t>
            </w:r>
          </w:p>
        </w:tc>
      </w:tr>
      <w:tr w:rsidR="00286C1C" w:rsidRPr="00465A16" w14:paraId="48151F40" w14:textId="77777777" w:rsidTr="00286C1C">
        <w:trPr>
          <w:trHeight w:val="312"/>
          <w:jc w:val="center"/>
        </w:trPr>
        <w:tc>
          <w:tcPr>
            <w:tcW w:w="1960" w:type="dxa"/>
            <w:tcBorders>
              <w:top w:val="nil"/>
              <w:left w:val="single" w:sz="4" w:space="0" w:color="auto"/>
              <w:bottom w:val="single" w:sz="4" w:space="0" w:color="auto"/>
              <w:right w:val="single" w:sz="4" w:space="0" w:color="auto"/>
            </w:tcBorders>
            <w:shd w:val="clear" w:color="auto" w:fill="011C50"/>
            <w:noWrap/>
            <w:vAlign w:val="center"/>
            <w:hideMark/>
          </w:tcPr>
          <w:p w14:paraId="5E9DC3B2" w14:textId="77777777" w:rsidR="00286C1C" w:rsidRPr="00465A16" w:rsidRDefault="00286C1C" w:rsidP="00286C1C">
            <w:pPr>
              <w:spacing w:after="0"/>
              <w:jc w:val="center"/>
              <w:rPr>
                <w:b/>
                <w:bCs/>
                <w:color w:val="FFFFFF" w:themeColor="background1"/>
              </w:rPr>
            </w:pPr>
            <w:r w:rsidRPr="00465A16">
              <w:rPr>
                <w:b/>
                <w:bCs/>
                <w:color w:val="FFFFFF" w:themeColor="background1"/>
              </w:rPr>
              <w:t>Total</w:t>
            </w:r>
          </w:p>
        </w:tc>
        <w:tc>
          <w:tcPr>
            <w:tcW w:w="1985" w:type="dxa"/>
            <w:tcBorders>
              <w:top w:val="nil"/>
              <w:left w:val="nil"/>
              <w:bottom w:val="single" w:sz="4" w:space="0" w:color="auto"/>
              <w:right w:val="single" w:sz="4" w:space="0" w:color="auto"/>
            </w:tcBorders>
            <w:shd w:val="clear" w:color="auto" w:fill="011C50"/>
            <w:noWrap/>
            <w:vAlign w:val="center"/>
            <w:hideMark/>
          </w:tcPr>
          <w:p w14:paraId="6569666B" w14:textId="77777777" w:rsidR="00286C1C" w:rsidRPr="00465A16" w:rsidRDefault="00286C1C" w:rsidP="00286C1C">
            <w:pPr>
              <w:spacing w:after="0"/>
              <w:jc w:val="right"/>
              <w:rPr>
                <w:b/>
                <w:bCs/>
                <w:color w:val="FFFFFF" w:themeColor="background1"/>
              </w:rPr>
            </w:pPr>
            <w:r w:rsidRPr="00465A16">
              <w:rPr>
                <w:b/>
                <w:bCs/>
                <w:color w:val="FFFFFF" w:themeColor="background1"/>
              </w:rPr>
              <w:t>41,291</w:t>
            </w:r>
          </w:p>
        </w:tc>
        <w:tc>
          <w:tcPr>
            <w:tcW w:w="1984" w:type="dxa"/>
            <w:tcBorders>
              <w:top w:val="nil"/>
              <w:left w:val="nil"/>
              <w:bottom w:val="single" w:sz="4" w:space="0" w:color="auto"/>
              <w:right w:val="single" w:sz="4" w:space="0" w:color="auto"/>
            </w:tcBorders>
            <w:shd w:val="clear" w:color="auto" w:fill="011C50"/>
            <w:noWrap/>
            <w:vAlign w:val="center"/>
            <w:hideMark/>
          </w:tcPr>
          <w:p w14:paraId="178B0026" w14:textId="77777777" w:rsidR="00286C1C" w:rsidRPr="00465A16" w:rsidRDefault="00286C1C" w:rsidP="00286C1C">
            <w:pPr>
              <w:spacing w:after="0"/>
              <w:jc w:val="right"/>
              <w:rPr>
                <w:b/>
                <w:bCs/>
                <w:color w:val="FFFFFF" w:themeColor="background1"/>
              </w:rPr>
            </w:pPr>
            <w:r w:rsidRPr="00465A16">
              <w:rPr>
                <w:b/>
                <w:bCs/>
                <w:color w:val="FFFFFF" w:themeColor="background1"/>
              </w:rPr>
              <w:t>2,259</w:t>
            </w:r>
          </w:p>
        </w:tc>
        <w:tc>
          <w:tcPr>
            <w:tcW w:w="1985" w:type="dxa"/>
            <w:tcBorders>
              <w:top w:val="nil"/>
              <w:left w:val="nil"/>
              <w:bottom w:val="single" w:sz="4" w:space="0" w:color="auto"/>
              <w:right w:val="single" w:sz="4" w:space="0" w:color="auto"/>
            </w:tcBorders>
            <w:shd w:val="clear" w:color="auto" w:fill="011C50"/>
            <w:noWrap/>
            <w:vAlign w:val="center"/>
            <w:hideMark/>
          </w:tcPr>
          <w:p w14:paraId="4A916D26" w14:textId="01CD9CC2" w:rsidR="00286C1C" w:rsidRPr="00465A16" w:rsidRDefault="00286C1C" w:rsidP="00286C1C">
            <w:pPr>
              <w:spacing w:after="0"/>
              <w:jc w:val="right"/>
              <w:rPr>
                <w:b/>
                <w:bCs/>
                <w:color w:val="FFFFFF" w:themeColor="background1"/>
              </w:rPr>
            </w:pPr>
            <w:r w:rsidRPr="00465A16">
              <w:rPr>
                <w:b/>
                <w:bCs/>
                <w:color w:val="FFFFFF" w:themeColor="background1"/>
              </w:rPr>
              <w:t>43,550</w:t>
            </w:r>
          </w:p>
        </w:tc>
      </w:tr>
    </w:tbl>
    <w:p w14:paraId="553CA273" w14:textId="77777777" w:rsidR="007A5FA7" w:rsidRPr="0077472F" w:rsidRDefault="007A5FA7" w:rsidP="007F6EA5">
      <w:pPr>
        <w:spacing w:line="360" w:lineRule="auto"/>
        <w:jc w:val="center"/>
        <w:rPr>
          <w:rFonts w:eastAsia="Calibri"/>
          <w:i/>
          <w:iCs/>
          <w:color w:val="4C4747"/>
          <w:sz w:val="18"/>
          <w:szCs w:val="18"/>
        </w:rPr>
      </w:pPr>
      <w:r w:rsidRPr="0077472F">
        <w:rPr>
          <w:rFonts w:eastAsia="Calibri"/>
          <w:i/>
          <w:iCs/>
          <w:color w:val="4C4747"/>
          <w:sz w:val="18"/>
          <w:szCs w:val="18"/>
        </w:rPr>
        <w:t>Fuente: Informe Anual Dirección de Revisión y Control de Calidad</w:t>
      </w:r>
    </w:p>
    <w:p w14:paraId="07B6AF73" w14:textId="77777777" w:rsidR="00444B77" w:rsidRPr="00465A16" w:rsidRDefault="00444B77" w:rsidP="007A5FA7">
      <w:pPr>
        <w:spacing w:line="360" w:lineRule="auto"/>
        <w:jc w:val="both"/>
        <w:rPr>
          <w:rFonts w:eastAsia="Calibri"/>
          <w:color w:val="4C4747"/>
        </w:rPr>
      </w:pPr>
    </w:p>
    <w:p w14:paraId="2F4A1B85" w14:textId="4B0EB0C3" w:rsidR="007A5FA7" w:rsidRPr="00AF327F" w:rsidRDefault="007A5FA7" w:rsidP="00463C08">
      <w:pPr>
        <w:spacing w:line="360" w:lineRule="auto"/>
        <w:jc w:val="both"/>
        <w:rPr>
          <w:rFonts w:eastAsia="Calibri"/>
        </w:rPr>
      </w:pPr>
      <w:r w:rsidRPr="00AF327F">
        <w:rPr>
          <w:rFonts w:eastAsia="Calibri"/>
        </w:rPr>
        <w:lastRenderedPageBreak/>
        <w:t>De estas certificaciones el 5</w:t>
      </w:r>
      <w:r w:rsidR="00492BD7" w:rsidRPr="00AF327F">
        <w:rPr>
          <w:rFonts w:eastAsia="Calibri"/>
        </w:rPr>
        <w:t>4</w:t>
      </w:r>
      <w:r w:rsidRPr="00AF327F">
        <w:rPr>
          <w:rFonts w:eastAsia="Calibri"/>
        </w:rPr>
        <w:t>% corresponde a validación de tiempo en el estado, el 2</w:t>
      </w:r>
      <w:r w:rsidR="00492BD7" w:rsidRPr="00AF327F">
        <w:rPr>
          <w:rFonts w:eastAsia="Calibri"/>
        </w:rPr>
        <w:t>0</w:t>
      </w:r>
      <w:r w:rsidRPr="00AF327F">
        <w:rPr>
          <w:rFonts w:eastAsia="Calibri"/>
        </w:rPr>
        <w:t>% a certificaciones para pagos de prestaciones laborales, el 1</w:t>
      </w:r>
      <w:r w:rsidR="00492BD7" w:rsidRPr="00AF327F">
        <w:rPr>
          <w:rFonts w:eastAsia="Calibri"/>
        </w:rPr>
        <w:t>6</w:t>
      </w:r>
      <w:r w:rsidRPr="00AF327F">
        <w:rPr>
          <w:rFonts w:eastAsia="Calibri"/>
        </w:rPr>
        <w:t xml:space="preserve">% a pensiones y el </w:t>
      </w:r>
      <w:r w:rsidR="00492BD7" w:rsidRPr="00AF327F">
        <w:rPr>
          <w:rFonts w:eastAsia="Calibri"/>
        </w:rPr>
        <w:t>10</w:t>
      </w:r>
      <w:r w:rsidRPr="00AF327F">
        <w:rPr>
          <w:rFonts w:eastAsia="Calibri"/>
        </w:rPr>
        <w:t>% a jubilaciones.</w:t>
      </w:r>
    </w:p>
    <w:p w14:paraId="294F83D2" w14:textId="42A5708E" w:rsidR="007A5FA7" w:rsidRPr="00AF327F" w:rsidRDefault="007A5FA7" w:rsidP="00492BD7">
      <w:pPr>
        <w:spacing w:line="360" w:lineRule="auto"/>
        <w:jc w:val="center"/>
        <w:rPr>
          <w:rFonts w:eastAsia="Calibri"/>
          <w:sz w:val="18"/>
          <w:szCs w:val="18"/>
        </w:rPr>
      </w:pPr>
      <w:r w:rsidRPr="00AF327F">
        <w:rPr>
          <w:rFonts w:eastAsia="Calibri"/>
          <w:sz w:val="18"/>
          <w:szCs w:val="18"/>
        </w:rPr>
        <w:t>Gráfico</w:t>
      </w:r>
      <w:r w:rsidR="00E9787B" w:rsidRPr="00AF327F">
        <w:rPr>
          <w:rFonts w:eastAsia="Calibri"/>
          <w:sz w:val="18"/>
          <w:szCs w:val="18"/>
        </w:rPr>
        <w:t xml:space="preserve"> 3</w:t>
      </w:r>
      <w:r w:rsidRPr="00AF327F">
        <w:rPr>
          <w:rFonts w:eastAsia="Calibri"/>
          <w:sz w:val="18"/>
          <w:szCs w:val="18"/>
        </w:rPr>
        <w:t xml:space="preserve">. </w:t>
      </w:r>
      <w:r w:rsidR="00E9787B" w:rsidRPr="00AF327F">
        <w:rPr>
          <w:rFonts w:eastAsia="Calibri"/>
          <w:sz w:val="18"/>
          <w:szCs w:val="18"/>
        </w:rPr>
        <w:t>Certificaciones de cargo según el fin</w:t>
      </w:r>
    </w:p>
    <w:p w14:paraId="10A78122" w14:textId="0E863904" w:rsidR="00492BD7" w:rsidRPr="00AF327F" w:rsidRDefault="00492BD7" w:rsidP="00492BD7">
      <w:pPr>
        <w:spacing w:after="0" w:line="240" w:lineRule="auto"/>
        <w:jc w:val="center"/>
        <w:rPr>
          <w:rFonts w:eastAsia="Calibri"/>
          <w:sz w:val="18"/>
          <w:szCs w:val="18"/>
        </w:rPr>
      </w:pPr>
      <w:r w:rsidRPr="00AF327F">
        <w:rPr>
          <w:noProof/>
        </w:rPr>
        <w:drawing>
          <wp:inline distT="0" distB="0" distL="0" distR="0" wp14:anchorId="4E45F5F1" wp14:editId="1F369E3B">
            <wp:extent cx="5029200" cy="1127760"/>
            <wp:effectExtent l="0" t="0" r="0" b="0"/>
            <wp:docPr id="371996016" name="Gráfico 1">
              <a:extLst xmlns:a="http://schemas.openxmlformats.org/drawingml/2006/main">
                <a:ext uri="{FF2B5EF4-FFF2-40B4-BE49-F238E27FC236}">
                  <a16:creationId xmlns:a16="http://schemas.microsoft.com/office/drawing/2014/main" id="{853805AE-3744-49BE-92CB-B5E43DCF63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09F66C2" w14:textId="7C8AAB4E" w:rsidR="00492BD7" w:rsidRPr="00AF327F" w:rsidRDefault="00492BD7" w:rsidP="00492BD7">
      <w:pPr>
        <w:spacing w:line="360" w:lineRule="auto"/>
        <w:jc w:val="center"/>
        <w:rPr>
          <w:rFonts w:eastAsia="Calibri"/>
          <w:sz w:val="18"/>
          <w:szCs w:val="18"/>
        </w:rPr>
      </w:pPr>
      <w:r w:rsidRPr="00AF327F">
        <w:rPr>
          <w:rFonts w:eastAsia="Calibri"/>
          <w:sz w:val="18"/>
          <w:szCs w:val="18"/>
        </w:rPr>
        <w:t>Fuente: Informe Anual DRCC 2025</w:t>
      </w:r>
    </w:p>
    <w:p w14:paraId="7FEABCBC" w14:textId="4A5E42D4" w:rsidR="006E2911" w:rsidRPr="00AF327F" w:rsidRDefault="00795EAD" w:rsidP="00463C08">
      <w:pPr>
        <w:spacing w:line="360" w:lineRule="auto"/>
        <w:rPr>
          <w:b/>
          <w:bCs/>
        </w:rPr>
      </w:pPr>
      <w:r w:rsidRPr="00AF327F">
        <w:rPr>
          <w:b/>
          <w:bCs/>
        </w:rPr>
        <w:t xml:space="preserve">h. </w:t>
      </w:r>
      <w:r w:rsidR="006E2911" w:rsidRPr="00AF327F">
        <w:rPr>
          <w:b/>
          <w:bCs/>
        </w:rPr>
        <w:t>Registro de Contratos</w:t>
      </w:r>
    </w:p>
    <w:p w14:paraId="36F62C06" w14:textId="6313A51A" w:rsidR="00FC42A7" w:rsidRPr="00AF327F" w:rsidRDefault="00FC42A7" w:rsidP="00463C08">
      <w:pPr>
        <w:spacing w:line="360" w:lineRule="auto"/>
        <w:ind w:left="-76"/>
        <w:jc w:val="both"/>
        <w:rPr>
          <w:rFonts w:eastAsia="Calibri"/>
        </w:rPr>
      </w:pPr>
      <w:r w:rsidRPr="00AF327F">
        <w:rPr>
          <w:rFonts w:eastAsia="Calibri"/>
        </w:rPr>
        <w:t xml:space="preserve">Asimismo, al 30 de noviembre del presente año fueron certificados un total 20,059 contratos, de los cuales el 64.11% (12,859) corresponde a contratos de Bienes y Servicios, el 13.68% (2,744) a Obras, el 3% (601) a Becas personales, el 5.56% (1,115) a Convenios Institucionales, el 3.32% (665) a Becas Institucionales, el 0.01% (2) a Servicios Personales, y el 10.33% (2,073) a </w:t>
      </w:r>
      <w:r w:rsidR="00C14355" w:rsidRPr="00AF327F">
        <w:rPr>
          <w:rFonts w:eastAsia="Calibri"/>
        </w:rPr>
        <w:t>Rescisiones</w:t>
      </w:r>
      <w:r w:rsidRPr="00AF327F">
        <w:rPr>
          <w:rFonts w:eastAsia="Calibri"/>
        </w:rPr>
        <w:t xml:space="preserve"> de Contratos. Se contempla una proyección para 30 de diciembre de 2,479 nuevos registros.</w:t>
      </w:r>
    </w:p>
    <w:tbl>
      <w:tblPr>
        <w:tblpPr w:leftFromText="141" w:rightFromText="141" w:vertAnchor="text" w:horzAnchor="margin" w:tblpX="-147" w:tblpY="339"/>
        <w:tblW w:w="8075" w:type="dxa"/>
        <w:tblLayout w:type="fixed"/>
        <w:tblCellMar>
          <w:left w:w="70" w:type="dxa"/>
          <w:right w:w="70" w:type="dxa"/>
        </w:tblCellMar>
        <w:tblLook w:val="04A0" w:firstRow="1" w:lastRow="0" w:firstColumn="1" w:lastColumn="0" w:noHBand="0" w:noVBand="1"/>
      </w:tblPr>
      <w:tblGrid>
        <w:gridCol w:w="3397"/>
        <w:gridCol w:w="1560"/>
        <w:gridCol w:w="1559"/>
        <w:gridCol w:w="1559"/>
      </w:tblGrid>
      <w:tr w:rsidR="00286C1C" w:rsidRPr="00465A16" w14:paraId="63E35FD5" w14:textId="77777777" w:rsidTr="00444B77">
        <w:trPr>
          <w:trHeight w:val="268"/>
        </w:trPr>
        <w:tc>
          <w:tcPr>
            <w:tcW w:w="3397"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1406DF19" w14:textId="77777777" w:rsidR="00FC42A7" w:rsidRPr="00465A16" w:rsidRDefault="00FC42A7" w:rsidP="009225E6">
            <w:pPr>
              <w:spacing w:after="0" w:line="24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 xml:space="preserve">Tipo </w:t>
            </w:r>
          </w:p>
        </w:tc>
        <w:tc>
          <w:tcPr>
            <w:tcW w:w="1560" w:type="dxa"/>
            <w:tcBorders>
              <w:top w:val="single" w:sz="4" w:space="0" w:color="auto"/>
              <w:left w:val="nil"/>
              <w:bottom w:val="single" w:sz="4" w:space="0" w:color="auto"/>
              <w:right w:val="single" w:sz="4" w:space="0" w:color="auto"/>
            </w:tcBorders>
            <w:shd w:val="clear" w:color="auto" w:fill="011C50"/>
            <w:noWrap/>
            <w:vAlign w:val="center"/>
            <w:hideMark/>
          </w:tcPr>
          <w:p w14:paraId="66A9818B" w14:textId="77777777" w:rsidR="00FC42A7" w:rsidRPr="00465A16" w:rsidRDefault="00FC42A7" w:rsidP="009225E6">
            <w:pPr>
              <w:spacing w:after="0" w:line="24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Ene- Nov</w:t>
            </w:r>
          </w:p>
        </w:tc>
        <w:tc>
          <w:tcPr>
            <w:tcW w:w="1559" w:type="dxa"/>
            <w:tcBorders>
              <w:top w:val="single" w:sz="4" w:space="0" w:color="auto"/>
              <w:left w:val="nil"/>
              <w:bottom w:val="single" w:sz="4" w:space="0" w:color="auto"/>
              <w:right w:val="single" w:sz="4" w:space="0" w:color="auto"/>
            </w:tcBorders>
            <w:shd w:val="clear" w:color="auto" w:fill="011C50"/>
            <w:vAlign w:val="center"/>
            <w:hideMark/>
          </w:tcPr>
          <w:p w14:paraId="0FDBABEF" w14:textId="77777777" w:rsidR="00FC42A7" w:rsidRPr="00465A16" w:rsidRDefault="00FC42A7" w:rsidP="009225E6">
            <w:pPr>
              <w:spacing w:after="0" w:line="24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Proyección Dic</w:t>
            </w:r>
          </w:p>
        </w:tc>
        <w:tc>
          <w:tcPr>
            <w:tcW w:w="1559" w:type="dxa"/>
            <w:tcBorders>
              <w:top w:val="single" w:sz="4" w:space="0" w:color="auto"/>
              <w:left w:val="nil"/>
              <w:bottom w:val="single" w:sz="4" w:space="0" w:color="auto"/>
              <w:right w:val="single" w:sz="4" w:space="0" w:color="auto"/>
            </w:tcBorders>
            <w:shd w:val="clear" w:color="auto" w:fill="011C50"/>
            <w:vAlign w:val="center"/>
          </w:tcPr>
          <w:p w14:paraId="795F9BA7" w14:textId="77777777" w:rsidR="00FC42A7" w:rsidRPr="00465A16" w:rsidRDefault="00FC42A7" w:rsidP="009225E6">
            <w:pPr>
              <w:spacing w:after="0" w:line="24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Total c/ proyección</w:t>
            </w:r>
          </w:p>
        </w:tc>
      </w:tr>
      <w:tr w:rsidR="00FC42A7" w:rsidRPr="00465A16" w14:paraId="6394FB02" w14:textId="77777777" w:rsidTr="00A906F0">
        <w:trPr>
          <w:trHeight w:val="354"/>
        </w:trPr>
        <w:tc>
          <w:tcPr>
            <w:tcW w:w="3397" w:type="dxa"/>
            <w:tcBorders>
              <w:top w:val="nil"/>
              <w:left w:val="single" w:sz="4" w:space="0" w:color="auto"/>
              <w:bottom w:val="single" w:sz="4" w:space="0" w:color="auto"/>
              <w:right w:val="single" w:sz="4" w:space="0" w:color="auto"/>
            </w:tcBorders>
            <w:vAlign w:val="center"/>
            <w:hideMark/>
          </w:tcPr>
          <w:p w14:paraId="24E06C7C" w14:textId="77777777" w:rsidR="00FC42A7" w:rsidRPr="00AF327F" w:rsidRDefault="00FC42A7" w:rsidP="009225E6">
            <w:pPr>
              <w:spacing w:after="0" w:line="240" w:lineRule="auto"/>
              <w:rPr>
                <w:rFonts w:eastAsia="Calibri"/>
              </w:rPr>
            </w:pPr>
            <w:r w:rsidRPr="00AF327F">
              <w:rPr>
                <w:rFonts w:eastAsia="Calibri"/>
              </w:rPr>
              <w:t>Becas Institucionales</w:t>
            </w:r>
          </w:p>
        </w:tc>
        <w:tc>
          <w:tcPr>
            <w:tcW w:w="1560" w:type="dxa"/>
            <w:tcBorders>
              <w:top w:val="nil"/>
              <w:left w:val="nil"/>
              <w:bottom w:val="single" w:sz="4" w:space="0" w:color="auto"/>
              <w:right w:val="single" w:sz="4" w:space="0" w:color="auto"/>
            </w:tcBorders>
            <w:noWrap/>
            <w:vAlign w:val="center"/>
          </w:tcPr>
          <w:p w14:paraId="50AE9F6C" w14:textId="77777777" w:rsidR="00FC42A7" w:rsidRPr="00AF327F" w:rsidRDefault="00FC42A7" w:rsidP="009225E6">
            <w:pPr>
              <w:spacing w:after="0" w:line="240" w:lineRule="auto"/>
              <w:jc w:val="center"/>
              <w:rPr>
                <w:rFonts w:eastAsia="Calibri"/>
              </w:rPr>
            </w:pPr>
            <w:r w:rsidRPr="00AF327F">
              <w:rPr>
                <w:rFonts w:eastAsia="Calibri"/>
              </w:rPr>
              <w:t>665</w:t>
            </w:r>
          </w:p>
        </w:tc>
        <w:tc>
          <w:tcPr>
            <w:tcW w:w="1559" w:type="dxa"/>
            <w:tcBorders>
              <w:top w:val="nil"/>
              <w:left w:val="nil"/>
              <w:bottom w:val="single" w:sz="4" w:space="0" w:color="auto"/>
              <w:right w:val="single" w:sz="4" w:space="0" w:color="auto"/>
            </w:tcBorders>
            <w:vAlign w:val="center"/>
          </w:tcPr>
          <w:p w14:paraId="5626CBEC" w14:textId="77777777" w:rsidR="00FC42A7" w:rsidRPr="00AF327F" w:rsidRDefault="00FC42A7" w:rsidP="009225E6">
            <w:pPr>
              <w:spacing w:after="0" w:line="240" w:lineRule="auto"/>
              <w:jc w:val="center"/>
              <w:rPr>
                <w:rFonts w:eastAsia="Calibri"/>
              </w:rPr>
            </w:pPr>
            <w:r w:rsidRPr="00AF327F">
              <w:rPr>
                <w:rFonts w:eastAsia="Calibri"/>
              </w:rPr>
              <w:t>62</w:t>
            </w:r>
          </w:p>
        </w:tc>
        <w:tc>
          <w:tcPr>
            <w:tcW w:w="1559" w:type="dxa"/>
            <w:tcBorders>
              <w:top w:val="nil"/>
              <w:left w:val="nil"/>
              <w:bottom w:val="single" w:sz="4" w:space="0" w:color="auto"/>
              <w:right w:val="single" w:sz="4" w:space="0" w:color="auto"/>
            </w:tcBorders>
            <w:vAlign w:val="center"/>
          </w:tcPr>
          <w:p w14:paraId="296A06D6" w14:textId="77777777" w:rsidR="00FC42A7" w:rsidRPr="00AF327F" w:rsidRDefault="00FC42A7" w:rsidP="009225E6">
            <w:pPr>
              <w:spacing w:after="0" w:line="240" w:lineRule="auto"/>
              <w:jc w:val="center"/>
              <w:rPr>
                <w:rFonts w:eastAsia="Calibri"/>
              </w:rPr>
            </w:pPr>
            <w:r w:rsidRPr="00AF327F">
              <w:rPr>
                <w:rFonts w:eastAsia="Calibri"/>
              </w:rPr>
              <w:t>727</w:t>
            </w:r>
          </w:p>
        </w:tc>
      </w:tr>
      <w:tr w:rsidR="00FC42A7" w:rsidRPr="00465A16" w14:paraId="62796E1E" w14:textId="77777777" w:rsidTr="00A906F0">
        <w:trPr>
          <w:trHeight w:val="354"/>
        </w:trPr>
        <w:tc>
          <w:tcPr>
            <w:tcW w:w="3397" w:type="dxa"/>
            <w:tcBorders>
              <w:top w:val="nil"/>
              <w:left w:val="single" w:sz="4" w:space="0" w:color="auto"/>
              <w:bottom w:val="single" w:sz="4" w:space="0" w:color="auto"/>
              <w:right w:val="single" w:sz="4" w:space="0" w:color="auto"/>
            </w:tcBorders>
            <w:vAlign w:val="center"/>
            <w:hideMark/>
          </w:tcPr>
          <w:p w14:paraId="656E6F90" w14:textId="77777777" w:rsidR="00FC42A7" w:rsidRPr="00AF327F" w:rsidRDefault="00FC42A7" w:rsidP="009225E6">
            <w:pPr>
              <w:spacing w:after="0" w:line="240" w:lineRule="auto"/>
              <w:rPr>
                <w:rFonts w:eastAsia="Calibri"/>
              </w:rPr>
            </w:pPr>
            <w:r w:rsidRPr="00AF327F">
              <w:rPr>
                <w:rFonts w:eastAsia="Calibri"/>
              </w:rPr>
              <w:t>Becas Personales</w:t>
            </w:r>
          </w:p>
        </w:tc>
        <w:tc>
          <w:tcPr>
            <w:tcW w:w="1560" w:type="dxa"/>
            <w:tcBorders>
              <w:top w:val="nil"/>
              <w:left w:val="nil"/>
              <w:bottom w:val="single" w:sz="4" w:space="0" w:color="auto"/>
              <w:right w:val="single" w:sz="4" w:space="0" w:color="auto"/>
            </w:tcBorders>
            <w:noWrap/>
            <w:vAlign w:val="center"/>
          </w:tcPr>
          <w:p w14:paraId="58BAE078" w14:textId="77777777" w:rsidR="00FC42A7" w:rsidRPr="00AF327F" w:rsidRDefault="00FC42A7" w:rsidP="009225E6">
            <w:pPr>
              <w:spacing w:after="0" w:line="240" w:lineRule="auto"/>
              <w:jc w:val="center"/>
              <w:rPr>
                <w:rFonts w:eastAsia="Calibri"/>
              </w:rPr>
            </w:pPr>
            <w:r w:rsidRPr="00AF327F">
              <w:rPr>
                <w:rFonts w:eastAsia="Calibri"/>
              </w:rPr>
              <w:t>601</w:t>
            </w:r>
          </w:p>
        </w:tc>
        <w:tc>
          <w:tcPr>
            <w:tcW w:w="1559" w:type="dxa"/>
            <w:tcBorders>
              <w:top w:val="nil"/>
              <w:left w:val="nil"/>
              <w:bottom w:val="single" w:sz="4" w:space="0" w:color="auto"/>
              <w:right w:val="single" w:sz="4" w:space="0" w:color="auto"/>
            </w:tcBorders>
            <w:vAlign w:val="center"/>
          </w:tcPr>
          <w:p w14:paraId="144250C9" w14:textId="77777777" w:rsidR="00FC42A7" w:rsidRPr="00AF327F" w:rsidRDefault="00FC42A7" w:rsidP="009225E6">
            <w:pPr>
              <w:spacing w:after="0" w:line="240" w:lineRule="auto"/>
              <w:jc w:val="center"/>
              <w:rPr>
                <w:rFonts w:eastAsia="Calibri"/>
              </w:rPr>
            </w:pPr>
            <w:r w:rsidRPr="00AF327F">
              <w:rPr>
                <w:rFonts w:eastAsia="Calibri"/>
              </w:rPr>
              <w:t>55</w:t>
            </w:r>
          </w:p>
        </w:tc>
        <w:tc>
          <w:tcPr>
            <w:tcW w:w="1559" w:type="dxa"/>
            <w:tcBorders>
              <w:top w:val="nil"/>
              <w:left w:val="nil"/>
              <w:bottom w:val="single" w:sz="4" w:space="0" w:color="auto"/>
              <w:right w:val="single" w:sz="4" w:space="0" w:color="auto"/>
            </w:tcBorders>
            <w:vAlign w:val="center"/>
          </w:tcPr>
          <w:p w14:paraId="4F21E5CB" w14:textId="77777777" w:rsidR="00FC42A7" w:rsidRPr="00AF327F" w:rsidRDefault="00FC42A7" w:rsidP="009225E6">
            <w:pPr>
              <w:spacing w:after="0" w:line="240" w:lineRule="auto"/>
              <w:jc w:val="center"/>
              <w:rPr>
                <w:rFonts w:eastAsia="Calibri"/>
              </w:rPr>
            </w:pPr>
            <w:r w:rsidRPr="00AF327F">
              <w:rPr>
                <w:rFonts w:eastAsia="Calibri"/>
              </w:rPr>
              <w:t>656</w:t>
            </w:r>
          </w:p>
        </w:tc>
      </w:tr>
      <w:tr w:rsidR="00FC42A7" w:rsidRPr="00465A16" w14:paraId="75B55D97" w14:textId="77777777" w:rsidTr="00A906F0">
        <w:trPr>
          <w:trHeight w:val="354"/>
        </w:trPr>
        <w:tc>
          <w:tcPr>
            <w:tcW w:w="3397" w:type="dxa"/>
            <w:tcBorders>
              <w:top w:val="nil"/>
              <w:left w:val="single" w:sz="4" w:space="0" w:color="auto"/>
              <w:bottom w:val="single" w:sz="4" w:space="0" w:color="auto"/>
              <w:right w:val="single" w:sz="4" w:space="0" w:color="auto"/>
            </w:tcBorders>
            <w:vAlign w:val="center"/>
            <w:hideMark/>
          </w:tcPr>
          <w:p w14:paraId="678258C7" w14:textId="77777777" w:rsidR="00FC42A7" w:rsidRPr="00AF327F" w:rsidRDefault="00FC42A7" w:rsidP="009225E6">
            <w:pPr>
              <w:spacing w:after="0" w:line="240" w:lineRule="auto"/>
              <w:rPr>
                <w:rFonts w:eastAsia="Calibri"/>
              </w:rPr>
            </w:pPr>
            <w:r w:rsidRPr="00AF327F">
              <w:rPr>
                <w:rFonts w:eastAsia="Calibri"/>
              </w:rPr>
              <w:t>Bienes y Servicios</w:t>
            </w:r>
          </w:p>
        </w:tc>
        <w:tc>
          <w:tcPr>
            <w:tcW w:w="1560" w:type="dxa"/>
            <w:tcBorders>
              <w:top w:val="nil"/>
              <w:left w:val="nil"/>
              <w:bottom w:val="single" w:sz="4" w:space="0" w:color="auto"/>
              <w:right w:val="single" w:sz="4" w:space="0" w:color="auto"/>
            </w:tcBorders>
            <w:noWrap/>
            <w:vAlign w:val="center"/>
          </w:tcPr>
          <w:p w14:paraId="0E94A901" w14:textId="77777777" w:rsidR="00FC42A7" w:rsidRPr="00AF327F" w:rsidRDefault="00FC42A7" w:rsidP="009225E6">
            <w:pPr>
              <w:spacing w:after="0" w:line="240" w:lineRule="auto"/>
              <w:jc w:val="center"/>
              <w:rPr>
                <w:rFonts w:eastAsia="Calibri"/>
              </w:rPr>
            </w:pPr>
            <w:r w:rsidRPr="00AF327F">
              <w:rPr>
                <w:rFonts w:eastAsia="Calibri"/>
              </w:rPr>
              <w:t>12,859</w:t>
            </w:r>
          </w:p>
        </w:tc>
        <w:tc>
          <w:tcPr>
            <w:tcW w:w="1559" w:type="dxa"/>
            <w:tcBorders>
              <w:top w:val="nil"/>
              <w:left w:val="nil"/>
              <w:bottom w:val="single" w:sz="4" w:space="0" w:color="auto"/>
              <w:right w:val="single" w:sz="4" w:space="0" w:color="auto"/>
            </w:tcBorders>
            <w:vAlign w:val="center"/>
          </w:tcPr>
          <w:p w14:paraId="7824559D" w14:textId="77777777" w:rsidR="00FC42A7" w:rsidRPr="00AF327F" w:rsidRDefault="00FC42A7" w:rsidP="009225E6">
            <w:pPr>
              <w:spacing w:after="0" w:line="240" w:lineRule="auto"/>
              <w:jc w:val="center"/>
              <w:rPr>
                <w:rFonts w:eastAsia="Calibri"/>
              </w:rPr>
            </w:pPr>
            <w:r w:rsidRPr="00AF327F">
              <w:rPr>
                <w:rFonts w:eastAsia="Calibri"/>
              </w:rPr>
              <w:t>1,669</w:t>
            </w:r>
          </w:p>
        </w:tc>
        <w:tc>
          <w:tcPr>
            <w:tcW w:w="1559" w:type="dxa"/>
            <w:tcBorders>
              <w:top w:val="nil"/>
              <w:left w:val="nil"/>
              <w:bottom w:val="single" w:sz="4" w:space="0" w:color="auto"/>
              <w:right w:val="single" w:sz="4" w:space="0" w:color="auto"/>
            </w:tcBorders>
            <w:vAlign w:val="center"/>
          </w:tcPr>
          <w:p w14:paraId="24F56877" w14:textId="77777777" w:rsidR="00FC42A7" w:rsidRPr="00AF327F" w:rsidRDefault="00FC42A7" w:rsidP="009225E6">
            <w:pPr>
              <w:spacing w:after="0" w:line="240" w:lineRule="auto"/>
              <w:jc w:val="center"/>
              <w:rPr>
                <w:rFonts w:eastAsia="Calibri"/>
              </w:rPr>
            </w:pPr>
            <w:r w:rsidRPr="00AF327F">
              <w:rPr>
                <w:rFonts w:eastAsia="Calibri"/>
              </w:rPr>
              <w:t>14,528</w:t>
            </w:r>
          </w:p>
        </w:tc>
      </w:tr>
      <w:tr w:rsidR="00FC42A7" w:rsidRPr="00465A16" w14:paraId="78D5ECA0" w14:textId="77777777" w:rsidTr="00A906F0">
        <w:trPr>
          <w:trHeight w:val="354"/>
        </w:trPr>
        <w:tc>
          <w:tcPr>
            <w:tcW w:w="3397" w:type="dxa"/>
            <w:tcBorders>
              <w:top w:val="nil"/>
              <w:left w:val="single" w:sz="4" w:space="0" w:color="auto"/>
              <w:bottom w:val="single" w:sz="4" w:space="0" w:color="auto"/>
              <w:right w:val="single" w:sz="4" w:space="0" w:color="auto"/>
            </w:tcBorders>
            <w:vAlign w:val="center"/>
            <w:hideMark/>
          </w:tcPr>
          <w:p w14:paraId="49D46B2E" w14:textId="77777777" w:rsidR="00FC42A7" w:rsidRPr="00AF327F" w:rsidRDefault="00FC42A7" w:rsidP="009225E6">
            <w:pPr>
              <w:spacing w:after="0" w:line="240" w:lineRule="auto"/>
              <w:rPr>
                <w:rFonts w:eastAsia="Calibri"/>
              </w:rPr>
            </w:pPr>
            <w:r w:rsidRPr="00AF327F">
              <w:rPr>
                <w:rFonts w:eastAsia="Calibri"/>
              </w:rPr>
              <w:t>Convenios Institucionales</w:t>
            </w:r>
          </w:p>
        </w:tc>
        <w:tc>
          <w:tcPr>
            <w:tcW w:w="1560" w:type="dxa"/>
            <w:tcBorders>
              <w:top w:val="nil"/>
              <w:left w:val="nil"/>
              <w:bottom w:val="single" w:sz="4" w:space="0" w:color="auto"/>
              <w:right w:val="single" w:sz="4" w:space="0" w:color="auto"/>
            </w:tcBorders>
            <w:noWrap/>
            <w:vAlign w:val="center"/>
          </w:tcPr>
          <w:p w14:paraId="7520B154" w14:textId="77777777" w:rsidR="00FC42A7" w:rsidRPr="00AF327F" w:rsidRDefault="00FC42A7" w:rsidP="009225E6">
            <w:pPr>
              <w:spacing w:after="0" w:line="240" w:lineRule="auto"/>
              <w:jc w:val="center"/>
              <w:rPr>
                <w:rFonts w:eastAsia="Calibri"/>
              </w:rPr>
            </w:pPr>
            <w:r w:rsidRPr="00AF327F">
              <w:rPr>
                <w:rFonts w:eastAsia="Calibri"/>
              </w:rPr>
              <w:t>1,115</w:t>
            </w:r>
          </w:p>
        </w:tc>
        <w:tc>
          <w:tcPr>
            <w:tcW w:w="1559" w:type="dxa"/>
            <w:tcBorders>
              <w:top w:val="nil"/>
              <w:left w:val="nil"/>
              <w:bottom w:val="single" w:sz="4" w:space="0" w:color="auto"/>
              <w:right w:val="single" w:sz="4" w:space="0" w:color="auto"/>
            </w:tcBorders>
            <w:vAlign w:val="center"/>
          </w:tcPr>
          <w:p w14:paraId="023FD9C2" w14:textId="77777777" w:rsidR="00FC42A7" w:rsidRPr="00AF327F" w:rsidRDefault="00FC42A7" w:rsidP="009225E6">
            <w:pPr>
              <w:spacing w:after="0" w:line="240" w:lineRule="auto"/>
              <w:jc w:val="center"/>
              <w:rPr>
                <w:rFonts w:eastAsia="Calibri"/>
              </w:rPr>
            </w:pPr>
            <w:r w:rsidRPr="00AF327F">
              <w:rPr>
                <w:rFonts w:eastAsia="Calibri"/>
              </w:rPr>
              <w:t>102</w:t>
            </w:r>
          </w:p>
        </w:tc>
        <w:tc>
          <w:tcPr>
            <w:tcW w:w="1559" w:type="dxa"/>
            <w:tcBorders>
              <w:top w:val="nil"/>
              <w:left w:val="nil"/>
              <w:bottom w:val="single" w:sz="4" w:space="0" w:color="auto"/>
              <w:right w:val="single" w:sz="4" w:space="0" w:color="auto"/>
            </w:tcBorders>
            <w:vAlign w:val="center"/>
          </w:tcPr>
          <w:p w14:paraId="66918CDD" w14:textId="77777777" w:rsidR="00FC42A7" w:rsidRPr="00AF327F" w:rsidRDefault="00FC42A7" w:rsidP="009225E6">
            <w:pPr>
              <w:spacing w:after="0" w:line="240" w:lineRule="auto"/>
              <w:jc w:val="center"/>
              <w:rPr>
                <w:rFonts w:eastAsia="Calibri"/>
              </w:rPr>
            </w:pPr>
            <w:r w:rsidRPr="00AF327F">
              <w:rPr>
                <w:rFonts w:eastAsia="Calibri"/>
              </w:rPr>
              <w:t>1,217</w:t>
            </w:r>
          </w:p>
        </w:tc>
      </w:tr>
      <w:tr w:rsidR="00FC42A7" w:rsidRPr="00465A16" w14:paraId="7E5A9350" w14:textId="77777777" w:rsidTr="00A906F0">
        <w:trPr>
          <w:trHeight w:val="354"/>
        </w:trPr>
        <w:tc>
          <w:tcPr>
            <w:tcW w:w="3397" w:type="dxa"/>
            <w:tcBorders>
              <w:top w:val="nil"/>
              <w:left w:val="single" w:sz="4" w:space="0" w:color="auto"/>
              <w:bottom w:val="single" w:sz="4" w:space="0" w:color="auto"/>
              <w:right w:val="single" w:sz="4" w:space="0" w:color="auto"/>
            </w:tcBorders>
            <w:vAlign w:val="center"/>
            <w:hideMark/>
          </w:tcPr>
          <w:p w14:paraId="41E3AE03" w14:textId="77777777" w:rsidR="00FC42A7" w:rsidRPr="00AF327F" w:rsidRDefault="00FC42A7" w:rsidP="009225E6">
            <w:pPr>
              <w:spacing w:after="0" w:line="240" w:lineRule="auto"/>
              <w:rPr>
                <w:rFonts w:eastAsia="Calibri"/>
              </w:rPr>
            </w:pPr>
            <w:r w:rsidRPr="00AF327F">
              <w:rPr>
                <w:rFonts w:eastAsia="Calibri"/>
              </w:rPr>
              <w:t>Obras</w:t>
            </w:r>
          </w:p>
        </w:tc>
        <w:tc>
          <w:tcPr>
            <w:tcW w:w="1560" w:type="dxa"/>
            <w:tcBorders>
              <w:top w:val="nil"/>
              <w:left w:val="nil"/>
              <w:bottom w:val="single" w:sz="4" w:space="0" w:color="auto"/>
              <w:right w:val="single" w:sz="4" w:space="0" w:color="auto"/>
            </w:tcBorders>
            <w:noWrap/>
            <w:vAlign w:val="center"/>
          </w:tcPr>
          <w:p w14:paraId="5697748B" w14:textId="77777777" w:rsidR="00FC42A7" w:rsidRPr="00AF327F" w:rsidRDefault="00FC42A7" w:rsidP="009225E6">
            <w:pPr>
              <w:spacing w:after="0" w:line="240" w:lineRule="auto"/>
              <w:jc w:val="center"/>
              <w:rPr>
                <w:rFonts w:eastAsia="Calibri"/>
              </w:rPr>
            </w:pPr>
            <w:r w:rsidRPr="00AF327F">
              <w:rPr>
                <w:rFonts w:eastAsia="Calibri"/>
              </w:rPr>
              <w:t>2,744</w:t>
            </w:r>
          </w:p>
        </w:tc>
        <w:tc>
          <w:tcPr>
            <w:tcW w:w="1559" w:type="dxa"/>
            <w:tcBorders>
              <w:top w:val="nil"/>
              <w:left w:val="nil"/>
              <w:bottom w:val="single" w:sz="4" w:space="0" w:color="auto"/>
              <w:right w:val="single" w:sz="4" w:space="0" w:color="auto"/>
            </w:tcBorders>
            <w:vAlign w:val="center"/>
          </w:tcPr>
          <w:p w14:paraId="0B5ECEF8" w14:textId="77777777" w:rsidR="00FC42A7" w:rsidRPr="00AF327F" w:rsidRDefault="00FC42A7" w:rsidP="009225E6">
            <w:pPr>
              <w:spacing w:after="0" w:line="240" w:lineRule="auto"/>
              <w:jc w:val="center"/>
              <w:rPr>
                <w:rFonts w:eastAsia="Calibri"/>
              </w:rPr>
            </w:pPr>
            <w:r w:rsidRPr="00AF327F">
              <w:rPr>
                <w:rFonts w:eastAsia="Calibri"/>
              </w:rPr>
              <w:t>403</w:t>
            </w:r>
          </w:p>
        </w:tc>
        <w:tc>
          <w:tcPr>
            <w:tcW w:w="1559" w:type="dxa"/>
            <w:tcBorders>
              <w:top w:val="nil"/>
              <w:left w:val="nil"/>
              <w:bottom w:val="single" w:sz="4" w:space="0" w:color="auto"/>
              <w:right w:val="single" w:sz="4" w:space="0" w:color="auto"/>
            </w:tcBorders>
            <w:vAlign w:val="center"/>
          </w:tcPr>
          <w:p w14:paraId="4F36A4BC" w14:textId="77777777" w:rsidR="00FC42A7" w:rsidRPr="00AF327F" w:rsidRDefault="00FC42A7" w:rsidP="009225E6">
            <w:pPr>
              <w:spacing w:after="0" w:line="240" w:lineRule="auto"/>
              <w:jc w:val="center"/>
              <w:rPr>
                <w:rFonts w:eastAsia="Calibri"/>
              </w:rPr>
            </w:pPr>
            <w:r w:rsidRPr="00AF327F">
              <w:rPr>
                <w:rFonts w:eastAsia="Calibri"/>
              </w:rPr>
              <w:t>3,147</w:t>
            </w:r>
          </w:p>
        </w:tc>
      </w:tr>
      <w:tr w:rsidR="009225E6" w:rsidRPr="00465A16" w14:paraId="52BFFEDA" w14:textId="77777777" w:rsidTr="00A906F0">
        <w:trPr>
          <w:trHeight w:val="354"/>
        </w:trPr>
        <w:tc>
          <w:tcPr>
            <w:tcW w:w="3397" w:type="dxa"/>
            <w:tcBorders>
              <w:top w:val="nil"/>
              <w:left w:val="single" w:sz="4" w:space="0" w:color="auto"/>
              <w:bottom w:val="single" w:sz="4" w:space="0" w:color="auto"/>
              <w:right w:val="single" w:sz="4" w:space="0" w:color="auto"/>
            </w:tcBorders>
            <w:vAlign w:val="center"/>
          </w:tcPr>
          <w:p w14:paraId="4B05E887" w14:textId="5A2EED1F" w:rsidR="009225E6" w:rsidRPr="00AF327F" w:rsidRDefault="009225E6" w:rsidP="009225E6">
            <w:pPr>
              <w:spacing w:after="0" w:line="240" w:lineRule="auto"/>
              <w:rPr>
                <w:rFonts w:eastAsia="Calibri"/>
              </w:rPr>
            </w:pPr>
            <w:r w:rsidRPr="00AF327F">
              <w:rPr>
                <w:rFonts w:eastAsia="Calibri"/>
              </w:rPr>
              <w:t>Servicios Personales</w:t>
            </w:r>
          </w:p>
        </w:tc>
        <w:tc>
          <w:tcPr>
            <w:tcW w:w="1560" w:type="dxa"/>
            <w:tcBorders>
              <w:top w:val="nil"/>
              <w:left w:val="nil"/>
              <w:bottom w:val="single" w:sz="4" w:space="0" w:color="auto"/>
              <w:right w:val="single" w:sz="4" w:space="0" w:color="auto"/>
            </w:tcBorders>
            <w:noWrap/>
            <w:vAlign w:val="center"/>
          </w:tcPr>
          <w:p w14:paraId="3CB65DEE" w14:textId="554B9554" w:rsidR="009225E6" w:rsidRPr="00AF327F" w:rsidRDefault="009225E6" w:rsidP="009225E6">
            <w:pPr>
              <w:spacing w:after="0" w:line="240" w:lineRule="auto"/>
              <w:jc w:val="center"/>
              <w:rPr>
                <w:rFonts w:eastAsia="Calibri"/>
              </w:rPr>
            </w:pPr>
            <w:r w:rsidRPr="00AF327F">
              <w:rPr>
                <w:rFonts w:eastAsia="Calibri"/>
              </w:rPr>
              <w:t>2</w:t>
            </w:r>
          </w:p>
        </w:tc>
        <w:tc>
          <w:tcPr>
            <w:tcW w:w="1559" w:type="dxa"/>
            <w:tcBorders>
              <w:top w:val="nil"/>
              <w:left w:val="nil"/>
              <w:bottom w:val="single" w:sz="4" w:space="0" w:color="auto"/>
              <w:right w:val="single" w:sz="4" w:space="0" w:color="auto"/>
            </w:tcBorders>
            <w:vAlign w:val="center"/>
          </w:tcPr>
          <w:p w14:paraId="3B3E59F7" w14:textId="4FAC93E7" w:rsidR="009225E6" w:rsidRPr="00AF327F" w:rsidRDefault="009225E6" w:rsidP="009225E6">
            <w:pPr>
              <w:spacing w:after="0" w:line="240" w:lineRule="auto"/>
              <w:jc w:val="center"/>
              <w:rPr>
                <w:rFonts w:eastAsia="Calibri"/>
              </w:rPr>
            </w:pPr>
            <w:r w:rsidRPr="00AF327F">
              <w:rPr>
                <w:rFonts w:eastAsia="Calibri"/>
              </w:rPr>
              <w:t>-</w:t>
            </w:r>
          </w:p>
        </w:tc>
        <w:tc>
          <w:tcPr>
            <w:tcW w:w="1559" w:type="dxa"/>
            <w:tcBorders>
              <w:top w:val="nil"/>
              <w:left w:val="nil"/>
              <w:bottom w:val="single" w:sz="4" w:space="0" w:color="auto"/>
              <w:right w:val="single" w:sz="4" w:space="0" w:color="auto"/>
            </w:tcBorders>
            <w:vAlign w:val="center"/>
          </w:tcPr>
          <w:p w14:paraId="620E1EC9" w14:textId="2AB2DD56" w:rsidR="009225E6" w:rsidRPr="00AF327F" w:rsidRDefault="009225E6" w:rsidP="009225E6">
            <w:pPr>
              <w:spacing w:after="0" w:line="240" w:lineRule="auto"/>
              <w:jc w:val="center"/>
              <w:rPr>
                <w:rFonts w:eastAsia="Calibri"/>
              </w:rPr>
            </w:pPr>
            <w:r w:rsidRPr="00AF327F">
              <w:rPr>
                <w:rFonts w:eastAsia="Calibri"/>
              </w:rPr>
              <w:t>2</w:t>
            </w:r>
          </w:p>
        </w:tc>
      </w:tr>
      <w:tr w:rsidR="00A906F0" w:rsidRPr="00465A16" w14:paraId="3C742CE3" w14:textId="77777777" w:rsidTr="00A906F0">
        <w:trPr>
          <w:trHeight w:val="354"/>
        </w:trPr>
        <w:tc>
          <w:tcPr>
            <w:tcW w:w="3397" w:type="dxa"/>
            <w:tcBorders>
              <w:top w:val="nil"/>
              <w:left w:val="single" w:sz="4" w:space="0" w:color="auto"/>
              <w:bottom w:val="single" w:sz="4" w:space="0" w:color="auto"/>
              <w:right w:val="single" w:sz="4" w:space="0" w:color="auto"/>
            </w:tcBorders>
            <w:vAlign w:val="center"/>
          </w:tcPr>
          <w:p w14:paraId="73D26E27" w14:textId="55097E46" w:rsidR="009225E6" w:rsidRPr="00AF327F" w:rsidRDefault="009225E6" w:rsidP="009225E6">
            <w:pPr>
              <w:spacing w:after="0" w:line="240" w:lineRule="auto"/>
              <w:rPr>
                <w:rFonts w:eastAsia="Calibri"/>
              </w:rPr>
            </w:pPr>
            <w:r w:rsidRPr="00AF327F">
              <w:rPr>
                <w:rFonts w:eastAsia="Calibri"/>
              </w:rPr>
              <w:t>Rescisiones de Contratos</w:t>
            </w:r>
          </w:p>
        </w:tc>
        <w:tc>
          <w:tcPr>
            <w:tcW w:w="1560" w:type="dxa"/>
            <w:tcBorders>
              <w:top w:val="nil"/>
              <w:left w:val="nil"/>
              <w:bottom w:val="single" w:sz="4" w:space="0" w:color="auto"/>
              <w:right w:val="single" w:sz="4" w:space="0" w:color="auto"/>
            </w:tcBorders>
            <w:noWrap/>
            <w:vAlign w:val="center"/>
          </w:tcPr>
          <w:p w14:paraId="6AD8C560" w14:textId="0E63825D" w:rsidR="009225E6" w:rsidRPr="00AF327F" w:rsidRDefault="009225E6" w:rsidP="009225E6">
            <w:pPr>
              <w:spacing w:after="0" w:line="240" w:lineRule="auto"/>
              <w:jc w:val="center"/>
              <w:rPr>
                <w:rFonts w:eastAsia="Calibri"/>
              </w:rPr>
            </w:pPr>
            <w:r w:rsidRPr="00AF327F">
              <w:rPr>
                <w:rFonts w:eastAsia="Calibri"/>
              </w:rPr>
              <w:t>2,073</w:t>
            </w:r>
          </w:p>
        </w:tc>
        <w:tc>
          <w:tcPr>
            <w:tcW w:w="1559" w:type="dxa"/>
            <w:tcBorders>
              <w:top w:val="nil"/>
              <w:left w:val="nil"/>
              <w:bottom w:val="single" w:sz="4" w:space="0" w:color="auto"/>
              <w:right w:val="single" w:sz="4" w:space="0" w:color="auto"/>
            </w:tcBorders>
            <w:vAlign w:val="center"/>
          </w:tcPr>
          <w:p w14:paraId="1918F3C8" w14:textId="5436AD96" w:rsidR="009225E6" w:rsidRPr="00AF327F" w:rsidRDefault="00A906F0" w:rsidP="009225E6">
            <w:pPr>
              <w:spacing w:after="0" w:line="240" w:lineRule="auto"/>
              <w:jc w:val="center"/>
              <w:rPr>
                <w:rFonts w:eastAsia="Calibri"/>
              </w:rPr>
            </w:pPr>
            <w:r w:rsidRPr="00AF327F">
              <w:rPr>
                <w:rFonts w:eastAsia="Calibri"/>
              </w:rPr>
              <w:t>188</w:t>
            </w:r>
          </w:p>
        </w:tc>
        <w:tc>
          <w:tcPr>
            <w:tcW w:w="1559" w:type="dxa"/>
            <w:tcBorders>
              <w:top w:val="nil"/>
              <w:left w:val="nil"/>
              <w:bottom w:val="single" w:sz="4" w:space="0" w:color="auto"/>
              <w:right w:val="single" w:sz="4" w:space="0" w:color="auto"/>
            </w:tcBorders>
            <w:vAlign w:val="center"/>
          </w:tcPr>
          <w:p w14:paraId="6D4CF587" w14:textId="0AD8AA76" w:rsidR="009225E6" w:rsidRPr="00AF327F" w:rsidRDefault="009225E6" w:rsidP="009225E6">
            <w:pPr>
              <w:spacing w:after="0" w:line="240" w:lineRule="auto"/>
              <w:jc w:val="center"/>
              <w:rPr>
                <w:rFonts w:eastAsia="Calibri"/>
              </w:rPr>
            </w:pPr>
            <w:r w:rsidRPr="00AF327F">
              <w:rPr>
                <w:rFonts w:eastAsia="Calibri"/>
              </w:rPr>
              <w:t>-</w:t>
            </w:r>
          </w:p>
        </w:tc>
      </w:tr>
      <w:tr w:rsidR="00A906F0" w:rsidRPr="00465A16" w14:paraId="3668FA1E" w14:textId="77777777" w:rsidTr="00286C1C">
        <w:trPr>
          <w:trHeight w:val="216"/>
        </w:trPr>
        <w:tc>
          <w:tcPr>
            <w:tcW w:w="3397" w:type="dxa"/>
            <w:tcBorders>
              <w:top w:val="nil"/>
              <w:left w:val="single" w:sz="8" w:space="0" w:color="auto"/>
              <w:bottom w:val="single" w:sz="8" w:space="0" w:color="auto"/>
              <w:right w:val="single" w:sz="8" w:space="0" w:color="auto"/>
            </w:tcBorders>
            <w:shd w:val="clear" w:color="auto" w:fill="011C50"/>
            <w:noWrap/>
            <w:vAlign w:val="center"/>
            <w:hideMark/>
          </w:tcPr>
          <w:p w14:paraId="4FEAC938" w14:textId="77777777" w:rsidR="009225E6" w:rsidRPr="00465A16" w:rsidRDefault="009225E6" w:rsidP="009225E6">
            <w:pPr>
              <w:spacing w:after="0" w:line="240" w:lineRule="auto"/>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Total por mes</w:t>
            </w:r>
          </w:p>
        </w:tc>
        <w:tc>
          <w:tcPr>
            <w:tcW w:w="1560" w:type="dxa"/>
            <w:tcBorders>
              <w:top w:val="nil"/>
              <w:left w:val="nil"/>
              <w:bottom w:val="single" w:sz="8" w:space="0" w:color="auto"/>
              <w:right w:val="single" w:sz="8" w:space="0" w:color="auto"/>
            </w:tcBorders>
            <w:shd w:val="clear" w:color="auto" w:fill="011C50"/>
            <w:noWrap/>
            <w:vAlign w:val="center"/>
          </w:tcPr>
          <w:p w14:paraId="7D36517E" w14:textId="507E3C3D" w:rsidR="009225E6" w:rsidRPr="00465A16" w:rsidRDefault="009225E6" w:rsidP="009225E6">
            <w:pPr>
              <w:spacing w:after="0" w:line="24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20,059</w:t>
            </w:r>
          </w:p>
        </w:tc>
        <w:tc>
          <w:tcPr>
            <w:tcW w:w="1559" w:type="dxa"/>
            <w:tcBorders>
              <w:top w:val="nil"/>
              <w:left w:val="nil"/>
              <w:bottom w:val="single" w:sz="8" w:space="0" w:color="auto"/>
              <w:right w:val="single" w:sz="8" w:space="0" w:color="auto"/>
            </w:tcBorders>
            <w:shd w:val="clear" w:color="auto" w:fill="011C50"/>
            <w:vAlign w:val="center"/>
          </w:tcPr>
          <w:p w14:paraId="27E13B0C" w14:textId="31FB89CA" w:rsidR="009225E6" w:rsidRPr="00465A16" w:rsidRDefault="00A906F0" w:rsidP="009225E6">
            <w:pPr>
              <w:spacing w:after="0" w:line="24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2,479</w:t>
            </w:r>
          </w:p>
        </w:tc>
        <w:tc>
          <w:tcPr>
            <w:tcW w:w="1559" w:type="dxa"/>
            <w:tcBorders>
              <w:top w:val="nil"/>
              <w:left w:val="nil"/>
              <w:bottom w:val="single" w:sz="8" w:space="0" w:color="auto"/>
              <w:right w:val="single" w:sz="8" w:space="0" w:color="auto"/>
            </w:tcBorders>
            <w:shd w:val="clear" w:color="auto" w:fill="011C50"/>
            <w:vAlign w:val="center"/>
          </w:tcPr>
          <w:p w14:paraId="06A300F9" w14:textId="19E1DDEE" w:rsidR="009225E6" w:rsidRPr="00465A16" w:rsidRDefault="00A906F0" w:rsidP="009225E6">
            <w:pPr>
              <w:spacing w:after="0" w:line="240" w:lineRule="auto"/>
              <w:jc w:val="center"/>
              <w:rPr>
                <w:rFonts w:eastAsia="Times New Roman"/>
                <w:b/>
                <w:bCs/>
                <w:color w:val="FFFFFF" w:themeColor="background1"/>
                <w:spacing w:val="0"/>
                <w:lang w:eastAsia="es-DO"/>
              </w:rPr>
            </w:pPr>
            <w:r w:rsidRPr="00465A16">
              <w:rPr>
                <w:b/>
                <w:bCs/>
                <w:color w:val="FFFFFF" w:themeColor="background1"/>
              </w:rPr>
              <w:t>22,538</w:t>
            </w:r>
          </w:p>
        </w:tc>
      </w:tr>
    </w:tbl>
    <w:p w14:paraId="206851DE" w14:textId="603D8613" w:rsidR="006265A6" w:rsidRPr="00465A16" w:rsidRDefault="006265A6" w:rsidP="006265A6">
      <w:pPr>
        <w:spacing w:line="360" w:lineRule="auto"/>
        <w:jc w:val="center"/>
        <w:rPr>
          <w:rFonts w:eastAsia="Calibri"/>
          <w:color w:val="4C4747"/>
          <w:sz w:val="18"/>
          <w:szCs w:val="18"/>
        </w:rPr>
      </w:pPr>
      <w:r w:rsidRPr="00465A16">
        <w:rPr>
          <w:rFonts w:eastAsia="Calibri"/>
          <w:color w:val="4C4747"/>
          <w:sz w:val="18"/>
          <w:szCs w:val="18"/>
        </w:rPr>
        <w:t xml:space="preserve">Tabla </w:t>
      </w:r>
      <w:r w:rsidR="00010039" w:rsidRPr="00465A16">
        <w:rPr>
          <w:rFonts w:eastAsia="Calibri"/>
          <w:color w:val="4C4747"/>
          <w:sz w:val="18"/>
          <w:szCs w:val="18"/>
        </w:rPr>
        <w:t>8</w:t>
      </w:r>
      <w:r w:rsidRPr="00465A16">
        <w:rPr>
          <w:rFonts w:eastAsia="Calibri"/>
          <w:color w:val="4C4747"/>
          <w:sz w:val="18"/>
          <w:szCs w:val="18"/>
        </w:rPr>
        <w:t>. Registros de contratos</w:t>
      </w:r>
      <w:r w:rsidR="00010039" w:rsidRPr="00465A16">
        <w:rPr>
          <w:rFonts w:eastAsia="Calibri"/>
          <w:color w:val="4C4747"/>
          <w:sz w:val="18"/>
          <w:szCs w:val="18"/>
        </w:rPr>
        <w:t xml:space="preserve"> por tipo</w:t>
      </w:r>
      <w:r w:rsidRPr="00465A16">
        <w:rPr>
          <w:rFonts w:eastAsia="Calibri"/>
          <w:color w:val="4C4747"/>
          <w:sz w:val="18"/>
          <w:szCs w:val="18"/>
        </w:rPr>
        <w:t xml:space="preserve"> 202</w:t>
      </w:r>
      <w:r w:rsidR="00FC42A7" w:rsidRPr="00465A16">
        <w:rPr>
          <w:rFonts w:eastAsia="Calibri"/>
          <w:color w:val="4C4747"/>
          <w:sz w:val="18"/>
          <w:szCs w:val="18"/>
        </w:rPr>
        <w:t>5</w:t>
      </w:r>
    </w:p>
    <w:p w14:paraId="4F7CEF93" w14:textId="77777777" w:rsidR="0077472F" w:rsidRPr="0077472F" w:rsidRDefault="0077472F" w:rsidP="0077472F">
      <w:pPr>
        <w:spacing w:line="360" w:lineRule="auto"/>
        <w:jc w:val="center"/>
        <w:rPr>
          <w:rFonts w:eastAsia="Calibri"/>
          <w:i/>
          <w:iCs/>
        </w:rPr>
      </w:pPr>
      <w:r w:rsidRPr="0077472F">
        <w:rPr>
          <w:rFonts w:eastAsia="Calibri"/>
          <w:i/>
          <w:iCs/>
          <w:sz w:val="18"/>
          <w:szCs w:val="18"/>
        </w:rPr>
        <w:t>Fuente: Sistema TREcontrato</w:t>
      </w:r>
    </w:p>
    <w:p w14:paraId="5B6B87CA" w14:textId="77777777" w:rsidR="0077472F" w:rsidRDefault="0077472F" w:rsidP="00010039">
      <w:pPr>
        <w:spacing w:line="360" w:lineRule="auto"/>
        <w:jc w:val="center"/>
        <w:rPr>
          <w:rFonts w:eastAsia="Calibri"/>
          <w:color w:val="4C4747"/>
          <w:sz w:val="18"/>
          <w:szCs w:val="18"/>
        </w:rPr>
      </w:pPr>
    </w:p>
    <w:p w14:paraId="1499688A" w14:textId="0D60F389" w:rsidR="00010039" w:rsidRPr="008050BF" w:rsidRDefault="00010039" w:rsidP="00010039">
      <w:pPr>
        <w:spacing w:line="360" w:lineRule="auto"/>
        <w:jc w:val="center"/>
        <w:rPr>
          <w:rFonts w:eastAsia="Calibri"/>
          <w:sz w:val="18"/>
          <w:szCs w:val="18"/>
        </w:rPr>
      </w:pPr>
      <w:r w:rsidRPr="008050BF">
        <w:rPr>
          <w:rFonts w:eastAsia="Calibri"/>
          <w:sz w:val="18"/>
          <w:szCs w:val="18"/>
        </w:rPr>
        <w:lastRenderedPageBreak/>
        <w:t>Gráfico 4. Registros de contratos por tipo 202</w:t>
      </w:r>
      <w:r w:rsidR="00A906F0" w:rsidRPr="008050BF">
        <w:rPr>
          <w:rFonts w:eastAsia="Calibri"/>
          <w:sz w:val="18"/>
          <w:szCs w:val="18"/>
        </w:rPr>
        <w:t>5</w:t>
      </w:r>
    </w:p>
    <w:p w14:paraId="6223CD7E" w14:textId="77777777" w:rsidR="00E77640" w:rsidRPr="00465A16" w:rsidRDefault="00A906F0" w:rsidP="004A67E5">
      <w:pPr>
        <w:rPr>
          <w:color w:val="4C4747"/>
        </w:rPr>
      </w:pPr>
      <w:r w:rsidRPr="00465A16">
        <w:rPr>
          <w:noProof/>
        </w:rPr>
        <w:drawing>
          <wp:inline distT="0" distB="0" distL="0" distR="0" wp14:anchorId="6CD83398" wp14:editId="154249E9">
            <wp:extent cx="5181388" cy="1778000"/>
            <wp:effectExtent l="0" t="0" r="635" b="0"/>
            <wp:docPr id="2018143982" name="Gráfico 1">
              <a:extLst xmlns:a="http://schemas.openxmlformats.org/drawingml/2006/main">
                <a:ext uri="{FF2B5EF4-FFF2-40B4-BE49-F238E27FC236}">
                  <a16:creationId xmlns:a16="http://schemas.microsoft.com/office/drawing/2014/main" id="{C30F112F-4870-AF19-700B-41AB89026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28F37D6" w14:textId="77777777" w:rsidR="00E77640" w:rsidRPr="0077472F" w:rsidRDefault="00E77640" w:rsidP="00E77640">
      <w:pPr>
        <w:spacing w:line="360" w:lineRule="auto"/>
        <w:jc w:val="center"/>
        <w:rPr>
          <w:rFonts w:eastAsia="Calibri"/>
          <w:i/>
          <w:iCs/>
        </w:rPr>
      </w:pPr>
      <w:r w:rsidRPr="0077472F">
        <w:rPr>
          <w:rFonts w:eastAsia="Calibri"/>
          <w:i/>
          <w:iCs/>
          <w:sz w:val="18"/>
          <w:szCs w:val="18"/>
        </w:rPr>
        <w:t>Fuente: Sistema TREcontrato</w:t>
      </w:r>
    </w:p>
    <w:p w14:paraId="3B883918" w14:textId="443AC1EB" w:rsidR="004C5332" w:rsidRPr="00AF327F" w:rsidRDefault="004C5332" w:rsidP="00463C08">
      <w:pPr>
        <w:spacing w:line="360" w:lineRule="auto"/>
        <w:rPr>
          <w:b/>
          <w:bCs/>
        </w:rPr>
      </w:pPr>
      <w:r w:rsidRPr="00AF327F">
        <w:rPr>
          <w:b/>
          <w:bCs/>
        </w:rPr>
        <w:t>i. Fiscalización de obras públicas</w:t>
      </w:r>
    </w:p>
    <w:p w14:paraId="4089C1A8" w14:textId="5D87E9BE" w:rsidR="004C5332" w:rsidRPr="00AF327F" w:rsidRDefault="004C5332" w:rsidP="00463C08">
      <w:pPr>
        <w:spacing w:line="360" w:lineRule="auto"/>
        <w:jc w:val="both"/>
        <w:rPr>
          <w:rFonts w:eastAsia="Calibri"/>
        </w:rPr>
      </w:pPr>
      <w:r w:rsidRPr="00AF327F">
        <w:rPr>
          <w:rFonts w:eastAsia="Calibri"/>
        </w:rPr>
        <w:t>El Departamento de Ingeniería y Arquitectura tiene por objetivo asegurar, desde una perspectiva técnica, el adecuado uso de los recursos públicos destinados a obras y proyectos de infraestructura, en cumplimiento con el Sistema Nacional de Control Interno. Su función esencial es garantizar que las inversiones públicas se ejecuten bajo los principios de legalidad, transparencia, eficiencia y calidad, mediante la fiscalización técnica, el control de los procesos constructivos, la validación de cubicaciones y pagos, y la verificación del estricto cumplimiento de las normativas aplicables.</w:t>
      </w:r>
    </w:p>
    <w:p w14:paraId="4C5C67EA" w14:textId="5A6BB3BA" w:rsidR="004C5332" w:rsidRPr="00AF327F" w:rsidRDefault="00DF14C4" w:rsidP="00463C08">
      <w:pPr>
        <w:spacing w:line="360" w:lineRule="auto"/>
        <w:jc w:val="both"/>
        <w:rPr>
          <w:rFonts w:eastAsia="Calibri"/>
        </w:rPr>
      </w:pPr>
      <w:r w:rsidRPr="00AF327F">
        <w:rPr>
          <w:rFonts w:eastAsia="Calibri"/>
        </w:rPr>
        <w:t>Por otro lado</w:t>
      </w:r>
      <w:r w:rsidR="004C5332" w:rsidRPr="00AF327F">
        <w:rPr>
          <w:rFonts w:eastAsia="Calibri"/>
        </w:rPr>
        <w:t xml:space="preserve">, el </w:t>
      </w:r>
      <w:r w:rsidR="00814E76">
        <w:rPr>
          <w:rFonts w:eastAsia="Calibri"/>
        </w:rPr>
        <w:t>d</w:t>
      </w:r>
      <w:r w:rsidR="004C5332" w:rsidRPr="00AF327F">
        <w:rPr>
          <w:rFonts w:eastAsia="Calibri"/>
        </w:rPr>
        <w:t>epartamento asesora, controla y fiscaliza proyectos vinculados al acceso a la vivienda, infraestructura vial, transporte público, ordenamiento territorial, asentamientos humanos, seguridad vial, infraestructura aeroportuaria y de telecomunicaciones. Estas labores se desarrollan bajo mecanismos de control previo y posterior, conforme al ámbito de aplicación de la Ley</w:t>
      </w:r>
      <w:r w:rsidR="00E62E7B">
        <w:rPr>
          <w:rFonts w:eastAsia="Calibri"/>
        </w:rPr>
        <w:t xml:space="preserve"> N</w:t>
      </w:r>
      <w:r w:rsidR="00E62E7B" w:rsidRPr="00E62E7B">
        <w:rPr>
          <w:rFonts w:eastAsia="Calibri"/>
          <w:vertAlign w:val="superscript"/>
        </w:rPr>
        <w:t>o</w:t>
      </w:r>
      <w:r w:rsidR="00E62E7B">
        <w:rPr>
          <w:rFonts w:eastAsia="Calibri"/>
          <w:vertAlign w:val="superscript"/>
        </w:rPr>
        <w:t xml:space="preserve"> </w:t>
      </w:r>
      <w:r w:rsidR="004C5332" w:rsidRPr="00AF327F">
        <w:rPr>
          <w:rFonts w:eastAsia="Calibri"/>
        </w:rPr>
        <w:t>10-07 y demás disposiciones que rigen la gestión pública y la práctica profesional de la ingeniería y la arquitectura en la República Dominicana.</w:t>
      </w:r>
    </w:p>
    <w:p w14:paraId="0D1A7D0A" w14:textId="77777777" w:rsidR="00444B77" w:rsidRPr="00465A16" w:rsidRDefault="00444B77" w:rsidP="004C5332">
      <w:pPr>
        <w:spacing w:line="360" w:lineRule="auto"/>
        <w:jc w:val="both"/>
        <w:rPr>
          <w:color w:val="4A442A" w:themeColor="background2" w:themeShade="40"/>
        </w:rPr>
      </w:pPr>
    </w:p>
    <w:p w14:paraId="24204405" w14:textId="77777777" w:rsidR="00444B77" w:rsidRPr="00465A16" w:rsidRDefault="00444B77" w:rsidP="004C5332">
      <w:pPr>
        <w:spacing w:line="360" w:lineRule="auto"/>
        <w:jc w:val="both"/>
        <w:rPr>
          <w:color w:val="4A442A" w:themeColor="background2" w:themeShade="40"/>
        </w:rPr>
      </w:pPr>
    </w:p>
    <w:p w14:paraId="54DB4478" w14:textId="4C3B906B" w:rsidR="007837E5" w:rsidRPr="00AF327F" w:rsidRDefault="004C5332" w:rsidP="00463C08">
      <w:pPr>
        <w:spacing w:line="360" w:lineRule="auto"/>
        <w:jc w:val="both"/>
      </w:pPr>
      <w:r w:rsidRPr="00AF327F">
        <w:lastRenderedPageBreak/>
        <w:t>Durante el período enero–noviembre de 2025, el Departamento de Ingeniería y Arquitectura ejecutó el Plan de Fiscalización con un desempeño sostenido y alineado a los objetivos institucionales del Sistema Nacional de Control Interno</w:t>
      </w:r>
      <w:r w:rsidR="007837E5" w:rsidRPr="00AF327F">
        <w:t>.</w:t>
      </w:r>
    </w:p>
    <w:p w14:paraId="088F252A" w14:textId="77777777" w:rsidR="00E11638" w:rsidRPr="00AF327F" w:rsidRDefault="007837E5" w:rsidP="00463C08">
      <w:pPr>
        <w:spacing w:line="360" w:lineRule="auto"/>
        <w:jc w:val="both"/>
      </w:pPr>
      <w:r w:rsidRPr="00AF327F">
        <w:t xml:space="preserve">Si bien la planificación inicial contemplaba la fiscalización de 40 obras, la respuesta institucional permitió supervisar 72 proyectos durante el período, incluyendo los solicitados por Auditoría Interna, alertas de pago, requerimientos especiales y denuncias ciudadanas. </w:t>
      </w:r>
    </w:p>
    <w:p w14:paraId="0A4C1220" w14:textId="66EEB039" w:rsidR="007837E5" w:rsidRPr="00AF327F" w:rsidRDefault="007837E5" w:rsidP="00463C08">
      <w:pPr>
        <w:spacing w:line="360" w:lineRule="auto"/>
        <w:jc w:val="both"/>
      </w:pPr>
      <w:r w:rsidRPr="00AF327F">
        <w:t xml:space="preserve">Con la incorporación de 80 obras adicionales del MINERD, la proyección </w:t>
      </w:r>
      <w:r w:rsidR="008050BF">
        <w:t>para cierre de año</w:t>
      </w:r>
      <w:r w:rsidRPr="00AF327F">
        <w:t xml:space="preserve"> asciende a 152 fiscalizaciones.</w:t>
      </w:r>
    </w:p>
    <w:p w14:paraId="6227F766" w14:textId="77777777" w:rsidR="007837E5" w:rsidRPr="00AF327F" w:rsidRDefault="007837E5" w:rsidP="00463C08">
      <w:pPr>
        <w:spacing w:line="360" w:lineRule="auto"/>
        <w:jc w:val="both"/>
        <w:rPr>
          <w:rFonts w:eastAsia="Calibri"/>
        </w:rPr>
      </w:pPr>
      <w:r w:rsidRPr="00AF327F">
        <w:rPr>
          <w:rFonts w:eastAsia="Calibri"/>
        </w:rPr>
        <w:t>Este desempeño refleja una gestión técnica consolidada, con capacidad de respuesta ante requerimientos extraordinarios y un compromiso continuo con la transparencia, la rendición de cuentas y la protección de los recursos públicos destinados a obras de infraestructura.</w:t>
      </w:r>
    </w:p>
    <w:p w14:paraId="5F9CFAC4" w14:textId="405129FB" w:rsidR="007837E5" w:rsidRPr="00AF327F" w:rsidRDefault="007837E5" w:rsidP="00463C08">
      <w:pPr>
        <w:spacing w:line="360" w:lineRule="auto"/>
        <w:jc w:val="both"/>
        <w:rPr>
          <w:rFonts w:eastAsia="Calibri"/>
        </w:rPr>
      </w:pPr>
      <w:r w:rsidRPr="00AF327F">
        <w:rPr>
          <w:rFonts w:eastAsia="Calibri"/>
        </w:rPr>
        <w:t>La gestión del Departamento de Ingeniería a Arquitectura tuvo un rol clave en a la labor preventiva en el control de obras públicas, a saber:</w:t>
      </w:r>
    </w:p>
    <w:p w14:paraId="1CEED31D" w14:textId="567C00D2" w:rsidR="007837E5" w:rsidRPr="00AF327F" w:rsidRDefault="007837E5" w:rsidP="00463C08">
      <w:pPr>
        <w:spacing w:line="360" w:lineRule="auto"/>
        <w:jc w:val="both"/>
      </w:pPr>
      <w:r w:rsidRPr="00AF327F">
        <w:rPr>
          <w:b/>
          <w:bCs/>
        </w:rPr>
        <w:t>Proyecto Aprovechamiento Múltiple del Río Camú Presa de Guaigüí:</w:t>
      </w:r>
      <w:r w:rsidRPr="00AF327F">
        <w:t xml:space="preserve"> permitió verificar in situ el estado de las instalaciones transferidas entre entidades, el cumplimiento de los controles internos y la correcta administración de los recursos técnicos y financieros.</w:t>
      </w:r>
    </w:p>
    <w:p w14:paraId="1125BBC8" w14:textId="6E385160" w:rsidR="007837E5" w:rsidRPr="00AF327F" w:rsidRDefault="007837E5" w:rsidP="00463C08">
      <w:pPr>
        <w:spacing w:line="360" w:lineRule="auto"/>
        <w:jc w:val="both"/>
      </w:pPr>
      <w:r w:rsidRPr="00AF327F">
        <w:rPr>
          <w:b/>
          <w:bCs/>
        </w:rPr>
        <w:t>Centros educativos en Santiago:</w:t>
      </w:r>
      <w:r w:rsidRPr="00AF327F">
        <w:t xml:space="preserve"> los hallazgos estructurales identificados </w:t>
      </w:r>
      <w:r w:rsidRPr="003F75F6">
        <w:t>fueron remitidos de inmediato a las autoridades competentes, generando acciones correctivas para garantizar la seguridad y continuidad del serv</w:t>
      </w:r>
      <w:r w:rsidRPr="00AF327F">
        <w:t>icio educativo.</w:t>
      </w:r>
    </w:p>
    <w:p w14:paraId="5DE04884" w14:textId="77777777" w:rsidR="00444B77" w:rsidRPr="00465A16" w:rsidRDefault="00444B77" w:rsidP="008822D2">
      <w:pPr>
        <w:spacing w:line="360" w:lineRule="auto"/>
        <w:jc w:val="both"/>
        <w:rPr>
          <w:b/>
          <w:bCs/>
          <w:color w:val="4A442A" w:themeColor="background2" w:themeShade="40"/>
        </w:rPr>
      </w:pPr>
    </w:p>
    <w:p w14:paraId="19A87C39" w14:textId="00D8D808" w:rsidR="008822D2" w:rsidRPr="00AF327F" w:rsidRDefault="007837E5" w:rsidP="00463C08">
      <w:pPr>
        <w:spacing w:line="360" w:lineRule="auto"/>
        <w:jc w:val="both"/>
      </w:pPr>
      <w:r w:rsidRPr="00AF327F">
        <w:rPr>
          <w:b/>
          <w:bCs/>
        </w:rPr>
        <w:lastRenderedPageBreak/>
        <w:t>Fiscalizaciones solicitadas por la Unidad Antifraude:</w:t>
      </w:r>
      <w:r w:rsidRPr="00AF327F">
        <w:t xml:space="preserve"> aportaron información clave para la toma de decisiones en proyectos de alto impacto, tales como la </w:t>
      </w:r>
      <w:r w:rsidR="00520162">
        <w:t>l</w:t>
      </w:r>
      <w:r w:rsidRPr="00AF327F">
        <w:t xml:space="preserve">ínea 1B del </w:t>
      </w:r>
      <w:r w:rsidR="00B5769B">
        <w:t>m</w:t>
      </w:r>
      <w:r w:rsidRPr="00AF327F">
        <w:t xml:space="preserve">etro de Santo Domingo, el </w:t>
      </w:r>
      <w:r w:rsidR="00520162">
        <w:t>s</w:t>
      </w:r>
      <w:r w:rsidRPr="00AF327F">
        <w:t xml:space="preserve">istema </w:t>
      </w:r>
      <w:r w:rsidR="00520162">
        <w:t>p</w:t>
      </w:r>
      <w:r w:rsidRPr="00AF327F">
        <w:t xml:space="preserve">luvial y </w:t>
      </w:r>
      <w:r w:rsidR="00520162">
        <w:t>s</w:t>
      </w:r>
      <w:r w:rsidRPr="00AF327F">
        <w:t xml:space="preserve">anitario de la </w:t>
      </w:r>
      <w:r w:rsidR="00520162">
        <w:t>c</w:t>
      </w:r>
      <w:r w:rsidRPr="00AF327F">
        <w:t xml:space="preserve">añada Zoológico Nacional y la </w:t>
      </w:r>
      <w:r w:rsidR="00520162">
        <w:t>c</w:t>
      </w:r>
      <w:r w:rsidRPr="00AF327F">
        <w:t xml:space="preserve">arretera </w:t>
      </w:r>
      <w:r w:rsidR="00520162">
        <w:t>t</w:t>
      </w:r>
      <w:r w:rsidRPr="00AF327F">
        <w:t>urística La Cumbre.</w:t>
      </w:r>
    </w:p>
    <w:p w14:paraId="2DF419F5" w14:textId="0027F386" w:rsidR="008822D2" w:rsidRPr="00AF327F" w:rsidRDefault="008822D2" w:rsidP="00463C08">
      <w:pPr>
        <w:spacing w:line="360" w:lineRule="auto"/>
        <w:jc w:val="both"/>
        <w:rPr>
          <w:rFonts w:eastAsia="Calibri"/>
        </w:rPr>
      </w:pPr>
      <w:r w:rsidRPr="00AF327F">
        <w:rPr>
          <w:rFonts w:eastAsia="Calibri"/>
        </w:rPr>
        <w:t>Además</w:t>
      </w:r>
      <w:r w:rsidR="00E11638" w:rsidRPr="00AF327F">
        <w:rPr>
          <w:rFonts w:eastAsia="Calibri"/>
        </w:rPr>
        <w:t>,</w:t>
      </w:r>
      <w:r w:rsidRPr="00AF327F">
        <w:rPr>
          <w:rFonts w:eastAsia="Calibri"/>
        </w:rPr>
        <w:t xml:space="preserve"> en miras a fortalecer esta gestión, si ejecutó la primera fase del proyecto </w:t>
      </w:r>
      <w:r w:rsidRPr="00AF327F">
        <w:rPr>
          <w:rFonts w:eastAsia="Calibri"/>
          <w:b/>
          <w:bCs/>
        </w:rPr>
        <w:t>SIFGO (</w:t>
      </w:r>
      <w:r w:rsidRPr="00AF327F">
        <w:rPr>
          <w:b/>
          <w:bCs/>
        </w:rPr>
        <w:t>Sistema de Fiscalización Georreferenciada de Obras</w:t>
      </w:r>
      <w:r w:rsidRPr="00AF327F">
        <w:rPr>
          <w:rFonts w:eastAsia="Calibri"/>
          <w:b/>
          <w:bCs/>
        </w:rPr>
        <w:t>)</w:t>
      </w:r>
      <w:r w:rsidRPr="00AF327F">
        <w:rPr>
          <w:rFonts w:eastAsia="Calibri"/>
        </w:rPr>
        <w:t>,</w:t>
      </w:r>
      <w:r w:rsidR="00A44430" w:rsidRPr="00AF327F">
        <w:rPr>
          <w:rFonts w:eastAsia="Calibri"/>
        </w:rPr>
        <w:t xml:space="preserve"> que</w:t>
      </w:r>
      <w:r w:rsidRPr="00AF327F">
        <w:rPr>
          <w:rFonts w:eastAsia="Calibri"/>
        </w:rPr>
        <w:t xml:space="preserve"> tiene como propósito integrar en una plataforma tecnológica la información técnica, geoespacial y financiera de las obras públicas ejecutadas por el Gobierno </w:t>
      </w:r>
      <w:r w:rsidR="00A44430" w:rsidRPr="00AF327F">
        <w:rPr>
          <w:rFonts w:eastAsia="Calibri"/>
        </w:rPr>
        <w:t>Central, alcanzando un 50% de su implementación.</w:t>
      </w:r>
    </w:p>
    <w:p w14:paraId="586DDE5F" w14:textId="67CC946C" w:rsidR="008822D2" w:rsidRPr="00AF327F" w:rsidRDefault="008822D2" w:rsidP="00463C08">
      <w:pPr>
        <w:spacing w:line="360" w:lineRule="auto"/>
        <w:jc w:val="both"/>
      </w:pPr>
      <w:r w:rsidRPr="00AF327F">
        <w:rPr>
          <w:rFonts w:eastAsia="Calibri"/>
        </w:rPr>
        <w:t xml:space="preserve">Para estos fines fue suscrito un acuerdo con </w:t>
      </w:r>
      <w:r w:rsidRPr="00AF327F">
        <w:t xml:space="preserve">el </w:t>
      </w:r>
      <w:r w:rsidRPr="00AF327F">
        <w:rPr>
          <w:b/>
          <w:bCs/>
        </w:rPr>
        <w:t>Instituto Geográfico Nacional (IGN)</w:t>
      </w:r>
      <w:r w:rsidRPr="00AF327F">
        <w:t>, quien ha brindado cooperación técnica al proyecto en diversas áreas clave, incluyendo cartografía y geodesia, estandarización geoespacial y validación territorial de la información. Asimismo, ha ofrecido acompañamiento durante la fase piloto y soporte para garantizar la futura interoperabilidad del sistema.</w:t>
      </w:r>
    </w:p>
    <w:p w14:paraId="07B1EE44" w14:textId="115DDB73" w:rsidR="00A44430" w:rsidRPr="00AF327F" w:rsidRDefault="00A44430" w:rsidP="00463C08">
      <w:pPr>
        <w:spacing w:line="360" w:lineRule="auto"/>
        <w:jc w:val="both"/>
      </w:pPr>
      <w:bookmarkStart w:id="18" w:name="_Hlk217896758"/>
      <w:r w:rsidRPr="00AF327F">
        <w:t xml:space="preserve">Además, se ejecutó </w:t>
      </w:r>
      <w:r w:rsidR="00D552E9">
        <w:t xml:space="preserve">al 30 de noviembre </w:t>
      </w:r>
      <w:r w:rsidRPr="00AF327F">
        <w:t xml:space="preserve">un total de </w:t>
      </w:r>
      <w:r w:rsidR="00D552E9">
        <w:t>5</w:t>
      </w:r>
      <w:r w:rsidR="003F75F6">
        <w:t>,</w:t>
      </w:r>
      <w:r w:rsidR="00D552E9">
        <w:t>865</w:t>
      </w:r>
      <w:r w:rsidRPr="00AF327F">
        <w:t xml:space="preserve"> fichas técnicas de expedientes de obras, correspondientes a pagos de contratos, propuestas de equilibrio económico y revisión de contratos de obras.</w:t>
      </w:r>
      <w:r w:rsidR="00F503CA">
        <w:t xml:space="preserve"> Se proyecta para el cierre de año un total de </w:t>
      </w:r>
      <w:r w:rsidR="00D552E9" w:rsidRPr="00D552E9">
        <w:t>6,901</w:t>
      </w:r>
      <w:r w:rsidR="00F503CA">
        <w:t xml:space="preserve"> fichas emitidas</w:t>
      </w:r>
      <w:r w:rsidR="00D552E9">
        <w:t>, con 1,036 fichas más emitidas en diciembre.</w:t>
      </w:r>
    </w:p>
    <w:p w14:paraId="4FE74585" w14:textId="77777777" w:rsidR="00444B77" w:rsidRPr="00465A16" w:rsidRDefault="00444B77" w:rsidP="009B10A8">
      <w:pPr>
        <w:spacing w:line="360" w:lineRule="auto"/>
        <w:jc w:val="center"/>
        <w:rPr>
          <w:color w:val="4A442A" w:themeColor="background2" w:themeShade="40"/>
          <w:sz w:val="18"/>
          <w:szCs w:val="18"/>
        </w:rPr>
      </w:pPr>
    </w:p>
    <w:p w14:paraId="4C734E16" w14:textId="77777777" w:rsidR="00444B77" w:rsidRPr="00465A16" w:rsidRDefault="00444B77" w:rsidP="009B10A8">
      <w:pPr>
        <w:spacing w:line="360" w:lineRule="auto"/>
        <w:jc w:val="center"/>
        <w:rPr>
          <w:color w:val="4A442A" w:themeColor="background2" w:themeShade="40"/>
          <w:sz w:val="18"/>
          <w:szCs w:val="18"/>
        </w:rPr>
      </w:pPr>
    </w:p>
    <w:p w14:paraId="2CFCFF31" w14:textId="77777777" w:rsidR="00444B77" w:rsidRPr="00465A16" w:rsidRDefault="00444B77" w:rsidP="009B10A8">
      <w:pPr>
        <w:spacing w:line="360" w:lineRule="auto"/>
        <w:jc w:val="center"/>
        <w:rPr>
          <w:color w:val="4A442A" w:themeColor="background2" w:themeShade="40"/>
          <w:sz w:val="18"/>
          <w:szCs w:val="18"/>
        </w:rPr>
      </w:pPr>
    </w:p>
    <w:p w14:paraId="4C07707E" w14:textId="77777777" w:rsidR="00444B77" w:rsidRPr="00465A16" w:rsidRDefault="00444B77" w:rsidP="009B10A8">
      <w:pPr>
        <w:spacing w:line="360" w:lineRule="auto"/>
        <w:jc w:val="center"/>
        <w:rPr>
          <w:color w:val="4A442A" w:themeColor="background2" w:themeShade="40"/>
          <w:sz w:val="18"/>
          <w:szCs w:val="18"/>
        </w:rPr>
      </w:pPr>
    </w:p>
    <w:p w14:paraId="6AFA02E9" w14:textId="77777777" w:rsidR="00444B77" w:rsidRPr="00465A16" w:rsidRDefault="00444B77" w:rsidP="009B10A8">
      <w:pPr>
        <w:spacing w:line="360" w:lineRule="auto"/>
        <w:jc w:val="center"/>
        <w:rPr>
          <w:color w:val="4A442A" w:themeColor="background2" w:themeShade="40"/>
          <w:sz w:val="18"/>
          <w:szCs w:val="18"/>
        </w:rPr>
      </w:pPr>
    </w:p>
    <w:p w14:paraId="2595E758" w14:textId="77777777" w:rsidR="00444B77" w:rsidRDefault="00444B77" w:rsidP="009B10A8">
      <w:pPr>
        <w:spacing w:line="360" w:lineRule="auto"/>
        <w:jc w:val="center"/>
        <w:rPr>
          <w:color w:val="4A442A" w:themeColor="background2" w:themeShade="40"/>
          <w:sz w:val="18"/>
          <w:szCs w:val="18"/>
        </w:rPr>
      </w:pPr>
    </w:p>
    <w:p w14:paraId="25B4B289" w14:textId="19ECBB85" w:rsidR="009B10A8" w:rsidRDefault="009B10A8" w:rsidP="009B10A8">
      <w:pPr>
        <w:spacing w:line="360" w:lineRule="auto"/>
        <w:jc w:val="center"/>
        <w:rPr>
          <w:sz w:val="18"/>
          <w:szCs w:val="18"/>
        </w:rPr>
      </w:pPr>
      <w:r w:rsidRPr="00AF327F">
        <w:rPr>
          <w:sz w:val="18"/>
          <w:szCs w:val="18"/>
        </w:rPr>
        <w:lastRenderedPageBreak/>
        <w:t>Tabla 9. Revisiones de Pagos de Obras</w:t>
      </w:r>
      <w:r w:rsidR="0016240D">
        <w:rPr>
          <w:sz w:val="18"/>
          <w:szCs w:val="18"/>
        </w:rPr>
        <w:t xml:space="preserve"> 2025</w:t>
      </w:r>
    </w:p>
    <w:tbl>
      <w:tblPr>
        <w:tblpPr w:leftFromText="141" w:rightFromText="141" w:horzAnchor="margin" w:tblpXSpec="center" w:tblpY="274"/>
        <w:tblW w:w="6941" w:type="dxa"/>
        <w:tblCellMar>
          <w:left w:w="70" w:type="dxa"/>
          <w:right w:w="70" w:type="dxa"/>
        </w:tblCellMar>
        <w:tblLook w:val="04A0" w:firstRow="1" w:lastRow="0" w:firstColumn="1" w:lastColumn="0" w:noHBand="0" w:noVBand="1"/>
      </w:tblPr>
      <w:tblGrid>
        <w:gridCol w:w="2380"/>
        <w:gridCol w:w="1584"/>
        <w:gridCol w:w="1560"/>
        <w:gridCol w:w="1417"/>
      </w:tblGrid>
      <w:tr w:rsidR="00D552E9" w:rsidRPr="00D552E9" w14:paraId="1D061EBE" w14:textId="77777777" w:rsidTr="00D552E9">
        <w:trPr>
          <w:trHeight w:val="312"/>
        </w:trPr>
        <w:tc>
          <w:tcPr>
            <w:tcW w:w="2380"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3D39F084" w14:textId="77777777" w:rsidR="00D552E9" w:rsidRPr="00D552E9" w:rsidRDefault="00D552E9" w:rsidP="00D552E9">
            <w:pPr>
              <w:spacing w:after="0" w:line="240" w:lineRule="auto"/>
              <w:jc w:val="center"/>
              <w:rPr>
                <w:rFonts w:eastAsia="Times New Roman"/>
                <w:b/>
                <w:bCs/>
                <w:color w:val="FFFFFF"/>
                <w:spacing w:val="0"/>
                <w:lang w:eastAsia="es-DO"/>
              </w:rPr>
            </w:pPr>
            <w:r w:rsidRPr="00D552E9">
              <w:rPr>
                <w:rFonts w:eastAsia="Times New Roman"/>
                <w:b/>
                <w:bCs/>
                <w:color w:val="FFFFFF"/>
                <w:spacing w:val="0"/>
                <w:lang w:eastAsia="es-DO"/>
              </w:rPr>
              <w:t>Unidad</w:t>
            </w:r>
          </w:p>
        </w:tc>
        <w:tc>
          <w:tcPr>
            <w:tcW w:w="1584" w:type="dxa"/>
            <w:tcBorders>
              <w:top w:val="single" w:sz="4" w:space="0" w:color="auto"/>
              <w:left w:val="nil"/>
              <w:bottom w:val="single" w:sz="4" w:space="0" w:color="auto"/>
              <w:right w:val="single" w:sz="4" w:space="0" w:color="auto"/>
            </w:tcBorders>
            <w:shd w:val="clear" w:color="000000" w:fill="011C50"/>
            <w:vAlign w:val="center"/>
            <w:hideMark/>
          </w:tcPr>
          <w:p w14:paraId="72CCC0DB" w14:textId="77777777" w:rsidR="00D552E9" w:rsidRPr="00D552E9" w:rsidRDefault="00D552E9" w:rsidP="00D552E9">
            <w:pPr>
              <w:spacing w:after="0" w:line="240" w:lineRule="auto"/>
              <w:jc w:val="center"/>
              <w:rPr>
                <w:rFonts w:eastAsia="Times New Roman"/>
                <w:b/>
                <w:bCs/>
                <w:color w:val="FFFFFF"/>
                <w:spacing w:val="0"/>
                <w:lang w:eastAsia="es-DO"/>
              </w:rPr>
            </w:pPr>
            <w:r w:rsidRPr="00D552E9">
              <w:rPr>
                <w:rFonts w:eastAsia="Times New Roman"/>
                <w:b/>
                <w:bCs/>
                <w:color w:val="FFFFFF"/>
                <w:spacing w:val="0"/>
                <w:lang w:eastAsia="es-DO"/>
              </w:rPr>
              <w:t>Ene-Nov</w:t>
            </w:r>
          </w:p>
        </w:tc>
        <w:tc>
          <w:tcPr>
            <w:tcW w:w="1560" w:type="dxa"/>
            <w:tcBorders>
              <w:top w:val="single" w:sz="4" w:space="0" w:color="auto"/>
              <w:left w:val="nil"/>
              <w:bottom w:val="single" w:sz="4" w:space="0" w:color="auto"/>
              <w:right w:val="single" w:sz="4" w:space="0" w:color="auto"/>
            </w:tcBorders>
            <w:shd w:val="clear" w:color="000000" w:fill="011C50"/>
            <w:vAlign w:val="center"/>
            <w:hideMark/>
          </w:tcPr>
          <w:p w14:paraId="340F87A6" w14:textId="77777777" w:rsidR="00D552E9" w:rsidRPr="00D552E9" w:rsidRDefault="00D552E9" w:rsidP="00D552E9">
            <w:pPr>
              <w:spacing w:after="0" w:line="240" w:lineRule="auto"/>
              <w:jc w:val="center"/>
              <w:rPr>
                <w:rFonts w:eastAsia="Times New Roman"/>
                <w:b/>
                <w:bCs/>
                <w:color w:val="FFFFFF"/>
                <w:spacing w:val="0"/>
                <w:lang w:eastAsia="es-DO"/>
              </w:rPr>
            </w:pPr>
            <w:r w:rsidRPr="00D552E9">
              <w:rPr>
                <w:rFonts w:eastAsia="Times New Roman"/>
                <w:b/>
                <w:bCs/>
                <w:color w:val="FFFFFF"/>
                <w:spacing w:val="0"/>
                <w:lang w:eastAsia="es-DO"/>
              </w:rPr>
              <w:t>Proy. Dic</w:t>
            </w:r>
          </w:p>
        </w:tc>
        <w:tc>
          <w:tcPr>
            <w:tcW w:w="1417" w:type="dxa"/>
            <w:tcBorders>
              <w:top w:val="single" w:sz="4" w:space="0" w:color="auto"/>
              <w:left w:val="nil"/>
              <w:bottom w:val="single" w:sz="4" w:space="0" w:color="auto"/>
              <w:right w:val="single" w:sz="4" w:space="0" w:color="auto"/>
            </w:tcBorders>
            <w:shd w:val="clear" w:color="000000" w:fill="011C50"/>
            <w:vAlign w:val="center"/>
            <w:hideMark/>
          </w:tcPr>
          <w:p w14:paraId="52D3A8F8" w14:textId="77777777" w:rsidR="00D552E9" w:rsidRPr="00D552E9" w:rsidRDefault="00D552E9" w:rsidP="00D552E9">
            <w:pPr>
              <w:spacing w:after="0" w:line="240" w:lineRule="auto"/>
              <w:jc w:val="center"/>
              <w:rPr>
                <w:rFonts w:eastAsia="Times New Roman"/>
                <w:b/>
                <w:bCs/>
                <w:color w:val="FFFFFF"/>
                <w:spacing w:val="0"/>
                <w:lang w:eastAsia="es-DO"/>
              </w:rPr>
            </w:pPr>
            <w:r w:rsidRPr="00D552E9">
              <w:rPr>
                <w:rFonts w:eastAsia="Times New Roman"/>
                <w:b/>
                <w:bCs/>
                <w:color w:val="FFFFFF"/>
                <w:spacing w:val="0"/>
                <w:lang w:eastAsia="es-DO"/>
              </w:rPr>
              <w:t xml:space="preserve">Total </w:t>
            </w:r>
          </w:p>
        </w:tc>
      </w:tr>
      <w:tr w:rsidR="00D552E9" w:rsidRPr="00D552E9" w14:paraId="746E1EC8" w14:textId="77777777" w:rsidTr="00D552E9">
        <w:trPr>
          <w:trHeight w:val="264"/>
        </w:trPr>
        <w:tc>
          <w:tcPr>
            <w:tcW w:w="2380" w:type="dxa"/>
            <w:tcBorders>
              <w:top w:val="nil"/>
              <w:left w:val="single" w:sz="4" w:space="0" w:color="auto"/>
              <w:bottom w:val="single" w:sz="4" w:space="0" w:color="auto"/>
              <w:right w:val="single" w:sz="4" w:space="0" w:color="auto"/>
            </w:tcBorders>
            <w:vAlign w:val="center"/>
            <w:hideMark/>
          </w:tcPr>
          <w:p w14:paraId="0ED6210A" w14:textId="77777777" w:rsidR="00D552E9" w:rsidRPr="00D552E9" w:rsidRDefault="00D552E9" w:rsidP="00D552E9">
            <w:pPr>
              <w:spacing w:after="0" w:line="240" w:lineRule="auto"/>
              <w:rPr>
                <w:rFonts w:eastAsia="Times New Roman"/>
                <w:spacing w:val="0"/>
                <w:lang w:eastAsia="es-DO"/>
              </w:rPr>
            </w:pPr>
            <w:r w:rsidRPr="00D552E9">
              <w:rPr>
                <w:rFonts w:eastAsia="Times New Roman"/>
                <w:spacing w:val="0"/>
                <w:lang w:eastAsia="es-DO"/>
              </w:rPr>
              <w:t>Sede</w:t>
            </w:r>
          </w:p>
        </w:tc>
        <w:tc>
          <w:tcPr>
            <w:tcW w:w="1584" w:type="dxa"/>
            <w:tcBorders>
              <w:top w:val="nil"/>
              <w:left w:val="nil"/>
              <w:bottom w:val="single" w:sz="4" w:space="0" w:color="auto"/>
              <w:right w:val="single" w:sz="4" w:space="0" w:color="auto"/>
            </w:tcBorders>
            <w:vAlign w:val="center"/>
            <w:hideMark/>
          </w:tcPr>
          <w:p w14:paraId="47BE3115" w14:textId="77777777" w:rsidR="00D552E9" w:rsidRPr="00D552E9" w:rsidRDefault="00D552E9" w:rsidP="00D552E9">
            <w:pPr>
              <w:spacing w:after="0" w:line="240" w:lineRule="auto"/>
              <w:jc w:val="right"/>
              <w:rPr>
                <w:rFonts w:eastAsia="Times New Roman"/>
                <w:spacing w:val="0"/>
                <w:lang w:eastAsia="es-DO"/>
              </w:rPr>
            </w:pPr>
            <w:r w:rsidRPr="00D552E9">
              <w:rPr>
                <w:rFonts w:eastAsia="Times New Roman"/>
                <w:spacing w:val="0"/>
                <w:lang w:eastAsia="es-DO"/>
              </w:rPr>
              <w:t>2027</w:t>
            </w:r>
          </w:p>
        </w:tc>
        <w:tc>
          <w:tcPr>
            <w:tcW w:w="1560" w:type="dxa"/>
            <w:tcBorders>
              <w:top w:val="nil"/>
              <w:left w:val="nil"/>
              <w:bottom w:val="single" w:sz="4" w:space="0" w:color="auto"/>
              <w:right w:val="single" w:sz="4" w:space="0" w:color="auto"/>
            </w:tcBorders>
            <w:vAlign w:val="center"/>
            <w:hideMark/>
          </w:tcPr>
          <w:p w14:paraId="666DD229" w14:textId="77777777" w:rsidR="00D552E9" w:rsidRPr="00D552E9" w:rsidRDefault="00D552E9" w:rsidP="00D552E9">
            <w:pPr>
              <w:spacing w:after="0" w:line="240" w:lineRule="auto"/>
              <w:jc w:val="right"/>
              <w:rPr>
                <w:rFonts w:eastAsia="Times New Roman"/>
                <w:spacing w:val="0"/>
                <w:lang w:eastAsia="es-DO"/>
              </w:rPr>
            </w:pPr>
            <w:r w:rsidRPr="00D552E9">
              <w:rPr>
                <w:rFonts w:eastAsia="Times New Roman"/>
                <w:spacing w:val="0"/>
                <w:lang w:eastAsia="es-DO"/>
              </w:rPr>
              <w:t>274</w:t>
            </w:r>
          </w:p>
        </w:tc>
        <w:tc>
          <w:tcPr>
            <w:tcW w:w="1417" w:type="dxa"/>
            <w:tcBorders>
              <w:top w:val="nil"/>
              <w:left w:val="nil"/>
              <w:bottom w:val="single" w:sz="4" w:space="0" w:color="auto"/>
              <w:right w:val="single" w:sz="4" w:space="0" w:color="auto"/>
            </w:tcBorders>
            <w:noWrap/>
            <w:vAlign w:val="bottom"/>
            <w:hideMark/>
          </w:tcPr>
          <w:p w14:paraId="1E245F70" w14:textId="77777777" w:rsidR="00D552E9" w:rsidRPr="00D552E9" w:rsidRDefault="00D552E9" w:rsidP="00D552E9">
            <w:pPr>
              <w:spacing w:after="0" w:line="240" w:lineRule="auto"/>
              <w:jc w:val="right"/>
              <w:rPr>
                <w:rFonts w:eastAsia="Times New Roman"/>
                <w:spacing w:val="0"/>
                <w:lang w:eastAsia="es-DO"/>
              </w:rPr>
            </w:pPr>
            <w:r w:rsidRPr="00D552E9">
              <w:rPr>
                <w:rFonts w:eastAsia="Times New Roman"/>
                <w:spacing w:val="0"/>
                <w:lang w:eastAsia="es-DO"/>
              </w:rPr>
              <w:t>2301</w:t>
            </w:r>
          </w:p>
        </w:tc>
      </w:tr>
      <w:tr w:rsidR="00D552E9" w:rsidRPr="00D552E9" w14:paraId="5FB81125" w14:textId="77777777" w:rsidTr="00D552E9">
        <w:trPr>
          <w:trHeight w:val="264"/>
        </w:trPr>
        <w:tc>
          <w:tcPr>
            <w:tcW w:w="2380" w:type="dxa"/>
            <w:tcBorders>
              <w:top w:val="nil"/>
              <w:left w:val="single" w:sz="4" w:space="0" w:color="auto"/>
              <w:bottom w:val="single" w:sz="4" w:space="0" w:color="auto"/>
              <w:right w:val="single" w:sz="4" w:space="0" w:color="auto"/>
            </w:tcBorders>
            <w:vAlign w:val="center"/>
            <w:hideMark/>
          </w:tcPr>
          <w:p w14:paraId="3F9FC95B" w14:textId="77777777" w:rsidR="00D552E9" w:rsidRPr="00D552E9" w:rsidRDefault="00D552E9" w:rsidP="00D552E9">
            <w:pPr>
              <w:spacing w:after="0" w:line="240" w:lineRule="auto"/>
              <w:rPr>
                <w:rFonts w:eastAsia="Times New Roman"/>
                <w:spacing w:val="0"/>
                <w:lang w:eastAsia="es-DO"/>
              </w:rPr>
            </w:pPr>
            <w:r w:rsidRPr="00D552E9">
              <w:rPr>
                <w:rFonts w:eastAsia="Times New Roman"/>
                <w:spacing w:val="0"/>
                <w:lang w:eastAsia="es-DO"/>
              </w:rPr>
              <w:t>UAI</w:t>
            </w:r>
          </w:p>
        </w:tc>
        <w:tc>
          <w:tcPr>
            <w:tcW w:w="1584" w:type="dxa"/>
            <w:tcBorders>
              <w:top w:val="nil"/>
              <w:left w:val="nil"/>
              <w:bottom w:val="single" w:sz="4" w:space="0" w:color="auto"/>
              <w:right w:val="single" w:sz="4" w:space="0" w:color="auto"/>
            </w:tcBorders>
            <w:vAlign w:val="center"/>
            <w:hideMark/>
          </w:tcPr>
          <w:p w14:paraId="6FFC74B5" w14:textId="77777777" w:rsidR="00D552E9" w:rsidRPr="00D552E9" w:rsidRDefault="00D552E9" w:rsidP="00D552E9">
            <w:pPr>
              <w:spacing w:after="0" w:line="240" w:lineRule="auto"/>
              <w:jc w:val="right"/>
              <w:rPr>
                <w:rFonts w:eastAsia="Times New Roman"/>
                <w:spacing w:val="0"/>
                <w:lang w:eastAsia="es-DO"/>
              </w:rPr>
            </w:pPr>
            <w:r w:rsidRPr="00D552E9">
              <w:rPr>
                <w:rFonts w:eastAsia="Times New Roman"/>
                <w:spacing w:val="0"/>
                <w:lang w:eastAsia="es-DO"/>
              </w:rPr>
              <w:t>3838</w:t>
            </w:r>
          </w:p>
        </w:tc>
        <w:tc>
          <w:tcPr>
            <w:tcW w:w="1560" w:type="dxa"/>
            <w:tcBorders>
              <w:top w:val="nil"/>
              <w:left w:val="nil"/>
              <w:bottom w:val="single" w:sz="4" w:space="0" w:color="auto"/>
              <w:right w:val="single" w:sz="4" w:space="0" w:color="auto"/>
            </w:tcBorders>
            <w:shd w:val="clear" w:color="000000" w:fill="FFFFFF"/>
            <w:vAlign w:val="center"/>
            <w:hideMark/>
          </w:tcPr>
          <w:p w14:paraId="43163CFD" w14:textId="77777777" w:rsidR="00D552E9" w:rsidRPr="00D552E9" w:rsidRDefault="00D552E9" w:rsidP="00D552E9">
            <w:pPr>
              <w:spacing w:after="0" w:line="240" w:lineRule="auto"/>
              <w:jc w:val="right"/>
              <w:rPr>
                <w:rFonts w:eastAsia="Times New Roman"/>
                <w:spacing w:val="0"/>
                <w:lang w:eastAsia="es-DO"/>
              </w:rPr>
            </w:pPr>
            <w:r w:rsidRPr="00D552E9">
              <w:rPr>
                <w:rFonts w:eastAsia="Times New Roman"/>
                <w:spacing w:val="0"/>
                <w:lang w:eastAsia="es-DO"/>
              </w:rPr>
              <w:t>762</w:t>
            </w:r>
          </w:p>
        </w:tc>
        <w:tc>
          <w:tcPr>
            <w:tcW w:w="1417" w:type="dxa"/>
            <w:tcBorders>
              <w:top w:val="nil"/>
              <w:left w:val="nil"/>
              <w:bottom w:val="single" w:sz="4" w:space="0" w:color="auto"/>
              <w:right w:val="single" w:sz="4" w:space="0" w:color="auto"/>
            </w:tcBorders>
            <w:noWrap/>
            <w:vAlign w:val="bottom"/>
            <w:hideMark/>
          </w:tcPr>
          <w:p w14:paraId="472E8BDA" w14:textId="77777777" w:rsidR="00D552E9" w:rsidRPr="00D552E9" w:rsidRDefault="00D552E9" w:rsidP="00D552E9">
            <w:pPr>
              <w:spacing w:after="0" w:line="240" w:lineRule="auto"/>
              <w:jc w:val="right"/>
              <w:rPr>
                <w:rFonts w:eastAsia="Times New Roman"/>
                <w:spacing w:val="0"/>
                <w:lang w:eastAsia="es-DO"/>
              </w:rPr>
            </w:pPr>
            <w:r w:rsidRPr="00D552E9">
              <w:rPr>
                <w:rFonts w:eastAsia="Times New Roman"/>
                <w:spacing w:val="0"/>
                <w:lang w:eastAsia="es-DO"/>
              </w:rPr>
              <w:t>4600</w:t>
            </w:r>
          </w:p>
        </w:tc>
      </w:tr>
      <w:tr w:rsidR="00D552E9" w:rsidRPr="00D552E9" w14:paraId="22B40A1E" w14:textId="77777777" w:rsidTr="00D552E9">
        <w:trPr>
          <w:trHeight w:val="264"/>
        </w:trPr>
        <w:tc>
          <w:tcPr>
            <w:tcW w:w="2380" w:type="dxa"/>
            <w:tcBorders>
              <w:top w:val="nil"/>
              <w:left w:val="single" w:sz="4" w:space="0" w:color="auto"/>
              <w:bottom w:val="single" w:sz="4" w:space="0" w:color="auto"/>
              <w:right w:val="single" w:sz="4" w:space="0" w:color="auto"/>
            </w:tcBorders>
            <w:vAlign w:val="center"/>
            <w:hideMark/>
          </w:tcPr>
          <w:p w14:paraId="3376A84F" w14:textId="77777777" w:rsidR="00D552E9" w:rsidRPr="00D552E9" w:rsidRDefault="00D552E9" w:rsidP="00D552E9">
            <w:pPr>
              <w:spacing w:after="0" w:line="240" w:lineRule="auto"/>
              <w:rPr>
                <w:rFonts w:eastAsia="Times New Roman"/>
                <w:b/>
                <w:bCs/>
                <w:spacing w:val="0"/>
                <w:lang w:eastAsia="es-DO"/>
              </w:rPr>
            </w:pPr>
            <w:r w:rsidRPr="00D552E9">
              <w:rPr>
                <w:rFonts w:eastAsia="Times New Roman"/>
                <w:b/>
                <w:bCs/>
                <w:spacing w:val="0"/>
                <w:lang w:eastAsia="es-DO"/>
              </w:rPr>
              <w:t>Total general</w:t>
            </w:r>
          </w:p>
        </w:tc>
        <w:tc>
          <w:tcPr>
            <w:tcW w:w="1584" w:type="dxa"/>
            <w:tcBorders>
              <w:top w:val="nil"/>
              <w:left w:val="nil"/>
              <w:bottom w:val="single" w:sz="4" w:space="0" w:color="auto"/>
              <w:right w:val="single" w:sz="4" w:space="0" w:color="auto"/>
            </w:tcBorders>
            <w:vAlign w:val="center"/>
            <w:hideMark/>
          </w:tcPr>
          <w:p w14:paraId="6A23BFCE" w14:textId="77777777" w:rsidR="00D552E9" w:rsidRPr="00D552E9" w:rsidRDefault="00D552E9" w:rsidP="00D552E9">
            <w:pPr>
              <w:spacing w:after="0" w:line="240" w:lineRule="auto"/>
              <w:jc w:val="right"/>
              <w:rPr>
                <w:rFonts w:eastAsia="Times New Roman"/>
                <w:b/>
                <w:bCs/>
                <w:spacing w:val="0"/>
                <w:lang w:eastAsia="es-DO"/>
              </w:rPr>
            </w:pPr>
            <w:r w:rsidRPr="00D552E9">
              <w:rPr>
                <w:rFonts w:eastAsia="Times New Roman"/>
                <w:b/>
                <w:bCs/>
                <w:spacing w:val="0"/>
                <w:lang w:eastAsia="es-DO"/>
              </w:rPr>
              <w:t>5865</w:t>
            </w:r>
          </w:p>
        </w:tc>
        <w:tc>
          <w:tcPr>
            <w:tcW w:w="1560" w:type="dxa"/>
            <w:tcBorders>
              <w:top w:val="nil"/>
              <w:left w:val="nil"/>
              <w:bottom w:val="single" w:sz="4" w:space="0" w:color="auto"/>
              <w:right w:val="single" w:sz="4" w:space="0" w:color="auto"/>
            </w:tcBorders>
            <w:shd w:val="clear" w:color="000000" w:fill="FFFFFF"/>
            <w:vAlign w:val="center"/>
            <w:hideMark/>
          </w:tcPr>
          <w:p w14:paraId="78822B42" w14:textId="77777777" w:rsidR="00D552E9" w:rsidRPr="00D552E9" w:rsidRDefault="00D552E9" w:rsidP="00D552E9">
            <w:pPr>
              <w:spacing w:after="0" w:line="240" w:lineRule="auto"/>
              <w:jc w:val="right"/>
              <w:rPr>
                <w:rFonts w:eastAsia="Times New Roman"/>
                <w:b/>
                <w:bCs/>
                <w:spacing w:val="0"/>
                <w:lang w:eastAsia="es-DO"/>
              </w:rPr>
            </w:pPr>
            <w:r w:rsidRPr="00D552E9">
              <w:rPr>
                <w:rFonts w:eastAsia="Times New Roman"/>
                <w:b/>
                <w:bCs/>
                <w:spacing w:val="0"/>
                <w:lang w:eastAsia="es-DO"/>
              </w:rPr>
              <w:t>1,036</w:t>
            </w:r>
          </w:p>
        </w:tc>
        <w:tc>
          <w:tcPr>
            <w:tcW w:w="1417" w:type="dxa"/>
            <w:tcBorders>
              <w:top w:val="nil"/>
              <w:left w:val="nil"/>
              <w:bottom w:val="single" w:sz="4" w:space="0" w:color="auto"/>
              <w:right w:val="single" w:sz="4" w:space="0" w:color="auto"/>
            </w:tcBorders>
            <w:noWrap/>
            <w:vAlign w:val="bottom"/>
            <w:hideMark/>
          </w:tcPr>
          <w:p w14:paraId="34C2729F" w14:textId="77777777" w:rsidR="00D552E9" w:rsidRPr="00D552E9" w:rsidRDefault="00D552E9" w:rsidP="00D552E9">
            <w:pPr>
              <w:spacing w:after="0" w:line="240" w:lineRule="auto"/>
              <w:jc w:val="right"/>
              <w:rPr>
                <w:rFonts w:eastAsia="Times New Roman"/>
                <w:b/>
                <w:bCs/>
                <w:spacing w:val="0"/>
                <w:lang w:eastAsia="es-DO"/>
              </w:rPr>
            </w:pPr>
            <w:r w:rsidRPr="00D552E9">
              <w:rPr>
                <w:rFonts w:eastAsia="Times New Roman"/>
                <w:b/>
                <w:bCs/>
                <w:spacing w:val="0"/>
                <w:lang w:eastAsia="es-DO"/>
              </w:rPr>
              <w:t>6901</w:t>
            </w:r>
          </w:p>
        </w:tc>
      </w:tr>
    </w:tbl>
    <w:p w14:paraId="1506F7CB" w14:textId="48773D5C" w:rsidR="009B10A8" w:rsidRPr="0077472F" w:rsidRDefault="009B10A8" w:rsidP="009B10A8">
      <w:pPr>
        <w:spacing w:line="360" w:lineRule="auto"/>
        <w:jc w:val="center"/>
        <w:rPr>
          <w:i/>
          <w:iCs/>
          <w:sz w:val="18"/>
          <w:szCs w:val="18"/>
        </w:rPr>
      </w:pPr>
      <w:r w:rsidRPr="0077472F">
        <w:rPr>
          <w:i/>
          <w:iCs/>
          <w:sz w:val="18"/>
          <w:szCs w:val="18"/>
        </w:rPr>
        <w:t>Fuente. Informe Anual Departamento de Ingeniería y Arquitectura</w:t>
      </w:r>
    </w:p>
    <w:p w14:paraId="61839F85" w14:textId="39297147" w:rsidR="003F75F6" w:rsidRPr="003F75F6" w:rsidRDefault="003F75F6" w:rsidP="003F75F6">
      <w:pPr>
        <w:spacing w:line="360" w:lineRule="auto"/>
        <w:jc w:val="both"/>
        <w:rPr>
          <w:rFonts w:eastAsia="Calibri"/>
        </w:rPr>
      </w:pPr>
      <w:r w:rsidRPr="003F75F6">
        <w:rPr>
          <w:rFonts w:eastAsia="Calibri"/>
        </w:rPr>
        <w:t>En cuanto a las Propuestas de Equilibrio Económico, se revisaron 314 expedientes durante el año 2025, reflejando una gestión técnica orientada a la evaluación oportuna y objetiva de los ajustes contractuales.</w:t>
      </w:r>
    </w:p>
    <w:p w14:paraId="0F63F692" w14:textId="393280CA" w:rsidR="009B10A8" w:rsidRDefault="009B10A8" w:rsidP="009B10A8">
      <w:pPr>
        <w:spacing w:line="360" w:lineRule="auto"/>
        <w:jc w:val="center"/>
        <w:rPr>
          <w:sz w:val="18"/>
          <w:szCs w:val="18"/>
        </w:rPr>
      </w:pPr>
      <w:r w:rsidRPr="00AF327F">
        <w:rPr>
          <w:sz w:val="18"/>
          <w:szCs w:val="18"/>
        </w:rPr>
        <w:t>Tabla 10. Propuestas de Equilibrio Económico (EE)</w:t>
      </w:r>
      <w:r w:rsidR="0016240D">
        <w:rPr>
          <w:sz w:val="18"/>
          <w:szCs w:val="18"/>
        </w:rPr>
        <w:t xml:space="preserve"> 2025</w:t>
      </w:r>
    </w:p>
    <w:tbl>
      <w:tblPr>
        <w:tblW w:w="4833" w:type="dxa"/>
        <w:tblInd w:w="1413" w:type="dxa"/>
        <w:tblCellMar>
          <w:left w:w="70" w:type="dxa"/>
          <w:right w:w="70" w:type="dxa"/>
        </w:tblCellMar>
        <w:tblLook w:val="04A0" w:firstRow="1" w:lastRow="0" w:firstColumn="1" w:lastColumn="0" w:noHBand="0" w:noVBand="1"/>
      </w:tblPr>
      <w:tblGrid>
        <w:gridCol w:w="2153"/>
        <w:gridCol w:w="2680"/>
      </w:tblGrid>
      <w:tr w:rsidR="003F75F6" w:rsidRPr="003F75F6" w14:paraId="64F70C26" w14:textId="77777777" w:rsidTr="003F75F6">
        <w:trPr>
          <w:trHeight w:val="312"/>
        </w:trPr>
        <w:tc>
          <w:tcPr>
            <w:tcW w:w="2153"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02BEA267" w14:textId="77777777" w:rsidR="003F75F6" w:rsidRPr="003F75F6" w:rsidRDefault="003F75F6" w:rsidP="003F75F6">
            <w:pPr>
              <w:spacing w:after="0" w:line="240" w:lineRule="auto"/>
              <w:jc w:val="center"/>
              <w:rPr>
                <w:rFonts w:eastAsia="Times New Roman"/>
                <w:b/>
                <w:bCs/>
                <w:color w:val="FFFFFF"/>
                <w:spacing w:val="0"/>
                <w:lang w:eastAsia="es-DO"/>
              </w:rPr>
            </w:pPr>
            <w:r w:rsidRPr="003F75F6">
              <w:rPr>
                <w:rFonts w:eastAsia="Times New Roman"/>
                <w:b/>
                <w:bCs/>
                <w:color w:val="FFFFFF"/>
                <w:spacing w:val="0"/>
                <w:lang w:eastAsia="es-DO"/>
              </w:rPr>
              <w:t>Período</w:t>
            </w:r>
          </w:p>
        </w:tc>
        <w:tc>
          <w:tcPr>
            <w:tcW w:w="2680" w:type="dxa"/>
            <w:tcBorders>
              <w:top w:val="single" w:sz="4" w:space="0" w:color="auto"/>
              <w:left w:val="nil"/>
              <w:bottom w:val="single" w:sz="4" w:space="0" w:color="auto"/>
              <w:right w:val="single" w:sz="4" w:space="0" w:color="auto"/>
            </w:tcBorders>
            <w:shd w:val="clear" w:color="000000" w:fill="011C50"/>
            <w:vAlign w:val="center"/>
            <w:hideMark/>
          </w:tcPr>
          <w:p w14:paraId="6668FE77" w14:textId="77777777" w:rsidR="003F75F6" w:rsidRPr="003F75F6" w:rsidRDefault="003F75F6" w:rsidP="003F75F6">
            <w:pPr>
              <w:spacing w:after="0" w:line="240" w:lineRule="auto"/>
              <w:jc w:val="center"/>
              <w:rPr>
                <w:rFonts w:eastAsia="Times New Roman"/>
                <w:b/>
                <w:bCs/>
                <w:color w:val="FFFFFF"/>
                <w:spacing w:val="0"/>
                <w:lang w:eastAsia="es-DO"/>
              </w:rPr>
            </w:pPr>
            <w:r w:rsidRPr="003F75F6">
              <w:rPr>
                <w:rFonts w:eastAsia="Times New Roman"/>
                <w:b/>
                <w:bCs/>
                <w:color w:val="FFFFFF"/>
                <w:spacing w:val="0"/>
                <w:lang w:eastAsia="es-DO"/>
              </w:rPr>
              <w:t>Expedientes Revisados</w:t>
            </w:r>
          </w:p>
        </w:tc>
      </w:tr>
      <w:tr w:rsidR="003F75F6" w:rsidRPr="003F75F6" w14:paraId="4A8D8FD6" w14:textId="77777777" w:rsidTr="003F75F6">
        <w:trPr>
          <w:trHeight w:val="312"/>
        </w:trPr>
        <w:tc>
          <w:tcPr>
            <w:tcW w:w="2153" w:type="dxa"/>
            <w:tcBorders>
              <w:top w:val="nil"/>
              <w:left w:val="single" w:sz="4" w:space="0" w:color="auto"/>
              <w:bottom w:val="single" w:sz="4" w:space="0" w:color="auto"/>
              <w:right w:val="single" w:sz="4" w:space="0" w:color="auto"/>
            </w:tcBorders>
            <w:vAlign w:val="center"/>
            <w:hideMark/>
          </w:tcPr>
          <w:p w14:paraId="7499F461" w14:textId="77777777" w:rsidR="003F75F6" w:rsidRPr="003F75F6" w:rsidRDefault="003F75F6" w:rsidP="003F75F6">
            <w:pPr>
              <w:spacing w:after="0" w:line="240" w:lineRule="auto"/>
              <w:rPr>
                <w:rFonts w:eastAsia="Times New Roman"/>
                <w:spacing w:val="0"/>
                <w:lang w:eastAsia="es-DO"/>
              </w:rPr>
            </w:pPr>
            <w:r w:rsidRPr="003F75F6">
              <w:rPr>
                <w:rFonts w:eastAsia="Times New Roman"/>
                <w:spacing w:val="0"/>
                <w:lang w:eastAsia="es-DO"/>
              </w:rPr>
              <w:t>Ene- Nov.</w:t>
            </w:r>
          </w:p>
        </w:tc>
        <w:tc>
          <w:tcPr>
            <w:tcW w:w="2680" w:type="dxa"/>
            <w:tcBorders>
              <w:top w:val="nil"/>
              <w:left w:val="nil"/>
              <w:bottom w:val="single" w:sz="4" w:space="0" w:color="auto"/>
              <w:right w:val="single" w:sz="4" w:space="0" w:color="auto"/>
            </w:tcBorders>
            <w:noWrap/>
            <w:vAlign w:val="bottom"/>
            <w:hideMark/>
          </w:tcPr>
          <w:p w14:paraId="514120A1" w14:textId="77777777" w:rsidR="003F75F6" w:rsidRPr="003F75F6" w:rsidRDefault="003F75F6" w:rsidP="003F75F6">
            <w:pPr>
              <w:spacing w:after="0" w:line="240" w:lineRule="auto"/>
              <w:jc w:val="right"/>
              <w:rPr>
                <w:rFonts w:eastAsia="Times New Roman"/>
                <w:spacing w:val="0"/>
                <w:lang w:eastAsia="es-DO"/>
              </w:rPr>
            </w:pPr>
            <w:r w:rsidRPr="003F75F6">
              <w:rPr>
                <w:rFonts w:eastAsia="Times New Roman"/>
                <w:spacing w:val="0"/>
                <w:lang w:eastAsia="es-DO"/>
              </w:rPr>
              <w:t>269</w:t>
            </w:r>
          </w:p>
        </w:tc>
      </w:tr>
      <w:tr w:rsidR="003F75F6" w:rsidRPr="003F75F6" w14:paraId="410302DB" w14:textId="77777777" w:rsidTr="003F75F6">
        <w:trPr>
          <w:trHeight w:val="312"/>
        </w:trPr>
        <w:tc>
          <w:tcPr>
            <w:tcW w:w="2153" w:type="dxa"/>
            <w:tcBorders>
              <w:top w:val="nil"/>
              <w:left w:val="single" w:sz="4" w:space="0" w:color="auto"/>
              <w:bottom w:val="single" w:sz="4" w:space="0" w:color="auto"/>
              <w:right w:val="single" w:sz="4" w:space="0" w:color="auto"/>
            </w:tcBorders>
            <w:vAlign w:val="center"/>
            <w:hideMark/>
          </w:tcPr>
          <w:p w14:paraId="33D3EC4B" w14:textId="5356BC47" w:rsidR="003F75F6" w:rsidRPr="003F75F6" w:rsidRDefault="003F75F6" w:rsidP="003F75F6">
            <w:pPr>
              <w:spacing w:after="0" w:line="240" w:lineRule="auto"/>
              <w:rPr>
                <w:rFonts w:eastAsia="Times New Roman"/>
                <w:spacing w:val="0"/>
                <w:lang w:eastAsia="es-DO"/>
              </w:rPr>
            </w:pPr>
            <w:r w:rsidRPr="003F75F6">
              <w:rPr>
                <w:rFonts w:eastAsia="Times New Roman"/>
                <w:spacing w:val="0"/>
                <w:lang w:eastAsia="es-DO"/>
              </w:rPr>
              <w:t xml:space="preserve">Proy. Dic. </w:t>
            </w:r>
          </w:p>
        </w:tc>
        <w:tc>
          <w:tcPr>
            <w:tcW w:w="2680" w:type="dxa"/>
            <w:tcBorders>
              <w:top w:val="nil"/>
              <w:left w:val="nil"/>
              <w:bottom w:val="single" w:sz="4" w:space="0" w:color="auto"/>
              <w:right w:val="single" w:sz="4" w:space="0" w:color="auto"/>
            </w:tcBorders>
            <w:noWrap/>
            <w:vAlign w:val="bottom"/>
            <w:hideMark/>
          </w:tcPr>
          <w:p w14:paraId="641CD422" w14:textId="77777777" w:rsidR="003F75F6" w:rsidRPr="003F75F6" w:rsidRDefault="003F75F6" w:rsidP="003F75F6">
            <w:pPr>
              <w:spacing w:after="0" w:line="240" w:lineRule="auto"/>
              <w:jc w:val="right"/>
              <w:rPr>
                <w:rFonts w:eastAsia="Times New Roman"/>
                <w:spacing w:val="0"/>
                <w:lang w:eastAsia="es-DO"/>
              </w:rPr>
            </w:pPr>
            <w:r w:rsidRPr="003F75F6">
              <w:rPr>
                <w:rFonts w:eastAsia="Times New Roman"/>
                <w:spacing w:val="0"/>
                <w:lang w:eastAsia="es-DO"/>
              </w:rPr>
              <w:t>45</w:t>
            </w:r>
          </w:p>
        </w:tc>
      </w:tr>
      <w:tr w:rsidR="003F75F6" w:rsidRPr="003F75F6" w14:paraId="4F5644D3" w14:textId="77777777" w:rsidTr="003F75F6">
        <w:trPr>
          <w:trHeight w:val="312"/>
        </w:trPr>
        <w:tc>
          <w:tcPr>
            <w:tcW w:w="2153" w:type="dxa"/>
            <w:tcBorders>
              <w:top w:val="nil"/>
              <w:left w:val="single" w:sz="4" w:space="0" w:color="auto"/>
              <w:bottom w:val="single" w:sz="4" w:space="0" w:color="auto"/>
              <w:right w:val="single" w:sz="4" w:space="0" w:color="auto"/>
            </w:tcBorders>
            <w:vAlign w:val="center"/>
            <w:hideMark/>
          </w:tcPr>
          <w:p w14:paraId="2B91519E" w14:textId="77777777" w:rsidR="003F75F6" w:rsidRPr="003F75F6" w:rsidRDefault="003F75F6" w:rsidP="003F75F6">
            <w:pPr>
              <w:spacing w:after="0" w:line="240" w:lineRule="auto"/>
              <w:rPr>
                <w:rFonts w:eastAsia="Times New Roman"/>
                <w:b/>
                <w:bCs/>
                <w:spacing w:val="0"/>
                <w:lang w:eastAsia="es-DO"/>
              </w:rPr>
            </w:pPr>
            <w:r w:rsidRPr="003F75F6">
              <w:rPr>
                <w:rFonts w:eastAsia="Times New Roman"/>
                <w:b/>
                <w:bCs/>
                <w:spacing w:val="0"/>
                <w:lang w:eastAsia="es-DO"/>
              </w:rPr>
              <w:t>Total</w:t>
            </w:r>
          </w:p>
        </w:tc>
        <w:tc>
          <w:tcPr>
            <w:tcW w:w="2680" w:type="dxa"/>
            <w:tcBorders>
              <w:top w:val="nil"/>
              <w:left w:val="nil"/>
              <w:bottom w:val="single" w:sz="4" w:space="0" w:color="auto"/>
              <w:right w:val="single" w:sz="4" w:space="0" w:color="auto"/>
            </w:tcBorders>
            <w:noWrap/>
            <w:vAlign w:val="bottom"/>
            <w:hideMark/>
          </w:tcPr>
          <w:p w14:paraId="00F4EDDF" w14:textId="77777777" w:rsidR="003F75F6" w:rsidRPr="003F75F6" w:rsidRDefault="003F75F6" w:rsidP="003F75F6">
            <w:pPr>
              <w:spacing w:after="0" w:line="240" w:lineRule="auto"/>
              <w:jc w:val="right"/>
              <w:rPr>
                <w:rFonts w:eastAsia="Times New Roman"/>
                <w:b/>
                <w:bCs/>
                <w:spacing w:val="0"/>
                <w:lang w:eastAsia="es-DO"/>
              </w:rPr>
            </w:pPr>
            <w:r w:rsidRPr="003F75F6">
              <w:rPr>
                <w:rFonts w:eastAsia="Times New Roman"/>
                <w:b/>
                <w:bCs/>
                <w:spacing w:val="0"/>
                <w:lang w:eastAsia="es-DO"/>
              </w:rPr>
              <w:t>314</w:t>
            </w:r>
          </w:p>
        </w:tc>
      </w:tr>
    </w:tbl>
    <w:p w14:paraId="0C754A68" w14:textId="4F0A3B71" w:rsidR="009B10A8" w:rsidRPr="0077472F" w:rsidRDefault="009B10A8" w:rsidP="009B10A8">
      <w:pPr>
        <w:spacing w:line="360" w:lineRule="auto"/>
        <w:jc w:val="center"/>
        <w:rPr>
          <w:i/>
          <w:iCs/>
          <w:sz w:val="18"/>
          <w:szCs w:val="18"/>
        </w:rPr>
      </w:pPr>
      <w:r w:rsidRPr="0077472F">
        <w:rPr>
          <w:i/>
          <w:iCs/>
          <w:sz w:val="18"/>
          <w:szCs w:val="18"/>
        </w:rPr>
        <w:t>Fuente. Informe Anual Departamento de Ingeniería y Arquitectura</w:t>
      </w:r>
    </w:p>
    <w:p w14:paraId="6B795684" w14:textId="77777777" w:rsidR="00A51686" w:rsidRPr="003F75F6" w:rsidRDefault="00A51686" w:rsidP="00A51686">
      <w:pPr>
        <w:spacing w:line="360" w:lineRule="auto"/>
        <w:jc w:val="both"/>
        <w:rPr>
          <w:rFonts w:eastAsia="Calibri"/>
        </w:rPr>
      </w:pPr>
      <w:r w:rsidRPr="003F75F6">
        <w:rPr>
          <w:rFonts w:eastAsia="Calibri"/>
        </w:rPr>
        <w:t>Asimismo, el área ejecutó 3,792 revisiones de contratos de obra, distribuidas entre la Sede Central y la UAI, lo que evidencia un alto volumen de análisis técnico-contractual para garantizar la correcta aplicación de la normativa vigente y la transparencia en la gestión de los recursos públicos.</w:t>
      </w:r>
    </w:p>
    <w:p w14:paraId="6F6BF7F4" w14:textId="77777777" w:rsidR="00A51686" w:rsidRDefault="00A51686" w:rsidP="00A51686">
      <w:pPr>
        <w:spacing w:line="360" w:lineRule="auto"/>
        <w:jc w:val="center"/>
        <w:rPr>
          <w:sz w:val="18"/>
          <w:szCs w:val="18"/>
        </w:rPr>
      </w:pPr>
      <w:r w:rsidRPr="00AF327F">
        <w:rPr>
          <w:sz w:val="18"/>
          <w:szCs w:val="18"/>
        </w:rPr>
        <w:t>Tabla 11. Revisiones de Contratos de Obra</w:t>
      </w:r>
      <w:r>
        <w:rPr>
          <w:sz w:val="18"/>
          <w:szCs w:val="18"/>
        </w:rPr>
        <w:t xml:space="preserve"> 2025</w:t>
      </w:r>
    </w:p>
    <w:tbl>
      <w:tblPr>
        <w:tblW w:w="7366" w:type="dxa"/>
        <w:tblCellMar>
          <w:left w:w="70" w:type="dxa"/>
          <w:right w:w="70" w:type="dxa"/>
        </w:tblCellMar>
        <w:tblLook w:val="04A0" w:firstRow="1" w:lastRow="0" w:firstColumn="1" w:lastColumn="0" w:noHBand="0" w:noVBand="1"/>
      </w:tblPr>
      <w:tblGrid>
        <w:gridCol w:w="1980"/>
        <w:gridCol w:w="1701"/>
        <w:gridCol w:w="1701"/>
        <w:gridCol w:w="1984"/>
      </w:tblGrid>
      <w:tr w:rsidR="00A51686" w:rsidRPr="00A51686" w14:paraId="4736F5CA" w14:textId="77777777" w:rsidTr="00A51686">
        <w:trPr>
          <w:trHeight w:val="227"/>
        </w:trPr>
        <w:tc>
          <w:tcPr>
            <w:tcW w:w="1980"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5C6CF2CA" w14:textId="77777777" w:rsidR="00A51686" w:rsidRPr="00A51686" w:rsidRDefault="00A51686" w:rsidP="00A51686">
            <w:pPr>
              <w:spacing w:after="0" w:line="240" w:lineRule="auto"/>
              <w:jc w:val="center"/>
              <w:rPr>
                <w:rFonts w:eastAsia="Times New Roman"/>
                <w:b/>
                <w:bCs/>
                <w:color w:val="FFFFFF"/>
                <w:spacing w:val="0"/>
                <w:lang w:eastAsia="es-DO"/>
              </w:rPr>
            </w:pPr>
            <w:r w:rsidRPr="00A51686">
              <w:rPr>
                <w:rFonts w:eastAsia="Times New Roman"/>
                <w:b/>
                <w:bCs/>
                <w:color w:val="FFFFFF"/>
                <w:spacing w:val="0"/>
                <w:lang w:eastAsia="es-DO"/>
              </w:rPr>
              <w:t>Unidad</w:t>
            </w:r>
          </w:p>
        </w:tc>
        <w:tc>
          <w:tcPr>
            <w:tcW w:w="1701" w:type="dxa"/>
            <w:tcBorders>
              <w:top w:val="single" w:sz="4" w:space="0" w:color="auto"/>
              <w:left w:val="nil"/>
              <w:bottom w:val="single" w:sz="4" w:space="0" w:color="auto"/>
              <w:right w:val="single" w:sz="4" w:space="0" w:color="auto"/>
            </w:tcBorders>
            <w:shd w:val="clear" w:color="000000" w:fill="011C50"/>
            <w:vAlign w:val="center"/>
            <w:hideMark/>
          </w:tcPr>
          <w:p w14:paraId="5AAB10A3" w14:textId="77777777" w:rsidR="00A51686" w:rsidRPr="00A51686" w:rsidRDefault="00A51686" w:rsidP="00A51686">
            <w:pPr>
              <w:spacing w:after="0" w:line="240" w:lineRule="auto"/>
              <w:jc w:val="center"/>
              <w:rPr>
                <w:rFonts w:eastAsia="Times New Roman"/>
                <w:b/>
                <w:bCs/>
                <w:color w:val="FFFFFF"/>
                <w:spacing w:val="0"/>
                <w:lang w:eastAsia="es-DO"/>
              </w:rPr>
            </w:pPr>
            <w:r w:rsidRPr="00A51686">
              <w:rPr>
                <w:rFonts w:eastAsia="Times New Roman"/>
                <w:b/>
                <w:bCs/>
                <w:color w:val="FFFFFF"/>
                <w:spacing w:val="0"/>
                <w:lang w:eastAsia="es-DO"/>
              </w:rPr>
              <w:t>Ene-Nov</w:t>
            </w:r>
          </w:p>
        </w:tc>
        <w:tc>
          <w:tcPr>
            <w:tcW w:w="1701" w:type="dxa"/>
            <w:tcBorders>
              <w:top w:val="single" w:sz="4" w:space="0" w:color="auto"/>
              <w:left w:val="nil"/>
              <w:bottom w:val="single" w:sz="4" w:space="0" w:color="auto"/>
              <w:right w:val="single" w:sz="4" w:space="0" w:color="auto"/>
            </w:tcBorders>
            <w:shd w:val="clear" w:color="000000" w:fill="011C50"/>
            <w:vAlign w:val="center"/>
            <w:hideMark/>
          </w:tcPr>
          <w:p w14:paraId="6FAA3493" w14:textId="77777777" w:rsidR="00A51686" w:rsidRPr="00A51686" w:rsidRDefault="00A51686" w:rsidP="00A51686">
            <w:pPr>
              <w:spacing w:after="0" w:line="240" w:lineRule="auto"/>
              <w:jc w:val="center"/>
              <w:rPr>
                <w:rFonts w:eastAsia="Times New Roman"/>
                <w:b/>
                <w:bCs/>
                <w:color w:val="FFFFFF"/>
                <w:spacing w:val="0"/>
                <w:lang w:eastAsia="es-DO"/>
              </w:rPr>
            </w:pPr>
            <w:r w:rsidRPr="00A51686">
              <w:rPr>
                <w:rFonts w:eastAsia="Times New Roman"/>
                <w:b/>
                <w:bCs/>
                <w:color w:val="FFFFFF"/>
                <w:spacing w:val="0"/>
                <w:lang w:eastAsia="es-DO"/>
              </w:rPr>
              <w:t>Proy. Dic.</w:t>
            </w:r>
          </w:p>
        </w:tc>
        <w:tc>
          <w:tcPr>
            <w:tcW w:w="1984" w:type="dxa"/>
            <w:tcBorders>
              <w:top w:val="single" w:sz="4" w:space="0" w:color="auto"/>
              <w:left w:val="nil"/>
              <w:bottom w:val="single" w:sz="4" w:space="0" w:color="auto"/>
              <w:right w:val="single" w:sz="4" w:space="0" w:color="auto"/>
            </w:tcBorders>
            <w:shd w:val="clear" w:color="000000" w:fill="011C50"/>
            <w:vAlign w:val="center"/>
            <w:hideMark/>
          </w:tcPr>
          <w:p w14:paraId="6FAFD2CD" w14:textId="77777777" w:rsidR="00A51686" w:rsidRPr="00A51686" w:rsidRDefault="00A51686" w:rsidP="00A51686">
            <w:pPr>
              <w:spacing w:after="0" w:line="240" w:lineRule="auto"/>
              <w:jc w:val="center"/>
              <w:rPr>
                <w:rFonts w:eastAsia="Times New Roman"/>
                <w:b/>
                <w:bCs/>
                <w:color w:val="FFFFFF"/>
                <w:spacing w:val="0"/>
                <w:lang w:eastAsia="es-DO"/>
              </w:rPr>
            </w:pPr>
            <w:r w:rsidRPr="00A51686">
              <w:rPr>
                <w:rFonts w:eastAsia="Times New Roman"/>
                <w:b/>
                <w:bCs/>
                <w:color w:val="FFFFFF"/>
                <w:spacing w:val="0"/>
                <w:lang w:eastAsia="es-DO"/>
              </w:rPr>
              <w:t>Total por Unidad</w:t>
            </w:r>
          </w:p>
        </w:tc>
      </w:tr>
      <w:tr w:rsidR="00A51686" w:rsidRPr="00A51686" w14:paraId="51C25EA0" w14:textId="77777777" w:rsidTr="00A51686">
        <w:trPr>
          <w:trHeight w:val="264"/>
        </w:trPr>
        <w:tc>
          <w:tcPr>
            <w:tcW w:w="1980" w:type="dxa"/>
            <w:tcBorders>
              <w:top w:val="nil"/>
              <w:left w:val="single" w:sz="4" w:space="0" w:color="auto"/>
              <w:bottom w:val="single" w:sz="4" w:space="0" w:color="auto"/>
              <w:right w:val="single" w:sz="4" w:space="0" w:color="auto"/>
            </w:tcBorders>
            <w:shd w:val="clear" w:color="000000" w:fill="FFFFFF"/>
            <w:vAlign w:val="center"/>
            <w:hideMark/>
          </w:tcPr>
          <w:p w14:paraId="22800ED7" w14:textId="77777777" w:rsidR="00A51686" w:rsidRPr="00A51686" w:rsidRDefault="00A51686" w:rsidP="00A51686">
            <w:pPr>
              <w:spacing w:after="0" w:line="240" w:lineRule="auto"/>
              <w:rPr>
                <w:rFonts w:eastAsia="Times New Roman"/>
                <w:color w:val="808080"/>
                <w:spacing w:val="0"/>
                <w:lang w:eastAsia="es-DO"/>
              </w:rPr>
            </w:pPr>
            <w:r w:rsidRPr="00A51686">
              <w:rPr>
                <w:rFonts w:eastAsia="Times New Roman"/>
                <w:color w:val="808080"/>
                <w:spacing w:val="0"/>
                <w:lang w:eastAsia="es-DO"/>
              </w:rPr>
              <w:t>Sede</w:t>
            </w:r>
          </w:p>
        </w:tc>
        <w:tc>
          <w:tcPr>
            <w:tcW w:w="1701" w:type="dxa"/>
            <w:tcBorders>
              <w:top w:val="nil"/>
              <w:left w:val="nil"/>
              <w:bottom w:val="single" w:sz="4" w:space="0" w:color="auto"/>
              <w:right w:val="single" w:sz="4" w:space="0" w:color="auto"/>
            </w:tcBorders>
            <w:shd w:val="clear" w:color="000000" w:fill="FFFFFF"/>
            <w:noWrap/>
            <w:vAlign w:val="bottom"/>
            <w:hideMark/>
          </w:tcPr>
          <w:p w14:paraId="25C61A62" w14:textId="77777777" w:rsidR="00A51686" w:rsidRPr="00A51686" w:rsidRDefault="00A51686" w:rsidP="00A51686">
            <w:pPr>
              <w:spacing w:after="0" w:line="240" w:lineRule="auto"/>
              <w:jc w:val="right"/>
              <w:rPr>
                <w:rFonts w:eastAsia="Times New Roman"/>
                <w:color w:val="808080"/>
                <w:spacing w:val="0"/>
                <w:sz w:val="22"/>
                <w:szCs w:val="22"/>
                <w:lang w:eastAsia="es-DO"/>
              </w:rPr>
            </w:pPr>
            <w:r w:rsidRPr="00A51686">
              <w:rPr>
                <w:rFonts w:eastAsia="Times New Roman"/>
                <w:color w:val="808080"/>
                <w:spacing w:val="0"/>
                <w:sz w:val="22"/>
                <w:szCs w:val="22"/>
                <w:lang w:eastAsia="es-DO"/>
              </w:rPr>
              <w:t>1084</w:t>
            </w:r>
          </w:p>
        </w:tc>
        <w:tc>
          <w:tcPr>
            <w:tcW w:w="1701" w:type="dxa"/>
            <w:tcBorders>
              <w:top w:val="nil"/>
              <w:left w:val="nil"/>
              <w:bottom w:val="single" w:sz="4" w:space="0" w:color="auto"/>
              <w:right w:val="single" w:sz="4" w:space="0" w:color="auto"/>
            </w:tcBorders>
            <w:vAlign w:val="center"/>
            <w:hideMark/>
          </w:tcPr>
          <w:p w14:paraId="3BEEF7FF" w14:textId="77777777" w:rsidR="00A51686" w:rsidRPr="00A51686" w:rsidRDefault="00A51686" w:rsidP="00A51686">
            <w:pPr>
              <w:spacing w:after="0" w:line="240" w:lineRule="auto"/>
              <w:jc w:val="right"/>
              <w:rPr>
                <w:rFonts w:eastAsia="Times New Roman"/>
                <w:color w:val="808080"/>
                <w:spacing w:val="0"/>
                <w:lang w:eastAsia="es-DO"/>
              </w:rPr>
            </w:pPr>
            <w:r w:rsidRPr="00A51686">
              <w:rPr>
                <w:rFonts w:eastAsia="Times New Roman"/>
                <w:color w:val="808080"/>
                <w:spacing w:val="0"/>
                <w:lang w:eastAsia="es-DO"/>
              </w:rPr>
              <w:t>206</w:t>
            </w:r>
          </w:p>
        </w:tc>
        <w:tc>
          <w:tcPr>
            <w:tcW w:w="1984" w:type="dxa"/>
            <w:tcBorders>
              <w:top w:val="nil"/>
              <w:left w:val="nil"/>
              <w:bottom w:val="single" w:sz="4" w:space="0" w:color="auto"/>
              <w:right w:val="single" w:sz="4" w:space="0" w:color="auto"/>
            </w:tcBorders>
            <w:shd w:val="clear" w:color="000000" w:fill="FFFFFF"/>
            <w:vAlign w:val="center"/>
            <w:hideMark/>
          </w:tcPr>
          <w:p w14:paraId="59ACB5AC" w14:textId="77777777" w:rsidR="00A51686" w:rsidRPr="00A51686" w:rsidRDefault="00A51686" w:rsidP="00A51686">
            <w:pPr>
              <w:spacing w:after="0" w:line="240" w:lineRule="auto"/>
              <w:jc w:val="right"/>
              <w:rPr>
                <w:rFonts w:eastAsia="Times New Roman"/>
                <w:color w:val="808080"/>
                <w:spacing w:val="0"/>
                <w:lang w:eastAsia="es-DO"/>
              </w:rPr>
            </w:pPr>
            <w:r w:rsidRPr="00A51686">
              <w:rPr>
                <w:rFonts w:eastAsia="Times New Roman"/>
                <w:color w:val="808080"/>
                <w:spacing w:val="0"/>
                <w:lang w:eastAsia="es-DO"/>
              </w:rPr>
              <w:t>1290</w:t>
            </w:r>
          </w:p>
        </w:tc>
      </w:tr>
      <w:tr w:rsidR="00A51686" w:rsidRPr="00A51686" w14:paraId="58D19A49" w14:textId="77777777" w:rsidTr="00A51686">
        <w:trPr>
          <w:trHeight w:val="264"/>
        </w:trPr>
        <w:tc>
          <w:tcPr>
            <w:tcW w:w="1980" w:type="dxa"/>
            <w:tcBorders>
              <w:top w:val="nil"/>
              <w:left w:val="single" w:sz="4" w:space="0" w:color="auto"/>
              <w:bottom w:val="single" w:sz="4" w:space="0" w:color="auto"/>
              <w:right w:val="single" w:sz="4" w:space="0" w:color="auto"/>
            </w:tcBorders>
            <w:shd w:val="clear" w:color="000000" w:fill="FFFFFF"/>
            <w:vAlign w:val="center"/>
            <w:hideMark/>
          </w:tcPr>
          <w:p w14:paraId="28B5037B" w14:textId="77777777" w:rsidR="00A51686" w:rsidRPr="00A51686" w:rsidRDefault="00A51686" w:rsidP="00A51686">
            <w:pPr>
              <w:spacing w:after="0" w:line="240" w:lineRule="auto"/>
              <w:rPr>
                <w:rFonts w:eastAsia="Times New Roman"/>
                <w:color w:val="808080"/>
                <w:spacing w:val="0"/>
                <w:lang w:eastAsia="es-DO"/>
              </w:rPr>
            </w:pPr>
            <w:r w:rsidRPr="00A51686">
              <w:rPr>
                <w:rFonts w:eastAsia="Times New Roman"/>
                <w:color w:val="808080"/>
                <w:spacing w:val="0"/>
                <w:lang w:eastAsia="es-DO"/>
              </w:rPr>
              <w:t>UAI</w:t>
            </w:r>
          </w:p>
        </w:tc>
        <w:tc>
          <w:tcPr>
            <w:tcW w:w="1701" w:type="dxa"/>
            <w:tcBorders>
              <w:top w:val="nil"/>
              <w:left w:val="nil"/>
              <w:bottom w:val="single" w:sz="4" w:space="0" w:color="auto"/>
              <w:right w:val="single" w:sz="4" w:space="0" w:color="auto"/>
            </w:tcBorders>
            <w:shd w:val="clear" w:color="000000" w:fill="FFFFFF"/>
            <w:noWrap/>
            <w:vAlign w:val="bottom"/>
            <w:hideMark/>
          </w:tcPr>
          <w:p w14:paraId="435359FA" w14:textId="77777777" w:rsidR="00A51686" w:rsidRPr="00A51686" w:rsidRDefault="00A51686" w:rsidP="00A51686">
            <w:pPr>
              <w:spacing w:after="0" w:line="240" w:lineRule="auto"/>
              <w:jc w:val="right"/>
              <w:rPr>
                <w:rFonts w:eastAsia="Times New Roman"/>
                <w:color w:val="808080"/>
                <w:spacing w:val="0"/>
                <w:sz w:val="22"/>
                <w:szCs w:val="22"/>
                <w:lang w:eastAsia="es-DO"/>
              </w:rPr>
            </w:pPr>
            <w:r w:rsidRPr="00A51686">
              <w:rPr>
                <w:rFonts w:eastAsia="Times New Roman"/>
                <w:color w:val="808080"/>
                <w:spacing w:val="0"/>
                <w:sz w:val="22"/>
                <w:szCs w:val="22"/>
                <w:lang w:eastAsia="es-DO"/>
              </w:rPr>
              <w:t>2230</w:t>
            </w:r>
          </w:p>
        </w:tc>
        <w:tc>
          <w:tcPr>
            <w:tcW w:w="1701" w:type="dxa"/>
            <w:tcBorders>
              <w:top w:val="nil"/>
              <w:left w:val="nil"/>
              <w:bottom w:val="single" w:sz="4" w:space="0" w:color="auto"/>
              <w:right w:val="single" w:sz="4" w:space="0" w:color="auto"/>
            </w:tcBorders>
            <w:vAlign w:val="center"/>
            <w:hideMark/>
          </w:tcPr>
          <w:p w14:paraId="6FAFB2EB" w14:textId="77777777" w:rsidR="00A51686" w:rsidRPr="00A51686" w:rsidRDefault="00A51686" w:rsidP="00A51686">
            <w:pPr>
              <w:spacing w:after="0" w:line="240" w:lineRule="auto"/>
              <w:jc w:val="right"/>
              <w:rPr>
                <w:rFonts w:eastAsia="Times New Roman"/>
                <w:color w:val="808080"/>
                <w:spacing w:val="0"/>
                <w:lang w:eastAsia="es-DO"/>
              </w:rPr>
            </w:pPr>
            <w:r w:rsidRPr="00A51686">
              <w:rPr>
                <w:rFonts w:eastAsia="Times New Roman"/>
                <w:color w:val="808080"/>
                <w:spacing w:val="0"/>
                <w:lang w:eastAsia="es-DO"/>
              </w:rPr>
              <w:t>272</w:t>
            </w:r>
          </w:p>
        </w:tc>
        <w:tc>
          <w:tcPr>
            <w:tcW w:w="1984" w:type="dxa"/>
            <w:tcBorders>
              <w:top w:val="nil"/>
              <w:left w:val="nil"/>
              <w:bottom w:val="single" w:sz="4" w:space="0" w:color="auto"/>
              <w:right w:val="single" w:sz="4" w:space="0" w:color="auto"/>
            </w:tcBorders>
            <w:shd w:val="clear" w:color="000000" w:fill="FFFFFF"/>
            <w:noWrap/>
            <w:vAlign w:val="bottom"/>
            <w:hideMark/>
          </w:tcPr>
          <w:p w14:paraId="426FDF2D" w14:textId="77777777" w:rsidR="00A51686" w:rsidRPr="00A51686" w:rsidRDefault="00A51686" w:rsidP="00A51686">
            <w:pPr>
              <w:spacing w:after="0" w:line="240" w:lineRule="auto"/>
              <w:jc w:val="right"/>
              <w:rPr>
                <w:rFonts w:eastAsia="Times New Roman"/>
                <w:color w:val="808080"/>
                <w:spacing w:val="0"/>
                <w:sz w:val="22"/>
                <w:szCs w:val="22"/>
                <w:lang w:eastAsia="es-DO"/>
              </w:rPr>
            </w:pPr>
            <w:r w:rsidRPr="00A51686">
              <w:rPr>
                <w:rFonts w:eastAsia="Times New Roman"/>
                <w:color w:val="808080"/>
                <w:spacing w:val="0"/>
                <w:sz w:val="22"/>
                <w:szCs w:val="22"/>
                <w:lang w:eastAsia="es-DO"/>
              </w:rPr>
              <w:t>2502</w:t>
            </w:r>
          </w:p>
        </w:tc>
      </w:tr>
      <w:tr w:rsidR="00A51686" w:rsidRPr="00A51686" w14:paraId="397B2775" w14:textId="77777777" w:rsidTr="00A51686">
        <w:trPr>
          <w:trHeight w:val="264"/>
        </w:trPr>
        <w:tc>
          <w:tcPr>
            <w:tcW w:w="1980" w:type="dxa"/>
            <w:tcBorders>
              <w:top w:val="nil"/>
              <w:left w:val="single" w:sz="4" w:space="0" w:color="auto"/>
              <w:bottom w:val="single" w:sz="4" w:space="0" w:color="auto"/>
              <w:right w:val="single" w:sz="4" w:space="0" w:color="auto"/>
            </w:tcBorders>
            <w:vAlign w:val="center"/>
            <w:hideMark/>
          </w:tcPr>
          <w:p w14:paraId="7C18D3A8" w14:textId="77777777" w:rsidR="00A51686" w:rsidRPr="00A51686" w:rsidRDefault="00A51686" w:rsidP="00A51686">
            <w:pPr>
              <w:spacing w:after="0" w:line="240" w:lineRule="auto"/>
              <w:rPr>
                <w:rFonts w:eastAsia="Times New Roman"/>
                <w:b/>
                <w:bCs/>
                <w:spacing w:val="0"/>
                <w:lang w:eastAsia="es-DO"/>
              </w:rPr>
            </w:pPr>
            <w:r w:rsidRPr="00A51686">
              <w:rPr>
                <w:rFonts w:eastAsia="Times New Roman"/>
                <w:b/>
                <w:bCs/>
                <w:spacing w:val="0"/>
                <w:lang w:eastAsia="es-DO"/>
              </w:rPr>
              <w:t>Total general</w:t>
            </w:r>
          </w:p>
        </w:tc>
        <w:tc>
          <w:tcPr>
            <w:tcW w:w="1701" w:type="dxa"/>
            <w:tcBorders>
              <w:top w:val="nil"/>
              <w:left w:val="nil"/>
              <w:bottom w:val="single" w:sz="4" w:space="0" w:color="auto"/>
              <w:right w:val="single" w:sz="4" w:space="0" w:color="auto"/>
            </w:tcBorders>
            <w:noWrap/>
            <w:vAlign w:val="bottom"/>
            <w:hideMark/>
          </w:tcPr>
          <w:p w14:paraId="5F7CDEDF" w14:textId="77777777" w:rsidR="00A51686" w:rsidRPr="00A51686" w:rsidRDefault="00A51686" w:rsidP="00A51686">
            <w:pPr>
              <w:spacing w:after="0" w:line="240" w:lineRule="auto"/>
              <w:jc w:val="right"/>
              <w:rPr>
                <w:rFonts w:eastAsia="Times New Roman"/>
                <w:b/>
                <w:bCs/>
                <w:color w:val="808080"/>
                <w:spacing w:val="0"/>
                <w:sz w:val="22"/>
                <w:szCs w:val="22"/>
                <w:lang w:eastAsia="es-DO"/>
              </w:rPr>
            </w:pPr>
            <w:r w:rsidRPr="00A51686">
              <w:rPr>
                <w:rFonts w:eastAsia="Times New Roman"/>
                <w:b/>
                <w:bCs/>
                <w:color w:val="808080"/>
                <w:spacing w:val="0"/>
                <w:sz w:val="22"/>
                <w:szCs w:val="22"/>
                <w:lang w:eastAsia="es-DO"/>
              </w:rPr>
              <w:t>3314</w:t>
            </w:r>
          </w:p>
        </w:tc>
        <w:tc>
          <w:tcPr>
            <w:tcW w:w="1701" w:type="dxa"/>
            <w:tcBorders>
              <w:top w:val="nil"/>
              <w:left w:val="nil"/>
              <w:bottom w:val="single" w:sz="4" w:space="0" w:color="auto"/>
              <w:right w:val="single" w:sz="4" w:space="0" w:color="auto"/>
            </w:tcBorders>
            <w:noWrap/>
            <w:vAlign w:val="bottom"/>
            <w:hideMark/>
          </w:tcPr>
          <w:p w14:paraId="547F012E" w14:textId="77777777" w:rsidR="00A51686" w:rsidRPr="00A51686" w:rsidRDefault="00A51686" w:rsidP="00A51686">
            <w:pPr>
              <w:spacing w:after="0" w:line="240" w:lineRule="auto"/>
              <w:jc w:val="right"/>
              <w:rPr>
                <w:rFonts w:eastAsia="Times New Roman"/>
                <w:b/>
                <w:bCs/>
                <w:color w:val="808080"/>
                <w:spacing w:val="0"/>
                <w:sz w:val="22"/>
                <w:szCs w:val="22"/>
                <w:lang w:eastAsia="es-DO"/>
              </w:rPr>
            </w:pPr>
            <w:r w:rsidRPr="00A51686">
              <w:rPr>
                <w:rFonts w:eastAsia="Times New Roman"/>
                <w:b/>
                <w:bCs/>
                <w:color w:val="808080"/>
                <w:spacing w:val="0"/>
                <w:sz w:val="22"/>
                <w:szCs w:val="22"/>
                <w:lang w:eastAsia="es-DO"/>
              </w:rPr>
              <w:t>478</w:t>
            </w:r>
          </w:p>
        </w:tc>
        <w:tc>
          <w:tcPr>
            <w:tcW w:w="1984" w:type="dxa"/>
            <w:tcBorders>
              <w:top w:val="nil"/>
              <w:left w:val="nil"/>
              <w:bottom w:val="single" w:sz="4" w:space="0" w:color="auto"/>
              <w:right w:val="single" w:sz="4" w:space="0" w:color="auto"/>
            </w:tcBorders>
            <w:noWrap/>
            <w:vAlign w:val="bottom"/>
            <w:hideMark/>
          </w:tcPr>
          <w:p w14:paraId="275D1854" w14:textId="77777777" w:rsidR="00A51686" w:rsidRPr="00A51686" w:rsidRDefault="00A51686" w:rsidP="00A51686">
            <w:pPr>
              <w:spacing w:after="0" w:line="240" w:lineRule="auto"/>
              <w:jc w:val="right"/>
              <w:rPr>
                <w:rFonts w:eastAsia="Times New Roman"/>
                <w:b/>
                <w:bCs/>
                <w:color w:val="808080"/>
                <w:spacing w:val="0"/>
                <w:sz w:val="22"/>
                <w:szCs w:val="22"/>
                <w:lang w:eastAsia="es-DO"/>
              </w:rPr>
            </w:pPr>
            <w:r w:rsidRPr="00A51686">
              <w:rPr>
                <w:rFonts w:eastAsia="Times New Roman"/>
                <w:b/>
                <w:bCs/>
                <w:color w:val="808080"/>
                <w:spacing w:val="0"/>
                <w:sz w:val="22"/>
                <w:szCs w:val="22"/>
                <w:lang w:eastAsia="es-DO"/>
              </w:rPr>
              <w:t>3792</w:t>
            </w:r>
          </w:p>
        </w:tc>
      </w:tr>
    </w:tbl>
    <w:p w14:paraId="333AA562" w14:textId="77777777" w:rsidR="00A51686" w:rsidRPr="0077472F" w:rsidRDefault="00A51686" w:rsidP="00A51686">
      <w:pPr>
        <w:spacing w:line="360" w:lineRule="auto"/>
        <w:jc w:val="center"/>
        <w:rPr>
          <w:i/>
          <w:iCs/>
          <w:sz w:val="18"/>
          <w:szCs w:val="18"/>
        </w:rPr>
      </w:pPr>
      <w:r w:rsidRPr="0077472F">
        <w:rPr>
          <w:i/>
          <w:iCs/>
          <w:sz w:val="18"/>
          <w:szCs w:val="18"/>
        </w:rPr>
        <w:t>Fuente. Informe Anual Departamento de Ingeniería y Arquitectura</w:t>
      </w:r>
    </w:p>
    <w:p w14:paraId="6EA4616E" w14:textId="77777777" w:rsidR="00A51686" w:rsidRDefault="00A51686" w:rsidP="00A51686">
      <w:pPr>
        <w:spacing w:line="360" w:lineRule="auto"/>
        <w:jc w:val="both"/>
        <w:rPr>
          <w:rFonts w:eastAsia="Calibri"/>
        </w:rPr>
      </w:pPr>
    </w:p>
    <w:p w14:paraId="31681864" w14:textId="77777777" w:rsidR="003F75F6" w:rsidRDefault="003F75F6" w:rsidP="009B10A8">
      <w:pPr>
        <w:spacing w:line="360" w:lineRule="auto"/>
        <w:jc w:val="center"/>
        <w:rPr>
          <w:sz w:val="18"/>
          <w:szCs w:val="18"/>
        </w:rPr>
      </w:pPr>
    </w:p>
    <w:p w14:paraId="65E80C90" w14:textId="77777777" w:rsidR="009B10A8" w:rsidRPr="00465A16" w:rsidRDefault="009B10A8" w:rsidP="008822D2">
      <w:pPr>
        <w:spacing w:line="360" w:lineRule="auto"/>
        <w:jc w:val="both"/>
        <w:rPr>
          <w:color w:val="4A442A" w:themeColor="background2" w:themeShade="40"/>
        </w:rPr>
      </w:pPr>
    </w:p>
    <w:bookmarkEnd w:id="18"/>
    <w:p w14:paraId="1B574A8F" w14:textId="77777777" w:rsidR="003F75F6" w:rsidRDefault="003F75F6">
      <w:pPr>
        <w:rPr>
          <w:rFonts w:eastAsia="Calibri"/>
        </w:rPr>
      </w:pPr>
      <w:r>
        <w:rPr>
          <w:rFonts w:eastAsia="Calibri"/>
        </w:rPr>
        <w:br w:type="page"/>
      </w:r>
    </w:p>
    <w:p w14:paraId="7EA3BCC3" w14:textId="025F4143" w:rsidR="00444B77" w:rsidRPr="00AF327F" w:rsidRDefault="009B10A8" w:rsidP="00463C08">
      <w:pPr>
        <w:spacing w:line="360" w:lineRule="auto"/>
        <w:jc w:val="both"/>
        <w:rPr>
          <w:rFonts w:eastAsia="Calibri"/>
        </w:rPr>
      </w:pPr>
      <w:r w:rsidRPr="00AF327F">
        <w:rPr>
          <w:rFonts w:eastAsia="Calibri"/>
        </w:rPr>
        <w:lastRenderedPageBreak/>
        <w:t xml:space="preserve">El área de Ingeniería y Arquitectura fortaleció de manera significativa el acompañamiento técnico especializado en materia de contratación, ejecución y fiscalización de obras públicas. En total, se gestionaron y respondieron 61 asesorías técnicas, todas atendidas dentro de los plazos establecidos y conforme a los requerimientos del Despacho del Contralor y de las instituciones solicitantes, lo que refleja un cumplimiento del 100% en productividad anual. </w:t>
      </w:r>
    </w:p>
    <w:p w14:paraId="46B26F78" w14:textId="379F3939" w:rsidR="009B10A8" w:rsidRPr="00B871B9" w:rsidRDefault="009B10A8" w:rsidP="00463C08">
      <w:pPr>
        <w:spacing w:line="360" w:lineRule="auto"/>
        <w:jc w:val="both"/>
        <w:rPr>
          <w:rFonts w:eastAsia="Calibri"/>
        </w:rPr>
      </w:pPr>
      <w:bookmarkStart w:id="19" w:name="_Hlk217896799"/>
      <w:r w:rsidRPr="00AF327F">
        <w:rPr>
          <w:rFonts w:eastAsia="Calibri"/>
        </w:rPr>
        <w:t xml:space="preserve">Del total de asesorías atendidas, 21 fueron solicitadas directamente por el Despacho del Contralor, enfocadas en la revisión, validación y análisis técnico de expedientes de obras, con el objetivo de fortalecer la toma de decisiones </w:t>
      </w:r>
      <w:r w:rsidRPr="00B871B9">
        <w:rPr>
          <w:rFonts w:eastAsia="Calibri"/>
        </w:rPr>
        <w:t>estratégicas y garantizar la correcta aplicación del marco normativo vigente.</w:t>
      </w:r>
      <w:r w:rsidR="0004181F" w:rsidRPr="00B871B9">
        <w:rPr>
          <w:rFonts w:eastAsia="Calibri"/>
        </w:rPr>
        <w:t xml:space="preserve"> </w:t>
      </w:r>
      <w:r w:rsidR="00B871B9" w:rsidRPr="00B871B9">
        <w:rPr>
          <w:rFonts w:eastAsia="Calibri"/>
        </w:rPr>
        <w:t>Se proyecta mantener esta cifra hasta finalizar el año.</w:t>
      </w:r>
    </w:p>
    <w:p w14:paraId="65E65293" w14:textId="77777777" w:rsidR="00B871B9" w:rsidRPr="00B871B9" w:rsidRDefault="00D956A5" w:rsidP="00B871B9">
      <w:pPr>
        <w:spacing w:line="360" w:lineRule="auto"/>
        <w:jc w:val="both"/>
        <w:rPr>
          <w:rFonts w:eastAsia="Calibri"/>
        </w:rPr>
      </w:pPr>
      <w:r w:rsidRPr="00AF327F">
        <w:rPr>
          <w:rFonts w:eastAsia="Calibri"/>
        </w:rPr>
        <w:t>Además</w:t>
      </w:r>
      <w:r w:rsidR="009B10A8" w:rsidRPr="00AF327F">
        <w:rPr>
          <w:rFonts w:eastAsia="Calibri"/>
        </w:rPr>
        <w:t xml:space="preserve">, se brindaron 40 asesorías técnicas a diversas instituciones públicas, orientadas a estandarizar criterios, mejorar la calidad documental de los expedientes de obras, reducir riesgos de inconsistencias en los procesos contractuales y promover prácticas alineadas con los principios de transparencia, eficiencia y control interno. </w:t>
      </w:r>
      <w:bookmarkEnd w:id="19"/>
      <w:r w:rsidR="00B871B9" w:rsidRPr="00B871B9">
        <w:rPr>
          <w:rFonts w:eastAsia="Calibri"/>
        </w:rPr>
        <w:t>Se proyecta mantener esta cifra hasta finalizar el año.</w:t>
      </w:r>
    </w:p>
    <w:p w14:paraId="5F8DA3D7" w14:textId="4FFAAEC3" w:rsidR="009B10A8" w:rsidRPr="00AF327F" w:rsidRDefault="009B10A8" w:rsidP="00463C08">
      <w:pPr>
        <w:spacing w:line="360" w:lineRule="auto"/>
        <w:jc w:val="both"/>
        <w:rPr>
          <w:rFonts w:eastAsia="Calibri"/>
        </w:rPr>
      </w:pPr>
      <w:r w:rsidRPr="00AF327F">
        <w:rPr>
          <w:rFonts w:eastAsia="Calibri"/>
        </w:rPr>
        <w:t xml:space="preserve">En tanto que el mayor volumen provino de la Dirección de Infraestructura Escolar (DIE–MINERD) con las edificaciones escolares, que concentró 16 solicitudes (26%), seguida del Ministerio de la Vivienda, Hábitat y Edificaciones (MIVHED) en obras de edificaciones residenciales y no residenciales, con 10 solicitudes (16%), mientras que la Empresa de Generación Hidroeléctrica Dominicana (EGEHID) con las obras de infraestructura Hidroeléctricas, obtuvo </w:t>
      </w:r>
      <w:r w:rsidR="00426409" w:rsidRPr="00AF327F">
        <w:rPr>
          <w:rFonts w:eastAsia="Calibri"/>
        </w:rPr>
        <w:t>cuatro</w:t>
      </w:r>
      <w:r w:rsidRPr="00AF327F">
        <w:rPr>
          <w:rFonts w:eastAsia="Calibri"/>
        </w:rPr>
        <w:t xml:space="preserve"> (7%). </w:t>
      </w:r>
    </w:p>
    <w:p w14:paraId="7121997A" w14:textId="77777777" w:rsidR="007A581C" w:rsidRDefault="007A581C" w:rsidP="00463C08">
      <w:pPr>
        <w:spacing w:line="360" w:lineRule="auto"/>
        <w:jc w:val="both"/>
        <w:rPr>
          <w:rFonts w:eastAsia="Calibri"/>
        </w:rPr>
      </w:pPr>
    </w:p>
    <w:p w14:paraId="79D435AC" w14:textId="75FC7501" w:rsidR="009B10A8" w:rsidRPr="00AF327F" w:rsidRDefault="009B10A8" w:rsidP="00463C08">
      <w:pPr>
        <w:spacing w:line="360" w:lineRule="auto"/>
        <w:jc w:val="both"/>
        <w:rPr>
          <w:rFonts w:eastAsia="Calibri"/>
        </w:rPr>
      </w:pPr>
      <w:r w:rsidRPr="00AF327F">
        <w:rPr>
          <w:rFonts w:eastAsia="Calibri"/>
        </w:rPr>
        <w:lastRenderedPageBreak/>
        <w:t xml:space="preserve">Finalmente el Ministerio de Obras Públicas y Comunicaciones (MOPC), con las obras de infraestructura vial y terrestre, con </w:t>
      </w:r>
      <w:r w:rsidR="00AF5CB7" w:rsidRPr="00AF327F">
        <w:rPr>
          <w:rFonts w:eastAsia="Calibri"/>
        </w:rPr>
        <w:t>tres</w:t>
      </w:r>
      <w:r w:rsidRPr="00AF327F">
        <w:rPr>
          <w:rFonts w:eastAsia="Calibri"/>
        </w:rPr>
        <w:t xml:space="preserve"> (5%), evidenciando una alta demanda de acompañamiento técnico en las áreas vinculadas.</w:t>
      </w:r>
    </w:p>
    <w:p w14:paraId="333499C5" w14:textId="77777777" w:rsidR="009B10A8" w:rsidRPr="00AF327F" w:rsidRDefault="009B10A8">
      <w:pPr>
        <w:rPr>
          <w:rFonts w:eastAsia="Calibri"/>
          <w:b/>
          <w:bCs/>
        </w:rPr>
      </w:pPr>
      <w:r w:rsidRPr="00AF327F">
        <w:rPr>
          <w:rFonts w:eastAsia="Calibri"/>
          <w:b/>
          <w:bCs/>
        </w:rPr>
        <w:t xml:space="preserve">j. Fiscalización de contratos medioambientales y agrarios </w:t>
      </w:r>
    </w:p>
    <w:p w14:paraId="67D50077" w14:textId="16B02EC0" w:rsidR="009B10A8" w:rsidRPr="00AF327F" w:rsidRDefault="009B10A8" w:rsidP="00463C08">
      <w:pPr>
        <w:spacing w:line="360" w:lineRule="auto"/>
        <w:jc w:val="both"/>
        <w:rPr>
          <w:rFonts w:eastAsia="Calibri"/>
        </w:rPr>
      </w:pPr>
      <w:r w:rsidRPr="00AF327F">
        <w:rPr>
          <w:rFonts w:eastAsia="Calibri"/>
        </w:rPr>
        <w:t>Durante el período enero–noviembre de 2025, el área ejecutó un conjunto de actividades orientadas al fortalecimiento del control interno, la supervisión técnica y la transparencia en la gestión contractual vinculada a procesos de roturación y fiscalización en campo.</w:t>
      </w:r>
    </w:p>
    <w:p w14:paraId="717FC89E" w14:textId="159311A0" w:rsidR="009B10A8" w:rsidRPr="00AF327F" w:rsidRDefault="009B10A8" w:rsidP="00463C08">
      <w:pPr>
        <w:spacing w:line="360" w:lineRule="auto"/>
        <w:jc w:val="both"/>
        <w:rPr>
          <w:rFonts w:eastAsia="Calibri"/>
        </w:rPr>
      </w:pPr>
      <w:bookmarkStart w:id="20" w:name="_Hlk217896831"/>
      <w:r w:rsidRPr="00AF327F">
        <w:rPr>
          <w:rFonts w:eastAsia="Calibri"/>
        </w:rPr>
        <w:t>En materia de revisión y validación contractual, se analizaron 19 contratos de roturación correspondientes a la Gestión de Despacho,</w:t>
      </w:r>
      <w:r w:rsidR="00266E7E">
        <w:rPr>
          <w:rFonts w:eastAsia="Calibri"/>
        </w:rPr>
        <w:t xml:space="preserve"> cifra que se mantendrá hasta finales de año. Por otro lado se ejecutaron </w:t>
      </w:r>
      <w:r w:rsidRPr="00AF327F">
        <w:rPr>
          <w:rFonts w:eastAsia="Calibri"/>
        </w:rPr>
        <w:t xml:space="preserve">74 servicios de roturación </w:t>
      </w:r>
      <w:r w:rsidR="00266E7E">
        <w:rPr>
          <w:rFonts w:eastAsia="Calibri"/>
        </w:rPr>
        <w:t>con</w:t>
      </w:r>
      <w:r w:rsidRPr="00AF327F">
        <w:rPr>
          <w:rFonts w:eastAsia="Calibri"/>
        </w:rPr>
        <w:t xml:space="preserve"> equipos</w:t>
      </w:r>
      <w:r w:rsidR="00266E7E">
        <w:rPr>
          <w:rFonts w:eastAsia="Calibri"/>
        </w:rPr>
        <w:t xml:space="preserve"> propios</w:t>
      </w:r>
      <w:r w:rsidRPr="00AF327F">
        <w:rPr>
          <w:rFonts w:eastAsia="Calibri"/>
        </w:rPr>
        <w:t xml:space="preserve"> del Ministerio de Agricultura, </w:t>
      </w:r>
      <w:r w:rsidR="00266E7E">
        <w:rPr>
          <w:rFonts w:eastAsia="Calibri"/>
        </w:rPr>
        <w:t xml:space="preserve">con una proyección a diciembre de 18 contratos más, para un total de 92 a cierre de año.  </w:t>
      </w:r>
      <w:r w:rsidRPr="00AF327F">
        <w:rPr>
          <w:rFonts w:eastAsia="Calibri"/>
        </w:rPr>
        <w:t>Estas revisiones representaron un monto total de RD$158,611,906.59 en contratos validados.</w:t>
      </w:r>
      <w:r w:rsidR="0004181F" w:rsidRPr="0004181F">
        <w:rPr>
          <w:rFonts w:eastAsia="Calibri"/>
          <w:color w:val="EE0000"/>
        </w:rPr>
        <w:t xml:space="preserve"> </w:t>
      </w:r>
    </w:p>
    <w:p w14:paraId="4E404B1C" w14:textId="360724DA" w:rsidR="009B10A8" w:rsidRPr="00AF327F" w:rsidRDefault="009B10A8" w:rsidP="00463C08">
      <w:pPr>
        <w:spacing w:line="360" w:lineRule="auto"/>
        <w:jc w:val="both"/>
        <w:rPr>
          <w:rFonts w:eastAsia="Calibri"/>
        </w:rPr>
      </w:pPr>
      <w:r w:rsidRPr="00AF327F">
        <w:rPr>
          <w:rFonts w:eastAsia="Calibri"/>
        </w:rPr>
        <w:t>Como resultado de las acciones de fiscalización en territorio, se supervisaron contratos por un valor acumulado de RD$213,804,298.38, verificando su correcta ejecución técnica y el cumplimiento de los alcances definidos contractualmente.</w:t>
      </w:r>
      <w:r w:rsidR="00273B1F">
        <w:rPr>
          <w:rFonts w:eastAsia="Calibri"/>
        </w:rPr>
        <w:t xml:space="preserve"> Se proyecta un incremento de </w:t>
      </w:r>
      <w:r w:rsidR="00273B1F" w:rsidRPr="00AF327F">
        <w:rPr>
          <w:rFonts w:eastAsia="Calibri"/>
        </w:rPr>
        <w:t>RD$</w:t>
      </w:r>
      <w:r w:rsidR="00273B1F" w:rsidRPr="00273B1F">
        <w:rPr>
          <w:rFonts w:eastAsia="Calibri"/>
        </w:rPr>
        <w:t>12,340,500</w:t>
      </w:r>
      <w:r w:rsidR="00273B1F">
        <w:rPr>
          <w:rFonts w:eastAsia="Calibri"/>
        </w:rPr>
        <w:t xml:space="preserve"> para el mes de diciembre, equivalente a un total de RD$226,144,798.38. </w:t>
      </w:r>
      <w:r w:rsidRPr="00AF327F">
        <w:rPr>
          <w:rFonts w:eastAsia="Calibri"/>
        </w:rPr>
        <w:t xml:space="preserve"> Estas inspecciones beneficiaron directamente a 2,042</w:t>
      </w:r>
      <w:r w:rsidR="00273B1F" w:rsidRPr="00273B1F">
        <w:rPr>
          <w:rFonts w:eastAsia="Calibri"/>
        </w:rPr>
        <w:t xml:space="preserve"> </w:t>
      </w:r>
      <w:r w:rsidR="00273B1F">
        <w:rPr>
          <w:rFonts w:eastAsia="Calibri"/>
        </w:rPr>
        <w:t>productores</w:t>
      </w:r>
      <w:r w:rsidR="00273B1F" w:rsidRPr="00AF327F">
        <w:rPr>
          <w:rFonts w:eastAsia="Calibri"/>
        </w:rPr>
        <w:t xml:space="preserve"> fiscalizad</w:t>
      </w:r>
      <w:r w:rsidR="00273B1F">
        <w:rPr>
          <w:rFonts w:eastAsia="Calibri"/>
        </w:rPr>
        <w:t>o</w:t>
      </w:r>
      <w:r w:rsidR="00273B1F" w:rsidRPr="00AF327F">
        <w:rPr>
          <w:rFonts w:eastAsia="Calibri"/>
        </w:rPr>
        <w:t>s en campo</w:t>
      </w:r>
      <w:r w:rsidR="00273B1F">
        <w:rPr>
          <w:rFonts w:eastAsia="Calibri"/>
        </w:rPr>
        <w:t>, con una proyección de 41 adicionales en diciembre, para un total de 2,083</w:t>
      </w:r>
      <w:r w:rsidRPr="00AF327F">
        <w:rPr>
          <w:rFonts w:eastAsia="Calibri"/>
        </w:rPr>
        <w:t>, consolidando un proceso de control que permitió garantizar mayor trazabilidad y confiabilidad de las intervenciones supervisadas.</w:t>
      </w:r>
      <w:r w:rsidR="0004181F" w:rsidRPr="0004181F">
        <w:rPr>
          <w:rFonts w:eastAsia="Calibri"/>
          <w:color w:val="EE0000"/>
        </w:rPr>
        <w:t xml:space="preserve"> </w:t>
      </w:r>
    </w:p>
    <w:p w14:paraId="138E58CD" w14:textId="432EE298" w:rsidR="009B10A8" w:rsidRPr="00AF327F" w:rsidRDefault="009B10A8" w:rsidP="00463C08">
      <w:pPr>
        <w:spacing w:line="360" w:lineRule="auto"/>
        <w:jc w:val="both"/>
        <w:rPr>
          <w:rFonts w:eastAsia="Calibri"/>
        </w:rPr>
      </w:pPr>
      <w:bookmarkStart w:id="21" w:name="_Hlk217896845"/>
      <w:bookmarkEnd w:id="20"/>
      <w:r w:rsidRPr="00AF327F">
        <w:rPr>
          <w:rFonts w:eastAsia="Calibri"/>
        </w:rPr>
        <w:lastRenderedPageBreak/>
        <w:t>En cuanto a productividad operativa, se ejecutaron 326,446 tareas fiscalizadas,</w:t>
      </w:r>
      <w:r w:rsidR="002C746F">
        <w:rPr>
          <w:rFonts w:eastAsia="Calibri"/>
        </w:rPr>
        <w:t xml:space="preserve"> con una proyección de 7,483</w:t>
      </w:r>
      <w:r w:rsidRPr="00AF327F">
        <w:rPr>
          <w:rFonts w:eastAsia="Calibri"/>
        </w:rPr>
        <w:t xml:space="preserve"> </w:t>
      </w:r>
      <w:r w:rsidR="002C746F">
        <w:rPr>
          <w:rFonts w:eastAsia="Calibri"/>
        </w:rPr>
        <w:t xml:space="preserve">tareas verificadas más, </w:t>
      </w:r>
      <w:r w:rsidRPr="00AF327F">
        <w:rPr>
          <w:rFonts w:eastAsia="Calibri"/>
        </w:rPr>
        <w:t xml:space="preserve">sustentadas en una muestra técnica acumulada de </w:t>
      </w:r>
      <w:r w:rsidR="002C746F">
        <w:rPr>
          <w:rFonts w:eastAsia="Calibri"/>
        </w:rPr>
        <w:t>90,508 incluyendo la proyección de diciembre</w:t>
      </w:r>
      <w:r w:rsidRPr="00AF327F">
        <w:rPr>
          <w:rFonts w:eastAsia="Calibri"/>
        </w:rPr>
        <w:t>; estos resultados permitieron obtener una medición precisa del avance real de las intervenciones y asegurar coherencia entre lo reportado y lo ejecutado.</w:t>
      </w:r>
      <w:r w:rsidR="0004181F" w:rsidRPr="0004181F">
        <w:rPr>
          <w:rFonts w:eastAsia="Calibri"/>
          <w:color w:val="EE0000"/>
        </w:rPr>
        <w:t xml:space="preserve"> </w:t>
      </w:r>
    </w:p>
    <w:p w14:paraId="56F16BF7" w14:textId="5195F3E7" w:rsidR="009B10A8" w:rsidRPr="00AF327F" w:rsidRDefault="009B10A8" w:rsidP="00463C08">
      <w:pPr>
        <w:spacing w:line="360" w:lineRule="auto"/>
        <w:jc w:val="both"/>
        <w:rPr>
          <w:rFonts w:eastAsia="Calibri"/>
        </w:rPr>
      </w:pPr>
      <w:r w:rsidRPr="00AF327F">
        <w:rPr>
          <w:rFonts w:eastAsia="Calibri"/>
        </w:rPr>
        <w:t xml:space="preserve">Finalmente, se realizaron 234 recepciones </w:t>
      </w:r>
      <w:r w:rsidR="00671F63">
        <w:rPr>
          <w:rFonts w:eastAsia="Calibri"/>
        </w:rPr>
        <w:t>de bienes y servicios</w:t>
      </w:r>
      <w:r w:rsidRPr="00AF327F">
        <w:rPr>
          <w:rFonts w:eastAsia="Calibri"/>
        </w:rPr>
        <w:t xml:space="preserve">, </w:t>
      </w:r>
      <w:r w:rsidR="00671F63">
        <w:rPr>
          <w:rFonts w:eastAsia="Calibri"/>
        </w:rPr>
        <w:t xml:space="preserve">con una proyección para diciembre 56 adicionales, ascendentes a un total estimado de 290 recepciones, </w:t>
      </w:r>
      <w:r w:rsidRPr="00AF327F">
        <w:rPr>
          <w:rFonts w:eastAsia="Calibri"/>
        </w:rPr>
        <w:t>equivalentes a un monto validado de RD$</w:t>
      </w:r>
      <w:r w:rsidR="00671F63">
        <w:rPr>
          <w:rFonts w:eastAsia="Calibri"/>
        </w:rPr>
        <w:t>193,778,103.86</w:t>
      </w:r>
      <w:r w:rsidRPr="00AF327F">
        <w:rPr>
          <w:rFonts w:eastAsia="Calibri"/>
        </w:rPr>
        <w:t>,</w:t>
      </w:r>
      <w:r w:rsidR="00671F63">
        <w:rPr>
          <w:rFonts w:eastAsia="Calibri"/>
        </w:rPr>
        <w:t xml:space="preserve"> incluyendo esto la proyección de diciembre,</w:t>
      </w:r>
      <w:r w:rsidRPr="00AF327F">
        <w:rPr>
          <w:rFonts w:eastAsia="Calibri"/>
        </w:rPr>
        <w:t xml:space="preserve"> confirmando la entrega conforme de los trabajos y contribuyendo a la actualización fiable de los pagos procesados por la institución.</w:t>
      </w:r>
      <w:r w:rsidR="0004181F">
        <w:rPr>
          <w:rFonts w:eastAsia="Calibri"/>
        </w:rPr>
        <w:t xml:space="preserve"> </w:t>
      </w:r>
    </w:p>
    <w:p w14:paraId="519E4DA8" w14:textId="3A181517" w:rsidR="000C4DB0" w:rsidRDefault="00FF362C" w:rsidP="00903BC2">
      <w:pPr>
        <w:pStyle w:val="Ttulo2"/>
        <w:spacing w:line="360" w:lineRule="auto"/>
        <w:rPr>
          <w:b/>
          <w:bCs/>
          <w:color w:val="767171"/>
          <w:szCs w:val="24"/>
        </w:rPr>
      </w:pPr>
      <w:bookmarkStart w:id="22" w:name="_Toc217997935"/>
      <w:bookmarkEnd w:id="21"/>
      <w:r w:rsidRPr="00AF327F">
        <w:rPr>
          <w:b/>
          <w:bCs/>
          <w:color w:val="767171"/>
          <w:szCs w:val="24"/>
        </w:rPr>
        <w:t>3.</w:t>
      </w:r>
      <w:r w:rsidR="00B65474" w:rsidRPr="00AF327F">
        <w:rPr>
          <w:b/>
          <w:bCs/>
          <w:color w:val="767171"/>
          <w:szCs w:val="24"/>
        </w:rPr>
        <w:t>3</w:t>
      </w:r>
      <w:r w:rsidRPr="00AF327F">
        <w:rPr>
          <w:b/>
          <w:bCs/>
          <w:color w:val="767171"/>
          <w:szCs w:val="24"/>
        </w:rPr>
        <w:t xml:space="preserve"> Auditorías e investigaciones a las instituciones públicas</w:t>
      </w:r>
      <w:bookmarkEnd w:id="22"/>
    </w:p>
    <w:p w14:paraId="503C4B85" w14:textId="77777777" w:rsidR="00F56D35" w:rsidRPr="00F56D35" w:rsidRDefault="00F56D35" w:rsidP="00F56D35"/>
    <w:p w14:paraId="6E7A33DC" w14:textId="16BDECA4" w:rsidR="00FD0DBE" w:rsidRPr="00AF327F" w:rsidRDefault="00333ED6" w:rsidP="00463C08">
      <w:pPr>
        <w:spacing w:line="360" w:lineRule="auto"/>
        <w:jc w:val="both"/>
        <w:rPr>
          <w:rFonts w:eastAsia="Calibri"/>
          <w:b/>
          <w:bCs/>
        </w:rPr>
      </w:pPr>
      <w:r w:rsidRPr="00AF327F">
        <w:rPr>
          <w:rFonts w:eastAsia="Calibri"/>
          <w:b/>
          <w:bCs/>
        </w:rPr>
        <w:t xml:space="preserve">a. </w:t>
      </w:r>
      <w:r w:rsidR="00FD0DBE" w:rsidRPr="00AF327F">
        <w:rPr>
          <w:rFonts w:eastAsia="Calibri"/>
          <w:b/>
          <w:bCs/>
        </w:rPr>
        <w:t>Auditoría interna</w:t>
      </w:r>
    </w:p>
    <w:p w14:paraId="612466FF" w14:textId="598DF179" w:rsidR="00FD0DBE" w:rsidRPr="00AF327F" w:rsidRDefault="00FD0DBE" w:rsidP="00463C08">
      <w:pPr>
        <w:spacing w:line="360" w:lineRule="auto"/>
        <w:jc w:val="both"/>
        <w:rPr>
          <w:rFonts w:eastAsia="Calibri"/>
        </w:rPr>
      </w:pPr>
      <w:r w:rsidRPr="00AF327F">
        <w:rPr>
          <w:rFonts w:eastAsia="Calibri"/>
        </w:rPr>
        <w:t xml:space="preserve">La Contraloría General de la República, conforme a los artículos </w:t>
      </w:r>
      <w:r w:rsidR="0076103B" w:rsidRPr="00AF327F">
        <w:rPr>
          <w:rFonts w:eastAsia="Calibri"/>
        </w:rPr>
        <w:t xml:space="preserve">No. </w:t>
      </w:r>
      <w:r w:rsidRPr="00AF327F">
        <w:rPr>
          <w:rFonts w:eastAsia="Calibri"/>
        </w:rPr>
        <w:t>246 y 247 de la Constitución de la República Dominicana; y de acuerdo con las competencias que le confiere la Ley Núm. 10-07 que instituye el Sistema Nacional de Control Interno y de la Contraloría General de la República, tiene la responsabilidad de fiscalizar a las instituciones que reciben, administran y recaudan recursos del Estado Dominicano.</w:t>
      </w:r>
    </w:p>
    <w:p w14:paraId="70A51B88" w14:textId="77777777" w:rsidR="00B97FDC" w:rsidRDefault="00FD0DBE" w:rsidP="00463C08">
      <w:pPr>
        <w:spacing w:line="360" w:lineRule="auto"/>
        <w:jc w:val="both"/>
        <w:rPr>
          <w:rFonts w:eastAsia="Calibri"/>
        </w:rPr>
      </w:pPr>
      <w:r w:rsidRPr="00AF327F">
        <w:rPr>
          <w:rFonts w:eastAsia="Calibri"/>
        </w:rPr>
        <w:t>A final de noviembre 202</w:t>
      </w:r>
      <w:r w:rsidR="00E77640" w:rsidRPr="00AF327F">
        <w:rPr>
          <w:rFonts w:eastAsia="Calibri"/>
        </w:rPr>
        <w:t>5</w:t>
      </w:r>
      <w:r w:rsidRPr="00AF327F">
        <w:rPr>
          <w:rFonts w:eastAsia="Calibri"/>
        </w:rPr>
        <w:t xml:space="preserve">, </w:t>
      </w:r>
      <w:r w:rsidR="00E77640" w:rsidRPr="00AF327F">
        <w:rPr>
          <w:rFonts w:eastAsia="Calibri"/>
        </w:rPr>
        <w:t>las</w:t>
      </w:r>
      <w:r w:rsidRPr="00AF327F">
        <w:rPr>
          <w:rFonts w:eastAsia="Calibri"/>
        </w:rPr>
        <w:t xml:space="preserve"> área</w:t>
      </w:r>
      <w:r w:rsidR="00E77640" w:rsidRPr="00AF327F">
        <w:rPr>
          <w:rFonts w:eastAsia="Calibri"/>
        </w:rPr>
        <w:t>s</w:t>
      </w:r>
      <w:r w:rsidRPr="00AF327F">
        <w:rPr>
          <w:rFonts w:eastAsia="Calibri"/>
        </w:rPr>
        <w:t xml:space="preserve"> de auditoría entreg</w:t>
      </w:r>
      <w:r w:rsidR="00E77640" w:rsidRPr="00AF327F">
        <w:rPr>
          <w:rFonts w:eastAsia="Calibri"/>
        </w:rPr>
        <w:t>aron</w:t>
      </w:r>
      <w:r w:rsidRPr="00AF327F">
        <w:rPr>
          <w:rFonts w:eastAsia="Calibri"/>
        </w:rPr>
        <w:t xml:space="preserve"> </w:t>
      </w:r>
      <w:r w:rsidR="00F56D35">
        <w:rPr>
          <w:rFonts w:eastAsia="Calibri"/>
        </w:rPr>
        <w:t xml:space="preserve">un </w:t>
      </w:r>
      <w:r w:rsidRPr="00AF327F">
        <w:rPr>
          <w:rFonts w:eastAsia="Calibri"/>
        </w:rPr>
        <w:t xml:space="preserve">total de </w:t>
      </w:r>
      <w:r w:rsidR="00332A97" w:rsidRPr="00AF327F">
        <w:rPr>
          <w:rFonts w:eastAsia="Calibri"/>
        </w:rPr>
        <w:t>61</w:t>
      </w:r>
      <w:r w:rsidRPr="00AF327F">
        <w:rPr>
          <w:rFonts w:eastAsia="Calibri"/>
        </w:rPr>
        <w:t xml:space="preserve"> informes de auditoría, de los cuales: </w:t>
      </w:r>
      <w:r w:rsidR="00332A97" w:rsidRPr="00AF327F">
        <w:rPr>
          <w:rFonts w:eastAsia="Calibri"/>
        </w:rPr>
        <w:t>24</w:t>
      </w:r>
      <w:r w:rsidRPr="00AF327F">
        <w:rPr>
          <w:rFonts w:eastAsia="Calibri"/>
        </w:rPr>
        <w:t xml:space="preserve"> corresponden a auditorías de enfoque general</w:t>
      </w:r>
      <w:r w:rsidR="00332A97" w:rsidRPr="00AF327F">
        <w:rPr>
          <w:rFonts w:eastAsia="Calibri"/>
        </w:rPr>
        <w:t xml:space="preserve"> (19 </w:t>
      </w:r>
      <w:r w:rsidR="002832CB">
        <w:rPr>
          <w:rFonts w:eastAsia="Calibri"/>
        </w:rPr>
        <w:t>G</w:t>
      </w:r>
      <w:r w:rsidR="00332A97" w:rsidRPr="00AF327F">
        <w:rPr>
          <w:rFonts w:eastAsia="Calibri"/>
        </w:rPr>
        <w:t xml:space="preserve">obierno </w:t>
      </w:r>
      <w:r w:rsidR="002832CB">
        <w:rPr>
          <w:rFonts w:eastAsia="Calibri"/>
        </w:rPr>
        <w:t>C</w:t>
      </w:r>
      <w:r w:rsidR="00332A97" w:rsidRPr="00AF327F">
        <w:rPr>
          <w:rFonts w:eastAsia="Calibri"/>
        </w:rPr>
        <w:t xml:space="preserve">entral y 5 a </w:t>
      </w:r>
      <w:r w:rsidR="002832CB">
        <w:rPr>
          <w:rFonts w:eastAsia="Calibri"/>
        </w:rPr>
        <w:t>G</w:t>
      </w:r>
      <w:r w:rsidR="00332A97" w:rsidRPr="00AF327F">
        <w:rPr>
          <w:rFonts w:eastAsia="Calibri"/>
        </w:rPr>
        <w:t xml:space="preserve">obiernos </w:t>
      </w:r>
      <w:r w:rsidR="002832CB">
        <w:rPr>
          <w:rFonts w:eastAsia="Calibri"/>
        </w:rPr>
        <w:t>L</w:t>
      </w:r>
      <w:r w:rsidR="00332A97" w:rsidRPr="00AF327F">
        <w:rPr>
          <w:rFonts w:eastAsia="Calibri"/>
        </w:rPr>
        <w:t>ocales),</w:t>
      </w:r>
      <w:r w:rsidRPr="00AF327F">
        <w:rPr>
          <w:rFonts w:eastAsia="Calibri"/>
        </w:rPr>
        <w:t xml:space="preserve"> </w:t>
      </w:r>
      <w:r w:rsidR="00332A97" w:rsidRPr="00AF327F">
        <w:rPr>
          <w:rFonts w:eastAsia="Calibri"/>
        </w:rPr>
        <w:t xml:space="preserve">22 </w:t>
      </w:r>
      <w:r w:rsidRPr="00AF327F">
        <w:rPr>
          <w:rFonts w:eastAsia="Calibri"/>
        </w:rPr>
        <w:t xml:space="preserve">auditorías </w:t>
      </w:r>
      <w:r w:rsidR="005B69CE" w:rsidRPr="00AF327F">
        <w:rPr>
          <w:rFonts w:eastAsia="Calibri"/>
        </w:rPr>
        <w:t>es</w:t>
      </w:r>
      <w:r w:rsidR="00A43DB6" w:rsidRPr="00AF327F">
        <w:rPr>
          <w:rFonts w:eastAsia="Calibri"/>
        </w:rPr>
        <w:t>p</w:t>
      </w:r>
      <w:r w:rsidR="005B69CE" w:rsidRPr="00AF327F">
        <w:rPr>
          <w:rFonts w:eastAsia="Calibri"/>
        </w:rPr>
        <w:t>eciales</w:t>
      </w:r>
      <w:r w:rsidR="00332A97" w:rsidRPr="00AF327F">
        <w:rPr>
          <w:rFonts w:eastAsia="Calibri"/>
        </w:rPr>
        <w:t xml:space="preserve"> (2 </w:t>
      </w:r>
      <w:r w:rsidR="002832CB">
        <w:rPr>
          <w:rFonts w:eastAsia="Calibri"/>
        </w:rPr>
        <w:t>G</w:t>
      </w:r>
      <w:r w:rsidR="00332A97" w:rsidRPr="00AF327F">
        <w:rPr>
          <w:rFonts w:eastAsia="Calibri"/>
        </w:rPr>
        <w:t xml:space="preserve">obierno </w:t>
      </w:r>
      <w:r w:rsidR="002832CB">
        <w:rPr>
          <w:rFonts w:eastAsia="Calibri"/>
        </w:rPr>
        <w:t>C</w:t>
      </w:r>
      <w:r w:rsidR="00332A97" w:rsidRPr="00AF327F">
        <w:rPr>
          <w:rFonts w:eastAsia="Calibri"/>
        </w:rPr>
        <w:t xml:space="preserve">entral y 20 a </w:t>
      </w:r>
      <w:r w:rsidR="002832CB">
        <w:rPr>
          <w:rFonts w:eastAsia="Calibri"/>
        </w:rPr>
        <w:t>G</w:t>
      </w:r>
      <w:r w:rsidR="00332A97" w:rsidRPr="00AF327F">
        <w:rPr>
          <w:rFonts w:eastAsia="Calibri"/>
        </w:rPr>
        <w:t xml:space="preserve">obierno </w:t>
      </w:r>
      <w:r w:rsidR="002832CB">
        <w:rPr>
          <w:rFonts w:eastAsia="Calibri"/>
        </w:rPr>
        <w:t>L</w:t>
      </w:r>
      <w:r w:rsidR="00332A97" w:rsidRPr="00AF327F">
        <w:rPr>
          <w:rFonts w:eastAsia="Calibri"/>
        </w:rPr>
        <w:t>ocal)</w:t>
      </w:r>
      <w:r w:rsidR="00776360" w:rsidRPr="00AF327F">
        <w:rPr>
          <w:rFonts w:eastAsia="Calibri"/>
        </w:rPr>
        <w:t>,</w:t>
      </w:r>
      <w:r w:rsidR="00332A97" w:rsidRPr="00AF327F">
        <w:rPr>
          <w:rFonts w:eastAsia="Calibri"/>
        </w:rPr>
        <w:t xml:space="preserve"> </w:t>
      </w:r>
      <w:r w:rsidR="005B69CE" w:rsidRPr="00AF327F">
        <w:rPr>
          <w:rFonts w:eastAsia="Calibri"/>
        </w:rPr>
        <w:t xml:space="preserve"> y </w:t>
      </w:r>
      <w:r w:rsidR="00332A97" w:rsidRPr="00AF327F">
        <w:rPr>
          <w:rFonts w:eastAsia="Calibri"/>
        </w:rPr>
        <w:t>15</w:t>
      </w:r>
      <w:r w:rsidR="005B69CE" w:rsidRPr="00AF327F">
        <w:rPr>
          <w:rFonts w:eastAsia="Calibri"/>
        </w:rPr>
        <w:t xml:space="preserve"> auditorías de seguimiento al cumplimiento de las </w:t>
      </w:r>
      <w:r w:rsidR="00332A97" w:rsidRPr="00AF327F">
        <w:rPr>
          <w:rFonts w:eastAsia="Calibri"/>
        </w:rPr>
        <w:t>recomendaciones de los</w:t>
      </w:r>
      <w:r w:rsidR="005B69CE" w:rsidRPr="00AF327F">
        <w:rPr>
          <w:rFonts w:eastAsia="Calibri"/>
        </w:rPr>
        <w:t xml:space="preserve"> hallazgos.</w:t>
      </w:r>
      <w:r w:rsidR="00586FD0" w:rsidRPr="00AF327F">
        <w:rPr>
          <w:rFonts w:eastAsia="Calibri"/>
        </w:rPr>
        <w:t xml:space="preserve"> </w:t>
      </w:r>
    </w:p>
    <w:p w14:paraId="2886582B" w14:textId="75ECA097" w:rsidR="00B97FDC" w:rsidRDefault="00586FD0" w:rsidP="00B97FDC">
      <w:pPr>
        <w:spacing w:line="360" w:lineRule="auto"/>
        <w:jc w:val="both"/>
        <w:rPr>
          <w:rFonts w:eastAsia="Calibri"/>
        </w:rPr>
      </w:pPr>
      <w:r w:rsidRPr="00AF327F">
        <w:rPr>
          <w:rFonts w:eastAsia="Calibri"/>
        </w:rPr>
        <w:lastRenderedPageBreak/>
        <w:t xml:space="preserve">Se proyecta un total de </w:t>
      </w:r>
      <w:r w:rsidR="00332A97" w:rsidRPr="00AF327F">
        <w:rPr>
          <w:rFonts w:eastAsia="Calibri"/>
        </w:rPr>
        <w:t>127</w:t>
      </w:r>
      <w:r w:rsidRPr="00AF327F">
        <w:rPr>
          <w:rFonts w:eastAsia="Calibri"/>
        </w:rPr>
        <w:t xml:space="preserve"> informes, con </w:t>
      </w:r>
      <w:r w:rsidR="00332A97" w:rsidRPr="00AF327F">
        <w:rPr>
          <w:rFonts w:eastAsia="Calibri"/>
        </w:rPr>
        <w:t>66</w:t>
      </w:r>
      <w:r w:rsidRPr="00AF327F">
        <w:rPr>
          <w:rFonts w:eastAsia="Calibri"/>
        </w:rPr>
        <w:t xml:space="preserve"> nuevos informes </w:t>
      </w:r>
      <w:r w:rsidR="00332A97" w:rsidRPr="00AF327F">
        <w:rPr>
          <w:rFonts w:eastAsia="Calibri"/>
        </w:rPr>
        <w:t xml:space="preserve">emitidos </w:t>
      </w:r>
      <w:r w:rsidRPr="00AF327F">
        <w:rPr>
          <w:rFonts w:eastAsia="Calibri"/>
        </w:rPr>
        <w:t>al cierre de año</w:t>
      </w:r>
      <w:r w:rsidR="00B97FDC">
        <w:rPr>
          <w:rFonts w:eastAsia="Calibri"/>
        </w:rPr>
        <w:t>.</w:t>
      </w:r>
    </w:p>
    <w:p w14:paraId="6213B81E" w14:textId="668C1ECC" w:rsidR="005B69CE" w:rsidRPr="0043318B" w:rsidRDefault="00D3656E" w:rsidP="00B97FDC">
      <w:pPr>
        <w:spacing w:line="360" w:lineRule="auto"/>
        <w:jc w:val="center"/>
        <w:rPr>
          <w:rFonts w:eastAsia="Calibri"/>
          <w:sz w:val="18"/>
          <w:szCs w:val="18"/>
        </w:rPr>
      </w:pPr>
      <w:r w:rsidRPr="0043318B">
        <w:rPr>
          <w:rFonts w:eastAsia="Calibri"/>
          <w:sz w:val="18"/>
          <w:szCs w:val="18"/>
        </w:rPr>
        <w:t xml:space="preserve">Tabla </w:t>
      </w:r>
      <w:r w:rsidR="00287505" w:rsidRPr="0043318B">
        <w:rPr>
          <w:rFonts w:eastAsia="Calibri"/>
          <w:sz w:val="18"/>
          <w:szCs w:val="18"/>
        </w:rPr>
        <w:t>12</w:t>
      </w:r>
      <w:r w:rsidR="005B69CE" w:rsidRPr="0043318B">
        <w:rPr>
          <w:rFonts w:eastAsia="Calibri"/>
          <w:sz w:val="18"/>
          <w:szCs w:val="18"/>
        </w:rPr>
        <w:t xml:space="preserve">. </w:t>
      </w:r>
      <w:r w:rsidR="00332A97" w:rsidRPr="0043318B">
        <w:rPr>
          <w:rFonts w:eastAsia="Calibri"/>
          <w:sz w:val="18"/>
          <w:szCs w:val="18"/>
        </w:rPr>
        <w:t>Auditorías internas por tipo 2025</w:t>
      </w:r>
    </w:p>
    <w:tbl>
      <w:tblPr>
        <w:tblW w:w="7933" w:type="dxa"/>
        <w:tblCellMar>
          <w:left w:w="70" w:type="dxa"/>
          <w:right w:w="70" w:type="dxa"/>
        </w:tblCellMar>
        <w:tblLook w:val="04A0" w:firstRow="1" w:lastRow="0" w:firstColumn="1" w:lastColumn="0" w:noHBand="0" w:noVBand="1"/>
      </w:tblPr>
      <w:tblGrid>
        <w:gridCol w:w="4390"/>
        <w:gridCol w:w="1701"/>
        <w:gridCol w:w="1842"/>
      </w:tblGrid>
      <w:tr w:rsidR="00332A97" w:rsidRPr="00465A16" w14:paraId="530954B9" w14:textId="77777777" w:rsidTr="00332A97">
        <w:trPr>
          <w:trHeight w:val="612"/>
        </w:trPr>
        <w:tc>
          <w:tcPr>
            <w:tcW w:w="4390"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367575DF" w14:textId="77777777" w:rsidR="00332A97" w:rsidRPr="00465A16" w:rsidRDefault="00332A97" w:rsidP="00332A97">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Tipo de Auditoría</w:t>
            </w:r>
          </w:p>
        </w:tc>
        <w:tc>
          <w:tcPr>
            <w:tcW w:w="1701" w:type="dxa"/>
            <w:tcBorders>
              <w:top w:val="single" w:sz="4" w:space="0" w:color="auto"/>
              <w:left w:val="nil"/>
              <w:bottom w:val="single" w:sz="4" w:space="0" w:color="auto"/>
              <w:right w:val="single" w:sz="4" w:space="0" w:color="auto"/>
            </w:tcBorders>
            <w:shd w:val="clear" w:color="000000" w:fill="011C50"/>
            <w:vAlign w:val="center"/>
            <w:hideMark/>
          </w:tcPr>
          <w:p w14:paraId="5337C1F4" w14:textId="77777777" w:rsidR="00332A97" w:rsidRPr="00465A16" w:rsidRDefault="00332A97" w:rsidP="00332A97">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Enero – Noviembre</w:t>
            </w:r>
          </w:p>
        </w:tc>
        <w:tc>
          <w:tcPr>
            <w:tcW w:w="1842" w:type="dxa"/>
            <w:tcBorders>
              <w:top w:val="single" w:sz="4" w:space="0" w:color="auto"/>
              <w:left w:val="nil"/>
              <w:bottom w:val="single" w:sz="4" w:space="0" w:color="auto"/>
              <w:right w:val="single" w:sz="4" w:space="0" w:color="auto"/>
            </w:tcBorders>
            <w:shd w:val="clear" w:color="000000" w:fill="011C50"/>
            <w:vAlign w:val="center"/>
            <w:hideMark/>
          </w:tcPr>
          <w:p w14:paraId="1D189498" w14:textId="77777777" w:rsidR="00332A97" w:rsidRPr="00465A16" w:rsidRDefault="00332A97" w:rsidP="00332A97">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Proyección al 31 Dic 2025</w:t>
            </w:r>
          </w:p>
        </w:tc>
      </w:tr>
      <w:tr w:rsidR="00332A97" w:rsidRPr="00465A16" w14:paraId="1F117281" w14:textId="77777777" w:rsidTr="00332A97">
        <w:trPr>
          <w:trHeight w:val="415"/>
        </w:trPr>
        <w:tc>
          <w:tcPr>
            <w:tcW w:w="4390" w:type="dxa"/>
            <w:tcBorders>
              <w:top w:val="nil"/>
              <w:left w:val="single" w:sz="4" w:space="0" w:color="auto"/>
              <w:bottom w:val="single" w:sz="4" w:space="0" w:color="auto"/>
              <w:right w:val="single" w:sz="4" w:space="0" w:color="auto"/>
            </w:tcBorders>
            <w:vAlign w:val="center"/>
            <w:hideMark/>
          </w:tcPr>
          <w:p w14:paraId="28041E51" w14:textId="77777777" w:rsidR="00332A97" w:rsidRPr="00AF327F" w:rsidRDefault="00332A97" w:rsidP="00332A97">
            <w:pPr>
              <w:spacing w:after="0" w:line="240" w:lineRule="auto"/>
              <w:rPr>
                <w:rFonts w:eastAsia="Calibri"/>
              </w:rPr>
            </w:pPr>
            <w:r w:rsidRPr="00AF327F">
              <w:rPr>
                <w:rFonts w:eastAsia="Calibri"/>
              </w:rPr>
              <w:t>Enfoque General</w:t>
            </w:r>
          </w:p>
        </w:tc>
        <w:tc>
          <w:tcPr>
            <w:tcW w:w="1701" w:type="dxa"/>
            <w:tcBorders>
              <w:top w:val="nil"/>
              <w:left w:val="nil"/>
              <w:bottom w:val="single" w:sz="4" w:space="0" w:color="auto"/>
              <w:right w:val="single" w:sz="4" w:space="0" w:color="auto"/>
            </w:tcBorders>
            <w:noWrap/>
            <w:vAlign w:val="center"/>
            <w:hideMark/>
          </w:tcPr>
          <w:p w14:paraId="410BCC7D" w14:textId="77777777" w:rsidR="00332A97" w:rsidRPr="00AF327F" w:rsidRDefault="00332A97" w:rsidP="00332A97">
            <w:pPr>
              <w:spacing w:after="0" w:line="240" w:lineRule="auto"/>
              <w:jc w:val="center"/>
              <w:rPr>
                <w:rFonts w:eastAsia="Calibri"/>
              </w:rPr>
            </w:pPr>
            <w:r w:rsidRPr="00AF327F">
              <w:rPr>
                <w:rFonts w:eastAsia="Calibri"/>
              </w:rPr>
              <w:t>24</w:t>
            </w:r>
          </w:p>
        </w:tc>
        <w:tc>
          <w:tcPr>
            <w:tcW w:w="1842" w:type="dxa"/>
            <w:tcBorders>
              <w:top w:val="nil"/>
              <w:left w:val="nil"/>
              <w:bottom w:val="single" w:sz="4" w:space="0" w:color="auto"/>
              <w:right w:val="single" w:sz="4" w:space="0" w:color="auto"/>
            </w:tcBorders>
            <w:vAlign w:val="center"/>
            <w:hideMark/>
          </w:tcPr>
          <w:p w14:paraId="7CB0A0B0" w14:textId="77777777" w:rsidR="00332A97" w:rsidRPr="00AF327F" w:rsidRDefault="00332A97" w:rsidP="00332A97">
            <w:pPr>
              <w:spacing w:after="0" w:line="240" w:lineRule="auto"/>
              <w:jc w:val="center"/>
              <w:rPr>
                <w:rFonts w:eastAsia="Calibri"/>
              </w:rPr>
            </w:pPr>
            <w:r w:rsidRPr="00AF327F">
              <w:rPr>
                <w:rFonts w:eastAsia="Calibri"/>
              </w:rPr>
              <w:t>48</w:t>
            </w:r>
          </w:p>
        </w:tc>
      </w:tr>
      <w:tr w:rsidR="00332A97" w:rsidRPr="00465A16" w14:paraId="4B9F9B22" w14:textId="77777777" w:rsidTr="00332A97">
        <w:trPr>
          <w:trHeight w:val="381"/>
        </w:trPr>
        <w:tc>
          <w:tcPr>
            <w:tcW w:w="4390" w:type="dxa"/>
            <w:tcBorders>
              <w:top w:val="nil"/>
              <w:left w:val="single" w:sz="4" w:space="0" w:color="auto"/>
              <w:bottom w:val="single" w:sz="4" w:space="0" w:color="auto"/>
              <w:right w:val="single" w:sz="4" w:space="0" w:color="auto"/>
            </w:tcBorders>
            <w:vAlign w:val="center"/>
            <w:hideMark/>
          </w:tcPr>
          <w:p w14:paraId="7B628E5C" w14:textId="77777777" w:rsidR="00332A97" w:rsidRPr="00AF327F" w:rsidRDefault="00332A97" w:rsidP="00332A97">
            <w:pPr>
              <w:spacing w:after="0" w:line="240" w:lineRule="auto"/>
              <w:rPr>
                <w:rFonts w:eastAsia="Calibri"/>
              </w:rPr>
            </w:pPr>
            <w:r w:rsidRPr="00AF327F">
              <w:rPr>
                <w:rFonts w:eastAsia="Calibri"/>
              </w:rPr>
              <w:t>Auditorías Especiales</w:t>
            </w:r>
          </w:p>
        </w:tc>
        <w:tc>
          <w:tcPr>
            <w:tcW w:w="1701" w:type="dxa"/>
            <w:tcBorders>
              <w:top w:val="nil"/>
              <w:left w:val="nil"/>
              <w:bottom w:val="single" w:sz="4" w:space="0" w:color="auto"/>
              <w:right w:val="single" w:sz="4" w:space="0" w:color="auto"/>
            </w:tcBorders>
            <w:noWrap/>
            <w:vAlign w:val="center"/>
            <w:hideMark/>
          </w:tcPr>
          <w:p w14:paraId="0EFC54EA" w14:textId="77777777" w:rsidR="00332A97" w:rsidRPr="00AF327F" w:rsidRDefault="00332A97" w:rsidP="00332A97">
            <w:pPr>
              <w:spacing w:after="0" w:line="240" w:lineRule="auto"/>
              <w:jc w:val="center"/>
              <w:rPr>
                <w:rFonts w:eastAsia="Calibri"/>
              </w:rPr>
            </w:pPr>
            <w:r w:rsidRPr="00AF327F">
              <w:rPr>
                <w:rFonts w:eastAsia="Calibri"/>
              </w:rPr>
              <w:t>22</w:t>
            </w:r>
          </w:p>
        </w:tc>
        <w:tc>
          <w:tcPr>
            <w:tcW w:w="1842" w:type="dxa"/>
            <w:tcBorders>
              <w:top w:val="nil"/>
              <w:left w:val="nil"/>
              <w:bottom w:val="single" w:sz="4" w:space="0" w:color="auto"/>
              <w:right w:val="single" w:sz="4" w:space="0" w:color="auto"/>
            </w:tcBorders>
            <w:vAlign w:val="center"/>
            <w:hideMark/>
          </w:tcPr>
          <w:p w14:paraId="0152414B" w14:textId="77777777" w:rsidR="00332A97" w:rsidRPr="00AF327F" w:rsidRDefault="00332A97" w:rsidP="00332A97">
            <w:pPr>
              <w:spacing w:after="0" w:line="240" w:lineRule="auto"/>
              <w:jc w:val="center"/>
              <w:rPr>
                <w:rFonts w:eastAsia="Calibri"/>
              </w:rPr>
            </w:pPr>
            <w:r w:rsidRPr="00AF327F">
              <w:rPr>
                <w:rFonts w:eastAsia="Calibri"/>
              </w:rPr>
              <w:t>57</w:t>
            </w:r>
          </w:p>
        </w:tc>
      </w:tr>
      <w:tr w:rsidR="00332A97" w:rsidRPr="00465A16" w14:paraId="05C8520F" w14:textId="77777777" w:rsidTr="00332A97">
        <w:trPr>
          <w:trHeight w:val="554"/>
        </w:trPr>
        <w:tc>
          <w:tcPr>
            <w:tcW w:w="4390" w:type="dxa"/>
            <w:tcBorders>
              <w:top w:val="nil"/>
              <w:left w:val="single" w:sz="4" w:space="0" w:color="auto"/>
              <w:bottom w:val="single" w:sz="4" w:space="0" w:color="auto"/>
              <w:right w:val="single" w:sz="4" w:space="0" w:color="auto"/>
            </w:tcBorders>
            <w:vAlign w:val="center"/>
            <w:hideMark/>
          </w:tcPr>
          <w:p w14:paraId="450F4CBB" w14:textId="77777777" w:rsidR="00332A97" w:rsidRPr="00AF327F" w:rsidRDefault="00332A97" w:rsidP="00332A97">
            <w:pPr>
              <w:spacing w:after="0" w:line="240" w:lineRule="auto"/>
              <w:rPr>
                <w:rFonts w:eastAsia="Calibri"/>
              </w:rPr>
            </w:pPr>
            <w:r w:rsidRPr="00AF327F">
              <w:rPr>
                <w:rFonts w:eastAsia="Calibri"/>
              </w:rPr>
              <w:t>Auditorías a través de Firmas Privadas</w:t>
            </w:r>
          </w:p>
        </w:tc>
        <w:tc>
          <w:tcPr>
            <w:tcW w:w="1701" w:type="dxa"/>
            <w:tcBorders>
              <w:top w:val="nil"/>
              <w:left w:val="nil"/>
              <w:bottom w:val="single" w:sz="4" w:space="0" w:color="auto"/>
              <w:right w:val="single" w:sz="4" w:space="0" w:color="auto"/>
            </w:tcBorders>
            <w:noWrap/>
            <w:vAlign w:val="center"/>
            <w:hideMark/>
          </w:tcPr>
          <w:p w14:paraId="76FF7E04" w14:textId="77777777" w:rsidR="00332A97" w:rsidRPr="00AF327F" w:rsidRDefault="00332A97" w:rsidP="00332A97">
            <w:pPr>
              <w:spacing w:after="0" w:line="240" w:lineRule="auto"/>
              <w:jc w:val="center"/>
              <w:rPr>
                <w:rFonts w:eastAsia="Calibri"/>
              </w:rPr>
            </w:pPr>
            <w:r w:rsidRPr="00AF327F">
              <w:rPr>
                <w:rFonts w:eastAsia="Calibri"/>
              </w:rPr>
              <w:t>0</w:t>
            </w:r>
          </w:p>
        </w:tc>
        <w:tc>
          <w:tcPr>
            <w:tcW w:w="1842" w:type="dxa"/>
            <w:tcBorders>
              <w:top w:val="nil"/>
              <w:left w:val="nil"/>
              <w:bottom w:val="single" w:sz="4" w:space="0" w:color="auto"/>
              <w:right w:val="single" w:sz="4" w:space="0" w:color="auto"/>
            </w:tcBorders>
            <w:vAlign w:val="center"/>
            <w:hideMark/>
          </w:tcPr>
          <w:p w14:paraId="429268B9" w14:textId="77777777" w:rsidR="00332A97" w:rsidRPr="00AF327F" w:rsidRDefault="00332A97" w:rsidP="00332A97">
            <w:pPr>
              <w:spacing w:after="0" w:line="240" w:lineRule="auto"/>
              <w:jc w:val="center"/>
              <w:rPr>
                <w:rFonts w:eastAsia="Calibri"/>
              </w:rPr>
            </w:pPr>
            <w:r w:rsidRPr="00AF327F">
              <w:rPr>
                <w:rFonts w:eastAsia="Calibri"/>
              </w:rPr>
              <w:t>2</w:t>
            </w:r>
          </w:p>
        </w:tc>
      </w:tr>
      <w:tr w:rsidR="00332A97" w:rsidRPr="00465A16" w14:paraId="61A66316" w14:textId="77777777" w:rsidTr="00332A97">
        <w:trPr>
          <w:trHeight w:val="873"/>
        </w:trPr>
        <w:tc>
          <w:tcPr>
            <w:tcW w:w="4390" w:type="dxa"/>
            <w:tcBorders>
              <w:top w:val="nil"/>
              <w:left w:val="single" w:sz="4" w:space="0" w:color="auto"/>
              <w:bottom w:val="single" w:sz="4" w:space="0" w:color="auto"/>
              <w:right w:val="single" w:sz="4" w:space="0" w:color="auto"/>
            </w:tcBorders>
            <w:vAlign w:val="center"/>
            <w:hideMark/>
          </w:tcPr>
          <w:p w14:paraId="7100BC8C" w14:textId="77777777" w:rsidR="00332A97" w:rsidRPr="00AF327F" w:rsidRDefault="00332A97" w:rsidP="00332A97">
            <w:pPr>
              <w:spacing w:after="0" w:line="240" w:lineRule="auto"/>
              <w:rPr>
                <w:rFonts w:eastAsia="Calibri"/>
              </w:rPr>
            </w:pPr>
            <w:r w:rsidRPr="00AF327F">
              <w:rPr>
                <w:rFonts w:eastAsia="Calibri"/>
              </w:rPr>
              <w:t>Auditorías de seguimiento al cumplimiento de las recomendaciones los hallazgos.</w:t>
            </w:r>
          </w:p>
        </w:tc>
        <w:tc>
          <w:tcPr>
            <w:tcW w:w="1701" w:type="dxa"/>
            <w:tcBorders>
              <w:top w:val="nil"/>
              <w:left w:val="nil"/>
              <w:bottom w:val="single" w:sz="4" w:space="0" w:color="auto"/>
              <w:right w:val="single" w:sz="4" w:space="0" w:color="auto"/>
            </w:tcBorders>
            <w:noWrap/>
            <w:vAlign w:val="center"/>
            <w:hideMark/>
          </w:tcPr>
          <w:p w14:paraId="444E426B" w14:textId="77777777" w:rsidR="00332A97" w:rsidRPr="00AF327F" w:rsidRDefault="00332A97" w:rsidP="00332A97">
            <w:pPr>
              <w:spacing w:after="0" w:line="240" w:lineRule="auto"/>
              <w:jc w:val="center"/>
              <w:rPr>
                <w:rFonts w:eastAsia="Calibri"/>
              </w:rPr>
            </w:pPr>
            <w:r w:rsidRPr="00AF327F">
              <w:rPr>
                <w:rFonts w:eastAsia="Calibri"/>
              </w:rPr>
              <w:t>15</w:t>
            </w:r>
          </w:p>
        </w:tc>
        <w:tc>
          <w:tcPr>
            <w:tcW w:w="1842" w:type="dxa"/>
            <w:tcBorders>
              <w:top w:val="nil"/>
              <w:left w:val="nil"/>
              <w:bottom w:val="single" w:sz="4" w:space="0" w:color="auto"/>
              <w:right w:val="single" w:sz="4" w:space="0" w:color="auto"/>
            </w:tcBorders>
            <w:vAlign w:val="center"/>
            <w:hideMark/>
          </w:tcPr>
          <w:p w14:paraId="0956CA95" w14:textId="77777777" w:rsidR="00332A97" w:rsidRPr="00AF327F" w:rsidRDefault="00332A97" w:rsidP="00332A97">
            <w:pPr>
              <w:spacing w:after="0" w:line="240" w:lineRule="auto"/>
              <w:jc w:val="center"/>
              <w:rPr>
                <w:rFonts w:eastAsia="Calibri"/>
              </w:rPr>
            </w:pPr>
            <w:r w:rsidRPr="00AF327F">
              <w:rPr>
                <w:rFonts w:eastAsia="Calibri"/>
              </w:rPr>
              <w:t>20</w:t>
            </w:r>
          </w:p>
        </w:tc>
      </w:tr>
      <w:tr w:rsidR="00332A97" w:rsidRPr="00465A16" w14:paraId="15E4B224" w14:textId="77777777" w:rsidTr="00332A97">
        <w:trPr>
          <w:trHeight w:val="396"/>
        </w:trPr>
        <w:tc>
          <w:tcPr>
            <w:tcW w:w="4390" w:type="dxa"/>
            <w:tcBorders>
              <w:top w:val="nil"/>
              <w:left w:val="single" w:sz="4" w:space="0" w:color="auto"/>
              <w:bottom w:val="single" w:sz="4" w:space="0" w:color="auto"/>
              <w:right w:val="single" w:sz="4" w:space="0" w:color="auto"/>
            </w:tcBorders>
            <w:shd w:val="clear" w:color="000000" w:fill="011C50"/>
            <w:vAlign w:val="center"/>
            <w:hideMark/>
          </w:tcPr>
          <w:p w14:paraId="47341C3B" w14:textId="77777777" w:rsidR="00332A97" w:rsidRPr="00465A16" w:rsidRDefault="00332A97" w:rsidP="00332A97">
            <w:pPr>
              <w:spacing w:after="0" w:line="240" w:lineRule="auto"/>
              <w:rPr>
                <w:rFonts w:eastAsia="Times New Roman"/>
                <w:b/>
                <w:bCs/>
                <w:color w:val="FFFFFF"/>
                <w:spacing w:val="0"/>
                <w:lang w:eastAsia="es-DO"/>
              </w:rPr>
            </w:pPr>
            <w:r w:rsidRPr="00465A16">
              <w:rPr>
                <w:rFonts w:eastAsia="Times New Roman"/>
                <w:b/>
                <w:bCs/>
                <w:color w:val="FFFFFF"/>
                <w:spacing w:val="0"/>
                <w:lang w:eastAsia="es-DO"/>
              </w:rPr>
              <w:t>Total</w:t>
            </w:r>
          </w:p>
        </w:tc>
        <w:tc>
          <w:tcPr>
            <w:tcW w:w="1701" w:type="dxa"/>
            <w:tcBorders>
              <w:top w:val="nil"/>
              <w:left w:val="nil"/>
              <w:bottom w:val="single" w:sz="4" w:space="0" w:color="auto"/>
              <w:right w:val="single" w:sz="4" w:space="0" w:color="auto"/>
            </w:tcBorders>
            <w:shd w:val="clear" w:color="000000" w:fill="011C50"/>
            <w:noWrap/>
            <w:vAlign w:val="center"/>
            <w:hideMark/>
          </w:tcPr>
          <w:p w14:paraId="352BEA16" w14:textId="77777777" w:rsidR="00332A97" w:rsidRPr="00465A16" w:rsidRDefault="00332A97" w:rsidP="00332A97">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61</w:t>
            </w:r>
          </w:p>
        </w:tc>
        <w:tc>
          <w:tcPr>
            <w:tcW w:w="1842" w:type="dxa"/>
            <w:tcBorders>
              <w:top w:val="nil"/>
              <w:left w:val="nil"/>
              <w:bottom w:val="single" w:sz="4" w:space="0" w:color="auto"/>
              <w:right w:val="single" w:sz="4" w:space="0" w:color="auto"/>
            </w:tcBorders>
            <w:shd w:val="clear" w:color="000000" w:fill="011C50"/>
            <w:vAlign w:val="center"/>
            <w:hideMark/>
          </w:tcPr>
          <w:p w14:paraId="70C021FC" w14:textId="77777777" w:rsidR="00332A97" w:rsidRPr="00465A16" w:rsidRDefault="00332A97" w:rsidP="00332A97">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127</w:t>
            </w:r>
          </w:p>
        </w:tc>
      </w:tr>
    </w:tbl>
    <w:p w14:paraId="42F73BFE" w14:textId="566235EA" w:rsidR="005B69CE" w:rsidRPr="0077472F" w:rsidRDefault="005B69CE" w:rsidP="00332A97">
      <w:pPr>
        <w:spacing w:line="360" w:lineRule="auto"/>
        <w:jc w:val="center"/>
        <w:rPr>
          <w:rFonts w:eastAsia="Calibri"/>
          <w:i/>
          <w:iCs/>
          <w:sz w:val="18"/>
          <w:szCs w:val="18"/>
        </w:rPr>
      </w:pPr>
      <w:r w:rsidRPr="0077472F">
        <w:rPr>
          <w:rFonts w:eastAsia="Calibri"/>
          <w:i/>
          <w:iCs/>
          <w:sz w:val="18"/>
          <w:szCs w:val="18"/>
        </w:rPr>
        <w:t xml:space="preserve">Fuente: Informe </w:t>
      </w:r>
      <w:r w:rsidR="00332A97" w:rsidRPr="0077472F">
        <w:rPr>
          <w:rFonts w:eastAsia="Calibri"/>
          <w:i/>
          <w:iCs/>
          <w:sz w:val="18"/>
          <w:szCs w:val="18"/>
        </w:rPr>
        <w:t>a</w:t>
      </w:r>
      <w:r w:rsidRPr="0077472F">
        <w:rPr>
          <w:rFonts w:eastAsia="Calibri"/>
          <w:i/>
          <w:iCs/>
          <w:sz w:val="18"/>
          <w:szCs w:val="18"/>
        </w:rPr>
        <w:t xml:space="preserve">nual </w:t>
      </w:r>
      <w:r w:rsidR="00332A97" w:rsidRPr="0077472F">
        <w:rPr>
          <w:rFonts w:eastAsia="Calibri"/>
          <w:i/>
          <w:iCs/>
          <w:sz w:val="18"/>
          <w:szCs w:val="18"/>
        </w:rPr>
        <w:t>áreas de auditoría</w:t>
      </w:r>
      <w:r w:rsidR="00D3656E" w:rsidRPr="0077472F">
        <w:rPr>
          <w:rFonts w:eastAsia="Calibri"/>
          <w:i/>
          <w:iCs/>
          <w:sz w:val="18"/>
          <w:szCs w:val="18"/>
        </w:rPr>
        <w:t xml:space="preserve"> </w:t>
      </w:r>
    </w:p>
    <w:p w14:paraId="7BA1896C" w14:textId="77777777" w:rsidR="006C6F64" w:rsidRPr="00AF327F" w:rsidRDefault="006C6F64" w:rsidP="006C6F64">
      <w:pPr>
        <w:rPr>
          <w:rFonts w:eastAsia="Calibri"/>
          <w:b/>
          <w:bCs/>
        </w:rPr>
      </w:pPr>
    </w:p>
    <w:p w14:paraId="3FB7913E" w14:textId="25384AFD" w:rsidR="00D75A60" w:rsidRPr="00AF327F" w:rsidRDefault="00333ED6" w:rsidP="00C934DB">
      <w:pPr>
        <w:spacing w:line="360" w:lineRule="auto"/>
        <w:rPr>
          <w:rFonts w:eastAsia="Calibri"/>
          <w:b/>
          <w:bCs/>
        </w:rPr>
      </w:pPr>
      <w:r w:rsidRPr="00AF327F">
        <w:rPr>
          <w:rFonts w:eastAsia="Calibri"/>
          <w:b/>
          <w:bCs/>
        </w:rPr>
        <w:t xml:space="preserve">b. </w:t>
      </w:r>
      <w:r w:rsidR="001C6403" w:rsidRPr="00AF327F">
        <w:rPr>
          <w:rFonts w:eastAsia="Calibri"/>
          <w:b/>
          <w:bCs/>
        </w:rPr>
        <w:t>Elaboración de valuación de riesgos y formulación del plan general de auditor</w:t>
      </w:r>
      <w:r w:rsidR="005D2F7D" w:rsidRPr="00AF327F">
        <w:rPr>
          <w:rFonts w:eastAsia="Calibri"/>
          <w:b/>
          <w:bCs/>
        </w:rPr>
        <w:t>ía</w:t>
      </w:r>
      <w:r w:rsidR="001C6403" w:rsidRPr="00AF327F">
        <w:rPr>
          <w:rFonts w:eastAsia="Calibri"/>
          <w:b/>
          <w:bCs/>
        </w:rPr>
        <w:t xml:space="preserve"> 2025</w:t>
      </w:r>
    </w:p>
    <w:p w14:paraId="74AE9C68" w14:textId="77777777" w:rsidR="00333ED6" w:rsidRPr="00AF327F" w:rsidRDefault="00333ED6" w:rsidP="00C934DB">
      <w:pPr>
        <w:spacing w:line="360" w:lineRule="auto"/>
        <w:jc w:val="both"/>
        <w:rPr>
          <w:rFonts w:eastAsia="Calibri"/>
        </w:rPr>
      </w:pPr>
      <w:r w:rsidRPr="0043318B">
        <w:rPr>
          <w:rFonts w:eastAsia="Calibri"/>
        </w:rPr>
        <w:t>En cumplimiento con lo dispuesto en la Ley Núm. 10-07 en su artículo 27 párrafo II, el cual dicta la elaboración de la planificación anual de las auditorías</w:t>
      </w:r>
      <w:r w:rsidRPr="00AF327F">
        <w:rPr>
          <w:rFonts w:eastAsia="Calibri"/>
        </w:rPr>
        <w:t xml:space="preserve">, en el mes de junio de 2025 fue iniciado el ejercicio. Se identificaron los principales factores de riesgos del sector con información oficial provista por los diferentes órganos rectores de la Administración Financiera del Estado, con el propósito de definir una estrategia de auditoría que cubriera las prioridades de política pública y presupuestaria de la actual gestión gubernamental.  Destaca el manejo de más de quince variables que enriquecen la valoración de riesgos, entre ellos: la consideración de los órganos y entes que administran sus recursos a través del SIGEF, los que cuentan con unidades de auditoría interna e indicadores del uso de la tecnología de la información y denuncias, permitiendo segregar tipos de auditorías especiales. Además, se estandarizó la base de datos </w:t>
      </w:r>
      <w:r w:rsidRPr="00AF327F">
        <w:rPr>
          <w:rFonts w:eastAsia="Calibri"/>
        </w:rPr>
        <w:lastRenderedPageBreak/>
        <w:t xml:space="preserve">general para la captura de información del universo muestral auditable.  </w:t>
      </w:r>
    </w:p>
    <w:p w14:paraId="69B3383E" w14:textId="1653453C" w:rsidR="00333ED6" w:rsidRPr="00AF327F" w:rsidRDefault="00333ED6" w:rsidP="00C934DB">
      <w:pPr>
        <w:spacing w:line="360" w:lineRule="auto"/>
        <w:jc w:val="both"/>
        <w:rPr>
          <w:rFonts w:eastAsia="Calibri"/>
        </w:rPr>
      </w:pPr>
      <w:r w:rsidRPr="00AF327F">
        <w:rPr>
          <w:rFonts w:eastAsia="Calibri"/>
        </w:rPr>
        <w:t xml:space="preserve">En ese sentido, luego de la presentación de resultados y de llevar a cabo múltiples mesas de trabajo, en el mes de septiembre fue elaborado el Plan General de Auditoría 2026 con una selección de entidades de riesgos alto, medio y bajo en alineación a la </w:t>
      </w:r>
      <w:r w:rsidR="0091716D" w:rsidRPr="00AF327F">
        <w:rPr>
          <w:rFonts w:eastAsia="Calibri"/>
        </w:rPr>
        <w:t>estratégica</w:t>
      </w:r>
      <w:r w:rsidRPr="00AF327F">
        <w:rPr>
          <w:rFonts w:eastAsia="Calibri"/>
        </w:rPr>
        <w:t xml:space="preserve"> de implementación definida. El plan se remitió a la máxima autoridad de la institución para su aprobación. </w:t>
      </w:r>
    </w:p>
    <w:p w14:paraId="1B81831C" w14:textId="77777777" w:rsidR="00333ED6" w:rsidRPr="00AF327F" w:rsidRDefault="00333ED6" w:rsidP="00C934DB">
      <w:pPr>
        <w:spacing w:line="360" w:lineRule="auto"/>
        <w:jc w:val="both"/>
        <w:rPr>
          <w:rFonts w:eastAsia="Calibri"/>
        </w:rPr>
      </w:pPr>
      <w:r w:rsidRPr="00AF327F">
        <w:rPr>
          <w:rFonts w:eastAsia="Calibri"/>
        </w:rPr>
        <w:t>Finalmente, la versión aprobada del plan fue remitida a la Cámara de Cuentas, en cumplimiento a lo dispuesto por las Leyes Núm. 10-04 y 10-07. En adición, el Plan General Auditoría fue remitido al Ministerio de la Presidencia.</w:t>
      </w:r>
    </w:p>
    <w:p w14:paraId="6600DC59" w14:textId="04C41ABD" w:rsidR="00333ED6" w:rsidRPr="00AF327F" w:rsidRDefault="00333ED6" w:rsidP="00C934DB">
      <w:pPr>
        <w:pStyle w:val="Prrafodelista"/>
        <w:spacing w:line="360" w:lineRule="auto"/>
        <w:ind w:left="0"/>
        <w:jc w:val="both"/>
        <w:rPr>
          <w:rFonts w:eastAsia="Calibri"/>
          <w:b/>
          <w:bCs/>
        </w:rPr>
      </w:pPr>
      <w:bookmarkStart w:id="23" w:name="_Hlk215080393"/>
      <w:r w:rsidRPr="00AF327F">
        <w:rPr>
          <w:rFonts w:eastAsia="Calibri"/>
          <w:b/>
          <w:bCs/>
        </w:rPr>
        <w:t>c. Sistema de gobernanza y aseguramiento a la calidad de las auditorías basado en las Normas Globales de Auditoría Interna (NOGAIs)</w:t>
      </w:r>
    </w:p>
    <w:p w14:paraId="4A12216A" w14:textId="77777777" w:rsidR="00333ED6" w:rsidRPr="00AF327F" w:rsidRDefault="00333ED6" w:rsidP="00C934DB">
      <w:pPr>
        <w:pStyle w:val="Prrafodelista"/>
        <w:spacing w:line="360" w:lineRule="auto"/>
        <w:ind w:left="0"/>
        <w:jc w:val="both"/>
        <w:rPr>
          <w:rFonts w:eastAsia="Calibri"/>
        </w:rPr>
      </w:pPr>
      <w:r w:rsidRPr="00AF327F">
        <w:rPr>
          <w:rFonts w:eastAsia="Calibri"/>
        </w:rPr>
        <w:t>La Contraloría General de la República (CGR) inició en el presente año la ejecución del proyecto para el “Diseño e Implementación del Esquema de Gobernanza, Estructura y Procesos y de un Programa de Aseguramiento y Control de Calidad” conforme a estándares nacionales e internacionales,  bajo modalidad de consultoría individual contratada por el Banco Interamericano de Desarrollo (BID).</w:t>
      </w:r>
    </w:p>
    <w:p w14:paraId="3498CC9B" w14:textId="77777777" w:rsidR="00333ED6" w:rsidRPr="00AF327F" w:rsidRDefault="00333ED6" w:rsidP="00C934DB">
      <w:pPr>
        <w:pStyle w:val="Prrafodelista"/>
        <w:spacing w:line="360" w:lineRule="auto"/>
        <w:ind w:left="0"/>
        <w:jc w:val="both"/>
        <w:rPr>
          <w:rFonts w:eastAsia="Calibri"/>
        </w:rPr>
      </w:pPr>
      <w:r w:rsidRPr="00AF327F">
        <w:rPr>
          <w:rFonts w:eastAsia="Calibri"/>
        </w:rPr>
        <w:t xml:space="preserve">Este proyecto tiene como objetivo fortalecer la función de auditoría interna de la CGR a través de la adopción de las nuevas Normas Globales de Auditoría Interna 2024 (NOGAI) emitidas por el Instituto de Auditores Internos Global (IIA) así como el aseguramiento y mejora de la calidad, a fin de garantizar que los trabajos y sus resultados estén alineados con  los estándares éticos, profesionales y </w:t>
      </w:r>
      <w:r w:rsidRPr="00AF327F">
        <w:rPr>
          <w:rFonts w:eastAsia="Calibri"/>
        </w:rPr>
        <w:lastRenderedPageBreak/>
        <w:t xml:space="preserve">de transparencia gubernamental esperados para la efectiva fiscalización del uso de los recursos públicos. </w:t>
      </w:r>
    </w:p>
    <w:p w14:paraId="3B764967" w14:textId="77777777" w:rsidR="00C327C9" w:rsidRPr="00465A16" w:rsidRDefault="00C327C9" w:rsidP="00333ED6">
      <w:pPr>
        <w:pStyle w:val="Prrafodelista"/>
        <w:spacing w:line="360" w:lineRule="auto"/>
        <w:ind w:left="142"/>
        <w:jc w:val="both"/>
        <w:rPr>
          <w:rFonts w:eastAsia="Calibri"/>
          <w:color w:val="4C4747"/>
        </w:rPr>
      </w:pPr>
    </w:p>
    <w:p w14:paraId="64EE1BC4" w14:textId="3A1921E0" w:rsidR="00333ED6" w:rsidRPr="00AF327F" w:rsidRDefault="00333ED6" w:rsidP="00C934DB">
      <w:pPr>
        <w:pStyle w:val="Prrafodelista"/>
        <w:spacing w:line="360" w:lineRule="auto"/>
        <w:ind w:left="0"/>
        <w:jc w:val="both"/>
        <w:rPr>
          <w:rFonts w:eastAsia="Calibri"/>
        </w:rPr>
      </w:pPr>
      <w:r w:rsidRPr="00AF327F">
        <w:rPr>
          <w:rFonts w:eastAsia="Calibri"/>
        </w:rPr>
        <w:t xml:space="preserve">Durante </w:t>
      </w:r>
      <w:r w:rsidR="00C327C9" w:rsidRPr="00AF327F">
        <w:rPr>
          <w:rFonts w:eastAsia="Calibri"/>
        </w:rPr>
        <w:t>este año</w:t>
      </w:r>
      <w:r w:rsidRPr="00AF327F">
        <w:rPr>
          <w:rFonts w:eastAsia="Calibri"/>
        </w:rPr>
        <w:t xml:space="preserve"> se realizó el análisis y diagnóstico de la situación actual de la Función de Auditoría Interna de la CGR, y fueron elaboradas las propuestas del Mandato y Estatuto de Auditoría conforme a las atribuciones dadas en la Ley No. 10-07 que instituye el Sistema Nacional de Control Interno y de la Contraloría General y normas relacionadas. El Estatuto y Mandato obedece a las recomendaciones de gobernanza para la adopción de las NOGAI, establecidas en el Dominio III de la norma sobre “Gobierno de la Función de Auditoría Interna”.</w:t>
      </w:r>
    </w:p>
    <w:p w14:paraId="63E5C84A" w14:textId="77777777" w:rsidR="00C327C9" w:rsidRPr="00AF327F" w:rsidRDefault="00C327C9" w:rsidP="00C934DB">
      <w:pPr>
        <w:spacing w:line="360" w:lineRule="auto"/>
        <w:jc w:val="both"/>
        <w:rPr>
          <w:rFonts w:eastAsia="Calibri"/>
        </w:rPr>
      </w:pPr>
      <w:r w:rsidRPr="00AF327F">
        <w:rPr>
          <w:rFonts w:eastAsia="Calibri"/>
        </w:rPr>
        <w:t xml:space="preserve">Otros avances obtenidos para este proyecto en el marco de la consultoría del BID incluyen la revisión de propuestas para la estructura de gobernanza, estrategia y aspectos éticos como: </w:t>
      </w:r>
    </w:p>
    <w:p w14:paraId="0141A9E2" w14:textId="77777777" w:rsidR="00C327C9" w:rsidRPr="00AF327F" w:rsidRDefault="00C327C9">
      <w:pPr>
        <w:pStyle w:val="Prrafodelista"/>
        <w:numPr>
          <w:ilvl w:val="0"/>
          <w:numId w:val="13"/>
        </w:numPr>
        <w:spacing w:line="360" w:lineRule="auto"/>
        <w:ind w:left="142"/>
        <w:jc w:val="both"/>
        <w:rPr>
          <w:rFonts w:eastAsia="Calibri"/>
        </w:rPr>
      </w:pPr>
      <w:r w:rsidRPr="00AF327F">
        <w:rPr>
          <w:rFonts w:eastAsia="Calibri"/>
        </w:rPr>
        <w:t>Reglamento del Órgano Técnico Consultivo.</w:t>
      </w:r>
    </w:p>
    <w:p w14:paraId="4F1F0543" w14:textId="77777777" w:rsidR="00C327C9" w:rsidRPr="00AF327F" w:rsidRDefault="00C327C9">
      <w:pPr>
        <w:pStyle w:val="Prrafodelista"/>
        <w:numPr>
          <w:ilvl w:val="0"/>
          <w:numId w:val="13"/>
        </w:numPr>
        <w:spacing w:line="360" w:lineRule="auto"/>
        <w:ind w:left="142"/>
        <w:jc w:val="both"/>
        <w:rPr>
          <w:rFonts w:eastAsia="Calibri"/>
        </w:rPr>
      </w:pPr>
      <w:r w:rsidRPr="00AF327F">
        <w:rPr>
          <w:rFonts w:eastAsia="Calibri"/>
        </w:rPr>
        <w:t>Código de Ética del Auditor Interno y las políticas para su implementación.</w:t>
      </w:r>
    </w:p>
    <w:p w14:paraId="7419C417" w14:textId="77777777" w:rsidR="00C327C9" w:rsidRPr="00AF327F" w:rsidRDefault="00C327C9">
      <w:pPr>
        <w:pStyle w:val="Prrafodelista"/>
        <w:numPr>
          <w:ilvl w:val="0"/>
          <w:numId w:val="13"/>
        </w:numPr>
        <w:spacing w:line="360" w:lineRule="auto"/>
        <w:ind w:left="142"/>
        <w:jc w:val="both"/>
        <w:rPr>
          <w:rFonts w:eastAsia="Calibri"/>
        </w:rPr>
      </w:pPr>
      <w:r w:rsidRPr="00AF327F">
        <w:rPr>
          <w:rFonts w:eastAsia="Calibri"/>
        </w:rPr>
        <w:t>Marco de Competencias [guía y políticas derivadas].</w:t>
      </w:r>
    </w:p>
    <w:p w14:paraId="1B84891D" w14:textId="5A79557E" w:rsidR="00C327C9" w:rsidRPr="00AF327F" w:rsidRDefault="00C327C9">
      <w:pPr>
        <w:pStyle w:val="Prrafodelista"/>
        <w:numPr>
          <w:ilvl w:val="0"/>
          <w:numId w:val="13"/>
        </w:numPr>
        <w:spacing w:line="360" w:lineRule="auto"/>
        <w:ind w:left="142"/>
        <w:jc w:val="both"/>
        <w:rPr>
          <w:rFonts w:eastAsia="Calibri"/>
        </w:rPr>
      </w:pPr>
      <w:r w:rsidRPr="00AF327F">
        <w:rPr>
          <w:rFonts w:eastAsia="Calibri"/>
        </w:rPr>
        <w:t xml:space="preserve">Política de </w:t>
      </w:r>
      <w:r w:rsidR="008F6C9B">
        <w:rPr>
          <w:rFonts w:eastAsia="Calibri"/>
        </w:rPr>
        <w:t>e</w:t>
      </w:r>
      <w:r w:rsidRPr="00AF327F">
        <w:rPr>
          <w:rFonts w:eastAsia="Calibri"/>
        </w:rPr>
        <w:t xml:space="preserve">laboración del Plan Estratégico de la Función de </w:t>
      </w:r>
      <w:r w:rsidR="008F6C9B">
        <w:rPr>
          <w:rFonts w:eastAsia="Calibri"/>
        </w:rPr>
        <w:t>A</w:t>
      </w:r>
      <w:r w:rsidRPr="00AF327F">
        <w:rPr>
          <w:rFonts w:eastAsia="Calibri"/>
        </w:rPr>
        <w:t xml:space="preserve">uditoría </w:t>
      </w:r>
      <w:r w:rsidR="008F6C9B">
        <w:rPr>
          <w:rFonts w:eastAsia="Calibri"/>
        </w:rPr>
        <w:t>I</w:t>
      </w:r>
      <w:r w:rsidRPr="00AF327F">
        <w:rPr>
          <w:rFonts w:eastAsia="Calibri"/>
        </w:rPr>
        <w:t>nterna.</w:t>
      </w:r>
    </w:p>
    <w:p w14:paraId="468CE099" w14:textId="37EBF505" w:rsidR="00C327C9" w:rsidRPr="00AF327F" w:rsidRDefault="00C327C9">
      <w:pPr>
        <w:pStyle w:val="Prrafodelista"/>
        <w:numPr>
          <w:ilvl w:val="0"/>
          <w:numId w:val="13"/>
        </w:numPr>
        <w:spacing w:line="360" w:lineRule="auto"/>
        <w:ind w:left="142"/>
        <w:jc w:val="both"/>
        <w:rPr>
          <w:rFonts w:eastAsia="Calibri"/>
        </w:rPr>
      </w:pPr>
      <w:r w:rsidRPr="00AF327F">
        <w:rPr>
          <w:rFonts w:eastAsia="Calibri"/>
        </w:rPr>
        <w:t xml:space="preserve">Políticas y procedimientos para </w:t>
      </w:r>
      <w:r w:rsidR="0013094A">
        <w:rPr>
          <w:rFonts w:eastAsia="Calibri"/>
        </w:rPr>
        <w:t>e</w:t>
      </w:r>
      <w:r w:rsidRPr="00AF327F">
        <w:rPr>
          <w:rFonts w:eastAsia="Calibri"/>
        </w:rPr>
        <w:t xml:space="preserve">valuación de </w:t>
      </w:r>
      <w:r w:rsidR="0013094A">
        <w:rPr>
          <w:rFonts w:eastAsia="Calibri"/>
        </w:rPr>
        <w:t>c</w:t>
      </w:r>
      <w:r w:rsidRPr="00AF327F">
        <w:rPr>
          <w:rFonts w:eastAsia="Calibri"/>
        </w:rPr>
        <w:t xml:space="preserve">alidad </w:t>
      </w:r>
      <w:r w:rsidR="0013094A">
        <w:rPr>
          <w:rFonts w:eastAsia="Calibri"/>
        </w:rPr>
        <w:t>i</w:t>
      </w:r>
      <w:r w:rsidRPr="00AF327F">
        <w:rPr>
          <w:rFonts w:eastAsia="Calibri"/>
        </w:rPr>
        <w:t xml:space="preserve">nterna y </w:t>
      </w:r>
      <w:r w:rsidR="0013094A">
        <w:rPr>
          <w:rFonts w:eastAsia="Calibri"/>
        </w:rPr>
        <w:t>e</w:t>
      </w:r>
      <w:r w:rsidRPr="00AF327F">
        <w:rPr>
          <w:rFonts w:eastAsia="Calibri"/>
        </w:rPr>
        <w:t>xterna.</w:t>
      </w:r>
    </w:p>
    <w:p w14:paraId="259116DD" w14:textId="77777777" w:rsidR="00C327C9" w:rsidRPr="00AF327F" w:rsidRDefault="00C327C9" w:rsidP="00C934DB">
      <w:pPr>
        <w:pStyle w:val="Prrafodelista"/>
        <w:spacing w:line="360" w:lineRule="auto"/>
        <w:ind w:left="142"/>
        <w:jc w:val="both"/>
        <w:rPr>
          <w:rFonts w:eastAsia="Calibri"/>
        </w:rPr>
      </w:pPr>
    </w:p>
    <w:p w14:paraId="4A26E87D" w14:textId="5E1AC559" w:rsidR="00C327C9" w:rsidRPr="00AF327F" w:rsidRDefault="00C327C9" w:rsidP="00C934DB">
      <w:pPr>
        <w:pStyle w:val="Prrafodelista"/>
        <w:spacing w:line="360" w:lineRule="auto"/>
        <w:ind w:left="0"/>
        <w:jc w:val="both"/>
        <w:rPr>
          <w:rFonts w:eastAsia="Calibri"/>
        </w:rPr>
      </w:pPr>
      <w:r w:rsidRPr="00AF327F">
        <w:rPr>
          <w:rFonts w:eastAsia="Calibri"/>
        </w:rPr>
        <w:t xml:space="preserve">Al término de este proyecto se espera contar con un marco metodológico interno actualizado y </w:t>
      </w:r>
      <w:r w:rsidR="00050BD6" w:rsidRPr="00AF327F">
        <w:rPr>
          <w:rFonts w:eastAsia="Calibri"/>
        </w:rPr>
        <w:t>robusto</w:t>
      </w:r>
      <w:r w:rsidR="00050BD6">
        <w:rPr>
          <w:rFonts w:eastAsia="Calibri"/>
        </w:rPr>
        <w:t xml:space="preserve"> </w:t>
      </w:r>
      <w:r w:rsidR="00050BD6" w:rsidRPr="00AF327F">
        <w:rPr>
          <w:rFonts w:eastAsia="Calibri"/>
        </w:rPr>
        <w:t>para</w:t>
      </w:r>
      <w:r w:rsidRPr="00AF327F">
        <w:rPr>
          <w:rFonts w:eastAsia="Calibri"/>
        </w:rPr>
        <w:t xml:space="preserve"> planificar, ejecutar, controlar y mejorar continuamente los trabajos de auditoría interna, de modo que se realicen de forma estandarizada y eficiente, contando con un equipo humano ético y competente cuyos resultados se </w:t>
      </w:r>
      <w:r w:rsidRPr="00AF327F">
        <w:rPr>
          <w:rFonts w:eastAsia="Calibri"/>
        </w:rPr>
        <w:lastRenderedPageBreak/>
        <w:t>materialicen en los informes de auditoría y las recomendaciones para la creación y fortalecimiento de los controles internos en la gestión gubernamental</w:t>
      </w:r>
      <w:r w:rsidR="006C6F64" w:rsidRPr="00AF327F">
        <w:rPr>
          <w:rFonts w:eastAsia="Calibri"/>
        </w:rPr>
        <w:t>.</w:t>
      </w:r>
    </w:p>
    <w:p w14:paraId="446593D9" w14:textId="66FBCEC9" w:rsidR="00C327C9" w:rsidRPr="00AF327F" w:rsidRDefault="00C327C9" w:rsidP="00B97FDC">
      <w:pPr>
        <w:spacing w:line="360" w:lineRule="auto"/>
        <w:rPr>
          <w:rFonts w:eastAsia="Calibri"/>
          <w:b/>
          <w:bCs/>
        </w:rPr>
      </w:pPr>
      <w:r w:rsidRPr="00AF327F">
        <w:rPr>
          <w:rFonts w:eastAsia="Calibri"/>
          <w:b/>
          <w:bCs/>
        </w:rPr>
        <w:t>d. Programa para el “Acompañamiento a la Implementación de las recomendaciones de las Auditorías”</w:t>
      </w:r>
    </w:p>
    <w:p w14:paraId="02668D16" w14:textId="524062F4" w:rsidR="00C327C9" w:rsidRPr="00AF327F" w:rsidRDefault="00C327C9" w:rsidP="00B97FDC">
      <w:pPr>
        <w:pStyle w:val="Prrafodelista"/>
        <w:spacing w:line="360" w:lineRule="auto"/>
        <w:ind w:left="0"/>
        <w:jc w:val="both"/>
        <w:rPr>
          <w:rFonts w:eastAsia="Calibri"/>
        </w:rPr>
      </w:pPr>
      <w:r w:rsidRPr="00AF327F">
        <w:rPr>
          <w:rFonts w:eastAsia="Calibri"/>
        </w:rPr>
        <w:t xml:space="preserve">La Contraloría General de la República (CGR) inició en el presente año la ejecución del proyecto el Programa de “Asistencia Técnica para el Acompañamiento en la Implementación de Recomendaciones de Auditoría”, que enmarca en el proyecto conjunto entre el Ministerio de Hacienda (MH) y la Contraloría General de la República Dominicana (CGR), Programa de Apoyo a la Agenda de Transparencia e integridad en la Rep. Dom. (Pro-transaprencia RD) con financiamiento del Banco Interamericano de Desarrollo (BID). </w:t>
      </w:r>
    </w:p>
    <w:p w14:paraId="0DA059C7" w14:textId="77777777" w:rsidR="00C327C9" w:rsidRPr="00AF327F" w:rsidRDefault="00C327C9" w:rsidP="00B97FDC">
      <w:pPr>
        <w:pStyle w:val="Prrafodelista"/>
        <w:spacing w:line="360" w:lineRule="auto"/>
        <w:ind w:left="0"/>
        <w:jc w:val="both"/>
        <w:rPr>
          <w:rFonts w:eastAsia="Calibri"/>
        </w:rPr>
      </w:pPr>
    </w:p>
    <w:p w14:paraId="7B9A9759" w14:textId="1AFFD62B" w:rsidR="00C327C9" w:rsidRPr="00AF327F" w:rsidRDefault="00C327C9" w:rsidP="00B97FDC">
      <w:pPr>
        <w:pStyle w:val="Prrafodelista"/>
        <w:spacing w:line="360" w:lineRule="auto"/>
        <w:ind w:left="0"/>
        <w:jc w:val="both"/>
        <w:rPr>
          <w:rFonts w:eastAsia="Calibri"/>
        </w:rPr>
      </w:pPr>
      <w:r w:rsidRPr="00AF327F">
        <w:rPr>
          <w:rFonts w:eastAsia="Calibri"/>
        </w:rPr>
        <w:t>En el marco de la consultoría del Programa de Asistencia Técnica para el Acompañamiento en la Implementación de Recomendaciones de Auditoría, se desarrolló la Etapa 3: Pilotaje del Plan de Acompañamiento.</w:t>
      </w:r>
      <w:r w:rsidR="00D03A64">
        <w:rPr>
          <w:rFonts w:eastAsia="Calibri"/>
        </w:rPr>
        <w:t xml:space="preserve"> Este </w:t>
      </w:r>
      <w:r w:rsidRPr="00D03A64">
        <w:rPr>
          <w:rFonts w:eastAsia="Calibri"/>
        </w:rPr>
        <w:t>se llevó a cabo con el Plan de Asistencia Social de la Presidencia (PASP), a fin de sistematizar el proceso de seguimiento a los resultados de auditoría mediante la herramienta TeamMate. En este ejercicio se dio seguimiento a 29 recomendaciones derivadas de 10 hallazgos de la auditoría interna practicada al PASP, correspondiente al período del 1 de septiembre 2020 al 31 de diciembre 2022, realizada por la Contraloría General de la República.</w:t>
      </w:r>
      <w:r w:rsidR="00444B5D">
        <w:rPr>
          <w:rFonts w:eastAsia="Calibri"/>
        </w:rPr>
        <w:t xml:space="preserve"> </w:t>
      </w:r>
      <w:r w:rsidRPr="00AF327F">
        <w:rPr>
          <w:rFonts w:eastAsia="Calibri"/>
        </w:rPr>
        <w:t xml:space="preserve">La ejecución del seguimiento a los resultados de la auditoría interna realizada al Plan de Asistencia Social de la Presidencia (PASP), a través de la herramienta TeamMate+, alcanzó un nivel de eficiencia estimado en un 60%. </w:t>
      </w:r>
    </w:p>
    <w:p w14:paraId="3ADC80DB" w14:textId="77777777" w:rsidR="00050BD6" w:rsidRDefault="00050BD6" w:rsidP="00C934DB">
      <w:pPr>
        <w:pStyle w:val="Prrafodelista"/>
        <w:spacing w:line="360" w:lineRule="auto"/>
        <w:ind w:left="142"/>
        <w:jc w:val="both"/>
        <w:rPr>
          <w:rFonts w:eastAsia="Calibri"/>
        </w:rPr>
      </w:pPr>
    </w:p>
    <w:p w14:paraId="0B7CB759" w14:textId="431C9713" w:rsidR="00C327C9" w:rsidRPr="00AF327F" w:rsidRDefault="00C327C9" w:rsidP="00C934DB">
      <w:pPr>
        <w:pStyle w:val="Prrafodelista"/>
        <w:spacing w:line="360" w:lineRule="auto"/>
        <w:ind w:left="142"/>
        <w:jc w:val="both"/>
        <w:rPr>
          <w:rFonts w:eastAsia="Calibri"/>
        </w:rPr>
      </w:pPr>
      <w:r w:rsidRPr="00AF327F">
        <w:rPr>
          <w:rFonts w:eastAsia="Calibri"/>
        </w:rPr>
        <w:lastRenderedPageBreak/>
        <w:t>Este pilotaje tuvo como propósito principal identificar brechas y oportunidades de mejora para optimizar futuras implementaciones de la herramienta.</w:t>
      </w:r>
    </w:p>
    <w:p w14:paraId="066E585A" w14:textId="77777777" w:rsidR="009F24D1" w:rsidRPr="00AF327F" w:rsidRDefault="009F24D1" w:rsidP="00C934DB">
      <w:pPr>
        <w:pStyle w:val="Prrafodelista"/>
        <w:spacing w:line="360" w:lineRule="auto"/>
        <w:ind w:left="142"/>
        <w:jc w:val="both"/>
        <w:rPr>
          <w:rFonts w:eastAsia="Calibri"/>
        </w:rPr>
      </w:pPr>
    </w:p>
    <w:p w14:paraId="71F24B63" w14:textId="02936142" w:rsidR="00C327C9" w:rsidRPr="004D041E" w:rsidRDefault="00C327C9" w:rsidP="004D041E">
      <w:pPr>
        <w:pStyle w:val="Prrafodelista"/>
        <w:spacing w:line="360" w:lineRule="auto"/>
        <w:ind w:left="142"/>
        <w:jc w:val="both"/>
        <w:rPr>
          <w:rFonts w:eastAsia="Calibri"/>
        </w:rPr>
      </w:pPr>
      <w:r w:rsidRPr="00AF327F">
        <w:rPr>
          <w:rFonts w:eastAsia="Calibri"/>
        </w:rPr>
        <w:t xml:space="preserve">El 40% no implementado, corresponde las brechas que </w:t>
      </w:r>
      <w:r w:rsidR="00606749" w:rsidRPr="00AF327F">
        <w:rPr>
          <w:rFonts w:eastAsia="Calibri"/>
        </w:rPr>
        <w:t>aún</w:t>
      </w:r>
      <w:r w:rsidRPr="00AF327F">
        <w:rPr>
          <w:rFonts w:eastAsia="Calibri"/>
        </w:rPr>
        <w:t xml:space="preserve"> no han sido cerradas, previamente mencionadas, las cuales serán abordadas en los próximos pilotos que se </w:t>
      </w:r>
      <w:r w:rsidR="00606749" w:rsidRPr="00AF327F">
        <w:rPr>
          <w:rFonts w:eastAsia="Calibri"/>
        </w:rPr>
        <w:t>llevarán</w:t>
      </w:r>
      <w:r w:rsidRPr="00AF327F">
        <w:rPr>
          <w:rFonts w:eastAsia="Calibri"/>
        </w:rPr>
        <w:t xml:space="preserve"> a cabo.</w:t>
      </w:r>
      <w:r w:rsidR="004D041E">
        <w:rPr>
          <w:rFonts w:eastAsia="Calibri"/>
        </w:rPr>
        <w:t xml:space="preserve"> </w:t>
      </w:r>
      <w:r w:rsidRPr="004D041E">
        <w:rPr>
          <w:rFonts w:eastAsia="Calibri"/>
        </w:rPr>
        <w:t>En cumplimiento con el procedimiento establecido, se elaboró un informe preliminar de seguimiento, sustentado en los datos arrojados por TeamMate.</w:t>
      </w:r>
    </w:p>
    <w:p w14:paraId="04B915FC" w14:textId="77777777" w:rsidR="009F24D1" w:rsidRPr="00AF327F" w:rsidRDefault="009F24D1" w:rsidP="00C934DB">
      <w:pPr>
        <w:pStyle w:val="Prrafodelista"/>
        <w:spacing w:line="360" w:lineRule="auto"/>
        <w:ind w:left="142"/>
        <w:jc w:val="both"/>
        <w:rPr>
          <w:rFonts w:eastAsia="Calibri"/>
        </w:rPr>
      </w:pPr>
    </w:p>
    <w:p w14:paraId="7742FED6" w14:textId="77777777" w:rsidR="00C327C9" w:rsidRPr="00AF327F" w:rsidRDefault="00C327C9" w:rsidP="00C934DB">
      <w:pPr>
        <w:pStyle w:val="Prrafodelista"/>
        <w:spacing w:line="360" w:lineRule="auto"/>
        <w:ind w:left="142"/>
        <w:jc w:val="both"/>
        <w:rPr>
          <w:rFonts w:eastAsia="Calibri"/>
        </w:rPr>
      </w:pPr>
      <w:r w:rsidRPr="00AF327F">
        <w:rPr>
          <w:rFonts w:eastAsia="Calibri"/>
        </w:rPr>
        <w:t>Al finalizar este proyecto, se espera fortalecer el seguimiento a los resultados de las auditorías, desde la emisión de la recomendación hasta su implementación, gestionando el 100% del proceso a través de la herramienta TeamMate.</w:t>
      </w:r>
    </w:p>
    <w:bookmarkEnd w:id="23"/>
    <w:p w14:paraId="777526D0" w14:textId="19881570" w:rsidR="00333ED6" w:rsidRPr="00AF327F" w:rsidRDefault="00333ED6" w:rsidP="00C934DB">
      <w:pPr>
        <w:spacing w:line="360" w:lineRule="auto"/>
        <w:jc w:val="both"/>
        <w:rPr>
          <w:rFonts w:eastAsia="Calibri"/>
        </w:rPr>
      </w:pPr>
      <w:r w:rsidRPr="00AF327F">
        <w:rPr>
          <w:rFonts w:eastAsia="Calibri"/>
        </w:rPr>
        <w:t xml:space="preserve">Otras acciones relevantes ejecutadas por la </w:t>
      </w:r>
      <w:r w:rsidR="00C327C9" w:rsidRPr="00AF327F">
        <w:rPr>
          <w:rFonts w:eastAsia="Calibri"/>
        </w:rPr>
        <w:t>Contraloría</w:t>
      </w:r>
      <w:r w:rsidRPr="00AF327F">
        <w:rPr>
          <w:rFonts w:eastAsia="Calibri"/>
        </w:rPr>
        <w:t xml:space="preserve"> destacan:</w:t>
      </w:r>
    </w:p>
    <w:p w14:paraId="645EE9F4" w14:textId="7D8CBC89" w:rsidR="00333ED6" w:rsidRPr="00AF327F" w:rsidRDefault="00333ED6">
      <w:pPr>
        <w:pStyle w:val="Prrafodelista"/>
        <w:numPr>
          <w:ilvl w:val="0"/>
          <w:numId w:val="12"/>
        </w:numPr>
        <w:spacing w:line="360" w:lineRule="auto"/>
        <w:ind w:left="142"/>
        <w:jc w:val="both"/>
        <w:rPr>
          <w:rFonts w:eastAsia="Calibri"/>
        </w:rPr>
      </w:pPr>
      <w:r w:rsidRPr="00AF327F">
        <w:rPr>
          <w:rFonts w:eastAsia="Calibri"/>
        </w:rPr>
        <w:t xml:space="preserve">40 instituciones contrataron </w:t>
      </w:r>
      <w:r w:rsidR="00050BD6">
        <w:rPr>
          <w:rFonts w:eastAsia="Calibri"/>
        </w:rPr>
        <w:t>f</w:t>
      </w:r>
      <w:r w:rsidRPr="00AF327F">
        <w:rPr>
          <w:rFonts w:eastAsia="Calibri"/>
        </w:rPr>
        <w:t xml:space="preserve">irmas </w:t>
      </w:r>
      <w:r w:rsidR="00050BD6">
        <w:rPr>
          <w:rFonts w:eastAsia="Calibri"/>
        </w:rPr>
        <w:t>p</w:t>
      </w:r>
      <w:r w:rsidRPr="00AF327F">
        <w:rPr>
          <w:rFonts w:eastAsia="Calibri"/>
        </w:rPr>
        <w:t xml:space="preserve">rivadas para </w:t>
      </w:r>
      <w:r w:rsidR="00050BD6">
        <w:rPr>
          <w:rFonts w:eastAsia="Calibri"/>
        </w:rPr>
        <w:t>a</w:t>
      </w:r>
      <w:r w:rsidRPr="00AF327F">
        <w:rPr>
          <w:rFonts w:eastAsia="Calibri"/>
        </w:rPr>
        <w:t xml:space="preserve">uditorías </w:t>
      </w:r>
      <w:r w:rsidR="00050BD6">
        <w:rPr>
          <w:rFonts w:eastAsia="Calibri"/>
        </w:rPr>
        <w:t>i</w:t>
      </w:r>
      <w:r w:rsidRPr="00AF327F">
        <w:rPr>
          <w:rFonts w:eastAsia="Calibri"/>
        </w:rPr>
        <w:t>nternas.</w:t>
      </w:r>
    </w:p>
    <w:p w14:paraId="2842212A" w14:textId="5886802B" w:rsidR="00333ED6" w:rsidRPr="00AF327F" w:rsidRDefault="00333ED6">
      <w:pPr>
        <w:pStyle w:val="Prrafodelista"/>
        <w:numPr>
          <w:ilvl w:val="0"/>
          <w:numId w:val="12"/>
        </w:numPr>
        <w:spacing w:line="360" w:lineRule="auto"/>
        <w:ind w:left="142"/>
        <w:jc w:val="both"/>
        <w:rPr>
          <w:rFonts w:eastAsia="Calibri"/>
        </w:rPr>
      </w:pPr>
      <w:r w:rsidRPr="00AF327F">
        <w:rPr>
          <w:rFonts w:eastAsia="Calibri"/>
        </w:rPr>
        <w:t>48 firmas privadas se registraron en la Contraloría General de la República.</w:t>
      </w:r>
    </w:p>
    <w:p w14:paraId="0BFF14D7" w14:textId="0D4E65A5" w:rsidR="00333ED6" w:rsidRPr="00AF327F" w:rsidRDefault="00333ED6">
      <w:pPr>
        <w:pStyle w:val="Prrafodelista"/>
        <w:numPr>
          <w:ilvl w:val="0"/>
          <w:numId w:val="12"/>
        </w:numPr>
        <w:spacing w:line="360" w:lineRule="auto"/>
        <w:ind w:left="142"/>
        <w:jc w:val="both"/>
        <w:rPr>
          <w:rFonts w:eastAsia="Calibri"/>
        </w:rPr>
      </w:pPr>
      <w:r w:rsidRPr="00AF327F">
        <w:rPr>
          <w:rFonts w:eastAsia="Calibri"/>
        </w:rPr>
        <w:t xml:space="preserve">Se emitieron 677 levantamientos </w:t>
      </w:r>
      <w:r w:rsidR="009735FB">
        <w:rPr>
          <w:rFonts w:eastAsia="Calibri"/>
        </w:rPr>
        <w:t>p</w:t>
      </w:r>
      <w:r w:rsidRPr="00AF327F">
        <w:rPr>
          <w:rFonts w:eastAsia="Calibri"/>
        </w:rPr>
        <w:t xml:space="preserve">rovisionales de </w:t>
      </w:r>
      <w:r w:rsidR="009735FB">
        <w:rPr>
          <w:rFonts w:eastAsia="Calibri"/>
        </w:rPr>
        <w:t>s</w:t>
      </w:r>
      <w:r w:rsidRPr="00AF327F">
        <w:rPr>
          <w:rFonts w:eastAsia="Calibri"/>
        </w:rPr>
        <w:t>alida a funcionarios públicos.</w:t>
      </w:r>
    </w:p>
    <w:p w14:paraId="53CF21A5" w14:textId="10A915A0" w:rsidR="00333ED6" w:rsidRPr="00AF327F" w:rsidRDefault="00333ED6">
      <w:pPr>
        <w:pStyle w:val="Prrafodelista"/>
        <w:numPr>
          <w:ilvl w:val="0"/>
          <w:numId w:val="12"/>
        </w:numPr>
        <w:spacing w:line="360" w:lineRule="auto"/>
        <w:ind w:left="142"/>
        <w:jc w:val="both"/>
        <w:rPr>
          <w:rFonts w:eastAsia="Calibri"/>
        </w:rPr>
      </w:pPr>
      <w:r w:rsidRPr="00AF327F">
        <w:rPr>
          <w:rFonts w:eastAsia="Calibri"/>
        </w:rPr>
        <w:t>14 participaciones en subastas públicas de la Caja para Obreros Monte de Piedad y de Bienes Nacionales.</w:t>
      </w:r>
    </w:p>
    <w:p w14:paraId="4C4A90DB" w14:textId="77777777" w:rsidR="00333ED6" w:rsidRPr="00AF327F" w:rsidRDefault="00333ED6">
      <w:pPr>
        <w:pStyle w:val="Prrafodelista"/>
        <w:numPr>
          <w:ilvl w:val="0"/>
          <w:numId w:val="12"/>
        </w:numPr>
        <w:spacing w:line="360" w:lineRule="auto"/>
        <w:ind w:left="142"/>
        <w:jc w:val="both"/>
        <w:rPr>
          <w:rFonts w:eastAsia="Calibri"/>
        </w:rPr>
      </w:pPr>
      <w:r w:rsidRPr="00AF327F">
        <w:rPr>
          <w:rFonts w:eastAsia="Calibri"/>
        </w:rPr>
        <w:t xml:space="preserve">Una (1) participación en el inventario general en la bóveda de Especies timbradas de la Tesorería Nacional </w:t>
      </w:r>
    </w:p>
    <w:p w14:paraId="63A3FA32" w14:textId="7D99DFC7" w:rsidR="00333ED6" w:rsidRPr="00AF327F" w:rsidRDefault="00333ED6">
      <w:pPr>
        <w:pStyle w:val="Prrafodelista"/>
        <w:numPr>
          <w:ilvl w:val="0"/>
          <w:numId w:val="12"/>
        </w:numPr>
        <w:spacing w:line="360" w:lineRule="auto"/>
        <w:ind w:left="142"/>
        <w:jc w:val="both"/>
        <w:rPr>
          <w:rFonts w:eastAsia="Calibri"/>
        </w:rPr>
      </w:pPr>
      <w:r w:rsidRPr="00AF327F">
        <w:rPr>
          <w:rFonts w:eastAsia="Calibri"/>
        </w:rPr>
        <w:t>13 participaciones en la observación de la impresión de Estampillas para Fósforos, Sellos Especiales, Sellos Ley 196, Sellos 3-19, solicitado por la Tesorería Nacional.</w:t>
      </w:r>
    </w:p>
    <w:p w14:paraId="74711104" w14:textId="77777777" w:rsidR="009F24D1" w:rsidRPr="00AF327F" w:rsidRDefault="009F24D1" w:rsidP="009F24D1">
      <w:pPr>
        <w:pStyle w:val="Prrafodelista"/>
        <w:spacing w:line="360" w:lineRule="auto"/>
        <w:ind w:left="142"/>
        <w:jc w:val="both"/>
        <w:rPr>
          <w:rFonts w:eastAsia="Calibri"/>
        </w:rPr>
      </w:pPr>
    </w:p>
    <w:p w14:paraId="24C24BCC" w14:textId="1D4D93C4" w:rsidR="00333ED6" w:rsidRPr="00AF327F" w:rsidRDefault="00333ED6">
      <w:pPr>
        <w:pStyle w:val="Prrafodelista"/>
        <w:numPr>
          <w:ilvl w:val="0"/>
          <w:numId w:val="12"/>
        </w:numPr>
        <w:spacing w:line="360" w:lineRule="auto"/>
        <w:ind w:left="142"/>
        <w:jc w:val="both"/>
        <w:rPr>
          <w:rFonts w:eastAsia="Calibri"/>
        </w:rPr>
      </w:pPr>
      <w:r w:rsidRPr="00AF327F">
        <w:rPr>
          <w:rFonts w:eastAsia="Calibri"/>
        </w:rPr>
        <w:lastRenderedPageBreak/>
        <w:t>105 participaciones en la observación en la entrada y salida a la bóveda de Especies Timbradas, de Sellos Ley 3-19 y 196, Estampillas de Fósforos, Sellos Especiales, Certificados Financieros y Cheques de forma continua</w:t>
      </w:r>
      <w:r w:rsidR="009F24D1" w:rsidRPr="00AF327F">
        <w:rPr>
          <w:rFonts w:eastAsia="Calibri"/>
        </w:rPr>
        <w:t xml:space="preserve"> </w:t>
      </w:r>
      <w:r w:rsidRPr="00AF327F">
        <w:rPr>
          <w:rFonts w:eastAsia="Calibri"/>
        </w:rPr>
        <w:t>de la bóveda de especies timbradas, Tesorería Nacional</w:t>
      </w:r>
      <w:r w:rsidR="009F24D1" w:rsidRPr="00AF327F">
        <w:rPr>
          <w:rFonts w:eastAsia="Calibri"/>
        </w:rPr>
        <w:t>.</w:t>
      </w:r>
    </w:p>
    <w:p w14:paraId="4CE29FB5" w14:textId="77777777" w:rsidR="00333ED6" w:rsidRPr="00AF327F" w:rsidRDefault="00333ED6">
      <w:pPr>
        <w:pStyle w:val="Prrafodelista"/>
        <w:numPr>
          <w:ilvl w:val="0"/>
          <w:numId w:val="12"/>
        </w:numPr>
        <w:spacing w:line="360" w:lineRule="auto"/>
        <w:ind w:left="142"/>
        <w:jc w:val="both"/>
        <w:rPr>
          <w:rFonts w:eastAsia="Calibri"/>
        </w:rPr>
      </w:pPr>
      <w:r w:rsidRPr="00AF327F">
        <w:rPr>
          <w:rFonts w:eastAsia="Calibri"/>
        </w:rPr>
        <w:t>Tres (3) acompañamientos en la entrega de cheques a empleados públicos.</w:t>
      </w:r>
    </w:p>
    <w:p w14:paraId="2D15D159" w14:textId="2C99393D" w:rsidR="00333ED6" w:rsidRPr="00AF327F" w:rsidRDefault="00333ED6">
      <w:pPr>
        <w:pStyle w:val="Prrafodelista"/>
        <w:numPr>
          <w:ilvl w:val="0"/>
          <w:numId w:val="12"/>
        </w:numPr>
        <w:spacing w:line="360" w:lineRule="auto"/>
        <w:ind w:left="142"/>
        <w:jc w:val="both"/>
        <w:rPr>
          <w:rFonts w:eastAsia="Calibri"/>
        </w:rPr>
      </w:pPr>
      <w:r w:rsidRPr="00AF327F">
        <w:rPr>
          <w:rFonts w:eastAsia="Calibri"/>
        </w:rPr>
        <w:t>132 participaciones en el abastecimiento de combustible a la flotilla vehicular de la CGR.</w:t>
      </w:r>
    </w:p>
    <w:p w14:paraId="390D2111" w14:textId="0D359DF3" w:rsidR="00333ED6" w:rsidRPr="00AF327F" w:rsidRDefault="00333ED6">
      <w:pPr>
        <w:pStyle w:val="Prrafodelista"/>
        <w:numPr>
          <w:ilvl w:val="0"/>
          <w:numId w:val="12"/>
        </w:numPr>
        <w:spacing w:line="360" w:lineRule="auto"/>
        <w:ind w:left="142"/>
        <w:jc w:val="both"/>
        <w:rPr>
          <w:rFonts w:eastAsia="Calibri"/>
        </w:rPr>
      </w:pPr>
      <w:r w:rsidRPr="00AF327F">
        <w:rPr>
          <w:rFonts w:eastAsia="Calibri"/>
        </w:rPr>
        <w:t>Se realizaron ocho encuentros en diferentes regiones del país con alcaldes y regidores para capacitaciones en materia de control interno y fiscalización en los Gobiernos Locales.</w:t>
      </w:r>
    </w:p>
    <w:p w14:paraId="284D50E4" w14:textId="77777777" w:rsidR="00A775DA" w:rsidRPr="00AF327F" w:rsidRDefault="00A775DA" w:rsidP="00C934DB">
      <w:pPr>
        <w:pStyle w:val="Prrafodelista"/>
        <w:spacing w:line="360" w:lineRule="auto"/>
        <w:ind w:left="142"/>
        <w:jc w:val="both"/>
        <w:rPr>
          <w:rFonts w:eastAsia="Calibri"/>
        </w:rPr>
      </w:pPr>
    </w:p>
    <w:p w14:paraId="53D9679D" w14:textId="6C670C2A" w:rsidR="006E2911" w:rsidRPr="00AF327F" w:rsidRDefault="00A775DA" w:rsidP="00C934DB">
      <w:pPr>
        <w:pStyle w:val="Prrafodelista"/>
        <w:spacing w:line="360" w:lineRule="auto"/>
        <w:ind w:left="142"/>
        <w:jc w:val="both"/>
        <w:rPr>
          <w:rFonts w:eastAsia="Calibri"/>
          <w:b/>
          <w:bCs/>
        </w:rPr>
      </w:pPr>
      <w:r w:rsidRPr="00AF327F">
        <w:rPr>
          <w:rFonts w:eastAsia="Calibri"/>
          <w:b/>
          <w:bCs/>
        </w:rPr>
        <w:t xml:space="preserve">e. Investigaciones </w:t>
      </w:r>
      <w:r w:rsidR="006E2911" w:rsidRPr="00AF327F">
        <w:rPr>
          <w:rFonts w:eastAsia="Calibri"/>
          <w:b/>
          <w:bCs/>
        </w:rPr>
        <w:t>Antifraude</w:t>
      </w:r>
    </w:p>
    <w:p w14:paraId="097ACBF5" w14:textId="77777777" w:rsidR="00A775DA" w:rsidRPr="00AF327F" w:rsidRDefault="00A775DA" w:rsidP="00C934DB">
      <w:pPr>
        <w:pStyle w:val="Prrafodelista"/>
        <w:spacing w:line="360" w:lineRule="auto"/>
        <w:ind w:left="142"/>
        <w:jc w:val="both"/>
        <w:rPr>
          <w:rFonts w:eastAsia="Calibri"/>
          <w:b/>
          <w:bCs/>
        </w:rPr>
      </w:pPr>
    </w:p>
    <w:p w14:paraId="4C08FBAF" w14:textId="3D4DAF0D" w:rsidR="00282123" w:rsidRPr="00AF327F" w:rsidRDefault="00DE4C2A" w:rsidP="00C934DB">
      <w:pPr>
        <w:pStyle w:val="Prrafodelista"/>
        <w:spacing w:line="360" w:lineRule="auto"/>
        <w:ind w:left="142"/>
        <w:jc w:val="both"/>
        <w:rPr>
          <w:rFonts w:eastAsia="Calibri"/>
        </w:rPr>
      </w:pPr>
      <w:bookmarkStart w:id="24" w:name="_Hlk216162246"/>
      <w:r w:rsidRPr="00AF327F">
        <w:rPr>
          <w:rFonts w:eastAsia="Calibri"/>
        </w:rPr>
        <w:t xml:space="preserve">Durante el período </w:t>
      </w:r>
      <w:r w:rsidR="00C126DB" w:rsidRPr="00AF327F">
        <w:rPr>
          <w:rFonts w:eastAsia="Calibri"/>
        </w:rPr>
        <w:t>enero – noviembre 2025</w:t>
      </w:r>
      <w:r w:rsidRPr="00AF327F">
        <w:rPr>
          <w:rFonts w:eastAsia="Calibri"/>
        </w:rPr>
        <w:t xml:space="preserve"> la Unidad Antifraude, mediante labores de verificación e investigación</w:t>
      </w:r>
      <w:r w:rsidR="00C126DB" w:rsidRPr="00AF327F">
        <w:rPr>
          <w:rFonts w:eastAsia="Calibri"/>
        </w:rPr>
        <w:t>,</w:t>
      </w:r>
      <w:r w:rsidRPr="00AF327F">
        <w:rPr>
          <w:rFonts w:eastAsia="Calibri"/>
        </w:rPr>
        <w:t xml:space="preserve"> </w:t>
      </w:r>
      <w:r w:rsidR="00C126DB" w:rsidRPr="00AF327F">
        <w:rPr>
          <w:rFonts w:eastAsia="Calibri"/>
        </w:rPr>
        <w:t>ha cerrado un total de 22 investigaciones en respuesta a denuncias recibidas, proyectándose para finales de diciembre el cierre de dos investigaciones más</w:t>
      </w:r>
      <w:r w:rsidR="00C8229D">
        <w:rPr>
          <w:rFonts w:eastAsia="Calibri"/>
        </w:rPr>
        <w:t>, para un total de 24.</w:t>
      </w:r>
      <w:r w:rsidR="00282123" w:rsidRPr="00AF327F">
        <w:rPr>
          <w:rFonts w:eastAsia="Calibri"/>
        </w:rPr>
        <w:t xml:space="preserve"> Diez de estos informes fueron remitidos a la DIGEIG, 15 a la Procuraduría Especializada de Persecución de la Corrupción Administrativa (PEPCA) y 13 remitidos a la DGCP.</w:t>
      </w:r>
    </w:p>
    <w:bookmarkEnd w:id="24"/>
    <w:p w14:paraId="19460793" w14:textId="77777777" w:rsidR="00C126DB" w:rsidRPr="00AF327F" w:rsidRDefault="00C126DB" w:rsidP="00C934DB">
      <w:pPr>
        <w:pStyle w:val="Prrafodelista"/>
        <w:spacing w:line="360" w:lineRule="auto"/>
        <w:ind w:left="142"/>
        <w:jc w:val="both"/>
        <w:rPr>
          <w:rFonts w:eastAsia="Calibri"/>
        </w:rPr>
      </w:pPr>
    </w:p>
    <w:p w14:paraId="61111063" w14:textId="77777777" w:rsidR="00282123" w:rsidRPr="00AF327F" w:rsidRDefault="00C126DB" w:rsidP="00C934DB">
      <w:pPr>
        <w:pStyle w:val="Prrafodelista"/>
        <w:spacing w:line="360" w:lineRule="auto"/>
        <w:ind w:left="142"/>
        <w:jc w:val="both"/>
        <w:rPr>
          <w:rFonts w:eastAsia="Calibri"/>
        </w:rPr>
      </w:pPr>
      <w:r w:rsidRPr="00AF327F">
        <w:rPr>
          <w:rFonts w:eastAsia="Calibri"/>
        </w:rPr>
        <w:t>Asimismo, se concretó la emisión de 16 informes de recomendaciones de prevención de fraude a instituciones públicas, con el fin de alertarles sobre el riesgo de potencial</w:t>
      </w:r>
      <w:r w:rsidR="00282123" w:rsidRPr="00AF327F">
        <w:rPr>
          <w:rFonts w:eastAsia="Calibri"/>
        </w:rPr>
        <w:t xml:space="preserve"> de</w:t>
      </w:r>
      <w:r w:rsidRPr="00AF327F">
        <w:rPr>
          <w:rFonts w:eastAsia="Calibri"/>
        </w:rPr>
        <w:t xml:space="preserve"> futuras incidencias, procurando así la ejecución de acciones preventivas para salvaguardar los recursos públicos. </w:t>
      </w:r>
    </w:p>
    <w:p w14:paraId="50B74481" w14:textId="77777777" w:rsidR="00282123" w:rsidRPr="00AF327F" w:rsidRDefault="00282123" w:rsidP="00C934DB">
      <w:pPr>
        <w:pStyle w:val="Prrafodelista"/>
        <w:spacing w:line="360" w:lineRule="auto"/>
        <w:ind w:left="142"/>
        <w:jc w:val="both"/>
        <w:rPr>
          <w:rFonts w:eastAsia="Calibri"/>
        </w:rPr>
      </w:pPr>
    </w:p>
    <w:p w14:paraId="790F754B" w14:textId="77777777" w:rsidR="00C936AE" w:rsidRDefault="00C936AE" w:rsidP="00C934DB">
      <w:pPr>
        <w:pStyle w:val="Prrafodelista"/>
        <w:spacing w:line="360" w:lineRule="auto"/>
        <w:ind w:left="142"/>
        <w:jc w:val="both"/>
        <w:rPr>
          <w:rFonts w:eastAsia="Calibri"/>
        </w:rPr>
      </w:pPr>
    </w:p>
    <w:p w14:paraId="308903D8" w14:textId="792AC689" w:rsidR="00C126DB" w:rsidRPr="00AF327F" w:rsidRDefault="00C126DB" w:rsidP="00C934DB">
      <w:pPr>
        <w:pStyle w:val="Prrafodelista"/>
        <w:spacing w:line="360" w:lineRule="auto"/>
        <w:ind w:left="142"/>
        <w:jc w:val="both"/>
        <w:rPr>
          <w:rFonts w:eastAsia="Calibri"/>
        </w:rPr>
      </w:pPr>
      <w:r w:rsidRPr="00AF327F">
        <w:rPr>
          <w:rFonts w:eastAsia="Calibri"/>
        </w:rPr>
        <w:lastRenderedPageBreak/>
        <w:t xml:space="preserve">De igual forma, </w:t>
      </w:r>
      <w:r w:rsidR="00B42409" w:rsidRPr="00AF327F">
        <w:rPr>
          <w:rFonts w:eastAsia="Calibri"/>
        </w:rPr>
        <w:t>s</w:t>
      </w:r>
      <w:r w:rsidRPr="00AF327F">
        <w:rPr>
          <w:rFonts w:eastAsia="Calibri"/>
        </w:rPr>
        <w:t>e entregaron al despacho siete informes de análisis financiero forense, cuya finalidad es cuantificar la afectación económica de una actividad en los recursos del estado.</w:t>
      </w:r>
    </w:p>
    <w:p w14:paraId="3B56AC7D" w14:textId="77777777" w:rsidR="00C126DB" w:rsidRPr="00AF327F" w:rsidRDefault="00C126DB" w:rsidP="00C934DB">
      <w:pPr>
        <w:pStyle w:val="Prrafodelista"/>
        <w:spacing w:line="360" w:lineRule="auto"/>
        <w:ind w:left="142"/>
        <w:jc w:val="both"/>
        <w:rPr>
          <w:rFonts w:eastAsia="Calibri"/>
        </w:rPr>
      </w:pPr>
    </w:p>
    <w:p w14:paraId="6327B368" w14:textId="248E4755" w:rsidR="00282123" w:rsidRPr="00AF327F" w:rsidRDefault="00685FDA" w:rsidP="00C934DB">
      <w:pPr>
        <w:pStyle w:val="Prrafodelista"/>
        <w:spacing w:line="360" w:lineRule="auto"/>
        <w:ind w:left="142"/>
        <w:jc w:val="both"/>
        <w:rPr>
          <w:rFonts w:eastAsia="Calibri"/>
        </w:rPr>
      </w:pPr>
      <w:r w:rsidRPr="00AF327F">
        <w:rPr>
          <w:rFonts w:eastAsia="Calibri"/>
        </w:rPr>
        <w:t xml:space="preserve">Otra de las operaciones llevadas a cabo por la Unidad antifraude </w:t>
      </w:r>
      <w:r w:rsidR="007A6FDC" w:rsidRPr="00AF327F">
        <w:rPr>
          <w:rFonts w:eastAsia="Calibri"/>
        </w:rPr>
        <w:t>en la</w:t>
      </w:r>
      <w:r w:rsidRPr="00AF327F">
        <w:rPr>
          <w:rFonts w:eastAsia="Calibri"/>
        </w:rPr>
        <w:t xml:space="preserve"> lucha contra el fraude y la corrupción es la verificación, búsqueda y comprobación de datos sobre entidades públicas investigadas, realizados a solicitud de órganos externos. En este sentido, se realizaron 31 procesos a distintos órganos externos, de los cuales</w:t>
      </w:r>
      <w:r w:rsidR="00670F59" w:rsidRPr="00AF327F">
        <w:rPr>
          <w:rFonts w:eastAsia="Calibri"/>
        </w:rPr>
        <w:t xml:space="preserve"> </w:t>
      </w:r>
      <w:r w:rsidRPr="00AF327F">
        <w:rPr>
          <w:rFonts w:eastAsia="Calibri"/>
        </w:rPr>
        <w:t>12 correspondieron a solicitudes de la Procuraduría Especializada de Persecución de la Corrupción Administrativa (PEPCA) y otros 12 a requerimientos de la Procuraduría Especializada Antilavado de Activos y Financiamiento del Terrorismo (PEALAFT).</w:t>
      </w:r>
    </w:p>
    <w:p w14:paraId="67D48EED" w14:textId="77777777" w:rsidR="00282123" w:rsidRPr="00AF327F" w:rsidRDefault="00282123" w:rsidP="00C934DB">
      <w:pPr>
        <w:pStyle w:val="Prrafodelista"/>
        <w:spacing w:line="360" w:lineRule="auto"/>
        <w:ind w:left="142"/>
        <w:jc w:val="both"/>
        <w:rPr>
          <w:rFonts w:eastAsia="Calibri"/>
        </w:rPr>
      </w:pPr>
    </w:p>
    <w:p w14:paraId="4DCEF0E6" w14:textId="1B5684D9" w:rsidR="00282123" w:rsidRPr="00AF327F" w:rsidRDefault="00282123" w:rsidP="00C934DB">
      <w:pPr>
        <w:pStyle w:val="Prrafodelista"/>
        <w:spacing w:line="360" w:lineRule="auto"/>
        <w:ind w:left="142"/>
        <w:jc w:val="both"/>
        <w:rPr>
          <w:rFonts w:eastAsia="Calibri"/>
        </w:rPr>
      </w:pPr>
      <w:r w:rsidRPr="00AF327F">
        <w:rPr>
          <w:rFonts w:eastAsia="Calibri"/>
        </w:rPr>
        <w:t>Por otro lado, fueron emitidos un total de</w:t>
      </w:r>
      <w:r w:rsidR="007C3DE2" w:rsidRPr="00AF327F">
        <w:rPr>
          <w:rFonts w:eastAsia="Calibri"/>
        </w:rPr>
        <w:t xml:space="preserve"> </w:t>
      </w:r>
      <w:r w:rsidRPr="00AF327F">
        <w:rPr>
          <w:rFonts w:eastAsia="Calibri"/>
        </w:rPr>
        <w:t>12 informes de identificación de alertas realizados a partir de situaciones fraudulentas detectadas por diversas vías. Desde el mes de agosto hasta la fecha, se han realizados 21 reportes de monitoreo de medios digitales a diversos procesos y entidades del sector público, como parte del proceso de detección y prevención de actividades fraudulentas</w:t>
      </w:r>
      <w:r w:rsidR="00C8229D">
        <w:rPr>
          <w:rFonts w:eastAsia="Calibri"/>
        </w:rPr>
        <w:t xml:space="preserve">, esta cifra se mantiene hasta cierre del año. </w:t>
      </w:r>
    </w:p>
    <w:p w14:paraId="6E30E60E" w14:textId="77777777" w:rsidR="00282123" w:rsidRPr="00AF327F" w:rsidRDefault="00282123" w:rsidP="00282123">
      <w:pPr>
        <w:pStyle w:val="Prrafodelista"/>
        <w:spacing w:line="360" w:lineRule="auto"/>
        <w:ind w:left="142"/>
        <w:jc w:val="both"/>
        <w:rPr>
          <w:rFonts w:eastAsia="Calibri"/>
        </w:rPr>
      </w:pPr>
    </w:p>
    <w:p w14:paraId="4EE2BB38" w14:textId="77777777" w:rsidR="00282123" w:rsidRPr="00AF327F" w:rsidRDefault="00282123">
      <w:pPr>
        <w:rPr>
          <w:b/>
          <w:bCs/>
        </w:rPr>
      </w:pPr>
      <w:r w:rsidRPr="00AF327F">
        <w:rPr>
          <w:b/>
          <w:bCs/>
        </w:rPr>
        <w:br w:type="page"/>
      </w:r>
    </w:p>
    <w:p w14:paraId="5C8DDB44" w14:textId="5782EB40" w:rsidR="00380F2B" w:rsidRPr="00AF327F" w:rsidRDefault="00282123" w:rsidP="00C934DB">
      <w:pPr>
        <w:pStyle w:val="Prrafodelista"/>
        <w:spacing w:line="360" w:lineRule="auto"/>
        <w:ind w:left="142"/>
        <w:jc w:val="both"/>
        <w:rPr>
          <w:rFonts w:eastAsia="Calibri"/>
          <w:b/>
          <w:bCs/>
        </w:rPr>
      </w:pPr>
      <w:r w:rsidRPr="00AF327F">
        <w:rPr>
          <w:rFonts w:eastAsia="Calibri"/>
          <w:b/>
          <w:bCs/>
        </w:rPr>
        <w:lastRenderedPageBreak/>
        <w:t xml:space="preserve">f. </w:t>
      </w:r>
      <w:r w:rsidR="00380F2B" w:rsidRPr="00AF327F">
        <w:rPr>
          <w:rFonts w:eastAsia="Calibri"/>
          <w:b/>
          <w:bCs/>
        </w:rPr>
        <w:t>Análisis financieros a las instituciones públicas</w:t>
      </w:r>
    </w:p>
    <w:p w14:paraId="3B84383D" w14:textId="77777777" w:rsidR="005200DB" w:rsidRPr="00AF327F" w:rsidRDefault="005200DB" w:rsidP="00C934DB">
      <w:pPr>
        <w:pStyle w:val="Prrafodelista"/>
        <w:spacing w:line="360" w:lineRule="auto"/>
        <w:ind w:left="142"/>
        <w:jc w:val="both"/>
        <w:rPr>
          <w:rFonts w:eastAsia="Calibri"/>
        </w:rPr>
      </w:pPr>
    </w:p>
    <w:p w14:paraId="74585FA2" w14:textId="185DCC7D" w:rsidR="00E26D7B" w:rsidRPr="00AF327F" w:rsidRDefault="00E26D7B" w:rsidP="00C934DB">
      <w:pPr>
        <w:pStyle w:val="Prrafodelista"/>
        <w:spacing w:line="360" w:lineRule="auto"/>
        <w:ind w:left="142"/>
        <w:jc w:val="both"/>
        <w:rPr>
          <w:rFonts w:eastAsia="Calibri"/>
        </w:rPr>
      </w:pPr>
      <w:r w:rsidRPr="00AF327F">
        <w:rPr>
          <w:rFonts w:eastAsia="Calibri"/>
        </w:rPr>
        <w:t>Sobre los informes revisorios del Estado de Recaudación e Inversión de las Rentas (ERIR) emitidos por la Contraloría General de la República, se han realizado</w:t>
      </w:r>
      <w:r w:rsidR="007333E4">
        <w:rPr>
          <w:rFonts w:eastAsia="Calibri"/>
        </w:rPr>
        <w:t xml:space="preserve"> dos </w:t>
      </w:r>
      <w:r w:rsidRPr="00AF327F">
        <w:rPr>
          <w:rFonts w:eastAsia="Calibri"/>
        </w:rPr>
        <w:t xml:space="preserve">en este año 2025, uno correspondiente al cierre del año 2024 y otro informe </w:t>
      </w:r>
      <w:r w:rsidR="00CC434C" w:rsidRPr="00AF327F">
        <w:rPr>
          <w:rFonts w:eastAsia="Calibri"/>
        </w:rPr>
        <w:t>del corte semestral 2025</w:t>
      </w:r>
      <w:r w:rsidR="00C8229D">
        <w:rPr>
          <w:rFonts w:eastAsia="Calibri"/>
        </w:rPr>
        <w:t>, de conformidad con la planificación 2025.</w:t>
      </w:r>
    </w:p>
    <w:p w14:paraId="147A62C8" w14:textId="77777777" w:rsidR="00E26D7B" w:rsidRPr="00AF327F" w:rsidRDefault="00E26D7B" w:rsidP="00C934DB">
      <w:pPr>
        <w:pStyle w:val="Prrafodelista"/>
        <w:spacing w:line="360" w:lineRule="auto"/>
        <w:ind w:left="142"/>
        <w:jc w:val="both"/>
        <w:rPr>
          <w:rFonts w:eastAsia="Calibri"/>
        </w:rPr>
      </w:pPr>
    </w:p>
    <w:p w14:paraId="2EA31006" w14:textId="36E09F01" w:rsidR="00290ABA" w:rsidRPr="00AF327F" w:rsidRDefault="00290ABA" w:rsidP="00C934DB">
      <w:pPr>
        <w:pStyle w:val="Prrafodelista"/>
        <w:spacing w:line="360" w:lineRule="auto"/>
        <w:ind w:left="142"/>
        <w:jc w:val="both"/>
        <w:rPr>
          <w:rFonts w:eastAsia="Calibri"/>
        </w:rPr>
      </w:pPr>
      <w:r w:rsidRPr="00AF327F">
        <w:rPr>
          <w:rFonts w:eastAsia="Calibri"/>
        </w:rPr>
        <w:t xml:space="preserve">Durante los meses comprendidos entre enero a </w:t>
      </w:r>
      <w:r w:rsidR="00E26D7B" w:rsidRPr="00AF327F">
        <w:rPr>
          <w:rFonts w:eastAsia="Calibri"/>
        </w:rPr>
        <w:t>noviembre</w:t>
      </w:r>
      <w:r w:rsidRPr="00AF327F">
        <w:rPr>
          <w:rFonts w:eastAsia="Calibri"/>
        </w:rPr>
        <w:t xml:space="preserve">, se realizaron </w:t>
      </w:r>
      <w:r w:rsidR="00E26D7B" w:rsidRPr="00AF327F">
        <w:rPr>
          <w:rFonts w:eastAsia="Calibri"/>
        </w:rPr>
        <w:t>33</w:t>
      </w:r>
      <w:r w:rsidRPr="00AF327F">
        <w:rPr>
          <w:rFonts w:eastAsia="Calibri"/>
        </w:rPr>
        <w:t xml:space="preserve"> informes de análisis a los estados financieros comparados, al corte del per</w:t>
      </w:r>
      <w:r w:rsidR="00F517CE" w:rsidRPr="00AF327F">
        <w:rPr>
          <w:rFonts w:eastAsia="Calibri"/>
        </w:rPr>
        <w:t>ío</w:t>
      </w:r>
      <w:r w:rsidRPr="00AF327F">
        <w:rPr>
          <w:rFonts w:eastAsia="Calibri"/>
        </w:rPr>
        <w:t>do fiscal enero-diciembre 202</w:t>
      </w:r>
      <w:r w:rsidR="00E26D7B" w:rsidRPr="00AF327F">
        <w:rPr>
          <w:rFonts w:eastAsia="Calibri"/>
        </w:rPr>
        <w:t>4</w:t>
      </w:r>
      <w:r w:rsidRPr="00AF327F">
        <w:rPr>
          <w:rFonts w:eastAsia="Calibri"/>
        </w:rPr>
        <w:t xml:space="preserve"> con enero-diciembre</w:t>
      </w:r>
      <w:r w:rsidR="007342E0">
        <w:rPr>
          <w:rFonts w:eastAsia="Calibri"/>
        </w:rPr>
        <w:t xml:space="preserve"> </w:t>
      </w:r>
      <w:r w:rsidRPr="00AF327F">
        <w:rPr>
          <w:rFonts w:eastAsia="Calibri"/>
        </w:rPr>
        <w:t>202</w:t>
      </w:r>
      <w:r w:rsidR="00E26D7B" w:rsidRPr="00AF327F">
        <w:rPr>
          <w:rFonts w:eastAsia="Calibri"/>
        </w:rPr>
        <w:t>3</w:t>
      </w:r>
      <w:r w:rsidRPr="00AF327F">
        <w:rPr>
          <w:rFonts w:eastAsia="Calibri"/>
        </w:rPr>
        <w:t xml:space="preserve">, a igual número de instituciones descentralizadas y autónomas del </w:t>
      </w:r>
      <w:r w:rsidR="00F517CE" w:rsidRPr="00AF327F">
        <w:rPr>
          <w:rFonts w:eastAsia="Calibri"/>
        </w:rPr>
        <w:t>S</w:t>
      </w:r>
      <w:r w:rsidRPr="00AF327F">
        <w:rPr>
          <w:rFonts w:eastAsia="Calibri"/>
        </w:rPr>
        <w:t xml:space="preserve">ector </w:t>
      </w:r>
      <w:r w:rsidR="00F517CE" w:rsidRPr="00AF327F">
        <w:rPr>
          <w:rFonts w:eastAsia="Calibri"/>
        </w:rPr>
        <w:t>P</w:t>
      </w:r>
      <w:r w:rsidRPr="00AF327F">
        <w:rPr>
          <w:rFonts w:eastAsia="Calibri"/>
        </w:rPr>
        <w:t xml:space="preserve">úblico, sobre la situación económico-financiera de las mismas. </w:t>
      </w:r>
      <w:r w:rsidR="00546E43" w:rsidRPr="00AF327F">
        <w:rPr>
          <w:rFonts w:eastAsia="Calibri"/>
        </w:rPr>
        <w:t xml:space="preserve">Se proyecta la emisión de 29 informes más para el cierre de año. </w:t>
      </w:r>
    </w:p>
    <w:p w14:paraId="6C98D494" w14:textId="77777777" w:rsidR="00E26D7B" w:rsidRPr="00AF327F" w:rsidRDefault="00E26D7B" w:rsidP="00C934DB">
      <w:pPr>
        <w:pStyle w:val="Prrafodelista"/>
        <w:spacing w:line="360" w:lineRule="auto"/>
        <w:ind w:left="142"/>
        <w:jc w:val="both"/>
        <w:rPr>
          <w:rFonts w:eastAsia="Calibri"/>
        </w:rPr>
      </w:pPr>
    </w:p>
    <w:p w14:paraId="04CE0114" w14:textId="110DE2C2" w:rsidR="007C1EF3" w:rsidRPr="00AF327F" w:rsidRDefault="007C1EF3" w:rsidP="00C934DB">
      <w:pPr>
        <w:pStyle w:val="Prrafodelista"/>
        <w:spacing w:line="360" w:lineRule="auto"/>
        <w:ind w:left="142"/>
        <w:jc w:val="both"/>
        <w:rPr>
          <w:rFonts w:eastAsia="Calibri"/>
        </w:rPr>
      </w:pPr>
      <w:r w:rsidRPr="00AF327F">
        <w:rPr>
          <w:rFonts w:eastAsia="Calibri"/>
        </w:rPr>
        <w:t>As</w:t>
      </w:r>
      <w:r w:rsidR="00E26D7B" w:rsidRPr="00AF327F">
        <w:rPr>
          <w:rFonts w:eastAsia="Calibri"/>
        </w:rPr>
        <w:t>i</w:t>
      </w:r>
      <w:r w:rsidRPr="00AF327F">
        <w:rPr>
          <w:rFonts w:eastAsia="Calibri"/>
        </w:rPr>
        <w:t xml:space="preserve">mismo, respecto a los análisis </w:t>
      </w:r>
      <w:r w:rsidR="007342E0">
        <w:rPr>
          <w:rFonts w:eastAsia="Calibri"/>
        </w:rPr>
        <w:t>de</w:t>
      </w:r>
      <w:r w:rsidRPr="00AF327F">
        <w:rPr>
          <w:rFonts w:eastAsia="Calibri"/>
        </w:rPr>
        <w:t xml:space="preserve"> casos especiales </w:t>
      </w:r>
      <w:r w:rsidR="007342E0">
        <w:rPr>
          <w:rFonts w:eastAsia="Calibri"/>
        </w:rPr>
        <w:t>con</w:t>
      </w:r>
      <w:r w:rsidRPr="00AF327F">
        <w:rPr>
          <w:rFonts w:eastAsia="Calibri"/>
        </w:rPr>
        <w:t xml:space="preserve"> carácter normativo de control interno, a saber, decretos especiales para compras de emergencia, se elaboraron </w:t>
      </w:r>
      <w:r w:rsidR="00E26D7B" w:rsidRPr="00AF327F">
        <w:rPr>
          <w:rFonts w:eastAsia="Calibri"/>
        </w:rPr>
        <w:t>23</w:t>
      </w:r>
      <w:r w:rsidRPr="00AF327F">
        <w:rPr>
          <w:rFonts w:eastAsia="Calibri"/>
        </w:rPr>
        <w:t xml:space="preserve"> informes destinados a la fiscalización interna y evaluación del uso de los fondos públicos, acorde a lo establecido en el artículo núm. 247 de la Constitución de la República Dominicana del año 2015, la Ley núm. 10-07 y su </w:t>
      </w:r>
      <w:r w:rsidR="00BB567E">
        <w:rPr>
          <w:rFonts w:eastAsia="Calibri"/>
        </w:rPr>
        <w:t>r</w:t>
      </w:r>
      <w:r w:rsidRPr="00AF327F">
        <w:rPr>
          <w:rFonts w:eastAsia="Calibri"/>
        </w:rPr>
        <w:t xml:space="preserve">eglamento de aplicación núm. 491-07. </w:t>
      </w:r>
      <w:r w:rsidR="00546E43" w:rsidRPr="00AF327F">
        <w:rPr>
          <w:rFonts w:eastAsia="Calibri"/>
        </w:rPr>
        <w:t xml:space="preserve">Se proyecta la emisión de 10 informes </w:t>
      </w:r>
      <w:r w:rsidR="009E2294">
        <w:rPr>
          <w:rFonts w:eastAsia="Calibri"/>
        </w:rPr>
        <w:t xml:space="preserve">de análisis </w:t>
      </w:r>
      <w:r w:rsidR="00546E43" w:rsidRPr="00AF327F">
        <w:rPr>
          <w:rFonts w:eastAsia="Calibri"/>
        </w:rPr>
        <w:t>más que se encuentran en proceso de revisión.</w:t>
      </w:r>
    </w:p>
    <w:p w14:paraId="4DCCB87F" w14:textId="77777777" w:rsidR="00E26D7B" w:rsidRPr="00AF327F" w:rsidRDefault="00E26D7B" w:rsidP="00C934DB">
      <w:pPr>
        <w:pStyle w:val="Prrafodelista"/>
        <w:spacing w:line="360" w:lineRule="auto"/>
        <w:ind w:left="142"/>
        <w:jc w:val="both"/>
        <w:rPr>
          <w:rFonts w:eastAsia="Calibri"/>
        </w:rPr>
      </w:pPr>
    </w:p>
    <w:p w14:paraId="43B78BF5" w14:textId="36CF67C5" w:rsidR="00290ABA" w:rsidRPr="00AF327F" w:rsidRDefault="007C1EF3" w:rsidP="00C934DB">
      <w:pPr>
        <w:pStyle w:val="Prrafodelista"/>
        <w:spacing w:line="360" w:lineRule="auto"/>
        <w:ind w:left="142"/>
        <w:jc w:val="both"/>
        <w:rPr>
          <w:rFonts w:eastAsia="Calibri"/>
        </w:rPr>
      </w:pPr>
      <w:r w:rsidRPr="00AF327F">
        <w:rPr>
          <w:rFonts w:eastAsia="Calibri"/>
        </w:rPr>
        <w:t xml:space="preserve">Dichos análisis corresponden a las ejecuciones de las siguientes instituciones: </w:t>
      </w:r>
    </w:p>
    <w:p w14:paraId="2E223D1C" w14:textId="3B4D56D1"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Programa de Medicamentos Esenciales y Central de Apoyo Logístico (PROMESECAL)</w:t>
      </w:r>
    </w:p>
    <w:p w14:paraId="728F36A8" w14:textId="5C2D0619"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Ministerio de Salud Pública y Asistencia Social (MISPAS)</w:t>
      </w:r>
    </w:p>
    <w:p w14:paraId="7B30C2EA" w14:textId="7CE2A52A"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lastRenderedPageBreak/>
        <w:t>Ministerio Administrativo de la Presidencia (MAPRE)</w:t>
      </w:r>
    </w:p>
    <w:p w14:paraId="18B27CD4" w14:textId="47C5B21E"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Empresa Distribuidora de Electricidad del Sur (EDESUR)</w:t>
      </w:r>
    </w:p>
    <w:p w14:paraId="126B8133" w14:textId="220328FF"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Comisión de Apoyo Barrial (CPADB)</w:t>
      </w:r>
    </w:p>
    <w:p w14:paraId="41482D23" w14:textId="3670E851"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Ejército de la República Dominicana (ERD)</w:t>
      </w:r>
    </w:p>
    <w:p w14:paraId="08F8669E" w14:textId="3DE6497C"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Superintendencia de Mercado de Valores de la República Dominicana (SIMV)</w:t>
      </w:r>
    </w:p>
    <w:p w14:paraId="3C857924" w14:textId="58E3C7AE"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Ministerio de Agricultura (MA)</w:t>
      </w:r>
    </w:p>
    <w:p w14:paraId="67852754" w14:textId="2C4B8618"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Ministerio de Cultura (MINC)</w:t>
      </w:r>
    </w:p>
    <w:p w14:paraId="7A42A5C4" w14:textId="6483FCA5"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Comedores Económicos del Estado Dominicano</w:t>
      </w:r>
    </w:p>
    <w:p w14:paraId="69DE51C0" w14:textId="6F49CB0E"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Proyectos Estratégicos de la Presidencia (PROPEEP)</w:t>
      </w:r>
    </w:p>
    <w:p w14:paraId="10F33534" w14:textId="7B592063"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Instituto Nacional de Estabilización de Precios (INESPRE)</w:t>
      </w:r>
    </w:p>
    <w:p w14:paraId="5D4CC86E" w14:textId="19AB3719"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Instituto Nacional de Recursos Hidráulicos (INDRHI)</w:t>
      </w:r>
    </w:p>
    <w:p w14:paraId="65B21B2B" w14:textId="7A4FEA43"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Empresa Distribuidora del Este (EDEESTE)</w:t>
      </w:r>
    </w:p>
    <w:p w14:paraId="7CC94072" w14:textId="7CDBDDE6"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Ministerio de Educación de la República Dominicana (MINERD)</w:t>
      </w:r>
    </w:p>
    <w:p w14:paraId="4FBA50F8" w14:textId="41A86928"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Dirección General de Contabilidad Gubernamental (Digecog)</w:t>
      </w:r>
    </w:p>
    <w:p w14:paraId="39C1282A" w14:textId="76921961"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Dirección General de Impuestos Internos (DGII)</w:t>
      </w:r>
    </w:p>
    <w:p w14:paraId="422EA694" w14:textId="2590F2F5" w:rsidR="00E26D7B" w:rsidRPr="00AF327F" w:rsidRDefault="00E26D7B">
      <w:pPr>
        <w:pStyle w:val="Prrafodelista"/>
        <w:numPr>
          <w:ilvl w:val="0"/>
          <w:numId w:val="14"/>
        </w:numPr>
        <w:spacing w:line="360" w:lineRule="auto"/>
        <w:ind w:left="567"/>
        <w:jc w:val="both"/>
        <w:rPr>
          <w:rFonts w:eastAsia="Calibri"/>
        </w:rPr>
      </w:pPr>
      <w:r w:rsidRPr="00AF327F">
        <w:rPr>
          <w:rFonts w:eastAsia="Calibri"/>
        </w:rPr>
        <w:t>Ministerio de Hacienda (MH)</w:t>
      </w:r>
    </w:p>
    <w:p w14:paraId="75E43F27" w14:textId="62D092A3" w:rsidR="00700906" w:rsidRPr="00AF327F" w:rsidRDefault="00E26D7B">
      <w:pPr>
        <w:pStyle w:val="Prrafodelista"/>
        <w:numPr>
          <w:ilvl w:val="0"/>
          <w:numId w:val="14"/>
        </w:numPr>
        <w:spacing w:line="360" w:lineRule="auto"/>
        <w:ind w:left="567"/>
        <w:jc w:val="both"/>
        <w:rPr>
          <w:rFonts w:eastAsia="Calibri"/>
        </w:rPr>
      </w:pPr>
      <w:r w:rsidRPr="00AF327F">
        <w:rPr>
          <w:rFonts w:eastAsia="Calibri"/>
        </w:rPr>
        <w:t>Ministerio de Vivienda y Edificaciones (MIVED)</w:t>
      </w:r>
    </w:p>
    <w:p w14:paraId="5E6A3E47" w14:textId="77777777" w:rsidR="00947909" w:rsidRPr="00AF327F" w:rsidRDefault="00947909" w:rsidP="00C934DB">
      <w:pPr>
        <w:pStyle w:val="Prrafodelista"/>
        <w:spacing w:line="360" w:lineRule="auto"/>
        <w:ind w:left="567"/>
        <w:jc w:val="both"/>
        <w:rPr>
          <w:rFonts w:eastAsia="Calibri"/>
        </w:rPr>
      </w:pPr>
    </w:p>
    <w:p w14:paraId="407EC95F" w14:textId="5E1D8070" w:rsidR="006C6F64" w:rsidRPr="00AF327F" w:rsidRDefault="00773871" w:rsidP="00C934DB">
      <w:pPr>
        <w:pStyle w:val="Prrafodelista"/>
        <w:spacing w:line="360" w:lineRule="auto"/>
        <w:ind w:left="142"/>
        <w:jc w:val="both"/>
        <w:rPr>
          <w:rFonts w:eastAsia="Calibri"/>
        </w:rPr>
      </w:pPr>
      <w:r w:rsidRPr="00AF327F">
        <w:rPr>
          <w:rFonts w:eastAsia="Calibri"/>
        </w:rPr>
        <w:t xml:space="preserve">También la Dirección de Análisis Financiero realiza la evaluación de los ingresos tributarios y no tributarios </w:t>
      </w:r>
      <w:r w:rsidR="00947909" w:rsidRPr="00AF327F">
        <w:rPr>
          <w:rFonts w:eastAsia="Calibri"/>
        </w:rPr>
        <w:t>y de la ejecución del gasto aprobado. Los informes de ingresos y gastos constituyen la principal fuente de financiamiento del Estado dominicano, provenientes de impuestos, contribuciones y otras fuentes establecidas por la ley</w:t>
      </w:r>
      <w:r w:rsidR="00057173">
        <w:rPr>
          <w:rFonts w:eastAsia="Calibri"/>
        </w:rPr>
        <w:t xml:space="preserve"> núm. 10-07</w:t>
      </w:r>
      <w:r w:rsidR="00947909" w:rsidRPr="00AF327F">
        <w:rPr>
          <w:rFonts w:eastAsia="Calibri"/>
        </w:rPr>
        <w:t xml:space="preserve">. Al 30 de noviembre </w:t>
      </w:r>
      <w:r w:rsidR="00546E43" w:rsidRPr="00AF327F">
        <w:rPr>
          <w:rFonts w:eastAsia="Calibri"/>
        </w:rPr>
        <w:t xml:space="preserve">de este año </w:t>
      </w:r>
      <w:r w:rsidR="00947909" w:rsidRPr="00AF327F">
        <w:rPr>
          <w:rFonts w:eastAsia="Calibri"/>
        </w:rPr>
        <w:t xml:space="preserve">se han elaborado 3 </w:t>
      </w:r>
      <w:bookmarkStart w:id="25" w:name="_Hlk216283810"/>
      <w:r w:rsidR="00947909" w:rsidRPr="00AF327F">
        <w:rPr>
          <w:rFonts w:eastAsia="Calibri"/>
        </w:rPr>
        <w:t>informes de los ingresos y gastos y la ejecución del gasto aprobado</w:t>
      </w:r>
      <w:bookmarkEnd w:id="25"/>
      <w:r w:rsidR="00947909" w:rsidRPr="00AF327F">
        <w:rPr>
          <w:rFonts w:eastAsia="Calibri"/>
        </w:rPr>
        <w:t xml:space="preserve">. Se estima a diciembre la elaboración de </w:t>
      </w:r>
      <w:r w:rsidR="00371F99" w:rsidRPr="00AF327F">
        <w:rPr>
          <w:rFonts w:eastAsia="Calibri"/>
        </w:rPr>
        <w:t>un informe</w:t>
      </w:r>
      <w:r w:rsidR="00947909" w:rsidRPr="00AF327F">
        <w:rPr>
          <w:rFonts w:eastAsia="Calibri"/>
        </w:rPr>
        <w:t xml:space="preserve"> anual, </w:t>
      </w:r>
      <w:r w:rsidR="00546E43" w:rsidRPr="00AF327F">
        <w:rPr>
          <w:rFonts w:eastAsia="Calibri"/>
        </w:rPr>
        <w:t xml:space="preserve">ascendiendo a </w:t>
      </w:r>
      <w:r w:rsidR="00371F99" w:rsidRPr="00AF327F">
        <w:rPr>
          <w:rFonts w:eastAsia="Calibri"/>
        </w:rPr>
        <w:t>cuatro</w:t>
      </w:r>
      <w:r w:rsidR="00546E43" w:rsidRPr="00AF327F">
        <w:rPr>
          <w:rFonts w:eastAsia="Calibri"/>
        </w:rPr>
        <w:t xml:space="preserve"> el número de informes emitidos. </w:t>
      </w:r>
    </w:p>
    <w:p w14:paraId="7011E8CA" w14:textId="77777777" w:rsidR="006C6F64" w:rsidRPr="00AF327F" w:rsidRDefault="006C6F64">
      <w:pPr>
        <w:rPr>
          <w:rFonts w:eastAsia="Calibri"/>
        </w:rPr>
      </w:pPr>
      <w:r w:rsidRPr="00AF327F">
        <w:rPr>
          <w:rFonts w:eastAsia="Calibri"/>
        </w:rPr>
        <w:br w:type="page"/>
      </w:r>
    </w:p>
    <w:p w14:paraId="4E53923A" w14:textId="13A55167" w:rsidR="00AF0D43" w:rsidRPr="00AF327F" w:rsidRDefault="00C345A7" w:rsidP="00C934DB">
      <w:pPr>
        <w:spacing w:line="360" w:lineRule="auto"/>
        <w:jc w:val="both"/>
      </w:pPr>
      <w:r w:rsidRPr="00AF327F">
        <w:rPr>
          <w:rFonts w:eastAsia="Calibri"/>
        </w:rPr>
        <w:lastRenderedPageBreak/>
        <w:t xml:space="preserve">Otro proceso que se lleva a cabo en la Dirección de Análisis Financiero es la revisión y análisis de las ejecuciones presupuestarias de los gobiernos locales. </w:t>
      </w:r>
      <w:r w:rsidRPr="00AF327F">
        <w:t xml:space="preserve"> Durante los tres primeros trimestres de este año, un aproximado de 254 Gobiernos Locales remitieron sus respectivos informes sobre las ejecuciones de sus partidas presupuestarias, con el propósito de transparentar las operaciones que involucran el gasto de los recursos percibidos durante el referido per</w:t>
      </w:r>
      <w:r w:rsidR="0076423D">
        <w:t>í</w:t>
      </w:r>
      <w:r w:rsidRPr="00AF327F">
        <w:t>odo, representando un alcance del 65% por parte de la CGR sobre las municipalidades.</w:t>
      </w:r>
      <w:r w:rsidR="00AF0D43" w:rsidRPr="00AF327F">
        <w:t xml:space="preserve"> Estas ejecuciones presupuestarias son luego publicadas en el SISMAP municipal para consulta ciudadana. </w:t>
      </w:r>
      <w:r w:rsidR="00BA76B4">
        <w:t>Se proyecta para cierre de año la recepción de ejecuciones presupuestarias de 2</w:t>
      </w:r>
      <w:r w:rsidR="00A23BCA">
        <w:t>49</w:t>
      </w:r>
      <w:r w:rsidR="00BA76B4">
        <w:t xml:space="preserve"> gobiernos locales. </w:t>
      </w:r>
    </w:p>
    <w:p w14:paraId="62DA3C6E" w14:textId="6B35C9FF" w:rsidR="00AF0D43" w:rsidRPr="00AF327F" w:rsidRDefault="00AF0D43" w:rsidP="003A141E">
      <w:pPr>
        <w:spacing w:line="360" w:lineRule="auto"/>
        <w:ind w:left="720"/>
        <w:jc w:val="center"/>
        <w:rPr>
          <w:rFonts w:eastAsia="Calibri"/>
          <w:sz w:val="18"/>
          <w:szCs w:val="18"/>
        </w:rPr>
      </w:pPr>
      <w:r w:rsidRPr="00AF327F">
        <w:rPr>
          <w:rFonts w:eastAsia="Calibri"/>
          <w:sz w:val="18"/>
          <w:szCs w:val="18"/>
        </w:rPr>
        <w:t xml:space="preserve">Gráfico </w:t>
      </w:r>
      <w:r w:rsidR="003A141E" w:rsidRPr="00AF327F">
        <w:rPr>
          <w:rFonts w:eastAsia="Calibri"/>
          <w:sz w:val="18"/>
          <w:szCs w:val="18"/>
        </w:rPr>
        <w:t>5</w:t>
      </w:r>
      <w:r w:rsidRPr="00AF327F">
        <w:rPr>
          <w:rFonts w:eastAsia="Calibri"/>
          <w:sz w:val="18"/>
          <w:szCs w:val="18"/>
        </w:rPr>
        <w:t xml:space="preserve">. Alcance </w:t>
      </w:r>
      <w:r w:rsidR="00BA76B4">
        <w:rPr>
          <w:rFonts w:eastAsia="Calibri"/>
          <w:sz w:val="18"/>
          <w:szCs w:val="18"/>
        </w:rPr>
        <w:t>revisión de ejecuciones presupuestarias gobiernos locales 2025 por trimestre</w:t>
      </w:r>
    </w:p>
    <w:p w14:paraId="1CC028E5" w14:textId="46483151" w:rsidR="00AF0D43" w:rsidRPr="00AF327F" w:rsidRDefault="00AF0D43" w:rsidP="00AF0D43">
      <w:pPr>
        <w:spacing w:line="360" w:lineRule="auto"/>
        <w:jc w:val="center"/>
      </w:pPr>
      <w:r w:rsidRPr="00AF327F">
        <w:rPr>
          <w:noProof/>
          <w:lang w:eastAsia="es-DO"/>
        </w:rPr>
        <w:drawing>
          <wp:inline distT="0" distB="0" distL="0" distR="0" wp14:anchorId="46031383" wp14:editId="5358D364">
            <wp:extent cx="4953000" cy="1915795"/>
            <wp:effectExtent l="0" t="0" r="0" b="8255"/>
            <wp:docPr id="1215504114" name="Gráfico 1215504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77472F">
        <w:rPr>
          <w:i/>
          <w:iCs/>
          <w:sz w:val="18"/>
          <w:szCs w:val="18"/>
        </w:rPr>
        <w:t>Fuente. Informa Anual Dirección de Análisis Financiero</w:t>
      </w:r>
    </w:p>
    <w:p w14:paraId="3C19DDDB" w14:textId="7FB222F5" w:rsidR="00DB38C2" w:rsidRPr="00AF327F" w:rsidRDefault="00AF0D43" w:rsidP="00C934DB">
      <w:pPr>
        <w:spacing w:line="360" w:lineRule="auto"/>
        <w:jc w:val="both"/>
      </w:pPr>
      <w:r w:rsidRPr="00AF327F">
        <w:t>Además, se ha reforzado la colaboración interdepartamental con la Dirección de Desarrollo Normativo para el seguimiento de las NOBACI en los gobiernos locales, e interinstitucional, con el Ministerio de Hacienda</w:t>
      </w:r>
      <w:r w:rsidR="0031466A">
        <w:t xml:space="preserve"> y Economía</w:t>
      </w:r>
      <w:r w:rsidRPr="00AF327F">
        <w:t>, mediante la utilización de la plataforma de Centralización Información Financiera Del Estado (CIFE) para extraer algunas informaciones utilizadas en el proceso de análisis.</w:t>
      </w:r>
    </w:p>
    <w:p w14:paraId="267F983D" w14:textId="1413F91F" w:rsidR="00667EBC" w:rsidRPr="00AF327F" w:rsidRDefault="00DB38C2" w:rsidP="00585724">
      <w:pPr>
        <w:spacing w:line="360" w:lineRule="auto"/>
        <w:jc w:val="both"/>
      </w:pPr>
      <w:r w:rsidRPr="00465A16">
        <w:rPr>
          <w:color w:val="4C4747"/>
        </w:rPr>
        <w:br w:type="page"/>
      </w:r>
      <w:r w:rsidRPr="00AF327F">
        <w:lastRenderedPageBreak/>
        <w:t>Como parte de los esfuerzos para la incorporación del enfoque de género en los procesos misionales de la CGR, la Dirección de Análisis Financiero puso en marcha un proyecto piloto, a través del cual se levantaron brechas salariales entre hombres y mujeres en 5</w:t>
      </w:r>
      <w:r w:rsidR="00667EBC" w:rsidRPr="00AF327F">
        <w:t xml:space="preserve"> instituciones</w:t>
      </w:r>
      <w:r w:rsidRPr="00AF327F">
        <w:t xml:space="preserve"> que se encuentran certificadas por el PNUD y </w:t>
      </w:r>
      <w:r w:rsidR="006676F8">
        <w:t>Ministerio de la Mujer</w:t>
      </w:r>
      <w:r w:rsidR="00667EBC" w:rsidRPr="00AF327F">
        <w:t xml:space="preserve"> bajo el sello de género. Esto con el fin de constatar los niveles de igualdad que existen en términos de salarios en esas instituciones que ya han implementado el enfoque de género en sus procesos misionales y transversales. El primer informe con hallazgos fue emitido a mediados de año, y se proyecta la emisión de un segundo informe para el cierre de año. Como valor agregado el área desarrolló un Dashboard utilizando la herramienta Power BI, </w:t>
      </w:r>
      <w:r w:rsidR="00166CD0">
        <w:t xml:space="preserve">para </w:t>
      </w:r>
      <w:r w:rsidR="00667EBC" w:rsidRPr="00AF327F">
        <w:t xml:space="preserve">sistematizar en análisis recurrente de esta data. </w:t>
      </w:r>
    </w:p>
    <w:p w14:paraId="3DCBA0C8" w14:textId="53E22A5A" w:rsidR="00C345A7" w:rsidRPr="00465A16" w:rsidRDefault="00C345A7" w:rsidP="00585724">
      <w:pPr>
        <w:spacing w:line="360" w:lineRule="auto"/>
        <w:jc w:val="both"/>
        <w:rPr>
          <w:color w:val="4C4747"/>
        </w:rPr>
      </w:pPr>
      <w:r w:rsidRPr="00465A16">
        <w:rPr>
          <w:color w:val="4C4747"/>
        </w:rPr>
        <w:br w:type="page"/>
      </w:r>
    </w:p>
    <w:p w14:paraId="480AB252" w14:textId="5C9AE838" w:rsidR="00654164" w:rsidRPr="00FA378C" w:rsidRDefault="00654164">
      <w:pPr>
        <w:pStyle w:val="Ttulo1"/>
        <w:numPr>
          <w:ilvl w:val="0"/>
          <w:numId w:val="3"/>
        </w:numPr>
        <w:tabs>
          <w:tab w:val="left" w:pos="567"/>
          <w:tab w:val="left" w:pos="709"/>
        </w:tabs>
        <w:ind w:left="0" w:firstLine="0"/>
        <w:rPr>
          <w:rFonts w:cs="Times New Roman"/>
          <w:color w:val="767171"/>
        </w:rPr>
      </w:pPr>
      <w:bookmarkStart w:id="26" w:name="_Toc217997936"/>
      <w:r w:rsidRPr="00FA378C">
        <w:rPr>
          <w:rFonts w:cs="Times New Roman"/>
          <w:color w:val="767171"/>
        </w:rPr>
        <w:lastRenderedPageBreak/>
        <w:t>RESULTADOS DE LAS ÁREAS TRANSVERSALES Y DE APOYO</w:t>
      </w:r>
      <w:bookmarkEnd w:id="26"/>
    </w:p>
    <w:p w14:paraId="5D67DA4A" w14:textId="77777777" w:rsidR="00654164" w:rsidRPr="00FA378C" w:rsidRDefault="00654164" w:rsidP="00654164">
      <w:pPr>
        <w:jc w:val="both"/>
        <w:rPr>
          <w:rFonts w:eastAsia="Calibri"/>
          <w:sz w:val="18"/>
        </w:rPr>
      </w:pPr>
      <w:r w:rsidRPr="00FA378C">
        <w:rPr>
          <w:rFonts w:eastAsia="Calibri"/>
          <w:noProof/>
          <w:sz w:val="18"/>
        </w:rPr>
        <mc:AlternateContent>
          <mc:Choice Requires="wps">
            <w:drawing>
              <wp:anchor distT="0" distB="0" distL="114300" distR="114300" simplePos="0" relativeHeight="251708416" behindDoc="0" locked="0" layoutInCell="1" allowOverlap="1" wp14:anchorId="76EDFA29" wp14:editId="2A41B94D">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566ED" id="Straight Connector 15"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2BBFC4CF" w14:textId="43107F91" w:rsidR="00654164" w:rsidRPr="00FA378C" w:rsidRDefault="00654164" w:rsidP="00C934DB">
      <w:pPr>
        <w:jc w:val="center"/>
        <w:rPr>
          <w:rFonts w:eastAsia="Calibri"/>
          <w:szCs w:val="36"/>
        </w:rPr>
      </w:pPr>
      <w:r w:rsidRPr="00FA378C">
        <w:rPr>
          <w:rFonts w:eastAsia="Calibri"/>
          <w:szCs w:val="36"/>
        </w:rPr>
        <w:t xml:space="preserve">Memoria </w:t>
      </w:r>
      <w:r w:rsidR="00F05DF4" w:rsidRPr="00FA378C">
        <w:rPr>
          <w:rFonts w:eastAsia="Calibri"/>
          <w:szCs w:val="36"/>
        </w:rPr>
        <w:t>I</w:t>
      </w:r>
      <w:r w:rsidRPr="00FA378C">
        <w:rPr>
          <w:rFonts w:eastAsia="Calibri"/>
          <w:szCs w:val="36"/>
        </w:rPr>
        <w:t xml:space="preserve">nstitucional </w:t>
      </w:r>
      <w:r w:rsidR="000025D4" w:rsidRPr="00FA378C">
        <w:rPr>
          <w:rFonts w:eastAsia="Calibri"/>
          <w:szCs w:val="36"/>
        </w:rPr>
        <w:t>202</w:t>
      </w:r>
      <w:r w:rsidR="00B3202A" w:rsidRPr="00FA378C">
        <w:rPr>
          <w:rFonts w:eastAsia="Calibri"/>
          <w:szCs w:val="36"/>
        </w:rPr>
        <w:t>5</w:t>
      </w:r>
    </w:p>
    <w:p w14:paraId="2E67DFC0" w14:textId="77777777" w:rsidR="00C934DB" w:rsidRPr="00AF327F" w:rsidRDefault="00C934DB" w:rsidP="00C934DB">
      <w:pPr>
        <w:jc w:val="center"/>
        <w:rPr>
          <w:rFonts w:eastAsia="Calibri"/>
          <w:szCs w:val="36"/>
        </w:rPr>
      </w:pPr>
    </w:p>
    <w:p w14:paraId="0A7433DF" w14:textId="26D3EBB5" w:rsidR="00313E88" w:rsidRPr="00AF327F" w:rsidRDefault="006E2146" w:rsidP="00903BC2">
      <w:pPr>
        <w:pStyle w:val="Ttulo2"/>
        <w:rPr>
          <w:rFonts w:cs="Times New Roman"/>
          <w:b/>
          <w:bCs/>
          <w:color w:val="767171"/>
          <w:szCs w:val="24"/>
        </w:rPr>
      </w:pPr>
      <w:bookmarkStart w:id="27" w:name="_Toc217997937"/>
      <w:r w:rsidRPr="00AF327F">
        <w:rPr>
          <w:rFonts w:cs="Times New Roman"/>
          <w:b/>
          <w:bCs/>
          <w:color w:val="767171"/>
          <w:szCs w:val="24"/>
        </w:rPr>
        <w:t xml:space="preserve">4.1 Desempeño </w:t>
      </w:r>
      <w:r w:rsidR="004A67E5" w:rsidRPr="00AF327F">
        <w:rPr>
          <w:rFonts w:cs="Times New Roman"/>
          <w:b/>
          <w:bCs/>
          <w:color w:val="767171"/>
          <w:szCs w:val="24"/>
        </w:rPr>
        <w:t>Á</w:t>
      </w:r>
      <w:r w:rsidRPr="00AF327F">
        <w:rPr>
          <w:rFonts w:cs="Times New Roman"/>
          <w:b/>
          <w:bCs/>
          <w:color w:val="767171"/>
          <w:szCs w:val="24"/>
        </w:rPr>
        <w:t xml:space="preserve">rea </w:t>
      </w:r>
      <w:r w:rsidR="004A67E5" w:rsidRPr="00AF327F">
        <w:rPr>
          <w:rFonts w:cs="Times New Roman"/>
          <w:b/>
          <w:bCs/>
          <w:color w:val="767171"/>
          <w:szCs w:val="24"/>
        </w:rPr>
        <w:t>A</w:t>
      </w:r>
      <w:r w:rsidRPr="00AF327F">
        <w:rPr>
          <w:rFonts w:cs="Times New Roman"/>
          <w:b/>
          <w:bCs/>
          <w:color w:val="767171"/>
          <w:szCs w:val="24"/>
        </w:rPr>
        <w:t xml:space="preserve">dministrativa y </w:t>
      </w:r>
      <w:r w:rsidR="004A67E5" w:rsidRPr="00AF327F">
        <w:rPr>
          <w:rFonts w:cs="Times New Roman"/>
          <w:b/>
          <w:bCs/>
          <w:color w:val="767171"/>
          <w:szCs w:val="24"/>
        </w:rPr>
        <w:t>F</w:t>
      </w:r>
      <w:r w:rsidRPr="00AF327F">
        <w:rPr>
          <w:rFonts w:cs="Times New Roman"/>
          <w:b/>
          <w:bCs/>
          <w:color w:val="767171"/>
          <w:szCs w:val="24"/>
        </w:rPr>
        <w:t>inanciera</w:t>
      </w:r>
      <w:bookmarkEnd w:id="27"/>
    </w:p>
    <w:p w14:paraId="4A351C4A" w14:textId="77777777" w:rsidR="004862DD" w:rsidRPr="00AF327F" w:rsidRDefault="004862DD" w:rsidP="00C934DB">
      <w:pPr>
        <w:spacing w:line="360" w:lineRule="auto"/>
        <w:rPr>
          <w:rFonts w:eastAsia="Calibri"/>
        </w:rPr>
      </w:pPr>
    </w:p>
    <w:p w14:paraId="5FA4DDB7" w14:textId="23AE0017" w:rsidR="00313E88" w:rsidRPr="00AF327F" w:rsidRDefault="00313E88">
      <w:pPr>
        <w:pStyle w:val="Prrafodelista"/>
        <w:numPr>
          <w:ilvl w:val="0"/>
          <w:numId w:val="4"/>
        </w:numPr>
        <w:spacing w:line="360" w:lineRule="auto"/>
        <w:ind w:left="284" w:hanging="284"/>
        <w:rPr>
          <w:rFonts w:eastAsia="Calibri"/>
          <w:b/>
          <w:bCs/>
        </w:rPr>
      </w:pPr>
      <w:r w:rsidRPr="00AF327F">
        <w:rPr>
          <w:rFonts w:eastAsia="Calibri"/>
          <w:b/>
          <w:bCs/>
        </w:rPr>
        <w:t xml:space="preserve">Ejecución presupuestaria </w:t>
      </w:r>
    </w:p>
    <w:p w14:paraId="29DC2C3F" w14:textId="77777777" w:rsidR="00B3202A" w:rsidRPr="00AF327F" w:rsidRDefault="00B3202A" w:rsidP="00C934DB">
      <w:pPr>
        <w:pStyle w:val="Prrafodelista"/>
        <w:spacing w:line="360" w:lineRule="auto"/>
        <w:ind w:left="284"/>
        <w:rPr>
          <w:rFonts w:eastAsia="Calibri"/>
        </w:rPr>
      </w:pPr>
    </w:p>
    <w:p w14:paraId="2B216B1E" w14:textId="77777777" w:rsidR="00C3661D" w:rsidRDefault="00E11638" w:rsidP="00C934DB">
      <w:pPr>
        <w:spacing w:line="360" w:lineRule="auto"/>
        <w:jc w:val="both"/>
      </w:pPr>
      <w:r w:rsidRPr="00AF327F">
        <w:rPr>
          <w:rFonts w:eastAsia="Calibri"/>
        </w:rPr>
        <w:t>El presupuesto aprobado para el año 2025, mediante la Ley</w:t>
      </w:r>
      <w:r w:rsidR="004F13A7">
        <w:rPr>
          <w:rFonts w:eastAsia="Calibri"/>
        </w:rPr>
        <w:t xml:space="preserve"> N</w:t>
      </w:r>
      <w:r w:rsidR="004F13A7" w:rsidRPr="004F13A7">
        <w:rPr>
          <w:rFonts w:eastAsia="Calibri"/>
          <w:vertAlign w:val="superscript"/>
        </w:rPr>
        <w:t>0</w:t>
      </w:r>
      <w:r w:rsidRPr="00AF327F">
        <w:rPr>
          <w:rFonts w:eastAsia="Calibri"/>
        </w:rPr>
        <w:t xml:space="preserve"> 80-2023, ascendía a RD$ 2,965,990,868.00 (Dos Mil Novecientos Sesenta y Cinco Millones Novecientos Noventa Mil Ochocientos Sesenta y Ocho pesos con 00/100).</w:t>
      </w:r>
      <w:r w:rsidR="00741917" w:rsidRPr="00AF327F">
        <w:rPr>
          <w:rFonts w:eastAsia="Calibri"/>
        </w:rPr>
        <w:t xml:space="preserve"> La Dirección General de Presupuesto (DIGEPRES), realizó una disminución de RD$38,207,850.42 (Treinta y Ocho Millones Doscientos Siete Mil Ochocientos Cincuenta pesos 42/100), por lo que el presupuesto vigente </w:t>
      </w:r>
      <w:r w:rsidR="00741917">
        <w:rPr>
          <w:rFonts w:eastAsia="Calibri"/>
        </w:rPr>
        <w:t>descendió</w:t>
      </w:r>
      <w:r w:rsidR="00741917" w:rsidRPr="00AF327F">
        <w:rPr>
          <w:rFonts w:eastAsia="Calibri"/>
        </w:rPr>
        <w:t xml:space="preserve"> a RD$ 3,062,819,828.58 (Tres mil sesenta y dos millones ochocientos diecinueve mil ochocientos veintiocho pesos con 58/100).</w:t>
      </w:r>
      <w:r w:rsidR="00741917">
        <w:t xml:space="preserve"> </w:t>
      </w:r>
    </w:p>
    <w:p w14:paraId="75F13E9A" w14:textId="5F18DDFB" w:rsidR="003859AE" w:rsidRPr="00AF327F" w:rsidRDefault="00E11638" w:rsidP="00C934DB">
      <w:pPr>
        <w:spacing w:line="360" w:lineRule="auto"/>
        <w:jc w:val="both"/>
      </w:pPr>
      <w:r w:rsidRPr="00AF327F">
        <w:rPr>
          <w:rFonts w:eastAsia="Calibri"/>
        </w:rPr>
        <w:t xml:space="preserve">Además, se </w:t>
      </w:r>
      <w:r w:rsidR="001C24D2">
        <w:rPr>
          <w:rFonts w:eastAsia="Calibri"/>
        </w:rPr>
        <w:t>programaron</w:t>
      </w:r>
      <w:r w:rsidRPr="00AF327F">
        <w:rPr>
          <w:rFonts w:eastAsia="Calibri"/>
        </w:rPr>
        <w:t xml:space="preserve"> ingresos extrapresupuestarios del Banco Interamericano de Desarrollo (BID) en el marco del Proyecto </w:t>
      </w:r>
      <w:r w:rsidR="0091716D" w:rsidRPr="00AF327F">
        <w:rPr>
          <w:rFonts w:eastAsia="Calibri"/>
        </w:rPr>
        <w:t>Pro-transaprencia</w:t>
      </w:r>
      <w:r w:rsidRPr="00AF327F">
        <w:rPr>
          <w:rFonts w:eastAsia="Calibri"/>
        </w:rPr>
        <w:t xml:space="preserve"> RD, por un monto de RD$94,665,000.00 (Noventa y Cuatros Millones Seiscientos Sesenta y Cinco Mil pesos con 00/100). También se </w:t>
      </w:r>
      <w:r w:rsidR="0029711F">
        <w:rPr>
          <w:rFonts w:eastAsia="Calibri"/>
        </w:rPr>
        <w:t>programaron</w:t>
      </w:r>
      <w:r w:rsidRPr="00AF327F">
        <w:rPr>
          <w:rFonts w:eastAsia="Calibri"/>
        </w:rPr>
        <w:t xml:space="preserve"> ingresos extrapresupuestarios provenientes del Programa PROGEF por un monto de RD$ 2,163,960.58 (Dos Millones Ciento Sesenta y Tres Mil Novecientos Sesenta pesos con 58/100</w:t>
      </w:r>
      <w:r w:rsidR="00C3661D">
        <w:rPr>
          <w:rFonts w:eastAsia="Calibri"/>
        </w:rPr>
        <w:t>).</w:t>
      </w:r>
    </w:p>
    <w:p w14:paraId="4CD7D88B" w14:textId="7D6ADF8A" w:rsidR="00313E88" w:rsidRPr="00AF327F" w:rsidRDefault="003859AE" w:rsidP="003859AE">
      <w:pPr>
        <w:pStyle w:val="Descripcin"/>
        <w:keepNext/>
        <w:rPr>
          <w:rFonts w:ascii="Times New Roman" w:hAnsi="Times New Roman"/>
          <w:i w:val="0"/>
          <w:iCs w:val="0"/>
          <w:color w:val="767171"/>
          <w:spacing w:val="20"/>
          <w:sz w:val="18"/>
        </w:rPr>
      </w:pPr>
      <w:r w:rsidRPr="00AF327F">
        <w:rPr>
          <w:rFonts w:ascii="Times New Roman" w:hAnsi="Times New Roman"/>
          <w:i w:val="0"/>
          <w:iCs w:val="0"/>
          <w:color w:val="767171"/>
          <w:spacing w:val="20"/>
          <w:sz w:val="18"/>
        </w:rPr>
        <w:lastRenderedPageBreak/>
        <w:t xml:space="preserve">Tabla </w:t>
      </w:r>
      <w:r w:rsidR="006536C8" w:rsidRPr="00AF327F">
        <w:rPr>
          <w:rFonts w:ascii="Times New Roman" w:hAnsi="Times New Roman"/>
          <w:i w:val="0"/>
          <w:iCs w:val="0"/>
          <w:color w:val="767171"/>
          <w:spacing w:val="20"/>
          <w:sz w:val="18"/>
        </w:rPr>
        <w:t>1</w:t>
      </w:r>
      <w:r w:rsidR="00287505" w:rsidRPr="00AF327F">
        <w:rPr>
          <w:rFonts w:ascii="Times New Roman" w:hAnsi="Times New Roman"/>
          <w:i w:val="0"/>
          <w:iCs w:val="0"/>
          <w:color w:val="767171"/>
          <w:spacing w:val="20"/>
          <w:sz w:val="18"/>
        </w:rPr>
        <w:t>3</w:t>
      </w:r>
      <w:r w:rsidRPr="00AF327F">
        <w:rPr>
          <w:rFonts w:ascii="Times New Roman" w:hAnsi="Times New Roman"/>
          <w:i w:val="0"/>
          <w:iCs w:val="0"/>
          <w:color w:val="767171"/>
          <w:spacing w:val="20"/>
          <w:sz w:val="18"/>
        </w:rPr>
        <w:t xml:space="preserve">. </w:t>
      </w:r>
      <w:r w:rsidR="00043DB8" w:rsidRPr="00AF327F">
        <w:rPr>
          <w:rFonts w:ascii="Times New Roman" w:hAnsi="Times New Roman"/>
          <w:i w:val="0"/>
          <w:iCs w:val="0"/>
          <w:color w:val="767171"/>
          <w:spacing w:val="20"/>
          <w:sz w:val="18"/>
        </w:rPr>
        <w:t>Presupuesto por objeto vigente y devengado 20</w:t>
      </w:r>
      <w:r w:rsidR="00245789" w:rsidRPr="00AF327F">
        <w:rPr>
          <w:rFonts w:ascii="Times New Roman" w:hAnsi="Times New Roman"/>
          <w:i w:val="0"/>
          <w:iCs w:val="0"/>
          <w:color w:val="767171"/>
          <w:spacing w:val="20"/>
          <w:sz w:val="18"/>
        </w:rPr>
        <w:t>2</w:t>
      </w:r>
      <w:r w:rsidR="00043DB8" w:rsidRPr="00AF327F">
        <w:rPr>
          <w:rFonts w:ascii="Times New Roman" w:hAnsi="Times New Roman"/>
          <w:i w:val="0"/>
          <w:iCs w:val="0"/>
          <w:color w:val="767171"/>
          <w:spacing w:val="20"/>
          <w:sz w:val="18"/>
        </w:rPr>
        <w:t>5, en RD$.</w:t>
      </w:r>
    </w:p>
    <w:tbl>
      <w:tblPr>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0"/>
        <w:gridCol w:w="1866"/>
        <w:gridCol w:w="1820"/>
        <w:gridCol w:w="992"/>
        <w:gridCol w:w="2140"/>
      </w:tblGrid>
      <w:tr w:rsidR="00043DB8" w:rsidRPr="00465A16" w14:paraId="322111A5" w14:textId="77777777" w:rsidTr="002A2193">
        <w:trPr>
          <w:trHeight w:val="641"/>
        </w:trPr>
        <w:tc>
          <w:tcPr>
            <w:tcW w:w="2400" w:type="dxa"/>
            <w:shd w:val="clear" w:color="auto" w:fill="011C50"/>
            <w:vAlign w:val="center"/>
            <w:hideMark/>
          </w:tcPr>
          <w:p w14:paraId="0613F832" w14:textId="77777777" w:rsidR="00043DB8" w:rsidRPr="00465A16" w:rsidRDefault="00043DB8" w:rsidP="00B41FF8">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Objeto</w:t>
            </w:r>
          </w:p>
        </w:tc>
        <w:tc>
          <w:tcPr>
            <w:tcW w:w="1866" w:type="dxa"/>
            <w:shd w:val="clear" w:color="000000" w:fill="011C50"/>
            <w:vAlign w:val="center"/>
            <w:hideMark/>
          </w:tcPr>
          <w:p w14:paraId="472556E7" w14:textId="77777777" w:rsidR="00043DB8" w:rsidRPr="00465A16" w:rsidRDefault="00043DB8" w:rsidP="00B41FF8">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 xml:space="preserve">Vigente </w:t>
            </w:r>
          </w:p>
        </w:tc>
        <w:tc>
          <w:tcPr>
            <w:tcW w:w="1820" w:type="dxa"/>
            <w:shd w:val="clear" w:color="000000" w:fill="011C50"/>
            <w:vAlign w:val="center"/>
            <w:hideMark/>
          </w:tcPr>
          <w:p w14:paraId="7E83B35B" w14:textId="77777777" w:rsidR="00043DB8" w:rsidRPr="00465A16" w:rsidRDefault="00043DB8" w:rsidP="00B41FF8">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Devengado al 30 de noviembre</w:t>
            </w:r>
          </w:p>
        </w:tc>
        <w:tc>
          <w:tcPr>
            <w:tcW w:w="992" w:type="dxa"/>
            <w:shd w:val="clear" w:color="000000" w:fill="011C50"/>
            <w:vAlign w:val="center"/>
            <w:hideMark/>
          </w:tcPr>
          <w:p w14:paraId="1D84A94A" w14:textId="77777777" w:rsidR="00043DB8" w:rsidRPr="00465A16" w:rsidRDefault="00043DB8" w:rsidP="00B41FF8">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w:t>
            </w:r>
          </w:p>
        </w:tc>
        <w:tc>
          <w:tcPr>
            <w:tcW w:w="1276" w:type="dxa"/>
            <w:shd w:val="clear" w:color="000000" w:fill="011C50"/>
            <w:vAlign w:val="center"/>
            <w:hideMark/>
          </w:tcPr>
          <w:p w14:paraId="055F3FD9" w14:textId="77777777" w:rsidR="00043DB8" w:rsidRPr="00465A16" w:rsidRDefault="00043DB8" w:rsidP="00B41FF8">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Proyección al 31 Dic</w:t>
            </w:r>
          </w:p>
        </w:tc>
      </w:tr>
      <w:tr w:rsidR="00DC07C4" w:rsidRPr="00465A16" w14:paraId="041B78EF" w14:textId="77777777" w:rsidTr="002A2193">
        <w:trPr>
          <w:trHeight w:val="1246"/>
        </w:trPr>
        <w:tc>
          <w:tcPr>
            <w:tcW w:w="2400" w:type="dxa"/>
            <w:vAlign w:val="center"/>
            <w:hideMark/>
          </w:tcPr>
          <w:p w14:paraId="39AEA80E" w14:textId="77777777" w:rsidR="00DC07C4" w:rsidRPr="00AF327F" w:rsidRDefault="00DC07C4" w:rsidP="00C83C69">
            <w:pPr>
              <w:spacing w:before="240" w:after="0" w:line="240" w:lineRule="auto"/>
              <w:rPr>
                <w:rFonts w:eastAsia="Times New Roman"/>
                <w:spacing w:val="0"/>
                <w:lang w:eastAsia="es-DO"/>
              </w:rPr>
            </w:pPr>
            <w:r w:rsidRPr="00AF327F">
              <w:rPr>
                <w:rFonts w:eastAsia="Times New Roman"/>
                <w:spacing w:val="0"/>
                <w:lang w:eastAsia="es-DO"/>
              </w:rPr>
              <w:t xml:space="preserve">2.1- Remuneraciones y Contribuciones </w:t>
            </w:r>
          </w:p>
        </w:tc>
        <w:tc>
          <w:tcPr>
            <w:tcW w:w="1866" w:type="dxa"/>
            <w:noWrap/>
            <w:vAlign w:val="center"/>
            <w:hideMark/>
          </w:tcPr>
          <w:p w14:paraId="7C71F501" w14:textId="77777777" w:rsidR="00DC07C4" w:rsidRPr="00AF327F" w:rsidRDefault="00DC07C4" w:rsidP="00C83C69">
            <w:pPr>
              <w:spacing w:before="240" w:after="0" w:line="240" w:lineRule="auto"/>
              <w:jc w:val="right"/>
              <w:rPr>
                <w:rFonts w:eastAsia="Times New Roman"/>
                <w:spacing w:val="0"/>
                <w:lang w:eastAsia="es-DO"/>
              </w:rPr>
            </w:pPr>
            <w:r w:rsidRPr="00AF327F">
              <w:rPr>
                <w:rFonts w:eastAsia="Times New Roman"/>
                <w:spacing w:val="0"/>
                <w:lang w:eastAsia="es-DO"/>
              </w:rPr>
              <w:t>2,569,400,299.90</w:t>
            </w:r>
          </w:p>
        </w:tc>
        <w:tc>
          <w:tcPr>
            <w:tcW w:w="1820" w:type="dxa"/>
            <w:noWrap/>
            <w:vAlign w:val="center"/>
            <w:hideMark/>
          </w:tcPr>
          <w:p w14:paraId="3AD111FD" w14:textId="77777777" w:rsidR="00DC07C4" w:rsidRPr="00AF327F" w:rsidRDefault="00DC07C4" w:rsidP="00C83C69">
            <w:pPr>
              <w:spacing w:before="240" w:after="0" w:line="240" w:lineRule="auto"/>
              <w:jc w:val="right"/>
              <w:rPr>
                <w:rFonts w:eastAsia="Times New Roman"/>
                <w:spacing w:val="0"/>
                <w:lang w:eastAsia="es-DO"/>
              </w:rPr>
            </w:pPr>
            <w:r w:rsidRPr="00AF327F">
              <w:rPr>
                <w:rFonts w:eastAsia="Times New Roman"/>
                <w:spacing w:val="0"/>
                <w:lang w:eastAsia="es-DO"/>
              </w:rPr>
              <w:t>2,569,400,299.90</w:t>
            </w:r>
          </w:p>
        </w:tc>
        <w:tc>
          <w:tcPr>
            <w:tcW w:w="992" w:type="dxa"/>
            <w:noWrap/>
            <w:vAlign w:val="center"/>
            <w:hideMark/>
          </w:tcPr>
          <w:p w14:paraId="01ABDCAC" w14:textId="77777777" w:rsidR="00DC07C4" w:rsidRPr="00AF327F" w:rsidRDefault="00DC07C4" w:rsidP="00C83C69">
            <w:pPr>
              <w:spacing w:before="240" w:after="0" w:line="240" w:lineRule="auto"/>
              <w:jc w:val="center"/>
              <w:rPr>
                <w:rFonts w:eastAsia="Times New Roman"/>
                <w:spacing w:val="0"/>
                <w:lang w:eastAsia="es-DO"/>
              </w:rPr>
            </w:pPr>
            <w:r w:rsidRPr="00AF327F">
              <w:rPr>
                <w:rFonts w:eastAsia="Times New Roman"/>
                <w:spacing w:val="0"/>
                <w:lang w:eastAsia="es-DO"/>
              </w:rPr>
              <w:t>83.89%</w:t>
            </w:r>
          </w:p>
        </w:tc>
        <w:tc>
          <w:tcPr>
            <w:tcW w:w="1276" w:type="dxa"/>
            <w:vAlign w:val="center"/>
            <w:hideMark/>
          </w:tcPr>
          <w:p w14:paraId="393D6A15" w14:textId="32528FCD" w:rsidR="00DC07C4" w:rsidRPr="00AF327F" w:rsidRDefault="00DC07C4" w:rsidP="00C83C69">
            <w:pPr>
              <w:spacing w:before="240" w:after="0" w:line="240" w:lineRule="auto"/>
              <w:jc w:val="right"/>
              <w:rPr>
                <w:rFonts w:eastAsia="Times New Roman"/>
                <w:spacing w:val="0"/>
                <w:lang w:eastAsia="es-DO"/>
              </w:rPr>
            </w:pPr>
            <w:r w:rsidRPr="00AF327F">
              <w:t>2,569,400,299.90</w:t>
            </w:r>
          </w:p>
        </w:tc>
      </w:tr>
      <w:tr w:rsidR="00DC07C4" w:rsidRPr="00465A16" w14:paraId="5270D7A2" w14:textId="77777777" w:rsidTr="002A2193">
        <w:trPr>
          <w:trHeight w:val="447"/>
        </w:trPr>
        <w:tc>
          <w:tcPr>
            <w:tcW w:w="2400" w:type="dxa"/>
            <w:vAlign w:val="center"/>
            <w:hideMark/>
          </w:tcPr>
          <w:p w14:paraId="2CFB1003" w14:textId="77777777" w:rsidR="00DC07C4" w:rsidRPr="00AF327F" w:rsidRDefault="00DC07C4" w:rsidP="00C83C69">
            <w:pPr>
              <w:spacing w:before="240" w:after="0" w:line="240" w:lineRule="auto"/>
              <w:rPr>
                <w:rFonts w:eastAsia="Times New Roman"/>
                <w:spacing w:val="0"/>
                <w:lang w:eastAsia="es-DO"/>
              </w:rPr>
            </w:pPr>
            <w:r w:rsidRPr="00AF327F">
              <w:rPr>
                <w:rFonts w:eastAsia="Times New Roman"/>
                <w:spacing w:val="0"/>
                <w:lang w:eastAsia="es-DO"/>
              </w:rPr>
              <w:t xml:space="preserve">2.2 -Contratación de Servicios </w:t>
            </w:r>
          </w:p>
        </w:tc>
        <w:tc>
          <w:tcPr>
            <w:tcW w:w="1866" w:type="dxa"/>
            <w:noWrap/>
            <w:vAlign w:val="center"/>
            <w:hideMark/>
          </w:tcPr>
          <w:p w14:paraId="36A21CDB" w14:textId="77777777" w:rsidR="00DC07C4" w:rsidRPr="00AF327F" w:rsidRDefault="00DC07C4" w:rsidP="00C83C69">
            <w:pPr>
              <w:spacing w:before="240" w:after="0" w:line="240" w:lineRule="auto"/>
              <w:jc w:val="right"/>
              <w:rPr>
                <w:rFonts w:eastAsia="Times New Roman"/>
                <w:spacing w:val="0"/>
                <w:lang w:eastAsia="es-DO"/>
              </w:rPr>
            </w:pPr>
            <w:r w:rsidRPr="00AF327F">
              <w:rPr>
                <w:rFonts w:eastAsia="Times New Roman"/>
                <w:spacing w:val="0"/>
                <w:lang w:eastAsia="es-DO"/>
              </w:rPr>
              <w:t>386,172,199.25</w:t>
            </w:r>
          </w:p>
        </w:tc>
        <w:tc>
          <w:tcPr>
            <w:tcW w:w="1820" w:type="dxa"/>
            <w:noWrap/>
            <w:vAlign w:val="center"/>
            <w:hideMark/>
          </w:tcPr>
          <w:p w14:paraId="0439C844" w14:textId="77777777" w:rsidR="00DC07C4" w:rsidRPr="00AF327F" w:rsidRDefault="00DC07C4" w:rsidP="00C83C69">
            <w:pPr>
              <w:spacing w:before="240" w:after="0" w:line="240" w:lineRule="auto"/>
              <w:jc w:val="right"/>
              <w:rPr>
                <w:rFonts w:eastAsia="Times New Roman"/>
                <w:spacing w:val="0"/>
                <w:lang w:eastAsia="es-DO"/>
              </w:rPr>
            </w:pPr>
            <w:r w:rsidRPr="00AF327F">
              <w:rPr>
                <w:rFonts w:eastAsia="Times New Roman"/>
                <w:spacing w:val="0"/>
                <w:lang w:eastAsia="es-DO"/>
              </w:rPr>
              <w:t>366,884,637.73</w:t>
            </w:r>
          </w:p>
        </w:tc>
        <w:tc>
          <w:tcPr>
            <w:tcW w:w="992" w:type="dxa"/>
            <w:noWrap/>
            <w:vAlign w:val="center"/>
            <w:hideMark/>
          </w:tcPr>
          <w:p w14:paraId="37C48FDA" w14:textId="77777777" w:rsidR="00DC07C4" w:rsidRPr="00AF327F" w:rsidRDefault="00DC07C4" w:rsidP="00C83C69">
            <w:pPr>
              <w:spacing w:before="240" w:after="0" w:line="240" w:lineRule="auto"/>
              <w:jc w:val="center"/>
              <w:rPr>
                <w:rFonts w:eastAsia="Times New Roman"/>
                <w:spacing w:val="0"/>
                <w:lang w:eastAsia="es-DO"/>
              </w:rPr>
            </w:pPr>
            <w:r w:rsidRPr="00AF327F">
              <w:rPr>
                <w:rFonts w:eastAsia="Times New Roman"/>
                <w:spacing w:val="0"/>
                <w:lang w:eastAsia="es-DO"/>
              </w:rPr>
              <w:t>11.98%</w:t>
            </w:r>
          </w:p>
        </w:tc>
        <w:tc>
          <w:tcPr>
            <w:tcW w:w="1276" w:type="dxa"/>
            <w:vAlign w:val="center"/>
            <w:hideMark/>
          </w:tcPr>
          <w:p w14:paraId="0ACF6C0D" w14:textId="1782B0CF" w:rsidR="00DC07C4" w:rsidRPr="00AF327F" w:rsidRDefault="00DC07C4" w:rsidP="00C83C69">
            <w:pPr>
              <w:spacing w:before="240" w:after="0" w:line="240" w:lineRule="auto"/>
              <w:jc w:val="right"/>
              <w:rPr>
                <w:rFonts w:eastAsia="Times New Roman"/>
                <w:spacing w:val="0"/>
                <w:lang w:eastAsia="es-DO"/>
              </w:rPr>
            </w:pPr>
            <w:r w:rsidRPr="00AF327F">
              <w:t>365,172,199.25</w:t>
            </w:r>
          </w:p>
        </w:tc>
      </w:tr>
      <w:tr w:rsidR="00DC07C4" w:rsidRPr="00465A16" w14:paraId="3CFA2357" w14:textId="77777777" w:rsidTr="002A2193">
        <w:trPr>
          <w:trHeight w:val="539"/>
        </w:trPr>
        <w:tc>
          <w:tcPr>
            <w:tcW w:w="2400" w:type="dxa"/>
            <w:vAlign w:val="center"/>
            <w:hideMark/>
          </w:tcPr>
          <w:p w14:paraId="4E0D426F" w14:textId="77777777" w:rsidR="00DC07C4" w:rsidRPr="00AF327F" w:rsidRDefault="00DC07C4" w:rsidP="00C83C69">
            <w:pPr>
              <w:spacing w:before="240" w:after="0" w:line="240" w:lineRule="auto"/>
              <w:rPr>
                <w:rFonts w:eastAsia="Times New Roman"/>
                <w:spacing w:val="0"/>
                <w:lang w:eastAsia="es-DO"/>
              </w:rPr>
            </w:pPr>
            <w:r w:rsidRPr="00AF327F">
              <w:rPr>
                <w:rFonts w:eastAsia="Times New Roman"/>
                <w:spacing w:val="0"/>
                <w:lang w:eastAsia="es-DO"/>
              </w:rPr>
              <w:t xml:space="preserve">2.3 -Materiales y Suministros </w:t>
            </w:r>
          </w:p>
        </w:tc>
        <w:tc>
          <w:tcPr>
            <w:tcW w:w="1866" w:type="dxa"/>
            <w:noWrap/>
            <w:vAlign w:val="center"/>
            <w:hideMark/>
          </w:tcPr>
          <w:p w14:paraId="6DBA7B55" w14:textId="77777777" w:rsidR="00DC07C4" w:rsidRPr="00AF327F" w:rsidRDefault="00DC07C4" w:rsidP="00C83C69">
            <w:pPr>
              <w:spacing w:before="240" w:after="0" w:line="240" w:lineRule="auto"/>
              <w:jc w:val="right"/>
              <w:rPr>
                <w:rFonts w:eastAsia="Times New Roman"/>
                <w:spacing w:val="0"/>
                <w:lang w:eastAsia="es-DO"/>
              </w:rPr>
            </w:pPr>
            <w:r w:rsidRPr="00AF327F">
              <w:rPr>
                <w:rFonts w:eastAsia="Times New Roman"/>
                <w:spacing w:val="0"/>
                <w:lang w:eastAsia="es-DO"/>
              </w:rPr>
              <w:t>55,078,533.61</w:t>
            </w:r>
          </w:p>
        </w:tc>
        <w:tc>
          <w:tcPr>
            <w:tcW w:w="1820" w:type="dxa"/>
            <w:noWrap/>
            <w:vAlign w:val="center"/>
            <w:hideMark/>
          </w:tcPr>
          <w:p w14:paraId="261A5202" w14:textId="77777777" w:rsidR="00DC07C4" w:rsidRPr="00AF327F" w:rsidRDefault="00DC07C4" w:rsidP="00C83C69">
            <w:pPr>
              <w:spacing w:before="240" w:after="0" w:line="240" w:lineRule="auto"/>
              <w:jc w:val="right"/>
              <w:rPr>
                <w:rFonts w:eastAsia="Times New Roman"/>
                <w:spacing w:val="0"/>
                <w:lang w:eastAsia="es-DO"/>
              </w:rPr>
            </w:pPr>
            <w:r w:rsidRPr="00AF327F">
              <w:rPr>
                <w:rFonts w:eastAsia="Times New Roman"/>
                <w:spacing w:val="0"/>
                <w:lang w:eastAsia="es-DO"/>
              </w:rPr>
              <w:t>50,754,315.80</w:t>
            </w:r>
          </w:p>
        </w:tc>
        <w:tc>
          <w:tcPr>
            <w:tcW w:w="992" w:type="dxa"/>
            <w:noWrap/>
            <w:vAlign w:val="center"/>
            <w:hideMark/>
          </w:tcPr>
          <w:p w14:paraId="5AC8E061" w14:textId="77777777" w:rsidR="00DC07C4" w:rsidRPr="00AF327F" w:rsidRDefault="00DC07C4" w:rsidP="00C83C69">
            <w:pPr>
              <w:spacing w:before="240" w:after="0" w:line="240" w:lineRule="auto"/>
              <w:jc w:val="center"/>
              <w:rPr>
                <w:rFonts w:eastAsia="Times New Roman"/>
                <w:spacing w:val="0"/>
                <w:lang w:eastAsia="es-DO"/>
              </w:rPr>
            </w:pPr>
            <w:r w:rsidRPr="00AF327F">
              <w:rPr>
                <w:rFonts w:eastAsia="Times New Roman"/>
                <w:spacing w:val="0"/>
                <w:lang w:eastAsia="es-DO"/>
              </w:rPr>
              <w:t>1.66%</w:t>
            </w:r>
          </w:p>
        </w:tc>
        <w:tc>
          <w:tcPr>
            <w:tcW w:w="1276" w:type="dxa"/>
            <w:vAlign w:val="center"/>
            <w:hideMark/>
          </w:tcPr>
          <w:p w14:paraId="6754D848" w14:textId="39DBFB66" w:rsidR="00DC07C4" w:rsidRPr="00AF327F" w:rsidRDefault="00DC07C4" w:rsidP="00C83C69">
            <w:pPr>
              <w:spacing w:before="240" w:after="0" w:line="240" w:lineRule="auto"/>
              <w:jc w:val="right"/>
              <w:rPr>
                <w:rFonts w:eastAsia="Times New Roman"/>
                <w:spacing w:val="0"/>
                <w:lang w:eastAsia="es-DO"/>
              </w:rPr>
            </w:pPr>
            <w:r w:rsidRPr="00AF327F">
              <w:t>52,258,329.18</w:t>
            </w:r>
          </w:p>
        </w:tc>
      </w:tr>
      <w:tr w:rsidR="00DC07C4" w:rsidRPr="00465A16" w14:paraId="10F85738" w14:textId="77777777" w:rsidTr="002A2193">
        <w:trPr>
          <w:trHeight w:val="460"/>
        </w:trPr>
        <w:tc>
          <w:tcPr>
            <w:tcW w:w="2400" w:type="dxa"/>
            <w:vAlign w:val="center"/>
            <w:hideMark/>
          </w:tcPr>
          <w:p w14:paraId="632A8AA2" w14:textId="77777777" w:rsidR="00DC07C4" w:rsidRPr="00AF327F" w:rsidRDefault="00DC07C4" w:rsidP="00C83C69">
            <w:pPr>
              <w:spacing w:before="240" w:after="0" w:line="240" w:lineRule="auto"/>
              <w:rPr>
                <w:rFonts w:eastAsia="Times New Roman"/>
                <w:spacing w:val="0"/>
                <w:lang w:eastAsia="es-DO"/>
              </w:rPr>
            </w:pPr>
            <w:r w:rsidRPr="00AF327F">
              <w:rPr>
                <w:rFonts w:eastAsia="Times New Roman"/>
                <w:spacing w:val="0"/>
                <w:lang w:eastAsia="es-DO"/>
              </w:rPr>
              <w:t xml:space="preserve">2.4 -Transferencias Corrientes </w:t>
            </w:r>
          </w:p>
        </w:tc>
        <w:tc>
          <w:tcPr>
            <w:tcW w:w="1866" w:type="dxa"/>
            <w:noWrap/>
            <w:vAlign w:val="center"/>
            <w:hideMark/>
          </w:tcPr>
          <w:p w14:paraId="7215545F" w14:textId="77777777" w:rsidR="00DC07C4" w:rsidRPr="00AF327F" w:rsidRDefault="00DC07C4" w:rsidP="00C83C69">
            <w:pPr>
              <w:spacing w:before="240" w:after="0" w:line="240" w:lineRule="auto"/>
              <w:jc w:val="right"/>
              <w:rPr>
                <w:rFonts w:eastAsia="Times New Roman"/>
                <w:spacing w:val="0"/>
                <w:lang w:eastAsia="es-DO"/>
              </w:rPr>
            </w:pPr>
            <w:r w:rsidRPr="00AF327F">
              <w:rPr>
                <w:rFonts w:eastAsia="Times New Roman"/>
                <w:spacing w:val="0"/>
                <w:lang w:eastAsia="es-DO"/>
              </w:rPr>
              <w:t>290,000.00</w:t>
            </w:r>
          </w:p>
        </w:tc>
        <w:tc>
          <w:tcPr>
            <w:tcW w:w="1820" w:type="dxa"/>
            <w:noWrap/>
            <w:vAlign w:val="center"/>
            <w:hideMark/>
          </w:tcPr>
          <w:p w14:paraId="3752B374" w14:textId="77777777" w:rsidR="00DC07C4" w:rsidRPr="00AF327F" w:rsidRDefault="00DC07C4" w:rsidP="00C83C69">
            <w:pPr>
              <w:spacing w:before="240" w:after="0" w:line="240" w:lineRule="auto"/>
              <w:jc w:val="right"/>
              <w:rPr>
                <w:rFonts w:eastAsia="Times New Roman"/>
                <w:spacing w:val="0"/>
                <w:lang w:eastAsia="es-DO"/>
              </w:rPr>
            </w:pPr>
            <w:r w:rsidRPr="00AF327F">
              <w:rPr>
                <w:rFonts w:eastAsia="Times New Roman"/>
                <w:spacing w:val="0"/>
                <w:lang w:eastAsia="es-DO"/>
              </w:rPr>
              <w:t>176,110.48</w:t>
            </w:r>
          </w:p>
        </w:tc>
        <w:tc>
          <w:tcPr>
            <w:tcW w:w="992" w:type="dxa"/>
            <w:noWrap/>
            <w:vAlign w:val="center"/>
            <w:hideMark/>
          </w:tcPr>
          <w:p w14:paraId="7ABB3531" w14:textId="77777777" w:rsidR="00DC07C4" w:rsidRPr="00AF327F" w:rsidRDefault="00DC07C4" w:rsidP="00C83C69">
            <w:pPr>
              <w:spacing w:before="240" w:after="0" w:line="240" w:lineRule="auto"/>
              <w:jc w:val="center"/>
              <w:rPr>
                <w:rFonts w:eastAsia="Times New Roman"/>
                <w:spacing w:val="0"/>
                <w:lang w:eastAsia="es-DO"/>
              </w:rPr>
            </w:pPr>
            <w:r w:rsidRPr="00AF327F">
              <w:rPr>
                <w:rFonts w:eastAsia="Times New Roman"/>
                <w:spacing w:val="0"/>
                <w:lang w:eastAsia="es-DO"/>
              </w:rPr>
              <w:t>0.01%</w:t>
            </w:r>
          </w:p>
        </w:tc>
        <w:tc>
          <w:tcPr>
            <w:tcW w:w="1276" w:type="dxa"/>
            <w:vAlign w:val="center"/>
            <w:hideMark/>
          </w:tcPr>
          <w:p w14:paraId="7AF480A6" w14:textId="04A60DEA" w:rsidR="00DC07C4" w:rsidRPr="00AF327F" w:rsidRDefault="00DC07C4" w:rsidP="00C83C69">
            <w:pPr>
              <w:spacing w:before="240" w:after="0" w:line="240" w:lineRule="auto"/>
              <w:jc w:val="right"/>
              <w:rPr>
                <w:rFonts w:eastAsia="Times New Roman"/>
                <w:spacing w:val="0"/>
                <w:lang w:eastAsia="es-DO"/>
              </w:rPr>
            </w:pPr>
            <w:r w:rsidRPr="00AF327F">
              <w:t>176,110.48</w:t>
            </w:r>
          </w:p>
        </w:tc>
      </w:tr>
      <w:tr w:rsidR="00DC07C4" w:rsidRPr="00465A16" w14:paraId="086144B3" w14:textId="77777777" w:rsidTr="002A2193">
        <w:trPr>
          <w:trHeight w:val="658"/>
        </w:trPr>
        <w:tc>
          <w:tcPr>
            <w:tcW w:w="2400" w:type="dxa"/>
            <w:vAlign w:val="center"/>
            <w:hideMark/>
          </w:tcPr>
          <w:p w14:paraId="2236BD03" w14:textId="77777777" w:rsidR="00DC07C4" w:rsidRPr="00AF327F" w:rsidRDefault="00DC07C4" w:rsidP="00C83C69">
            <w:pPr>
              <w:spacing w:before="240" w:after="0" w:line="240" w:lineRule="auto"/>
              <w:rPr>
                <w:rFonts w:eastAsia="Times New Roman"/>
                <w:spacing w:val="0"/>
                <w:lang w:eastAsia="es-DO"/>
              </w:rPr>
            </w:pPr>
            <w:r w:rsidRPr="00AF327F">
              <w:rPr>
                <w:rFonts w:eastAsia="Times New Roman"/>
                <w:spacing w:val="0"/>
                <w:lang w:eastAsia="es-DO"/>
              </w:rPr>
              <w:t>2.6- Bienes Muebles, Inmuebles e Intangibles</w:t>
            </w:r>
          </w:p>
        </w:tc>
        <w:tc>
          <w:tcPr>
            <w:tcW w:w="1866" w:type="dxa"/>
            <w:noWrap/>
            <w:vAlign w:val="center"/>
            <w:hideMark/>
          </w:tcPr>
          <w:p w14:paraId="28FDE260" w14:textId="77777777" w:rsidR="00DC07C4" w:rsidRPr="00AF327F" w:rsidRDefault="00DC07C4" w:rsidP="00C83C69">
            <w:pPr>
              <w:spacing w:before="240" w:after="0" w:line="240" w:lineRule="auto"/>
              <w:jc w:val="right"/>
              <w:rPr>
                <w:rFonts w:eastAsia="Times New Roman"/>
                <w:spacing w:val="0"/>
                <w:lang w:eastAsia="es-DO"/>
              </w:rPr>
            </w:pPr>
            <w:r w:rsidRPr="00AF327F">
              <w:rPr>
                <w:rFonts w:eastAsia="Times New Roman"/>
                <w:spacing w:val="0"/>
                <w:lang w:eastAsia="es-DO"/>
              </w:rPr>
              <w:t>51,878,795.82</w:t>
            </w:r>
          </w:p>
        </w:tc>
        <w:tc>
          <w:tcPr>
            <w:tcW w:w="1820" w:type="dxa"/>
            <w:noWrap/>
            <w:vAlign w:val="center"/>
            <w:hideMark/>
          </w:tcPr>
          <w:p w14:paraId="2EE23EE3" w14:textId="77777777" w:rsidR="00DC07C4" w:rsidRPr="00AF327F" w:rsidRDefault="00DC07C4" w:rsidP="00C83C69">
            <w:pPr>
              <w:spacing w:before="240" w:after="0" w:line="240" w:lineRule="auto"/>
              <w:jc w:val="right"/>
              <w:rPr>
                <w:rFonts w:eastAsia="Times New Roman"/>
                <w:spacing w:val="0"/>
                <w:lang w:eastAsia="es-DO"/>
              </w:rPr>
            </w:pPr>
            <w:r w:rsidRPr="00AF327F">
              <w:rPr>
                <w:rFonts w:eastAsia="Times New Roman"/>
                <w:spacing w:val="0"/>
                <w:lang w:eastAsia="es-DO"/>
              </w:rPr>
              <w:t>51,670,370.72</w:t>
            </w:r>
          </w:p>
        </w:tc>
        <w:tc>
          <w:tcPr>
            <w:tcW w:w="992" w:type="dxa"/>
            <w:noWrap/>
            <w:vAlign w:val="center"/>
            <w:hideMark/>
          </w:tcPr>
          <w:p w14:paraId="38936547" w14:textId="77777777" w:rsidR="00DC07C4" w:rsidRPr="00AF327F" w:rsidRDefault="00DC07C4" w:rsidP="00C83C69">
            <w:pPr>
              <w:spacing w:before="240" w:after="0" w:line="240" w:lineRule="auto"/>
              <w:jc w:val="center"/>
              <w:rPr>
                <w:rFonts w:eastAsia="Times New Roman"/>
                <w:spacing w:val="0"/>
                <w:lang w:eastAsia="es-DO"/>
              </w:rPr>
            </w:pPr>
            <w:r w:rsidRPr="00AF327F">
              <w:rPr>
                <w:rFonts w:eastAsia="Times New Roman"/>
                <w:spacing w:val="0"/>
                <w:lang w:eastAsia="es-DO"/>
              </w:rPr>
              <w:t>1.69%</w:t>
            </w:r>
          </w:p>
        </w:tc>
        <w:tc>
          <w:tcPr>
            <w:tcW w:w="1276" w:type="dxa"/>
            <w:vAlign w:val="center"/>
            <w:hideMark/>
          </w:tcPr>
          <w:p w14:paraId="09A13455" w14:textId="03C72D02" w:rsidR="00DC07C4" w:rsidRPr="00AF327F" w:rsidRDefault="00DC07C4" w:rsidP="00C83C69">
            <w:pPr>
              <w:spacing w:before="240" w:after="0" w:line="240" w:lineRule="auto"/>
              <w:jc w:val="right"/>
              <w:rPr>
                <w:rFonts w:eastAsia="Times New Roman"/>
                <w:spacing w:val="0"/>
                <w:lang w:eastAsia="es-DO"/>
              </w:rPr>
            </w:pPr>
            <w:r w:rsidRPr="00AF327F">
              <w:t>51,878,795.82</w:t>
            </w:r>
          </w:p>
        </w:tc>
      </w:tr>
      <w:tr w:rsidR="00DC07C4" w:rsidRPr="00465A16" w14:paraId="5B7ABEE4" w14:textId="77777777" w:rsidTr="002A2193">
        <w:trPr>
          <w:trHeight w:val="341"/>
        </w:trPr>
        <w:tc>
          <w:tcPr>
            <w:tcW w:w="2400" w:type="dxa"/>
            <w:vAlign w:val="center"/>
            <w:hideMark/>
          </w:tcPr>
          <w:p w14:paraId="169533C3" w14:textId="77777777" w:rsidR="00DC07C4" w:rsidRPr="00AF327F" w:rsidRDefault="00DC07C4" w:rsidP="00C83C69">
            <w:pPr>
              <w:spacing w:before="240" w:after="0" w:line="240" w:lineRule="auto"/>
              <w:rPr>
                <w:rFonts w:eastAsia="Times New Roman"/>
                <w:spacing w:val="0"/>
                <w:lang w:eastAsia="es-DO"/>
              </w:rPr>
            </w:pPr>
            <w:r w:rsidRPr="00AF327F">
              <w:rPr>
                <w:rFonts w:eastAsia="Times New Roman"/>
                <w:spacing w:val="0"/>
                <w:lang w:eastAsia="es-DO"/>
              </w:rPr>
              <w:t>2.7-Obras</w:t>
            </w:r>
          </w:p>
        </w:tc>
        <w:tc>
          <w:tcPr>
            <w:tcW w:w="1866" w:type="dxa"/>
            <w:noWrap/>
            <w:vAlign w:val="center"/>
            <w:hideMark/>
          </w:tcPr>
          <w:p w14:paraId="74EF842C" w14:textId="77777777" w:rsidR="00DC07C4" w:rsidRPr="00AF327F" w:rsidRDefault="00DC07C4" w:rsidP="002A2193">
            <w:pPr>
              <w:spacing w:before="240" w:after="0" w:line="240" w:lineRule="auto"/>
              <w:jc w:val="right"/>
              <w:rPr>
                <w:rFonts w:eastAsia="Times New Roman"/>
                <w:spacing w:val="0"/>
                <w:lang w:eastAsia="es-DO"/>
              </w:rPr>
            </w:pPr>
            <w:r w:rsidRPr="00AF327F">
              <w:rPr>
                <w:rFonts w:eastAsia="Times New Roman"/>
                <w:spacing w:val="0"/>
                <w:lang w:eastAsia="es-DO"/>
              </w:rPr>
              <w:t>0.00</w:t>
            </w:r>
          </w:p>
        </w:tc>
        <w:tc>
          <w:tcPr>
            <w:tcW w:w="1820" w:type="dxa"/>
            <w:noWrap/>
            <w:vAlign w:val="center"/>
            <w:hideMark/>
          </w:tcPr>
          <w:p w14:paraId="23AE7F00" w14:textId="77777777" w:rsidR="00DC07C4" w:rsidRPr="00AF327F" w:rsidRDefault="00DC07C4" w:rsidP="002A2193">
            <w:pPr>
              <w:spacing w:before="240" w:after="0" w:line="240" w:lineRule="auto"/>
              <w:jc w:val="right"/>
              <w:rPr>
                <w:rFonts w:eastAsia="Times New Roman"/>
                <w:spacing w:val="0"/>
                <w:lang w:eastAsia="es-DO"/>
              </w:rPr>
            </w:pPr>
            <w:r w:rsidRPr="00AF327F">
              <w:rPr>
                <w:rFonts w:eastAsia="Times New Roman"/>
                <w:spacing w:val="0"/>
                <w:lang w:eastAsia="es-DO"/>
              </w:rPr>
              <w:t>0.00</w:t>
            </w:r>
          </w:p>
        </w:tc>
        <w:tc>
          <w:tcPr>
            <w:tcW w:w="992" w:type="dxa"/>
            <w:noWrap/>
            <w:vAlign w:val="center"/>
            <w:hideMark/>
          </w:tcPr>
          <w:p w14:paraId="784AF5F1" w14:textId="77777777" w:rsidR="00DC07C4" w:rsidRPr="00AF327F" w:rsidRDefault="00DC07C4" w:rsidP="002A2193">
            <w:pPr>
              <w:spacing w:before="240" w:after="0" w:line="240" w:lineRule="auto"/>
              <w:jc w:val="right"/>
              <w:rPr>
                <w:rFonts w:eastAsia="Times New Roman"/>
                <w:spacing w:val="0"/>
                <w:lang w:eastAsia="es-DO"/>
              </w:rPr>
            </w:pPr>
            <w:r w:rsidRPr="00AF327F">
              <w:rPr>
                <w:rFonts w:eastAsia="Times New Roman"/>
                <w:spacing w:val="0"/>
                <w:lang w:eastAsia="es-DO"/>
              </w:rPr>
              <w:t>0.00%</w:t>
            </w:r>
          </w:p>
        </w:tc>
        <w:tc>
          <w:tcPr>
            <w:tcW w:w="1276" w:type="dxa"/>
            <w:vAlign w:val="center"/>
            <w:hideMark/>
          </w:tcPr>
          <w:p w14:paraId="6ECA21AC" w14:textId="71E20326" w:rsidR="00DC07C4" w:rsidRPr="00AF327F" w:rsidRDefault="00DC07C4" w:rsidP="002A2193">
            <w:pPr>
              <w:spacing w:before="240" w:after="0" w:line="240" w:lineRule="auto"/>
              <w:jc w:val="right"/>
              <w:rPr>
                <w:rFonts w:eastAsia="Times New Roman"/>
                <w:spacing w:val="0"/>
                <w:lang w:eastAsia="es-DO"/>
              </w:rPr>
            </w:pPr>
            <w:r w:rsidRPr="00AF327F">
              <w:t>0.00</w:t>
            </w:r>
          </w:p>
        </w:tc>
      </w:tr>
      <w:tr w:rsidR="00DC07C4" w:rsidRPr="00465A16" w14:paraId="47755D74" w14:textId="77777777" w:rsidTr="002A2193">
        <w:trPr>
          <w:trHeight w:val="289"/>
        </w:trPr>
        <w:tc>
          <w:tcPr>
            <w:tcW w:w="2400" w:type="dxa"/>
            <w:shd w:val="clear" w:color="auto" w:fill="011C50"/>
            <w:vAlign w:val="center"/>
            <w:hideMark/>
          </w:tcPr>
          <w:p w14:paraId="0EFA10F7" w14:textId="77777777" w:rsidR="00DC07C4" w:rsidRPr="00465A16" w:rsidRDefault="00DC07C4" w:rsidP="00DC07C4">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Total</w:t>
            </w:r>
          </w:p>
        </w:tc>
        <w:tc>
          <w:tcPr>
            <w:tcW w:w="1866" w:type="dxa"/>
            <w:shd w:val="clear" w:color="auto" w:fill="011C50"/>
            <w:vAlign w:val="center"/>
            <w:hideMark/>
          </w:tcPr>
          <w:p w14:paraId="2A6988EE" w14:textId="77777777" w:rsidR="00DC07C4" w:rsidRPr="00465A16" w:rsidRDefault="00DC07C4" w:rsidP="00DC07C4">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3,062,819,828.58</w:t>
            </w:r>
          </w:p>
        </w:tc>
        <w:tc>
          <w:tcPr>
            <w:tcW w:w="1820" w:type="dxa"/>
            <w:shd w:val="clear" w:color="auto" w:fill="011C50"/>
            <w:vAlign w:val="center"/>
            <w:hideMark/>
          </w:tcPr>
          <w:p w14:paraId="2DB6EAF4" w14:textId="77777777" w:rsidR="00DC07C4" w:rsidRPr="00465A16" w:rsidRDefault="00DC07C4" w:rsidP="00DC07C4">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3,038,885,734.63</w:t>
            </w:r>
          </w:p>
        </w:tc>
        <w:tc>
          <w:tcPr>
            <w:tcW w:w="992" w:type="dxa"/>
            <w:shd w:val="clear" w:color="auto" w:fill="011C50"/>
            <w:vAlign w:val="center"/>
            <w:hideMark/>
          </w:tcPr>
          <w:p w14:paraId="5D6059F9" w14:textId="08902D36" w:rsidR="00DC07C4" w:rsidRPr="00465A16" w:rsidRDefault="00DC07C4" w:rsidP="00DC07C4">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99.23%</w:t>
            </w:r>
          </w:p>
        </w:tc>
        <w:tc>
          <w:tcPr>
            <w:tcW w:w="1276" w:type="dxa"/>
            <w:shd w:val="clear" w:color="auto" w:fill="011C50"/>
            <w:hideMark/>
          </w:tcPr>
          <w:p w14:paraId="54687C4C" w14:textId="389EFE1E" w:rsidR="00DC07C4" w:rsidRPr="00465A16" w:rsidRDefault="00DC07C4" w:rsidP="00DC07C4">
            <w:pPr>
              <w:spacing w:after="0" w:line="240" w:lineRule="auto"/>
              <w:jc w:val="center"/>
              <w:rPr>
                <w:rFonts w:eastAsia="Times New Roman"/>
                <w:b/>
                <w:bCs/>
                <w:color w:val="FFFFFF" w:themeColor="background1"/>
                <w:spacing w:val="0"/>
                <w:lang w:eastAsia="es-DO"/>
              </w:rPr>
            </w:pPr>
            <w:r w:rsidRPr="00465A16">
              <w:rPr>
                <w:b/>
                <w:bCs/>
                <w:color w:val="FFFFFF" w:themeColor="background1"/>
              </w:rPr>
              <w:t>3,038,885,734.63</w:t>
            </w:r>
          </w:p>
        </w:tc>
      </w:tr>
    </w:tbl>
    <w:p w14:paraId="150EDF4B" w14:textId="34FD6A36" w:rsidR="00454D0C" w:rsidRPr="0077472F" w:rsidRDefault="003859AE" w:rsidP="00325941">
      <w:pPr>
        <w:spacing w:line="360" w:lineRule="auto"/>
        <w:jc w:val="center"/>
        <w:rPr>
          <w:rFonts w:eastAsia="Calibri"/>
          <w:i/>
          <w:iCs/>
          <w:sz w:val="18"/>
          <w:szCs w:val="18"/>
        </w:rPr>
      </w:pPr>
      <w:r w:rsidRPr="0077472F">
        <w:rPr>
          <w:rFonts w:eastAsia="Calibri"/>
          <w:i/>
          <w:iCs/>
          <w:sz w:val="18"/>
          <w:szCs w:val="18"/>
        </w:rPr>
        <w:t>Fuente: Tomado del Sistema Integrado de Gestión Financiera por el Departamento Financiero</w:t>
      </w:r>
    </w:p>
    <w:p w14:paraId="44D6D729" w14:textId="28E0D85E" w:rsidR="00BD233F" w:rsidRPr="00AF327F" w:rsidRDefault="00454D0C" w:rsidP="00245789">
      <w:pPr>
        <w:pStyle w:val="Descripcin"/>
        <w:keepNext/>
        <w:rPr>
          <w:rFonts w:ascii="Times New Roman" w:hAnsi="Times New Roman"/>
          <w:color w:val="767171"/>
        </w:rPr>
      </w:pPr>
      <w:r w:rsidRPr="00AF327F">
        <w:rPr>
          <w:rFonts w:ascii="Times New Roman" w:hAnsi="Times New Roman"/>
          <w:i w:val="0"/>
          <w:iCs w:val="0"/>
          <w:color w:val="767171"/>
          <w:spacing w:val="20"/>
          <w:sz w:val="18"/>
        </w:rPr>
        <w:t xml:space="preserve">Gráfico </w:t>
      </w:r>
      <w:r w:rsidR="003A141E" w:rsidRPr="00AF327F">
        <w:rPr>
          <w:rFonts w:ascii="Times New Roman" w:hAnsi="Times New Roman"/>
          <w:i w:val="0"/>
          <w:iCs w:val="0"/>
          <w:color w:val="767171"/>
          <w:spacing w:val="20"/>
          <w:sz w:val="18"/>
        </w:rPr>
        <w:t>6</w:t>
      </w:r>
      <w:r w:rsidRPr="00AF327F">
        <w:rPr>
          <w:rFonts w:ascii="Times New Roman" w:hAnsi="Times New Roman"/>
          <w:i w:val="0"/>
          <w:iCs w:val="0"/>
          <w:color w:val="767171"/>
          <w:spacing w:val="20"/>
          <w:sz w:val="18"/>
        </w:rPr>
        <w:t xml:space="preserve">. </w:t>
      </w:r>
      <w:r w:rsidR="00325941" w:rsidRPr="00AF327F">
        <w:rPr>
          <w:rFonts w:ascii="Times New Roman" w:hAnsi="Times New Roman"/>
          <w:i w:val="0"/>
          <w:iCs w:val="0"/>
          <w:color w:val="767171"/>
          <w:spacing w:val="20"/>
          <w:sz w:val="18"/>
        </w:rPr>
        <w:t>Distribución presupuesto</w:t>
      </w:r>
      <w:r w:rsidR="00245789" w:rsidRPr="00AF327F">
        <w:rPr>
          <w:rFonts w:ascii="Times New Roman" w:hAnsi="Times New Roman"/>
          <w:i w:val="0"/>
          <w:iCs w:val="0"/>
          <w:color w:val="767171"/>
          <w:spacing w:val="20"/>
          <w:sz w:val="18"/>
        </w:rPr>
        <w:t xml:space="preserve"> por objeto vigente y devengado</w:t>
      </w:r>
      <w:r w:rsidR="00AE1425">
        <w:rPr>
          <w:rFonts w:ascii="Times New Roman" w:hAnsi="Times New Roman"/>
          <w:i w:val="0"/>
          <w:iCs w:val="0"/>
          <w:color w:val="767171"/>
          <w:spacing w:val="20"/>
          <w:sz w:val="18"/>
        </w:rPr>
        <w:t xml:space="preserve"> </w:t>
      </w:r>
      <w:r w:rsidR="00245789" w:rsidRPr="00AF327F">
        <w:rPr>
          <w:rFonts w:ascii="Times New Roman" w:hAnsi="Times New Roman"/>
          <w:i w:val="0"/>
          <w:iCs w:val="0"/>
          <w:color w:val="767171"/>
          <w:spacing w:val="20"/>
          <w:sz w:val="18"/>
        </w:rPr>
        <w:t>2025, en RD$.</w:t>
      </w:r>
      <w:r w:rsidR="00245789" w:rsidRPr="00AF327F">
        <w:rPr>
          <w:rFonts w:ascii="Times New Roman" w:hAnsi="Times New Roman"/>
          <w:noProof/>
          <w:color w:val="767171"/>
        </w:rPr>
        <w:drawing>
          <wp:inline distT="0" distB="0" distL="0" distR="0" wp14:anchorId="5BD8C801" wp14:editId="0B6BD771">
            <wp:extent cx="5276850" cy="1687286"/>
            <wp:effectExtent l="0" t="0" r="0" b="8255"/>
            <wp:docPr id="1209266728" name="Gráfico 1">
              <a:extLst xmlns:a="http://schemas.openxmlformats.org/drawingml/2006/main">
                <a:ext uri="{FF2B5EF4-FFF2-40B4-BE49-F238E27FC236}">
                  <a16:creationId xmlns:a16="http://schemas.microsoft.com/office/drawing/2014/main" id="{14E28392-6546-1570-2554-192BE84F3E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8F013A" w14:textId="1FF2E1B7" w:rsidR="00F31606" w:rsidRPr="0077472F" w:rsidRDefault="00245789" w:rsidP="00C83C69">
      <w:pPr>
        <w:jc w:val="center"/>
        <w:rPr>
          <w:rFonts w:eastAsia="Calibri"/>
          <w:i/>
          <w:iCs/>
          <w:sz w:val="18"/>
          <w:szCs w:val="18"/>
        </w:rPr>
      </w:pPr>
      <w:r w:rsidRPr="0077472F">
        <w:rPr>
          <w:rFonts w:eastAsia="Calibri"/>
          <w:i/>
          <w:iCs/>
          <w:sz w:val="18"/>
          <w:szCs w:val="18"/>
        </w:rPr>
        <w:t xml:space="preserve">Fuente: Tomado del Sistema Integrado de Gestión Financiera por el Departamento </w:t>
      </w:r>
    </w:p>
    <w:p w14:paraId="044BAC24" w14:textId="77777777" w:rsidR="00B04AD7" w:rsidRPr="00AF327F" w:rsidRDefault="00B04AD7">
      <w:pPr>
        <w:rPr>
          <w:rFonts w:eastAsia="Calibri"/>
        </w:rPr>
      </w:pPr>
      <w:r w:rsidRPr="00AF327F">
        <w:rPr>
          <w:rFonts w:eastAsia="Calibri"/>
        </w:rPr>
        <w:br w:type="page"/>
      </w:r>
    </w:p>
    <w:tbl>
      <w:tblPr>
        <w:tblpPr w:leftFromText="141" w:rightFromText="141" w:horzAnchor="margin" w:tblpY="760"/>
        <w:tblW w:w="8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0"/>
        <w:gridCol w:w="1820"/>
        <w:gridCol w:w="1820"/>
        <w:gridCol w:w="1069"/>
        <w:gridCol w:w="1820"/>
      </w:tblGrid>
      <w:tr w:rsidR="00B04AD7" w:rsidRPr="00465A16" w14:paraId="1D49C2D1" w14:textId="77777777" w:rsidTr="00D36199">
        <w:trPr>
          <w:trHeight w:val="400"/>
        </w:trPr>
        <w:tc>
          <w:tcPr>
            <w:tcW w:w="1660" w:type="dxa"/>
            <w:shd w:val="clear" w:color="auto" w:fill="011C50"/>
            <w:vAlign w:val="center"/>
            <w:hideMark/>
          </w:tcPr>
          <w:p w14:paraId="58B20466" w14:textId="77777777" w:rsidR="00B04AD7" w:rsidRPr="00465A16" w:rsidRDefault="00B04AD7" w:rsidP="00B04AD7">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lastRenderedPageBreak/>
              <w:t>Producto</w:t>
            </w:r>
          </w:p>
        </w:tc>
        <w:tc>
          <w:tcPr>
            <w:tcW w:w="1820" w:type="dxa"/>
            <w:shd w:val="clear" w:color="auto" w:fill="011C50"/>
            <w:vAlign w:val="center"/>
            <w:hideMark/>
          </w:tcPr>
          <w:p w14:paraId="405F903A" w14:textId="77777777" w:rsidR="00B04AD7" w:rsidRPr="00465A16" w:rsidRDefault="00B04AD7" w:rsidP="00B04AD7">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Presupuesto Vigente</w:t>
            </w:r>
          </w:p>
        </w:tc>
        <w:tc>
          <w:tcPr>
            <w:tcW w:w="1820" w:type="dxa"/>
            <w:shd w:val="clear" w:color="auto" w:fill="011C50"/>
            <w:vAlign w:val="center"/>
            <w:hideMark/>
          </w:tcPr>
          <w:p w14:paraId="2D2CCC60" w14:textId="57AC4AF3" w:rsidR="00B04AD7" w:rsidRPr="00465A16" w:rsidRDefault="00B04AD7" w:rsidP="00B04AD7">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Devengado al 30 de noviembre</w:t>
            </w:r>
          </w:p>
        </w:tc>
        <w:tc>
          <w:tcPr>
            <w:tcW w:w="1069" w:type="dxa"/>
            <w:shd w:val="clear" w:color="auto" w:fill="011C50"/>
            <w:vAlign w:val="center"/>
            <w:hideMark/>
          </w:tcPr>
          <w:p w14:paraId="2AA94768" w14:textId="141E84BE" w:rsidR="00B04AD7" w:rsidRPr="00465A16" w:rsidRDefault="00B04AD7" w:rsidP="00B04AD7">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 ejecución al 30 Nov</w:t>
            </w:r>
          </w:p>
        </w:tc>
        <w:tc>
          <w:tcPr>
            <w:tcW w:w="1820" w:type="dxa"/>
            <w:shd w:val="clear" w:color="auto" w:fill="011C50"/>
            <w:vAlign w:val="center"/>
            <w:hideMark/>
          </w:tcPr>
          <w:p w14:paraId="3B253407" w14:textId="25577733" w:rsidR="00B04AD7" w:rsidRPr="00465A16" w:rsidRDefault="00B04AD7" w:rsidP="00B04AD7">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 xml:space="preserve">Proyección devengada al 31 de </w:t>
            </w:r>
            <w:r w:rsidR="0091716D" w:rsidRPr="00465A16">
              <w:rPr>
                <w:rFonts w:eastAsia="Times New Roman"/>
                <w:b/>
                <w:bCs/>
                <w:color w:val="FFFFFF"/>
                <w:spacing w:val="0"/>
                <w:sz w:val="20"/>
                <w:szCs w:val="20"/>
                <w:lang w:eastAsia="es-DO"/>
              </w:rPr>
              <w:t>diciembre</w:t>
            </w:r>
          </w:p>
        </w:tc>
      </w:tr>
      <w:tr w:rsidR="00B04AD7" w:rsidRPr="00465A16" w14:paraId="2A319C38" w14:textId="77777777" w:rsidTr="00D36199">
        <w:trPr>
          <w:trHeight w:val="240"/>
        </w:trPr>
        <w:tc>
          <w:tcPr>
            <w:tcW w:w="1660" w:type="dxa"/>
            <w:vAlign w:val="center"/>
            <w:hideMark/>
          </w:tcPr>
          <w:p w14:paraId="31C39056" w14:textId="77777777" w:rsidR="00B04AD7" w:rsidRPr="00AF327F" w:rsidRDefault="00B04AD7" w:rsidP="00B04AD7">
            <w:pPr>
              <w:spacing w:after="0" w:line="240" w:lineRule="auto"/>
              <w:rPr>
                <w:rFonts w:eastAsia="Times New Roman"/>
                <w:spacing w:val="0"/>
                <w:lang w:eastAsia="es-DO"/>
              </w:rPr>
            </w:pPr>
            <w:r w:rsidRPr="00AF327F">
              <w:rPr>
                <w:rFonts w:eastAsia="Times New Roman"/>
                <w:spacing w:val="0"/>
                <w:lang w:eastAsia="es-DO"/>
              </w:rPr>
              <w:t>00-Acciones que no generan producción</w:t>
            </w:r>
          </w:p>
        </w:tc>
        <w:tc>
          <w:tcPr>
            <w:tcW w:w="1820" w:type="dxa"/>
            <w:vAlign w:val="center"/>
            <w:hideMark/>
          </w:tcPr>
          <w:p w14:paraId="368506DD"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220,000.00</w:t>
            </w:r>
          </w:p>
        </w:tc>
        <w:tc>
          <w:tcPr>
            <w:tcW w:w="1820" w:type="dxa"/>
            <w:vAlign w:val="center"/>
            <w:hideMark/>
          </w:tcPr>
          <w:p w14:paraId="28651B09"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176,110.48</w:t>
            </w:r>
          </w:p>
        </w:tc>
        <w:tc>
          <w:tcPr>
            <w:tcW w:w="1069" w:type="dxa"/>
            <w:noWrap/>
            <w:vAlign w:val="center"/>
            <w:hideMark/>
          </w:tcPr>
          <w:p w14:paraId="49CAFE70" w14:textId="77777777" w:rsidR="00B04AD7" w:rsidRPr="00AF327F" w:rsidRDefault="00B04AD7" w:rsidP="00B04AD7">
            <w:pPr>
              <w:spacing w:after="0" w:line="240" w:lineRule="auto"/>
              <w:jc w:val="center"/>
              <w:rPr>
                <w:rFonts w:eastAsia="Times New Roman"/>
                <w:spacing w:val="0"/>
                <w:lang w:eastAsia="es-DO"/>
              </w:rPr>
            </w:pPr>
            <w:r w:rsidRPr="00AF327F">
              <w:rPr>
                <w:rFonts w:eastAsia="Times New Roman"/>
                <w:spacing w:val="0"/>
                <w:lang w:eastAsia="es-DO"/>
              </w:rPr>
              <w:t>0.01%</w:t>
            </w:r>
          </w:p>
        </w:tc>
        <w:tc>
          <w:tcPr>
            <w:tcW w:w="1820" w:type="dxa"/>
            <w:noWrap/>
            <w:vAlign w:val="center"/>
            <w:hideMark/>
          </w:tcPr>
          <w:p w14:paraId="0B8FE42F"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 xml:space="preserve">                                          176,110.48 </w:t>
            </w:r>
          </w:p>
        </w:tc>
      </w:tr>
      <w:tr w:rsidR="00B04AD7" w:rsidRPr="00465A16" w14:paraId="1672BBF1" w14:textId="77777777" w:rsidTr="00D36199">
        <w:trPr>
          <w:trHeight w:val="240"/>
        </w:trPr>
        <w:tc>
          <w:tcPr>
            <w:tcW w:w="1660" w:type="dxa"/>
            <w:vAlign w:val="center"/>
            <w:hideMark/>
          </w:tcPr>
          <w:p w14:paraId="4C42CC36" w14:textId="77777777" w:rsidR="00B04AD7" w:rsidRPr="00AF327F" w:rsidRDefault="00B04AD7" w:rsidP="00B04AD7">
            <w:pPr>
              <w:spacing w:after="0" w:line="240" w:lineRule="auto"/>
              <w:rPr>
                <w:rFonts w:eastAsia="Times New Roman"/>
                <w:spacing w:val="0"/>
                <w:lang w:eastAsia="es-DO"/>
              </w:rPr>
            </w:pPr>
            <w:r w:rsidRPr="00AF327F">
              <w:rPr>
                <w:rFonts w:eastAsia="Times New Roman"/>
                <w:spacing w:val="0"/>
                <w:lang w:eastAsia="es-DO"/>
              </w:rPr>
              <w:t>01-Acciones Comunes</w:t>
            </w:r>
          </w:p>
        </w:tc>
        <w:tc>
          <w:tcPr>
            <w:tcW w:w="1820" w:type="dxa"/>
            <w:vAlign w:val="center"/>
            <w:hideMark/>
          </w:tcPr>
          <w:p w14:paraId="39A1127A"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1,075,258,346.26</w:t>
            </w:r>
          </w:p>
        </w:tc>
        <w:tc>
          <w:tcPr>
            <w:tcW w:w="1820" w:type="dxa"/>
            <w:vAlign w:val="center"/>
            <w:hideMark/>
          </w:tcPr>
          <w:p w14:paraId="734EAA82"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766,445,786.23</w:t>
            </w:r>
          </w:p>
        </w:tc>
        <w:tc>
          <w:tcPr>
            <w:tcW w:w="1069" w:type="dxa"/>
            <w:noWrap/>
            <w:vAlign w:val="center"/>
            <w:hideMark/>
          </w:tcPr>
          <w:p w14:paraId="2BF0356A" w14:textId="77777777" w:rsidR="00B04AD7" w:rsidRPr="00AF327F" w:rsidRDefault="00B04AD7" w:rsidP="00B04AD7">
            <w:pPr>
              <w:spacing w:after="0" w:line="240" w:lineRule="auto"/>
              <w:jc w:val="center"/>
              <w:rPr>
                <w:rFonts w:eastAsia="Times New Roman"/>
                <w:spacing w:val="0"/>
                <w:lang w:eastAsia="es-DO"/>
              </w:rPr>
            </w:pPr>
            <w:r w:rsidRPr="00AF327F">
              <w:rPr>
                <w:rFonts w:eastAsia="Times New Roman"/>
                <w:spacing w:val="0"/>
                <w:lang w:eastAsia="es-DO"/>
              </w:rPr>
              <w:t>34.45%</w:t>
            </w:r>
          </w:p>
        </w:tc>
        <w:tc>
          <w:tcPr>
            <w:tcW w:w="1820" w:type="dxa"/>
            <w:noWrap/>
            <w:vAlign w:val="center"/>
            <w:hideMark/>
          </w:tcPr>
          <w:p w14:paraId="393DE479" w14:textId="54BE384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 xml:space="preserve">                            1,055,258,346.2 </w:t>
            </w:r>
          </w:p>
        </w:tc>
      </w:tr>
      <w:tr w:rsidR="00B04AD7" w:rsidRPr="00465A16" w14:paraId="42602A3D" w14:textId="77777777" w:rsidTr="00D36199">
        <w:trPr>
          <w:trHeight w:val="400"/>
        </w:trPr>
        <w:tc>
          <w:tcPr>
            <w:tcW w:w="1660" w:type="dxa"/>
            <w:vAlign w:val="center"/>
            <w:hideMark/>
          </w:tcPr>
          <w:p w14:paraId="4AA0D90D" w14:textId="77777777" w:rsidR="00B04AD7" w:rsidRPr="00AF327F" w:rsidRDefault="00B04AD7" w:rsidP="00B04AD7">
            <w:pPr>
              <w:spacing w:after="0" w:line="240" w:lineRule="auto"/>
              <w:rPr>
                <w:rFonts w:eastAsia="Times New Roman"/>
                <w:spacing w:val="0"/>
                <w:lang w:eastAsia="es-DO"/>
              </w:rPr>
            </w:pPr>
            <w:r w:rsidRPr="00AF327F">
              <w:rPr>
                <w:rFonts w:eastAsia="Times New Roman"/>
                <w:spacing w:val="0"/>
                <w:lang w:eastAsia="es-DO"/>
              </w:rPr>
              <w:t>02-Instituciones Públicas reciben Servicios de Auditoría Interna</w:t>
            </w:r>
          </w:p>
        </w:tc>
        <w:tc>
          <w:tcPr>
            <w:tcW w:w="1820" w:type="dxa"/>
            <w:vAlign w:val="center"/>
            <w:hideMark/>
          </w:tcPr>
          <w:p w14:paraId="17B3B306"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335,944,848.04</w:t>
            </w:r>
          </w:p>
        </w:tc>
        <w:tc>
          <w:tcPr>
            <w:tcW w:w="1820" w:type="dxa"/>
            <w:vAlign w:val="center"/>
            <w:hideMark/>
          </w:tcPr>
          <w:p w14:paraId="63E7A4D9"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268,366,502.73</w:t>
            </w:r>
          </w:p>
        </w:tc>
        <w:tc>
          <w:tcPr>
            <w:tcW w:w="1069" w:type="dxa"/>
            <w:noWrap/>
            <w:vAlign w:val="center"/>
            <w:hideMark/>
          </w:tcPr>
          <w:p w14:paraId="48AC1776" w14:textId="77777777" w:rsidR="00B04AD7" w:rsidRPr="00AF327F" w:rsidRDefault="00B04AD7" w:rsidP="00B04AD7">
            <w:pPr>
              <w:spacing w:after="0" w:line="240" w:lineRule="auto"/>
              <w:jc w:val="center"/>
              <w:rPr>
                <w:rFonts w:eastAsia="Times New Roman"/>
                <w:spacing w:val="0"/>
                <w:lang w:eastAsia="es-DO"/>
              </w:rPr>
            </w:pPr>
            <w:r w:rsidRPr="00AF327F">
              <w:rPr>
                <w:rFonts w:eastAsia="Times New Roman"/>
                <w:spacing w:val="0"/>
                <w:lang w:eastAsia="es-DO"/>
              </w:rPr>
              <w:t>10.94%</w:t>
            </w:r>
          </w:p>
        </w:tc>
        <w:tc>
          <w:tcPr>
            <w:tcW w:w="1820" w:type="dxa"/>
            <w:noWrap/>
            <w:vAlign w:val="center"/>
            <w:hideMark/>
          </w:tcPr>
          <w:p w14:paraId="0D0CE2A9"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 xml:space="preserve">                               334,944,848.04 </w:t>
            </w:r>
          </w:p>
        </w:tc>
      </w:tr>
      <w:tr w:rsidR="00B04AD7" w:rsidRPr="00465A16" w14:paraId="2980E1BD" w14:textId="77777777" w:rsidTr="00D36199">
        <w:trPr>
          <w:trHeight w:val="400"/>
        </w:trPr>
        <w:tc>
          <w:tcPr>
            <w:tcW w:w="1660" w:type="dxa"/>
            <w:vAlign w:val="center"/>
            <w:hideMark/>
          </w:tcPr>
          <w:p w14:paraId="7E412C84" w14:textId="77777777" w:rsidR="00B04AD7" w:rsidRPr="00AF327F" w:rsidRDefault="00B04AD7" w:rsidP="00B04AD7">
            <w:pPr>
              <w:spacing w:after="0" w:line="240" w:lineRule="auto"/>
              <w:rPr>
                <w:rFonts w:eastAsia="Times New Roman"/>
                <w:spacing w:val="0"/>
                <w:lang w:eastAsia="es-DO"/>
              </w:rPr>
            </w:pPr>
            <w:r w:rsidRPr="00AF327F">
              <w:rPr>
                <w:rFonts w:eastAsia="Times New Roman"/>
                <w:spacing w:val="0"/>
                <w:lang w:eastAsia="es-DO"/>
              </w:rPr>
              <w:t>03-Asesoría y Capacitación en el Fortalecimiento del Control Interno</w:t>
            </w:r>
          </w:p>
        </w:tc>
        <w:tc>
          <w:tcPr>
            <w:tcW w:w="1820" w:type="dxa"/>
            <w:vAlign w:val="center"/>
            <w:hideMark/>
          </w:tcPr>
          <w:p w14:paraId="2555B34C"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75,851,555.76</w:t>
            </w:r>
          </w:p>
        </w:tc>
        <w:tc>
          <w:tcPr>
            <w:tcW w:w="1820" w:type="dxa"/>
            <w:vAlign w:val="center"/>
            <w:hideMark/>
          </w:tcPr>
          <w:p w14:paraId="63CC4173"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61,779,466.92</w:t>
            </w:r>
          </w:p>
        </w:tc>
        <w:tc>
          <w:tcPr>
            <w:tcW w:w="1069" w:type="dxa"/>
            <w:noWrap/>
            <w:vAlign w:val="center"/>
            <w:hideMark/>
          </w:tcPr>
          <w:p w14:paraId="2DF7C6A0" w14:textId="77777777" w:rsidR="00B04AD7" w:rsidRPr="00AF327F" w:rsidRDefault="00B04AD7" w:rsidP="00B04AD7">
            <w:pPr>
              <w:spacing w:after="0" w:line="240" w:lineRule="auto"/>
              <w:jc w:val="center"/>
              <w:rPr>
                <w:rFonts w:eastAsia="Times New Roman"/>
                <w:spacing w:val="0"/>
                <w:lang w:eastAsia="es-DO"/>
              </w:rPr>
            </w:pPr>
            <w:r w:rsidRPr="00AF327F">
              <w:rPr>
                <w:rFonts w:eastAsia="Times New Roman"/>
                <w:spacing w:val="0"/>
                <w:lang w:eastAsia="es-DO"/>
              </w:rPr>
              <w:t>2.44%</w:t>
            </w:r>
          </w:p>
        </w:tc>
        <w:tc>
          <w:tcPr>
            <w:tcW w:w="1820" w:type="dxa"/>
            <w:vAlign w:val="center"/>
            <w:hideMark/>
          </w:tcPr>
          <w:p w14:paraId="158BA68B"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74,851,555.76</w:t>
            </w:r>
          </w:p>
        </w:tc>
      </w:tr>
      <w:tr w:rsidR="00B04AD7" w:rsidRPr="00465A16" w14:paraId="795915E2" w14:textId="77777777" w:rsidTr="00D36199">
        <w:trPr>
          <w:trHeight w:val="400"/>
        </w:trPr>
        <w:tc>
          <w:tcPr>
            <w:tcW w:w="1660" w:type="dxa"/>
            <w:vAlign w:val="center"/>
            <w:hideMark/>
          </w:tcPr>
          <w:p w14:paraId="5060CED3" w14:textId="77777777" w:rsidR="00B04AD7" w:rsidRPr="00AF327F" w:rsidRDefault="00B04AD7" w:rsidP="00B04AD7">
            <w:pPr>
              <w:spacing w:after="0" w:line="240" w:lineRule="auto"/>
              <w:rPr>
                <w:rFonts w:eastAsia="Times New Roman"/>
                <w:spacing w:val="0"/>
                <w:lang w:eastAsia="es-DO"/>
              </w:rPr>
            </w:pPr>
            <w:r w:rsidRPr="00AF327F">
              <w:rPr>
                <w:rFonts w:eastAsia="Times New Roman"/>
                <w:spacing w:val="0"/>
                <w:lang w:eastAsia="es-DO"/>
              </w:rPr>
              <w:t>04-Instituciones Públicas con Contrato Registrado</w:t>
            </w:r>
          </w:p>
        </w:tc>
        <w:tc>
          <w:tcPr>
            <w:tcW w:w="1820" w:type="dxa"/>
            <w:vAlign w:val="center"/>
            <w:hideMark/>
          </w:tcPr>
          <w:p w14:paraId="2CEB5337"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42,345,766.92</w:t>
            </w:r>
          </w:p>
        </w:tc>
        <w:tc>
          <w:tcPr>
            <w:tcW w:w="1820" w:type="dxa"/>
            <w:vAlign w:val="center"/>
            <w:hideMark/>
          </w:tcPr>
          <w:p w14:paraId="5AE4214C"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34,611,673.49</w:t>
            </w:r>
          </w:p>
        </w:tc>
        <w:tc>
          <w:tcPr>
            <w:tcW w:w="1069" w:type="dxa"/>
            <w:noWrap/>
            <w:vAlign w:val="center"/>
            <w:hideMark/>
          </w:tcPr>
          <w:p w14:paraId="7CDE42E9" w14:textId="77777777" w:rsidR="00B04AD7" w:rsidRPr="00AF327F" w:rsidRDefault="00B04AD7" w:rsidP="00B04AD7">
            <w:pPr>
              <w:spacing w:after="0" w:line="240" w:lineRule="auto"/>
              <w:jc w:val="center"/>
              <w:rPr>
                <w:rFonts w:eastAsia="Times New Roman"/>
                <w:spacing w:val="0"/>
                <w:lang w:eastAsia="es-DO"/>
              </w:rPr>
            </w:pPr>
            <w:r w:rsidRPr="00AF327F">
              <w:rPr>
                <w:rFonts w:eastAsia="Times New Roman"/>
                <w:spacing w:val="0"/>
                <w:lang w:eastAsia="es-DO"/>
              </w:rPr>
              <w:t>1.35%</w:t>
            </w:r>
          </w:p>
        </w:tc>
        <w:tc>
          <w:tcPr>
            <w:tcW w:w="1820" w:type="dxa"/>
            <w:vAlign w:val="center"/>
            <w:hideMark/>
          </w:tcPr>
          <w:p w14:paraId="75B9F0D5"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41,345,766.92</w:t>
            </w:r>
          </w:p>
        </w:tc>
      </w:tr>
      <w:tr w:rsidR="00B04AD7" w:rsidRPr="00465A16" w14:paraId="4139B834" w14:textId="77777777" w:rsidTr="00D36199">
        <w:trPr>
          <w:trHeight w:val="595"/>
        </w:trPr>
        <w:tc>
          <w:tcPr>
            <w:tcW w:w="1660" w:type="dxa"/>
            <w:vAlign w:val="center"/>
            <w:hideMark/>
          </w:tcPr>
          <w:p w14:paraId="69A97EB4" w14:textId="77777777" w:rsidR="00B04AD7" w:rsidRPr="00AF327F" w:rsidRDefault="00B04AD7" w:rsidP="00B04AD7">
            <w:pPr>
              <w:spacing w:after="0" w:line="240" w:lineRule="auto"/>
              <w:rPr>
                <w:rFonts w:eastAsia="Times New Roman"/>
                <w:spacing w:val="0"/>
                <w:lang w:eastAsia="es-DO"/>
              </w:rPr>
            </w:pPr>
            <w:r w:rsidRPr="00AF327F">
              <w:rPr>
                <w:rFonts w:eastAsia="Times New Roman"/>
                <w:spacing w:val="0"/>
                <w:lang w:eastAsia="es-DO"/>
              </w:rPr>
              <w:t>05-Órdenes de Pagos Autorizadas Conforme Comprobación del Cumplimiento</w:t>
            </w:r>
          </w:p>
        </w:tc>
        <w:tc>
          <w:tcPr>
            <w:tcW w:w="1820" w:type="dxa"/>
            <w:vAlign w:val="center"/>
            <w:hideMark/>
          </w:tcPr>
          <w:p w14:paraId="266EA61F"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1,533,199,311.60</w:t>
            </w:r>
          </w:p>
        </w:tc>
        <w:tc>
          <w:tcPr>
            <w:tcW w:w="1820" w:type="dxa"/>
            <w:vAlign w:val="center"/>
            <w:hideMark/>
          </w:tcPr>
          <w:p w14:paraId="7DE7A7DC"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1,220,648,753.83</w:t>
            </w:r>
          </w:p>
        </w:tc>
        <w:tc>
          <w:tcPr>
            <w:tcW w:w="1069" w:type="dxa"/>
            <w:noWrap/>
            <w:vAlign w:val="center"/>
            <w:hideMark/>
          </w:tcPr>
          <w:p w14:paraId="3B1F9065" w14:textId="77777777" w:rsidR="00B04AD7" w:rsidRPr="00AF327F" w:rsidRDefault="00B04AD7" w:rsidP="00B04AD7">
            <w:pPr>
              <w:spacing w:after="0" w:line="240" w:lineRule="auto"/>
              <w:jc w:val="center"/>
              <w:rPr>
                <w:rFonts w:eastAsia="Times New Roman"/>
                <w:spacing w:val="0"/>
                <w:lang w:eastAsia="es-DO"/>
              </w:rPr>
            </w:pPr>
            <w:r w:rsidRPr="00AF327F">
              <w:rPr>
                <w:rFonts w:eastAsia="Times New Roman"/>
                <w:spacing w:val="0"/>
                <w:lang w:eastAsia="es-DO"/>
              </w:rPr>
              <w:t>50.03%</w:t>
            </w:r>
          </w:p>
        </w:tc>
        <w:tc>
          <w:tcPr>
            <w:tcW w:w="1820" w:type="dxa"/>
            <w:noWrap/>
            <w:vAlign w:val="center"/>
            <w:hideMark/>
          </w:tcPr>
          <w:p w14:paraId="44F334B4" w14:textId="77777777" w:rsidR="00B04AD7" w:rsidRPr="00AF327F" w:rsidRDefault="00B04AD7" w:rsidP="00B04AD7">
            <w:pPr>
              <w:spacing w:after="0" w:line="240" w:lineRule="auto"/>
              <w:jc w:val="right"/>
              <w:rPr>
                <w:rFonts w:eastAsia="Times New Roman"/>
                <w:spacing w:val="0"/>
                <w:lang w:eastAsia="es-DO"/>
              </w:rPr>
            </w:pPr>
            <w:r w:rsidRPr="00AF327F">
              <w:rPr>
                <w:rFonts w:eastAsia="Times New Roman"/>
                <w:spacing w:val="0"/>
                <w:lang w:eastAsia="es-DO"/>
              </w:rPr>
              <w:t xml:space="preserve">                            1,532,309,107.17 </w:t>
            </w:r>
          </w:p>
        </w:tc>
      </w:tr>
      <w:tr w:rsidR="00B04AD7" w:rsidRPr="00465A16" w14:paraId="105686DF" w14:textId="77777777" w:rsidTr="00D36199">
        <w:trPr>
          <w:trHeight w:val="240"/>
        </w:trPr>
        <w:tc>
          <w:tcPr>
            <w:tcW w:w="1660" w:type="dxa"/>
            <w:shd w:val="clear" w:color="auto" w:fill="011C50"/>
            <w:vAlign w:val="center"/>
            <w:hideMark/>
          </w:tcPr>
          <w:p w14:paraId="5E5C826C" w14:textId="77777777" w:rsidR="00B04AD7" w:rsidRPr="00465A16" w:rsidRDefault="00B04AD7" w:rsidP="00B04AD7">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Total General</w:t>
            </w:r>
          </w:p>
        </w:tc>
        <w:tc>
          <w:tcPr>
            <w:tcW w:w="1820" w:type="dxa"/>
            <w:shd w:val="clear" w:color="auto" w:fill="011C50"/>
            <w:hideMark/>
          </w:tcPr>
          <w:p w14:paraId="27F4FA64" w14:textId="77777777" w:rsidR="00B04AD7" w:rsidRPr="00465A16" w:rsidRDefault="00B04AD7" w:rsidP="00B04AD7">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3,062,819,828.58</w:t>
            </w:r>
          </w:p>
        </w:tc>
        <w:tc>
          <w:tcPr>
            <w:tcW w:w="1820" w:type="dxa"/>
            <w:shd w:val="clear" w:color="auto" w:fill="011C50"/>
            <w:hideMark/>
          </w:tcPr>
          <w:p w14:paraId="54A55069" w14:textId="77777777" w:rsidR="00B04AD7" w:rsidRPr="00465A16" w:rsidRDefault="00B04AD7" w:rsidP="00B04AD7">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2,352,028,293.68</w:t>
            </w:r>
          </w:p>
        </w:tc>
        <w:tc>
          <w:tcPr>
            <w:tcW w:w="1069" w:type="dxa"/>
            <w:shd w:val="clear" w:color="auto" w:fill="011C50"/>
            <w:noWrap/>
            <w:hideMark/>
          </w:tcPr>
          <w:p w14:paraId="6386121D" w14:textId="77777777" w:rsidR="00B04AD7" w:rsidRPr="00465A16" w:rsidRDefault="00B04AD7" w:rsidP="00B04AD7">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99.22%</w:t>
            </w:r>
          </w:p>
        </w:tc>
        <w:tc>
          <w:tcPr>
            <w:tcW w:w="1820" w:type="dxa"/>
            <w:shd w:val="clear" w:color="auto" w:fill="011C50"/>
            <w:noWrap/>
            <w:hideMark/>
          </w:tcPr>
          <w:p w14:paraId="2971DDCB" w14:textId="35A99739" w:rsidR="00B04AD7" w:rsidRPr="00465A16" w:rsidRDefault="00B04AD7" w:rsidP="00B04AD7">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3,038,885,734.63</w:t>
            </w:r>
          </w:p>
        </w:tc>
      </w:tr>
    </w:tbl>
    <w:p w14:paraId="39A5FD28" w14:textId="63040A08" w:rsidR="00B04AD7" w:rsidRPr="00AF327F" w:rsidRDefault="00B04AD7" w:rsidP="00B04AD7">
      <w:pPr>
        <w:spacing w:line="360" w:lineRule="auto"/>
        <w:jc w:val="center"/>
        <w:rPr>
          <w:rFonts w:eastAsia="Calibri"/>
          <w:sz w:val="18"/>
          <w:szCs w:val="18"/>
        </w:rPr>
      </w:pPr>
      <w:r w:rsidRPr="00AF327F">
        <w:rPr>
          <w:rFonts w:eastAsia="Calibri"/>
          <w:sz w:val="18"/>
          <w:szCs w:val="18"/>
        </w:rPr>
        <w:t>Tabla 1</w:t>
      </w:r>
      <w:r w:rsidR="00287505" w:rsidRPr="00AF327F">
        <w:rPr>
          <w:rFonts w:eastAsia="Calibri"/>
          <w:sz w:val="18"/>
          <w:szCs w:val="18"/>
        </w:rPr>
        <w:t>4</w:t>
      </w:r>
      <w:r w:rsidRPr="00AF327F">
        <w:rPr>
          <w:rFonts w:eastAsia="Calibri"/>
          <w:sz w:val="18"/>
          <w:szCs w:val="18"/>
        </w:rPr>
        <w:t>. Presupuesto por Producto vigente y devengado, en RD$</w:t>
      </w:r>
    </w:p>
    <w:p w14:paraId="368DD08F" w14:textId="77777777" w:rsidR="00D36199" w:rsidRDefault="00D36199" w:rsidP="00B04AD7">
      <w:pPr>
        <w:jc w:val="center"/>
        <w:rPr>
          <w:rFonts w:eastAsia="Calibri"/>
          <w:i/>
          <w:iCs/>
          <w:sz w:val="18"/>
          <w:szCs w:val="18"/>
        </w:rPr>
      </w:pPr>
    </w:p>
    <w:p w14:paraId="23401D5B" w14:textId="2D01BBC9" w:rsidR="00B04AD7" w:rsidRPr="0077472F" w:rsidRDefault="00B04AD7" w:rsidP="00B04AD7">
      <w:pPr>
        <w:jc w:val="center"/>
        <w:rPr>
          <w:rFonts w:eastAsia="Calibri"/>
          <w:i/>
          <w:iCs/>
          <w:sz w:val="18"/>
          <w:szCs w:val="18"/>
        </w:rPr>
      </w:pPr>
      <w:r w:rsidRPr="0077472F">
        <w:rPr>
          <w:rFonts w:eastAsia="Calibri"/>
          <w:i/>
          <w:iCs/>
          <w:sz w:val="18"/>
          <w:szCs w:val="18"/>
        </w:rPr>
        <w:t>Fuente: Tomado del Sistema Integrado de Gestión Financiera por el Departamento Financiero</w:t>
      </w:r>
    </w:p>
    <w:p w14:paraId="282858F8" w14:textId="77777777" w:rsidR="00D6356A" w:rsidRDefault="00D6356A" w:rsidP="00F31606">
      <w:pPr>
        <w:spacing w:line="360" w:lineRule="auto"/>
        <w:jc w:val="both"/>
        <w:rPr>
          <w:rFonts w:eastAsia="Calibri"/>
        </w:rPr>
      </w:pPr>
    </w:p>
    <w:p w14:paraId="41EB0B95" w14:textId="65B692BD" w:rsidR="00F31606" w:rsidRPr="00AF327F" w:rsidRDefault="00F31606" w:rsidP="00F31606">
      <w:pPr>
        <w:spacing w:line="360" w:lineRule="auto"/>
        <w:jc w:val="both"/>
        <w:rPr>
          <w:rFonts w:eastAsia="Calibri"/>
        </w:rPr>
      </w:pPr>
      <w:r w:rsidRPr="00AF327F">
        <w:rPr>
          <w:rFonts w:eastAsia="Calibri"/>
        </w:rPr>
        <w:t xml:space="preserve">En la sección de anexos se encuentra la matriz de ejecución </w:t>
      </w:r>
      <w:r w:rsidR="00B04AD7" w:rsidRPr="00AF327F">
        <w:rPr>
          <w:rFonts w:eastAsia="Calibri"/>
        </w:rPr>
        <w:t xml:space="preserve">presupuestaria 2025 por programa y subprograma </w:t>
      </w:r>
      <w:r w:rsidRPr="00AF327F">
        <w:rPr>
          <w:rFonts w:eastAsia="Calibri"/>
        </w:rPr>
        <w:t xml:space="preserve">para consulta. </w:t>
      </w:r>
    </w:p>
    <w:p w14:paraId="385E7482" w14:textId="77777777" w:rsidR="00F31606" w:rsidRPr="00AF327F" w:rsidRDefault="00F31606" w:rsidP="00F31606">
      <w:pPr>
        <w:ind w:firstLine="720"/>
        <w:rPr>
          <w:rFonts w:eastAsia="Calibri"/>
          <w:sz w:val="18"/>
          <w:szCs w:val="18"/>
        </w:rPr>
      </w:pPr>
    </w:p>
    <w:p w14:paraId="4BE8ED79" w14:textId="77777777" w:rsidR="00F31606" w:rsidRPr="00465A16" w:rsidRDefault="00F31606" w:rsidP="00F31606">
      <w:pPr>
        <w:rPr>
          <w:rFonts w:eastAsia="Calibri"/>
          <w:color w:val="4C4747"/>
          <w:sz w:val="18"/>
          <w:szCs w:val="18"/>
        </w:rPr>
      </w:pPr>
    </w:p>
    <w:p w14:paraId="41ACFE64" w14:textId="77777777" w:rsidR="00F31606" w:rsidRPr="00465A16" w:rsidRDefault="00F31606" w:rsidP="00F31606">
      <w:pPr>
        <w:sectPr w:rsidR="00F31606" w:rsidRPr="00465A16" w:rsidSect="00F504EE">
          <w:pgSz w:w="12240" w:h="15840"/>
          <w:pgMar w:top="1440" w:right="2160" w:bottom="1440" w:left="2160" w:header="720" w:footer="720" w:gutter="0"/>
          <w:cols w:space="720"/>
          <w:docGrid w:linePitch="360"/>
        </w:sectPr>
      </w:pPr>
    </w:p>
    <w:p w14:paraId="5A4FD224" w14:textId="4B8EFD6E" w:rsidR="00647F36" w:rsidRPr="00AF327F" w:rsidRDefault="00FE3C5B" w:rsidP="00FE3C5B">
      <w:pPr>
        <w:pStyle w:val="Prrafodelista"/>
        <w:spacing w:line="360" w:lineRule="auto"/>
        <w:ind w:left="142"/>
        <w:jc w:val="both"/>
        <w:rPr>
          <w:rFonts w:eastAsia="Calibri"/>
          <w:b/>
          <w:bCs/>
        </w:rPr>
      </w:pPr>
      <w:r w:rsidRPr="00AF327F">
        <w:rPr>
          <w:rFonts w:eastAsia="Calibri"/>
          <w:b/>
          <w:bCs/>
        </w:rPr>
        <w:lastRenderedPageBreak/>
        <w:t xml:space="preserve">b. </w:t>
      </w:r>
      <w:r w:rsidR="00647F36" w:rsidRPr="00AF327F">
        <w:rPr>
          <w:rFonts w:eastAsia="Calibri"/>
          <w:b/>
          <w:bCs/>
        </w:rPr>
        <w:t>Índice de gestión presupuestaria (IGP)</w:t>
      </w:r>
    </w:p>
    <w:p w14:paraId="2EBC352B" w14:textId="77777777" w:rsidR="00FE3C5B" w:rsidRPr="00AF327F" w:rsidRDefault="00FE3C5B" w:rsidP="00FE3C5B">
      <w:pPr>
        <w:pStyle w:val="Prrafodelista"/>
        <w:spacing w:line="360" w:lineRule="auto"/>
        <w:ind w:left="142"/>
        <w:jc w:val="both"/>
        <w:rPr>
          <w:rFonts w:eastAsia="Calibri"/>
          <w:b/>
          <w:bCs/>
        </w:rPr>
      </w:pPr>
    </w:p>
    <w:p w14:paraId="635B7FC8" w14:textId="15173CB4" w:rsidR="00253B9F" w:rsidRPr="00AF327F" w:rsidRDefault="00647F36" w:rsidP="00253B9F">
      <w:pPr>
        <w:spacing w:line="360" w:lineRule="auto"/>
        <w:jc w:val="both"/>
        <w:rPr>
          <w:rFonts w:eastAsia="Calibri"/>
        </w:rPr>
      </w:pPr>
      <w:r w:rsidRPr="00AF327F">
        <w:rPr>
          <w:rFonts w:eastAsia="Calibri"/>
        </w:rPr>
        <w:t xml:space="preserve">De manera destacada, esta institución obtuvo </w:t>
      </w:r>
      <w:r w:rsidR="00253B9F">
        <w:rPr>
          <w:rFonts w:eastAsia="Calibri"/>
        </w:rPr>
        <w:t xml:space="preserve">resultados de 100%, 94% y 99% </w:t>
      </w:r>
      <w:r w:rsidRPr="00AF327F">
        <w:rPr>
          <w:rFonts w:eastAsia="Calibri"/>
        </w:rPr>
        <w:t>en el Índice de Gestión Presupuestaria (IGP)</w:t>
      </w:r>
      <w:r w:rsidR="00F02C7D" w:rsidRPr="00AF327F">
        <w:rPr>
          <w:rFonts w:eastAsia="Calibri"/>
        </w:rPr>
        <w:t>, correspondientes al primer, segundo y tercer trimestre</w:t>
      </w:r>
      <w:r w:rsidR="00253B9F">
        <w:rPr>
          <w:rFonts w:eastAsia="Calibri"/>
        </w:rPr>
        <w:t xml:space="preserve">. </w:t>
      </w:r>
      <w:r w:rsidR="00253B9F" w:rsidRPr="00AF327F">
        <w:rPr>
          <w:rFonts w:eastAsia="Calibri"/>
        </w:rPr>
        <w:t xml:space="preserve">Para el resultado correspondiente al 4to trimestre se realizó una proyección en la ejecución del presupuesto por objeto, pues la evaluación oficial de Digepres se reporta al cierre de año. </w:t>
      </w:r>
    </w:p>
    <w:p w14:paraId="36BEC94A" w14:textId="48421650" w:rsidR="00647F36" w:rsidRPr="00AF327F" w:rsidRDefault="00647F36" w:rsidP="00FE3C5B">
      <w:pPr>
        <w:pStyle w:val="Prrafodelista"/>
        <w:spacing w:line="360" w:lineRule="auto"/>
        <w:ind w:left="142"/>
        <w:jc w:val="both"/>
        <w:rPr>
          <w:rFonts w:eastAsia="Calibri"/>
        </w:rPr>
      </w:pPr>
    </w:p>
    <w:p w14:paraId="19FCF826" w14:textId="77777777" w:rsidR="00FE3C5B" w:rsidRPr="00AF327F" w:rsidRDefault="00FE3C5B" w:rsidP="00FE3C5B">
      <w:pPr>
        <w:pStyle w:val="Prrafodelista"/>
        <w:spacing w:line="360" w:lineRule="auto"/>
        <w:ind w:left="142"/>
        <w:jc w:val="both"/>
        <w:rPr>
          <w:rFonts w:eastAsia="Calibri"/>
        </w:rPr>
      </w:pPr>
    </w:p>
    <w:p w14:paraId="1BFEBD80" w14:textId="6D57065D" w:rsidR="00F02C7D" w:rsidRPr="00AF327F" w:rsidRDefault="00287505" w:rsidP="00FE3C5B">
      <w:pPr>
        <w:pStyle w:val="Prrafodelista"/>
        <w:spacing w:line="360" w:lineRule="auto"/>
        <w:ind w:left="142"/>
        <w:jc w:val="center"/>
        <w:rPr>
          <w:rFonts w:eastAsia="Calibri"/>
          <w:sz w:val="18"/>
          <w:szCs w:val="18"/>
        </w:rPr>
      </w:pPr>
      <w:r w:rsidRPr="00AF327F">
        <w:rPr>
          <w:rFonts w:eastAsia="Calibri"/>
          <w:sz w:val="18"/>
          <w:szCs w:val="18"/>
        </w:rPr>
        <w:t>Gráfico</w:t>
      </w:r>
      <w:r w:rsidR="00D968E7" w:rsidRPr="00AF327F">
        <w:rPr>
          <w:rFonts w:eastAsia="Calibri"/>
          <w:sz w:val="18"/>
          <w:szCs w:val="18"/>
        </w:rPr>
        <w:t xml:space="preserve"> </w:t>
      </w:r>
      <w:r w:rsidR="003A141E" w:rsidRPr="00AF327F">
        <w:rPr>
          <w:rFonts w:eastAsia="Calibri"/>
          <w:sz w:val="18"/>
          <w:szCs w:val="18"/>
        </w:rPr>
        <w:t>7</w:t>
      </w:r>
      <w:r w:rsidR="00F02C7D" w:rsidRPr="00AF327F">
        <w:rPr>
          <w:rFonts w:eastAsia="Calibri"/>
          <w:sz w:val="18"/>
          <w:szCs w:val="18"/>
        </w:rPr>
        <w:t>. Resultados Índice de Gestión Presupuestaria 202</w:t>
      </w:r>
      <w:r w:rsidR="00FE3C5B" w:rsidRPr="00AF327F">
        <w:rPr>
          <w:rFonts w:eastAsia="Calibri"/>
          <w:sz w:val="18"/>
          <w:szCs w:val="18"/>
        </w:rPr>
        <w:t>5</w:t>
      </w:r>
    </w:p>
    <w:p w14:paraId="4017670C" w14:textId="76556E25" w:rsidR="00F02C7D" w:rsidRPr="00465A16" w:rsidRDefault="00FE3C5B" w:rsidP="00647F36">
      <w:pPr>
        <w:spacing w:line="360" w:lineRule="auto"/>
        <w:jc w:val="both"/>
        <w:rPr>
          <w:rFonts w:eastAsia="Calibri"/>
          <w:color w:val="FF0000"/>
        </w:rPr>
      </w:pPr>
      <w:r w:rsidRPr="00BA1804">
        <w:rPr>
          <w:noProof/>
          <w:shd w:val="clear" w:color="auto" w:fill="011C50"/>
          <w:lang w:eastAsia="es-DO"/>
          <w14:ligatures w14:val="standardContextual"/>
        </w:rPr>
        <w:drawing>
          <wp:inline distT="0" distB="0" distL="0" distR="0" wp14:anchorId="466F69AB" wp14:editId="154B2A28">
            <wp:extent cx="5210175" cy="3035300"/>
            <wp:effectExtent l="0" t="0" r="9525" b="12700"/>
            <wp:docPr id="420553825" name="Gráfico 4205538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46BAA9E" w14:textId="4ABDC561" w:rsidR="00F02C7D" w:rsidRPr="00DF006E" w:rsidRDefault="00F02C7D" w:rsidP="00FE3C5B">
      <w:pPr>
        <w:spacing w:line="360" w:lineRule="auto"/>
        <w:jc w:val="center"/>
        <w:rPr>
          <w:rFonts w:eastAsia="Calibri"/>
          <w:i/>
          <w:iCs/>
          <w:sz w:val="18"/>
          <w:szCs w:val="18"/>
        </w:rPr>
      </w:pPr>
      <w:r w:rsidRPr="00DF006E">
        <w:rPr>
          <w:rFonts w:eastAsia="Calibri"/>
          <w:i/>
          <w:iCs/>
          <w:sz w:val="18"/>
          <w:szCs w:val="18"/>
        </w:rPr>
        <w:t>Fuente. Sistema Integrado de Gestión Financiera por el Departamento Financiero (Sigef).</w:t>
      </w:r>
    </w:p>
    <w:p w14:paraId="20B38F71" w14:textId="77777777" w:rsidR="00CE7DA8" w:rsidRPr="00AF327F" w:rsidRDefault="00CE7DA8" w:rsidP="00FE3C5B">
      <w:pPr>
        <w:spacing w:line="360" w:lineRule="auto"/>
        <w:jc w:val="both"/>
        <w:rPr>
          <w:rFonts w:eastAsia="Calibri"/>
        </w:rPr>
      </w:pPr>
    </w:p>
    <w:p w14:paraId="4DCEFC0E" w14:textId="77777777" w:rsidR="00CE7DA8" w:rsidRPr="00AF327F" w:rsidRDefault="00CE7DA8" w:rsidP="00FE3C5B">
      <w:pPr>
        <w:spacing w:line="360" w:lineRule="auto"/>
        <w:jc w:val="both"/>
        <w:rPr>
          <w:rFonts w:eastAsia="Calibri"/>
        </w:rPr>
      </w:pPr>
    </w:p>
    <w:p w14:paraId="1198ED1A" w14:textId="77777777" w:rsidR="00CE7DA8" w:rsidRPr="00AF327F" w:rsidRDefault="00CE7DA8" w:rsidP="00FE3C5B">
      <w:pPr>
        <w:spacing w:line="360" w:lineRule="auto"/>
        <w:jc w:val="both"/>
        <w:rPr>
          <w:rFonts w:eastAsia="Calibri"/>
        </w:rPr>
      </w:pPr>
    </w:p>
    <w:p w14:paraId="20160AEC" w14:textId="1F3C5552" w:rsidR="00FE3C5B" w:rsidRPr="00AF327F" w:rsidRDefault="00FE3C5B" w:rsidP="00C934DB">
      <w:pPr>
        <w:spacing w:line="360" w:lineRule="auto"/>
        <w:jc w:val="both"/>
        <w:rPr>
          <w:rFonts w:eastAsia="Calibri"/>
        </w:rPr>
      </w:pPr>
      <w:r w:rsidRPr="00AF327F">
        <w:rPr>
          <w:rFonts w:eastAsia="Calibri"/>
        </w:rPr>
        <w:lastRenderedPageBreak/>
        <w:t>En el 2do trimestre del 2025 se presentaron desvíos en el cumplimiento índice en torno a la meta financiera, pues se programaron incrementos salariales a los colaboradores que trabajarían en las aprobaciones de contratos para la construcción de las 1,500 nuevas aulas prometidas para el nuevo año escolar 2025-2026</w:t>
      </w:r>
      <w:r w:rsidR="00CE7DA8" w:rsidRPr="00AF327F">
        <w:rPr>
          <w:rFonts w:eastAsia="Calibri"/>
        </w:rPr>
        <w:t xml:space="preserve"> como prioridad </w:t>
      </w:r>
      <w:r w:rsidRPr="00AF327F">
        <w:rPr>
          <w:rFonts w:eastAsia="Calibri"/>
        </w:rPr>
        <w:t>del Gobierno de acuerdo a lo pactado en la mesa de trabajo con la Dirección de Infrae</w:t>
      </w:r>
      <w:r w:rsidR="0091716D" w:rsidRPr="00AF327F">
        <w:rPr>
          <w:rFonts w:eastAsia="Calibri"/>
        </w:rPr>
        <w:t>structura</w:t>
      </w:r>
      <w:r w:rsidRPr="00AF327F">
        <w:rPr>
          <w:rFonts w:eastAsia="Calibri"/>
        </w:rPr>
        <w:t xml:space="preserve"> del Ministerio de Hacienda pero no fueron aprobados por el Ministerio de Administración Pública. </w:t>
      </w:r>
    </w:p>
    <w:p w14:paraId="39DCAB13" w14:textId="178305A4" w:rsidR="00F31606" w:rsidRPr="00AF327F" w:rsidRDefault="00F31606" w:rsidP="00C934DB">
      <w:pPr>
        <w:spacing w:line="360" w:lineRule="auto"/>
        <w:jc w:val="both"/>
        <w:rPr>
          <w:rFonts w:eastAsia="Calibri"/>
          <w:b/>
          <w:bCs/>
        </w:rPr>
      </w:pPr>
      <w:r w:rsidRPr="00AF327F">
        <w:rPr>
          <w:rFonts w:eastAsia="Calibri"/>
          <w:b/>
          <w:bCs/>
        </w:rPr>
        <w:t>c. Balance de las cuentas y otros aspectos financieros</w:t>
      </w:r>
    </w:p>
    <w:p w14:paraId="1CBE93BD" w14:textId="280A90DE" w:rsidR="00F31606" w:rsidRPr="00AF327F" w:rsidRDefault="00F31606" w:rsidP="00C934DB">
      <w:pPr>
        <w:spacing w:line="360" w:lineRule="auto"/>
        <w:jc w:val="both"/>
        <w:rPr>
          <w:rFonts w:eastAsia="Calibri"/>
        </w:rPr>
      </w:pPr>
      <w:r w:rsidRPr="00AF327F">
        <w:rPr>
          <w:rFonts w:eastAsia="Calibri"/>
        </w:rPr>
        <w:t xml:space="preserve">Al 30 de noviembre la cuenta de banco No. 010-390034-9 presenta </w:t>
      </w:r>
      <w:r w:rsidR="0091716D" w:rsidRPr="00AF327F">
        <w:rPr>
          <w:rFonts w:eastAsia="Calibri"/>
        </w:rPr>
        <w:t>un balance</w:t>
      </w:r>
      <w:r w:rsidRPr="00AF327F">
        <w:rPr>
          <w:rFonts w:eastAsia="Calibri"/>
        </w:rPr>
        <w:t xml:space="preserve"> de RD$470,518.74, según la </w:t>
      </w:r>
      <w:r w:rsidR="0091716D" w:rsidRPr="00AF327F">
        <w:rPr>
          <w:rFonts w:eastAsia="Calibri"/>
        </w:rPr>
        <w:t>conciliación</w:t>
      </w:r>
      <w:r w:rsidRPr="00AF327F">
        <w:rPr>
          <w:rFonts w:eastAsia="Calibri"/>
        </w:rPr>
        <w:t xml:space="preserve"> bancaria. En cuanto a las cuentas por pagar al 30 de noviembre del 2025 ascienden a RD$4,589,985.12. Además, la institución no ha sido objeto de auditorías por la Cámara de Cuentas.</w:t>
      </w:r>
    </w:p>
    <w:p w14:paraId="555445CE" w14:textId="2F2864F5" w:rsidR="0059284A" w:rsidRPr="00AF327F" w:rsidRDefault="00F31606" w:rsidP="00C934DB">
      <w:pPr>
        <w:spacing w:line="360" w:lineRule="auto"/>
        <w:jc w:val="both"/>
        <w:rPr>
          <w:rFonts w:eastAsia="Calibri"/>
          <w:b/>
          <w:bCs/>
        </w:rPr>
      </w:pPr>
      <w:r w:rsidRPr="00AF327F">
        <w:rPr>
          <w:rFonts w:eastAsia="Calibri"/>
          <w:b/>
          <w:bCs/>
        </w:rPr>
        <w:t xml:space="preserve">d. </w:t>
      </w:r>
      <w:r w:rsidR="0059284A" w:rsidRPr="00AF327F">
        <w:rPr>
          <w:rFonts w:eastAsia="Calibri"/>
          <w:b/>
          <w:bCs/>
        </w:rPr>
        <w:t>Desempeño de la gestión de compras y contrataciones</w:t>
      </w:r>
    </w:p>
    <w:p w14:paraId="00DA6762" w14:textId="77777777" w:rsidR="003A141E" w:rsidRPr="00AF327F" w:rsidRDefault="00F02C7D" w:rsidP="003A141E">
      <w:pPr>
        <w:spacing w:line="360" w:lineRule="auto"/>
        <w:jc w:val="both"/>
        <w:rPr>
          <w:rFonts w:eastAsia="Calibri"/>
        </w:rPr>
      </w:pPr>
      <w:r w:rsidRPr="00AF327F">
        <w:rPr>
          <w:rFonts w:eastAsia="Calibri"/>
        </w:rPr>
        <w:t xml:space="preserve">Al momento de la realización de la presente memoria se han </w:t>
      </w:r>
      <w:r w:rsidR="0091716D" w:rsidRPr="00AF327F">
        <w:rPr>
          <w:rFonts w:eastAsia="Calibri"/>
        </w:rPr>
        <w:t>ejecutado</w:t>
      </w:r>
      <w:r w:rsidR="00F31606" w:rsidRPr="00AF327F">
        <w:rPr>
          <w:rFonts w:eastAsia="Calibri"/>
        </w:rPr>
        <w:t xml:space="preserve"> RD$235,608,551.98 </w:t>
      </w:r>
      <w:r w:rsidRPr="00AF327F">
        <w:rPr>
          <w:rFonts w:eastAsia="Calibri"/>
        </w:rPr>
        <w:t xml:space="preserve">de los </w:t>
      </w:r>
      <w:r w:rsidR="00F31606" w:rsidRPr="00AF327F">
        <w:rPr>
          <w:rFonts w:eastAsia="Calibri"/>
        </w:rPr>
        <w:t xml:space="preserve">RD$373,620,715.66 </w:t>
      </w:r>
      <w:r w:rsidRPr="00AF327F">
        <w:rPr>
          <w:rFonts w:eastAsia="Calibri"/>
        </w:rPr>
        <w:t xml:space="preserve">estimados, </w:t>
      </w:r>
      <w:r w:rsidR="00F31606" w:rsidRPr="00AF327F">
        <w:rPr>
          <w:rFonts w:eastAsia="Calibri"/>
        </w:rPr>
        <w:t xml:space="preserve">la sección de anexos se encuentra el </w:t>
      </w:r>
      <w:r w:rsidR="0091716D" w:rsidRPr="00AF327F">
        <w:rPr>
          <w:rFonts w:eastAsia="Calibri"/>
        </w:rPr>
        <w:t>resumen</w:t>
      </w:r>
      <w:r w:rsidR="00F31606" w:rsidRPr="00AF327F">
        <w:rPr>
          <w:rFonts w:eastAsia="Calibri"/>
        </w:rPr>
        <w:t xml:space="preserve"> del plan de compras.</w:t>
      </w:r>
    </w:p>
    <w:p w14:paraId="456CEB90" w14:textId="55BCCF6D" w:rsidR="001C1B6B" w:rsidRDefault="001C1B6B" w:rsidP="003A141E">
      <w:pPr>
        <w:spacing w:line="360" w:lineRule="auto"/>
        <w:jc w:val="center"/>
        <w:rPr>
          <w:rFonts w:eastAsia="Calibri"/>
          <w:color w:val="4C4747"/>
          <w:sz w:val="18"/>
          <w:szCs w:val="18"/>
        </w:rPr>
      </w:pPr>
      <w:r w:rsidRPr="00AF327F">
        <w:rPr>
          <w:rFonts w:eastAsia="Calibri"/>
          <w:sz w:val="18"/>
          <w:szCs w:val="18"/>
        </w:rPr>
        <w:t xml:space="preserve">Gráfico </w:t>
      </w:r>
      <w:r w:rsidR="003A141E" w:rsidRPr="00AF327F">
        <w:rPr>
          <w:rFonts w:eastAsia="Calibri"/>
          <w:sz w:val="18"/>
          <w:szCs w:val="18"/>
        </w:rPr>
        <w:t>8</w:t>
      </w:r>
      <w:r w:rsidRPr="00AF327F">
        <w:rPr>
          <w:rFonts w:eastAsia="Calibri"/>
          <w:sz w:val="18"/>
          <w:szCs w:val="18"/>
        </w:rPr>
        <w:t>. Ejecución de PACC 202</w:t>
      </w:r>
      <w:r w:rsidR="00F31606" w:rsidRPr="00AF327F">
        <w:rPr>
          <w:rFonts w:eastAsia="Calibri"/>
          <w:sz w:val="18"/>
          <w:szCs w:val="18"/>
        </w:rPr>
        <w:t>5</w:t>
      </w:r>
      <w:r w:rsidR="003A141E" w:rsidRPr="00465A16">
        <w:rPr>
          <w:noProof/>
        </w:rPr>
        <w:drawing>
          <wp:inline distT="0" distB="0" distL="0" distR="0" wp14:anchorId="04BC33B5" wp14:editId="2B250951">
            <wp:extent cx="5003800" cy="1689100"/>
            <wp:effectExtent l="0" t="0" r="6350" b="6350"/>
            <wp:docPr id="326348625" name="Gráfico 1">
              <a:extLst xmlns:a="http://schemas.openxmlformats.org/drawingml/2006/main">
                <a:ext uri="{FF2B5EF4-FFF2-40B4-BE49-F238E27FC236}">
                  <a16:creationId xmlns:a16="http://schemas.microsoft.com/office/drawing/2014/main" id="{4B130DA4-96A9-569D-46A6-94EE86A245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2470704" w14:textId="77777777" w:rsidR="003A141E" w:rsidRPr="00DF006E" w:rsidRDefault="003A141E" w:rsidP="003A141E">
      <w:pPr>
        <w:spacing w:line="360" w:lineRule="auto"/>
        <w:jc w:val="center"/>
        <w:rPr>
          <w:rFonts w:eastAsia="Calibri"/>
          <w:i/>
          <w:iCs/>
          <w:sz w:val="18"/>
          <w:szCs w:val="18"/>
        </w:rPr>
      </w:pPr>
      <w:r w:rsidRPr="00DF006E">
        <w:rPr>
          <w:rFonts w:eastAsia="Calibri"/>
          <w:i/>
          <w:iCs/>
          <w:sz w:val="18"/>
          <w:szCs w:val="18"/>
        </w:rPr>
        <w:t>Fuente. SISCOMPRAS</w:t>
      </w:r>
    </w:p>
    <w:p w14:paraId="0B6E51DB" w14:textId="77777777" w:rsidR="003A141E" w:rsidRPr="003A141E" w:rsidRDefault="003A141E" w:rsidP="003A141E">
      <w:pPr>
        <w:spacing w:line="360" w:lineRule="auto"/>
        <w:jc w:val="center"/>
        <w:rPr>
          <w:rFonts w:eastAsia="Calibri"/>
          <w:color w:val="4C4747"/>
        </w:rPr>
      </w:pPr>
    </w:p>
    <w:p w14:paraId="6266B08D" w14:textId="19CC4D25" w:rsidR="0059284A" w:rsidRPr="00AF327F" w:rsidRDefault="00DE4283" w:rsidP="00C934DB">
      <w:pPr>
        <w:spacing w:line="360" w:lineRule="auto"/>
        <w:jc w:val="both"/>
        <w:rPr>
          <w:rFonts w:eastAsia="Calibri"/>
        </w:rPr>
      </w:pPr>
      <w:r w:rsidRPr="00AF327F">
        <w:rPr>
          <w:noProof/>
          <w:lang w:eastAsia="es-DO"/>
          <w14:ligatures w14:val="standardContextual"/>
        </w:rPr>
        <w:lastRenderedPageBreak/>
        <w:drawing>
          <wp:anchor distT="0" distB="0" distL="114300" distR="114300" simplePos="0" relativeHeight="251747328" behindDoc="1" locked="0" layoutInCell="1" allowOverlap="1" wp14:anchorId="78212430" wp14:editId="1C5DC644">
            <wp:simplePos x="0" y="0"/>
            <wp:positionH relativeFrom="margin">
              <wp:posOffset>239395</wp:posOffset>
            </wp:positionH>
            <wp:positionV relativeFrom="page">
              <wp:posOffset>2488777</wp:posOffset>
            </wp:positionV>
            <wp:extent cx="4572000" cy="2743200"/>
            <wp:effectExtent l="0" t="0" r="0" b="0"/>
            <wp:wrapTight wrapText="bothSides">
              <wp:wrapPolygon edited="0">
                <wp:start x="0" y="0"/>
                <wp:lineTo x="0" y="21450"/>
                <wp:lineTo x="21510" y="21450"/>
                <wp:lineTo x="21510" y="0"/>
                <wp:lineTo x="0" y="0"/>
              </wp:wrapPolygon>
            </wp:wrapTight>
            <wp:docPr id="815759480" name="Gráfico 1">
              <a:extLst xmlns:a="http://schemas.openxmlformats.org/drawingml/2006/main">
                <a:ext uri="{FF2B5EF4-FFF2-40B4-BE49-F238E27FC236}">
                  <a16:creationId xmlns:a16="http://schemas.microsoft.com/office/drawing/2014/main" id="{1BA8C822-91FF-995E-1DD5-9494A39F94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980742" w:rsidRPr="00AF327F">
        <w:rPr>
          <w:rFonts w:eastAsia="Calibri"/>
        </w:rPr>
        <w:t xml:space="preserve">Esta ejecución </w:t>
      </w:r>
      <w:r w:rsidR="007968E2" w:rsidRPr="00AF327F">
        <w:rPr>
          <w:rFonts w:eastAsia="Calibri"/>
        </w:rPr>
        <w:t>presenta como resultados</w:t>
      </w:r>
      <w:r w:rsidR="00817DC2" w:rsidRPr="00AF327F">
        <w:rPr>
          <w:rFonts w:eastAsia="Calibri"/>
        </w:rPr>
        <w:t xml:space="preserve"> para</w:t>
      </w:r>
      <w:r w:rsidR="00980742" w:rsidRPr="00AF327F">
        <w:rPr>
          <w:rFonts w:eastAsia="Calibri"/>
        </w:rPr>
        <w:t xml:space="preserve"> el</w:t>
      </w:r>
      <w:r w:rsidR="00F10D12" w:rsidRPr="00AF327F">
        <w:rPr>
          <w:rFonts w:eastAsia="Calibri"/>
        </w:rPr>
        <w:t xml:space="preserve"> pri</w:t>
      </w:r>
      <w:r w:rsidR="007968E2" w:rsidRPr="00AF327F">
        <w:rPr>
          <w:rFonts w:eastAsia="Calibri"/>
        </w:rPr>
        <w:t>mer</w:t>
      </w:r>
      <w:r w:rsidR="00F10D12" w:rsidRPr="00AF327F">
        <w:rPr>
          <w:rFonts w:eastAsia="Calibri"/>
        </w:rPr>
        <w:t xml:space="preserve">, </w:t>
      </w:r>
      <w:r w:rsidR="00980742" w:rsidRPr="00AF327F">
        <w:rPr>
          <w:rFonts w:eastAsia="Calibri"/>
        </w:rPr>
        <w:t>segundo</w:t>
      </w:r>
      <w:r w:rsidR="00F10D12" w:rsidRPr="00AF327F">
        <w:rPr>
          <w:rFonts w:eastAsia="Calibri"/>
        </w:rPr>
        <w:t xml:space="preserve"> y tercer</w:t>
      </w:r>
      <w:r w:rsidR="00980742" w:rsidRPr="00AF327F">
        <w:rPr>
          <w:rFonts w:eastAsia="Calibri"/>
        </w:rPr>
        <w:t xml:space="preserve"> trimestre una puntuación de </w:t>
      </w:r>
      <w:r w:rsidR="00CE7DA8" w:rsidRPr="00AF327F">
        <w:rPr>
          <w:rFonts w:eastAsia="Calibri"/>
        </w:rPr>
        <w:t>92</w:t>
      </w:r>
      <w:r w:rsidR="00980742" w:rsidRPr="00AF327F">
        <w:rPr>
          <w:rFonts w:eastAsia="Calibri"/>
        </w:rPr>
        <w:t>.</w:t>
      </w:r>
      <w:r w:rsidR="00CE7DA8" w:rsidRPr="00AF327F">
        <w:rPr>
          <w:rFonts w:eastAsia="Calibri"/>
        </w:rPr>
        <w:t>20</w:t>
      </w:r>
      <w:r w:rsidR="00980742" w:rsidRPr="00AF327F">
        <w:rPr>
          <w:rFonts w:eastAsia="Calibri"/>
        </w:rPr>
        <w:t>%</w:t>
      </w:r>
      <w:r w:rsidR="00F10D12" w:rsidRPr="00AF327F">
        <w:rPr>
          <w:rFonts w:eastAsia="Calibri"/>
        </w:rPr>
        <w:t>,</w:t>
      </w:r>
      <w:r w:rsidR="00980742" w:rsidRPr="00AF327F">
        <w:rPr>
          <w:rFonts w:eastAsia="Calibri"/>
        </w:rPr>
        <w:t xml:space="preserve"> 95.</w:t>
      </w:r>
      <w:r w:rsidR="00B04AD7" w:rsidRPr="00AF327F">
        <w:rPr>
          <w:rFonts w:eastAsia="Calibri"/>
        </w:rPr>
        <w:t>64</w:t>
      </w:r>
      <w:r w:rsidR="00980742" w:rsidRPr="00AF327F">
        <w:rPr>
          <w:rFonts w:eastAsia="Calibri"/>
        </w:rPr>
        <w:t xml:space="preserve">% </w:t>
      </w:r>
      <w:r w:rsidR="00F10D12" w:rsidRPr="00AF327F">
        <w:rPr>
          <w:rFonts w:eastAsia="Calibri"/>
        </w:rPr>
        <w:t>y 96.</w:t>
      </w:r>
      <w:r w:rsidR="00B04AD7" w:rsidRPr="00AF327F">
        <w:rPr>
          <w:rFonts w:eastAsia="Calibri"/>
        </w:rPr>
        <w:t>35%</w:t>
      </w:r>
      <w:r w:rsidR="00F10D12" w:rsidRPr="00AF327F">
        <w:rPr>
          <w:rFonts w:eastAsia="Calibri"/>
        </w:rPr>
        <w:t xml:space="preserve"> </w:t>
      </w:r>
      <w:r w:rsidR="00980742" w:rsidRPr="00AF327F">
        <w:rPr>
          <w:rFonts w:eastAsia="Calibri"/>
        </w:rPr>
        <w:t>respectivamente</w:t>
      </w:r>
      <w:r w:rsidR="007968E2" w:rsidRPr="00AF327F">
        <w:rPr>
          <w:rFonts w:eastAsia="Calibri"/>
        </w:rPr>
        <w:t xml:space="preserve">, evidenciado </w:t>
      </w:r>
      <w:r w:rsidR="0091716D" w:rsidRPr="00AF327F">
        <w:rPr>
          <w:rFonts w:eastAsia="Calibri"/>
        </w:rPr>
        <w:t>a través</w:t>
      </w:r>
      <w:r w:rsidR="007968E2" w:rsidRPr="00AF327F">
        <w:rPr>
          <w:rFonts w:eastAsia="Calibri"/>
        </w:rPr>
        <w:t xml:space="preserve"> del portal Siscompras.</w:t>
      </w:r>
      <w:r>
        <w:rPr>
          <w:rFonts w:eastAsia="Calibri"/>
        </w:rPr>
        <w:t xml:space="preserve"> Se proyecta una calificación de 95.99% para cierre de año según se visualiza en portal Siscompras a la fecha.</w:t>
      </w:r>
    </w:p>
    <w:p w14:paraId="7865ACF5" w14:textId="58AA56AF" w:rsidR="00011339" w:rsidRPr="00AF327F" w:rsidRDefault="00011339" w:rsidP="00CE7DA8">
      <w:pPr>
        <w:spacing w:line="360" w:lineRule="auto"/>
        <w:jc w:val="center"/>
        <w:rPr>
          <w:rFonts w:eastAsia="Calibri"/>
          <w:sz w:val="18"/>
          <w:szCs w:val="18"/>
        </w:rPr>
      </w:pPr>
      <w:r w:rsidRPr="00AF327F">
        <w:rPr>
          <w:rFonts w:eastAsia="Calibri"/>
          <w:sz w:val="18"/>
          <w:szCs w:val="18"/>
        </w:rPr>
        <w:t xml:space="preserve">Gráfico </w:t>
      </w:r>
      <w:r w:rsidR="003A141E" w:rsidRPr="00AF327F">
        <w:rPr>
          <w:rFonts w:eastAsia="Calibri"/>
          <w:sz w:val="18"/>
          <w:szCs w:val="18"/>
        </w:rPr>
        <w:t>9</w:t>
      </w:r>
      <w:r w:rsidRPr="00AF327F">
        <w:rPr>
          <w:rFonts w:eastAsia="Calibri"/>
          <w:sz w:val="18"/>
          <w:szCs w:val="18"/>
        </w:rPr>
        <w:t>. Desempeño Ejecución PACC trimestral 202</w:t>
      </w:r>
      <w:r w:rsidR="00CE7DA8" w:rsidRPr="00AF327F">
        <w:rPr>
          <w:rFonts w:eastAsia="Calibri"/>
          <w:sz w:val="18"/>
          <w:szCs w:val="18"/>
        </w:rPr>
        <w:t>5</w:t>
      </w:r>
    </w:p>
    <w:p w14:paraId="7636F5B7" w14:textId="11BD81F7" w:rsidR="00011339" w:rsidRPr="0077472F" w:rsidRDefault="00171AFB" w:rsidP="00011339">
      <w:pPr>
        <w:spacing w:line="360" w:lineRule="auto"/>
        <w:jc w:val="center"/>
        <w:rPr>
          <w:rFonts w:eastAsia="Calibri"/>
          <w:i/>
          <w:iCs/>
          <w:sz w:val="18"/>
          <w:szCs w:val="18"/>
        </w:rPr>
      </w:pPr>
      <w:r w:rsidRPr="0077472F">
        <w:rPr>
          <w:rFonts w:eastAsia="Calibri"/>
          <w:i/>
          <w:iCs/>
          <w:sz w:val="18"/>
          <w:szCs w:val="18"/>
        </w:rPr>
        <w:t>Fuente</w:t>
      </w:r>
      <w:r w:rsidR="00011339" w:rsidRPr="0077472F">
        <w:rPr>
          <w:rFonts w:eastAsia="Calibri"/>
          <w:i/>
          <w:iCs/>
          <w:sz w:val="18"/>
          <w:szCs w:val="18"/>
        </w:rPr>
        <w:t>. SISCOMPRAS</w:t>
      </w:r>
    </w:p>
    <w:p w14:paraId="2EAF7E43" w14:textId="09E948B2" w:rsidR="00647F36" w:rsidRPr="00AF327F" w:rsidRDefault="00F10D12" w:rsidP="00C934DB">
      <w:pPr>
        <w:spacing w:line="360" w:lineRule="auto"/>
        <w:jc w:val="both"/>
        <w:rPr>
          <w:rFonts w:eastAsia="Calibri"/>
        </w:rPr>
      </w:pPr>
      <w:r w:rsidRPr="00AF327F">
        <w:rPr>
          <w:rFonts w:eastAsia="Calibri"/>
        </w:rPr>
        <w:t>En los anexos de esta memoria se encuentra</w:t>
      </w:r>
      <w:r w:rsidR="00115C3D" w:rsidRPr="00AF327F">
        <w:rPr>
          <w:rFonts w:eastAsia="Calibri"/>
        </w:rPr>
        <w:t>,</w:t>
      </w:r>
      <w:r w:rsidRPr="00AF327F">
        <w:rPr>
          <w:rFonts w:eastAsia="Calibri"/>
        </w:rPr>
        <w:t xml:space="preserve"> para fines de consulta</w:t>
      </w:r>
      <w:r w:rsidR="00115C3D" w:rsidRPr="00AF327F">
        <w:rPr>
          <w:rFonts w:eastAsia="Calibri"/>
        </w:rPr>
        <w:t>,</w:t>
      </w:r>
      <w:r w:rsidRPr="00AF327F">
        <w:rPr>
          <w:rFonts w:eastAsia="Calibri"/>
        </w:rPr>
        <w:t xml:space="preserve"> la plantilla con el resumen detallado de la ejecución del PACC por tipo de proceso de compras. </w:t>
      </w:r>
      <w:r w:rsidR="00647F36" w:rsidRPr="00AF327F">
        <w:rPr>
          <w:rFonts w:eastAsia="Calibri"/>
        </w:rPr>
        <w:br w:type="page"/>
      </w:r>
    </w:p>
    <w:p w14:paraId="28153CB4" w14:textId="4D1CE5E0" w:rsidR="00A7778A" w:rsidRPr="009A08C6" w:rsidRDefault="00A7778A" w:rsidP="00903BC2">
      <w:pPr>
        <w:pStyle w:val="Ttulo2"/>
        <w:rPr>
          <w:rFonts w:eastAsia="Calibri" w:cs="Times New Roman"/>
          <w:b/>
          <w:bCs/>
          <w:color w:val="767171"/>
          <w:szCs w:val="24"/>
        </w:rPr>
      </w:pPr>
      <w:bookmarkStart w:id="28" w:name="_Toc217997938"/>
      <w:r w:rsidRPr="009A08C6">
        <w:rPr>
          <w:rFonts w:eastAsia="Calibri" w:cs="Times New Roman"/>
          <w:b/>
          <w:bCs/>
          <w:color w:val="767171"/>
          <w:szCs w:val="24"/>
        </w:rPr>
        <w:lastRenderedPageBreak/>
        <w:t>4.2</w:t>
      </w:r>
      <w:r w:rsidR="00562488" w:rsidRPr="009A08C6">
        <w:rPr>
          <w:rFonts w:eastAsia="Calibri" w:cs="Times New Roman"/>
          <w:b/>
          <w:bCs/>
          <w:color w:val="767171"/>
          <w:szCs w:val="24"/>
        </w:rPr>
        <w:t xml:space="preserve"> </w:t>
      </w:r>
      <w:r w:rsidRPr="009A08C6">
        <w:rPr>
          <w:rFonts w:eastAsia="Calibri" w:cs="Times New Roman"/>
          <w:b/>
          <w:bCs/>
          <w:color w:val="767171"/>
          <w:szCs w:val="24"/>
        </w:rPr>
        <w:t>Desempeño</w:t>
      </w:r>
      <w:r w:rsidR="00562488" w:rsidRPr="009A08C6">
        <w:rPr>
          <w:rFonts w:eastAsia="Calibri" w:cs="Times New Roman"/>
          <w:b/>
          <w:bCs/>
          <w:color w:val="767171"/>
          <w:szCs w:val="24"/>
        </w:rPr>
        <w:t xml:space="preserve"> </w:t>
      </w:r>
      <w:r w:rsidRPr="009A08C6">
        <w:rPr>
          <w:rFonts w:eastAsia="Calibri" w:cs="Times New Roman"/>
          <w:b/>
          <w:bCs/>
          <w:color w:val="767171"/>
          <w:szCs w:val="24"/>
        </w:rPr>
        <w:t>de</w:t>
      </w:r>
      <w:r w:rsidR="00562488" w:rsidRPr="009A08C6">
        <w:rPr>
          <w:rFonts w:eastAsia="Calibri" w:cs="Times New Roman"/>
          <w:b/>
          <w:bCs/>
          <w:color w:val="767171"/>
          <w:szCs w:val="24"/>
        </w:rPr>
        <w:t xml:space="preserve"> </w:t>
      </w:r>
      <w:r w:rsidRPr="009A08C6">
        <w:rPr>
          <w:rFonts w:eastAsia="Calibri" w:cs="Times New Roman"/>
          <w:b/>
          <w:bCs/>
          <w:color w:val="767171"/>
          <w:szCs w:val="24"/>
        </w:rPr>
        <w:t>los</w:t>
      </w:r>
      <w:r w:rsidR="00562488" w:rsidRPr="009A08C6">
        <w:rPr>
          <w:rFonts w:eastAsia="Calibri" w:cs="Times New Roman"/>
          <w:b/>
          <w:bCs/>
          <w:color w:val="767171"/>
          <w:szCs w:val="24"/>
        </w:rPr>
        <w:t xml:space="preserve"> </w:t>
      </w:r>
      <w:r w:rsidR="004A67E5" w:rsidRPr="009A08C6">
        <w:rPr>
          <w:rFonts w:eastAsia="Calibri" w:cs="Times New Roman"/>
          <w:b/>
          <w:bCs/>
          <w:color w:val="767171"/>
          <w:szCs w:val="24"/>
        </w:rPr>
        <w:t>R</w:t>
      </w:r>
      <w:r w:rsidRPr="009A08C6">
        <w:rPr>
          <w:rFonts w:eastAsia="Calibri" w:cs="Times New Roman"/>
          <w:b/>
          <w:bCs/>
          <w:color w:val="767171"/>
          <w:szCs w:val="24"/>
        </w:rPr>
        <w:t>ecursos</w:t>
      </w:r>
      <w:r w:rsidR="00562488" w:rsidRPr="009A08C6">
        <w:rPr>
          <w:rFonts w:eastAsia="Calibri" w:cs="Times New Roman"/>
          <w:b/>
          <w:bCs/>
          <w:color w:val="767171"/>
          <w:szCs w:val="24"/>
        </w:rPr>
        <w:t xml:space="preserve"> </w:t>
      </w:r>
      <w:r w:rsidR="004A67E5" w:rsidRPr="009A08C6">
        <w:rPr>
          <w:rFonts w:eastAsia="Calibri" w:cs="Times New Roman"/>
          <w:b/>
          <w:bCs/>
          <w:color w:val="767171"/>
          <w:szCs w:val="24"/>
        </w:rPr>
        <w:t>H</w:t>
      </w:r>
      <w:r w:rsidRPr="009A08C6">
        <w:rPr>
          <w:rFonts w:eastAsia="Calibri" w:cs="Times New Roman"/>
          <w:b/>
          <w:bCs/>
          <w:color w:val="767171"/>
          <w:szCs w:val="24"/>
        </w:rPr>
        <w:t>umanos</w:t>
      </w:r>
      <w:bookmarkEnd w:id="28"/>
    </w:p>
    <w:p w14:paraId="2B53E9FB" w14:textId="77777777" w:rsidR="004A67E5" w:rsidRPr="00AF327F" w:rsidRDefault="004A67E5" w:rsidP="004A67E5"/>
    <w:p w14:paraId="3C5A07DB" w14:textId="7B9ABE71" w:rsidR="00562488" w:rsidRPr="00AF327F" w:rsidRDefault="00880FBD" w:rsidP="00C934DB">
      <w:pPr>
        <w:spacing w:line="360" w:lineRule="auto"/>
        <w:jc w:val="both"/>
        <w:rPr>
          <w:rFonts w:eastAsia="Calibri"/>
          <w:b/>
          <w:bCs/>
        </w:rPr>
      </w:pPr>
      <w:r w:rsidRPr="00AF327F">
        <w:rPr>
          <w:rFonts w:eastAsia="Calibri"/>
          <w:b/>
          <w:bCs/>
        </w:rPr>
        <w:t xml:space="preserve">a. </w:t>
      </w:r>
      <w:r w:rsidR="00562488" w:rsidRPr="00AF327F">
        <w:rPr>
          <w:rFonts w:eastAsia="Calibri"/>
          <w:b/>
          <w:bCs/>
        </w:rPr>
        <w:t xml:space="preserve">Reclutamiento y selección </w:t>
      </w:r>
    </w:p>
    <w:p w14:paraId="5D215006" w14:textId="231BCC08" w:rsidR="00880FBD" w:rsidRPr="00AF327F" w:rsidRDefault="00C77820" w:rsidP="00C934DB">
      <w:pPr>
        <w:spacing w:line="360" w:lineRule="auto"/>
        <w:jc w:val="both"/>
        <w:rPr>
          <w:rFonts w:eastAsia="Calibri"/>
        </w:rPr>
      </w:pPr>
      <w:r>
        <w:rPr>
          <w:rFonts w:eastAsia="Calibri"/>
        </w:rPr>
        <w:t>Durante el período enero- diciembre</w:t>
      </w:r>
      <w:r w:rsidR="00880FBD" w:rsidRPr="00AF327F">
        <w:rPr>
          <w:rFonts w:eastAsia="Calibri"/>
        </w:rPr>
        <w:t xml:space="preserve"> se ingresaron a la institución 188 nuevos colaboradores en respuesta al levantamiento de necesidades realizado el año pasado, cuyos requerimientos fueron plasmados en la planificación de recursos humanos cargada al SISMAP.</w:t>
      </w:r>
    </w:p>
    <w:p w14:paraId="6207E11A" w14:textId="3CAF7988" w:rsidR="00880FBD" w:rsidRPr="00AF327F" w:rsidRDefault="00880FBD" w:rsidP="00C934DB">
      <w:pPr>
        <w:spacing w:line="360" w:lineRule="auto"/>
        <w:jc w:val="both"/>
        <w:rPr>
          <w:rFonts w:eastAsia="Calibri"/>
        </w:rPr>
      </w:pPr>
      <w:r w:rsidRPr="00AF327F">
        <w:rPr>
          <w:rFonts w:eastAsia="Calibri"/>
        </w:rPr>
        <w:t>Asimismo, durante el año 2025, en el per</w:t>
      </w:r>
      <w:r w:rsidR="00DA0EBE">
        <w:rPr>
          <w:rFonts w:eastAsia="Calibri"/>
        </w:rPr>
        <w:t>í</w:t>
      </w:r>
      <w:r w:rsidRPr="00AF327F">
        <w:rPr>
          <w:rFonts w:eastAsia="Calibri"/>
        </w:rPr>
        <w:t xml:space="preserve">odo marzo- julio, iniciaron su período probatorio en cargos de Carrera Administrativa un total de </w:t>
      </w:r>
      <w:r w:rsidR="00371F99" w:rsidRPr="00AF327F">
        <w:rPr>
          <w:rFonts w:eastAsia="Calibri"/>
        </w:rPr>
        <w:t>cuatro</w:t>
      </w:r>
      <w:r w:rsidRPr="00AF327F">
        <w:rPr>
          <w:rFonts w:eastAsia="Calibri"/>
        </w:rPr>
        <w:t xml:space="preserve"> </w:t>
      </w:r>
      <w:r w:rsidR="00371F99" w:rsidRPr="00AF327F">
        <w:rPr>
          <w:rFonts w:eastAsia="Calibri"/>
        </w:rPr>
        <w:t>colaboradores</w:t>
      </w:r>
      <w:r w:rsidRPr="00AF327F">
        <w:rPr>
          <w:rFonts w:eastAsia="Calibri"/>
        </w:rPr>
        <w:t>, en sus respectivos cargos, concluyendo el último servidor el próximo mes de enero 2026.</w:t>
      </w:r>
    </w:p>
    <w:p w14:paraId="3AEF7FD9" w14:textId="539E1C75" w:rsidR="00562488" w:rsidRPr="00AF327F" w:rsidRDefault="00880FBD" w:rsidP="00C934DB">
      <w:pPr>
        <w:spacing w:line="360" w:lineRule="auto"/>
        <w:jc w:val="both"/>
        <w:rPr>
          <w:rFonts w:eastAsia="Calibri"/>
          <w:b/>
          <w:bCs/>
        </w:rPr>
      </w:pPr>
      <w:r w:rsidRPr="00AF327F">
        <w:rPr>
          <w:rFonts w:eastAsia="Calibri"/>
          <w:b/>
          <w:bCs/>
        </w:rPr>
        <w:t xml:space="preserve">b. </w:t>
      </w:r>
      <w:r w:rsidR="00562488" w:rsidRPr="00AF327F">
        <w:rPr>
          <w:rFonts w:eastAsia="Calibri"/>
          <w:b/>
          <w:bCs/>
        </w:rPr>
        <w:t xml:space="preserve">Capacitación y desarrollo </w:t>
      </w:r>
    </w:p>
    <w:p w14:paraId="520F6EF0" w14:textId="14346E8E" w:rsidR="00880FBD" w:rsidRPr="00AF327F" w:rsidRDefault="00880FBD" w:rsidP="00C934DB">
      <w:pPr>
        <w:spacing w:line="360" w:lineRule="auto"/>
        <w:jc w:val="both"/>
        <w:rPr>
          <w:rFonts w:eastAsia="Calibri"/>
        </w:rPr>
      </w:pPr>
      <w:r w:rsidRPr="00AF327F">
        <w:rPr>
          <w:rFonts w:eastAsia="Calibri"/>
        </w:rPr>
        <w:t>Durante el año 2025 se ejecutaron 130 actividades de formación, entre diplomados, cursos, talleres, charlas, especialidades y maestrías, incluyendo aquellas previstas en el PACC, el INAP y las iniciativas extraordinarias. El nivel de cumplimiento respecto a la planificación ajustada alcanzó un 97%, lo que evidencia un desempeño sólido pese a las restricciones presupuestarias.</w:t>
      </w:r>
      <w:r w:rsidR="00B83A1D" w:rsidRPr="00B83A1D">
        <w:rPr>
          <w:rFonts w:eastAsia="Calibri"/>
          <w:color w:val="EE0000"/>
        </w:rPr>
        <w:t xml:space="preserve"> </w:t>
      </w:r>
    </w:p>
    <w:p w14:paraId="351FC96D" w14:textId="3EDA8A4A" w:rsidR="00880FBD" w:rsidRPr="00AF327F" w:rsidRDefault="00880FBD" w:rsidP="00C934DB">
      <w:pPr>
        <w:spacing w:line="360" w:lineRule="auto"/>
        <w:jc w:val="both"/>
        <w:rPr>
          <w:rFonts w:eastAsia="Calibri"/>
        </w:rPr>
      </w:pPr>
      <w:r w:rsidRPr="00AF327F">
        <w:rPr>
          <w:rFonts w:eastAsia="Calibri"/>
        </w:rPr>
        <w:t>En total, fueron capacitados 2,588 colaboradores, de los cuales 1,534 fueron mujeres (59.3%) y 1,054 hombres (40.7%), lo que refleja una participación mayoritaria del personal femenino.</w:t>
      </w:r>
    </w:p>
    <w:p w14:paraId="412B8D5A" w14:textId="00FD395C" w:rsidR="00880FBD" w:rsidRPr="00AF327F" w:rsidRDefault="00880FBD" w:rsidP="00C934DB">
      <w:pPr>
        <w:spacing w:line="360" w:lineRule="auto"/>
        <w:jc w:val="both"/>
        <w:rPr>
          <w:rFonts w:eastAsia="Calibri"/>
        </w:rPr>
      </w:pPr>
      <w:r w:rsidRPr="00AF327F">
        <w:rPr>
          <w:rFonts w:eastAsia="Calibri"/>
        </w:rPr>
        <w:t>El impacto de las capacitaciones se ve reflejada en el desempeño de los colaboradores, que según evaluaciones realizadas</w:t>
      </w:r>
      <w:r w:rsidR="00C766C9" w:rsidRPr="00AF327F">
        <w:rPr>
          <w:rFonts w:eastAsia="Calibri"/>
        </w:rPr>
        <w:t xml:space="preserve"> del período enero-diciembre 2024, el </w:t>
      </w:r>
      <w:r w:rsidRPr="00AF327F">
        <w:rPr>
          <w:rFonts w:eastAsia="Calibri"/>
        </w:rPr>
        <w:t>95% obtuvo resultados sobresalientes, es decir, entre 95%y 100%. El otro 5% obtuvo calificaciones superior al promedio, es decir 85% a 94% (Ver tabla).</w:t>
      </w:r>
    </w:p>
    <w:p w14:paraId="4CE4DADB" w14:textId="77777777" w:rsidR="00880FBD" w:rsidRPr="00465A16" w:rsidRDefault="00880FBD" w:rsidP="00880FBD">
      <w:pPr>
        <w:spacing w:line="360" w:lineRule="auto"/>
        <w:jc w:val="both"/>
        <w:rPr>
          <w:rFonts w:eastAsia="Calibri"/>
          <w:color w:val="4C4747"/>
        </w:rPr>
      </w:pPr>
    </w:p>
    <w:tbl>
      <w:tblPr>
        <w:tblpPr w:leftFromText="141" w:rightFromText="141" w:vertAnchor="page" w:horzAnchor="margin" w:tblpY="2141"/>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2"/>
        <w:gridCol w:w="1555"/>
        <w:gridCol w:w="1402"/>
        <w:gridCol w:w="1110"/>
        <w:gridCol w:w="1110"/>
        <w:gridCol w:w="1454"/>
      </w:tblGrid>
      <w:tr w:rsidR="00C766C9" w:rsidRPr="00465A16" w14:paraId="4E8F8906" w14:textId="77777777" w:rsidTr="00F51D75">
        <w:trPr>
          <w:trHeight w:val="634"/>
        </w:trPr>
        <w:tc>
          <w:tcPr>
            <w:tcW w:w="1367" w:type="dxa"/>
            <w:shd w:val="clear" w:color="auto" w:fill="011C50"/>
            <w:noWrap/>
            <w:vAlign w:val="center"/>
            <w:hideMark/>
          </w:tcPr>
          <w:p w14:paraId="0E930362" w14:textId="77777777" w:rsidR="00C766C9" w:rsidRPr="00465A16" w:rsidRDefault="00C766C9" w:rsidP="00C766C9">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lastRenderedPageBreak/>
              <w:t>Grupo ocupacional</w:t>
            </w:r>
          </w:p>
        </w:tc>
        <w:tc>
          <w:tcPr>
            <w:tcW w:w="1620" w:type="dxa"/>
            <w:shd w:val="clear" w:color="auto" w:fill="011C50"/>
            <w:vAlign w:val="center"/>
            <w:hideMark/>
          </w:tcPr>
          <w:p w14:paraId="38F58817" w14:textId="77777777" w:rsidR="00C766C9" w:rsidRPr="00465A16" w:rsidRDefault="00C766C9" w:rsidP="00C766C9">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 xml:space="preserve">Insatisfactorio </w:t>
            </w:r>
            <w:r w:rsidRPr="00465A16">
              <w:rPr>
                <w:rFonts w:eastAsia="Times New Roman"/>
                <w:b/>
                <w:bCs/>
                <w:color w:val="FFFFFF"/>
                <w:spacing w:val="0"/>
                <w:lang w:eastAsia="es-DO"/>
              </w:rPr>
              <w:br/>
              <w:t>(0-64%)</w:t>
            </w:r>
          </w:p>
        </w:tc>
        <w:tc>
          <w:tcPr>
            <w:tcW w:w="1460" w:type="dxa"/>
            <w:shd w:val="clear" w:color="auto" w:fill="011C50"/>
            <w:vAlign w:val="center"/>
            <w:hideMark/>
          </w:tcPr>
          <w:p w14:paraId="3E72AAC1" w14:textId="77777777" w:rsidR="00C766C9" w:rsidRPr="00465A16" w:rsidRDefault="00C766C9" w:rsidP="00C766C9">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 xml:space="preserve">Bajo Rendimiento </w:t>
            </w:r>
            <w:r w:rsidRPr="00465A16">
              <w:rPr>
                <w:rFonts w:eastAsia="Times New Roman"/>
                <w:b/>
                <w:bCs/>
                <w:color w:val="FFFFFF"/>
                <w:spacing w:val="0"/>
                <w:lang w:eastAsia="es-DO"/>
              </w:rPr>
              <w:br/>
              <w:t>(65%- 74%)</w:t>
            </w:r>
          </w:p>
        </w:tc>
        <w:tc>
          <w:tcPr>
            <w:tcW w:w="1154" w:type="dxa"/>
            <w:shd w:val="clear" w:color="auto" w:fill="011C50"/>
            <w:vAlign w:val="center"/>
            <w:hideMark/>
          </w:tcPr>
          <w:p w14:paraId="500D8421" w14:textId="77777777" w:rsidR="00C766C9" w:rsidRPr="00465A16" w:rsidRDefault="00C766C9" w:rsidP="00C766C9">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Promedio</w:t>
            </w:r>
            <w:r w:rsidRPr="00465A16">
              <w:rPr>
                <w:rFonts w:eastAsia="Times New Roman"/>
                <w:b/>
                <w:bCs/>
                <w:color w:val="FFFFFF"/>
                <w:spacing w:val="0"/>
                <w:lang w:eastAsia="es-DO"/>
              </w:rPr>
              <w:br/>
              <w:t>(75%-84%)</w:t>
            </w:r>
          </w:p>
        </w:tc>
        <w:tc>
          <w:tcPr>
            <w:tcW w:w="1154" w:type="dxa"/>
            <w:shd w:val="clear" w:color="auto" w:fill="011C50"/>
            <w:vAlign w:val="center"/>
            <w:hideMark/>
          </w:tcPr>
          <w:p w14:paraId="3192D3E9" w14:textId="77777777" w:rsidR="00C766C9" w:rsidRPr="00465A16" w:rsidRDefault="00C766C9" w:rsidP="00C766C9">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Superior al Promedio</w:t>
            </w:r>
            <w:r w:rsidRPr="00465A16">
              <w:rPr>
                <w:rFonts w:eastAsia="Times New Roman"/>
                <w:b/>
                <w:bCs/>
                <w:color w:val="FFFFFF"/>
                <w:spacing w:val="0"/>
                <w:lang w:eastAsia="es-DO"/>
              </w:rPr>
              <w:br/>
              <w:t>(85%-94%)</w:t>
            </w:r>
          </w:p>
        </w:tc>
        <w:tc>
          <w:tcPr>
            <w:tcW w:w="1178" w:type="dxa"/>
            <w:shd w:val="clear" w:color="auto" w:fill="011C50"/>
            <w:vAlign w:val="center"/>
            <w:hideMark/>
          </w:tcPr>
          <w:p w14:paraId="68D85707" w14:textId="77777777" w:rsidR="00C766C9" w:rsidRPr="00465A16" w:rsidRDefault="00C766C9" w:rsidP="00C766C9">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Sobresaliente</w:t>
            </w:r>
            <w:r w:rsidRPr="00465A16">
              <w:rPr>
                <w:rFonts w:eastAsia="Times New Roman"/>
                <w:b/>
                <w:bCs/>
                <w:color w:val="FFFFFF"/>
                <w:spacing w:val="0"/>
                <w:lang w:eastAsia="es-DO"/>
              </w:rPr>
              <w:br/>
              <w:t>(95%-100%)</w:t>
            </w:r>
          </w:p>
        </w:tc>
      </w:tr>
      <w:tr w:rsidR="00C766C9" w:rsidRPr="00465A16" w14:paraId="6682C5F8" w14:textId="77777777" w:rsidTr="00F51D75">
        <w:trPr>
          <w:trHeight w:val="210"/>
        </w:trPr>
        <w:tc>
          <w:tcPr>
            <w:tcW w:w="1367" w:type="dxa"/>
            <w:noWrap/>
            <w:vAlign w:val="bottom"/>
            <w:hideMark/>
          </w:tcPr>
          <w:p w14:paraId="73889114" w14:textId="77777777" w:rsidR="00C766C9" w:rsidRPr="00AF327F" w:rsidRDefault="00C766C9" w:rsidP="00C766C9">
            <w:pPr>
              <w:spacing w:after="0" w:line="240" w:lineRule="auto"/>
              <w:rPr>
                <w:rFonts w:eastAsia="Calibri"/>
              </w:rPr>
            </w:pPr>
            <w:r w:rsidRPr="00AF327F">
              <w:rPr>
                <w:rFonts w:eastAsia="Calibri"/>
              </w:rPr>
              <w:t>Grupo I</w:t>
            </w:r>
          </w:p>
        </w:tc>
        <w:tc>
          <w:tcPr>
            <w:tcW w:w="1620" w:type="dxa"/>
            <w:noWrap/>
            <w:vAlign w:val="bottom"/>
            <w:hideMark/>
          </w:tcPr>
          <w:p w14:paraId="5932ADAA" w14:textId="699F427C" w:rsidR="00C766C9" w:rsidRPr="00AF327F" w:rsidRDefault="0018092F" w:rsidP="0018092F">
            <w:pPr>
              <w:spacing w:after="0" w:line="240" w:lineRule="auto"/>
              <w:jc w:val="center"/>
              <w:rPr>
                <w:rFonts w:eastAsia="Calibri"/>
              </w:rPr>
            </w:pPr>
            <w:r>
              <w:rPr>
                <w:rFonts w:eastAsia="Calibri"/>
              </w:rPr>
              <w:t>n/a</w:t>
            </w:r>
          </w:p>
        </w:tc>
        <w:tc>
          <w:tcPr>
            <w:tcW w:w="1460" w:type="dxa"/>
            <w:noWrap/>
            <w:vAlign w:val="bottom"/>
            <w:hideMark/>
          </w:tcPr>
          <w:p w14:paraId="083D4746" w14:textId="1DC66CDC" w:rsidR="00C766C9" w:rsidRPr="00AF327F" w:rsidRDefault="0018092F" w:rsidP="0018092F">
            <w:pPr>
              <w:spacing w:after="0" w:line="240" w:lineRule="auto"/>
              <w:jc w:val="center"/>
              <w:rPr>
                <w:rFonts w:eastAsia="Calibri"/>
              </w:rPr>
            </w:pPr>
            <w:r>
              <w:rPr>
                <w:rFonts w:eastAsia="Calibri"/>
              </w:rPr>
              <w:t>n/a</w:t>
            </w:r>
          </w:p>
        </w:tc>
        <w:tc>
          <w:tcPr>
            <w:tcW w:w="1154" w:type="dxa"/>
            <w:noWrap/>
            <w:vAlign w:val="bottom"/>
            <w:hideMark/>
          </w:tcPr>
          <w:p w14:paraId="31E40D37" w14:textId="604AF748" w:rsidR="00C766C9" w:rsidRPr="00AF327F" w:rsidRDefault="0018092F" w:rsidP="0018092F">
            <w:pPr>
              <w:spacing w:after="0" w:line="240" w:lineRule="auto"/>
              <w:jc w:val="center"/>
              <w:rPr>
                <w:rFonts w:eastAsia="Calibri"/>
              </w:rPr>
            </w:pPr>
            <w:r>
              <w:rPr>
                <w:rFonts w:eastAsia="Calibri"/>
              </w:rPr>
              <w:t>n/a</w:t>
            </w:r>
          </w:p>
        </w:tc>
        <w:tc>
          <w:tcPr>
            <w:tcW w:w="1154" w:type="dxa"/>
            <w:noWrap/>
            <w:vAlign w:val="bottom"/>
            <w:hideMark/>
          </w:tcPr>
          <w:p w14:paraId="14DBC715" w14:textId="77777777" w:rsidR="00C766C9" w:rsidRPr="00AF327F" w:rsidRDefault="00C766C9" w:rsidP="00C766C9">
            <w:pPr>
              <w:spacing w:after="0" w:line="240" w:lineRule="auto"/>
              <w:jc w:val="right"/>
              <w:rPr>
                <w:rFonts w:eastAsia="Calibri"/>
              </w:rPr>
            </w:pPr>
            <w:r w:rsidRPr="00AF327F">
              <w:rPr>
                <w:rFonts w:eastAsia="Calibri"/>
              </w:rPr>
              <w:t>8</w:t>
            </w:r>
          </w:p>
        </w:tc>
        <w:tc>
          <w:tcPr>
            <w:tcW w:w="1178" w:type="dxa"/>
            <w:noWrap/>
            <w:vAlign w:val="bottom"/>
            <w:hideMark/>
          </w:tcPr>
          <w:p w14:paraId="4E712AC6" w14:textId="77777777" w:rsidR="00C766C9" w:rsidRPr="00AF327F" w:rsidRDefault="00C766C9" w:rsidP="00C766C9">
            <w:pPr>
              <w:spacing w:after="0" w:line="240" w:lineRule="auto"/>
              <w:jc w:val="right"/>
              <w:rPr>
                <w:rFonts w:eastAsia="Calibri"/>
              </w:rPr>
            </w:pPr>
            <w:r w:rsidRPr="00AF327F">
              <w:rPr>
                <w:rFonts w:eastAsia="Calibri"/>
              </w:rPr>
              <w:t>105</w:t>
            </w:r>
          </w:p>
        </w:tc>
      </w:tr>
      <w:tr w:rsidR="00C766C9" w:rsidRPr="00465A16" w14:paraId="0458256A" w14:textId="77777777" w:rsidTr="00F51D75">
        <w:trPr>
          <w:trHeight w:val="210"/>
        </w:trPr>
        <w:tc>
          <w:tcPr>
            <w:tcW w:w="1367" w:type="dxa"/>
            <w:noWrap/>
            <w:vAlign w:val="bottom"/>
            <w:hideMark/>
          </w:tcPr>
          <w:p w14:paraId="41F1A558" w14:textId="77777777" w:rsidR="00C766C9" w:rsidRPr="00AF327F" w:rsidRDefault="00C766C9" w:rsidP="00C766C9">
            <w:pPr>
              <w:spacing w:after="0" w:line="240" w:lineRule="auto"/>
              <w:rPr>
                <w:rFonts w:eastAsia="Calibri"/>
              </w:rPr>
            </w:pPr>
            <w:r w:rsidRPr="00AF327F">
              <w:rPr>
                <w:rFonts w:eastAsia="Calibri"/>
              </w:rPr>
              <w:t>Grupo II</w:t>
            </w:r>
          </w:p>
        </w:tc>
        <w:tc>
          <w:tcPr>
            <w:tcW w:w="1620" w:type="dxa"/>
            <w:noWrap/>
            <w:vAlign w:val="bottom"/>
            <w:hideMark/>
          </w:tcPr>
          <w:p w14:paraId="6E60EA2C" w14:textId="36FD6A4F" w:rsidR="00C766C9" w:rsidRPr="00AF327F" w:rsidRDefault="0018092F" w:rsidP="0018092F">
            <w:pPr>
              <w:spacing w:after="0" w:line="240" w:lineRule="auto"/>
              <w:jc w:val="center"/>
              <w:rPr>
                <w:rFonts w:eastAsia="Calibri"/>
              </w:rPr>
            </w:pPr>
            <w:r>
              <w:rPr>
                <w:rFonts w:eastAsia="Calibri"/>
              </w:rPr>
              <w:t>n/a</w:t>
            </w:r>
          </w:p>
        </w:tc>
        <w:tc>
          <w:tcPr>
            <w:tcW w:w="1460" w:type="dxa"/>
            <w:noWrap/>
            <w:vAlign w:val="bottom"/>
            <w:hideMark/>
          </w:tcPr>
          <w:p w14:paraId="17048596" w14:textId="32E43AC8" w:rsidR="00C766C9" w:rsidRPr="00AF327F" w:rsidRDefault="0018092F" w:rsidP="0018092F">
            <w:pPr>
              <w:spacing w:after="0" w:line="240" w:lineRule="auto"/>
              <w:jc w:val="center"/>
              <w:rPr>
                <w:rFonts w:eastAsia="Calibri"/>
              </w:rPr>
            </w:pPr>
            <w:r>
              <w:rPr>
                <w:rFonts w:eastAsia="Calibri"/>
              </w:rPr>
              <w:t>n/a</w:t>
            </w:r>
          </w:p>
        </w:tc>
        <w:tc>
          <w:tcPr>
            <w:tcW w:w="1154" w:type="dxa"/>
            <w:noWrap/>
            <w:vAlign w:val="bottom"/>
            <w:hideMark/>
          </w:tcPr>
          <w:p w14:paraId="238578AD" w14:textId="78AFDB93" w:rsidR="00C766C9" w:rsidRPr="00AF327F" w:rsidRDefault="0018092F" w:rsidP="0018092F">
            <w:pPr>
              <w:spacing w:after="0" w:line="240" w:lineRule="auto"/>
              <w:jc w:val="center"/>
              <w:rPr>
                <w:rFonts w:eastAsia="Calibri"/>
              </w:rPr>
            </w:pPr>
            <w:r>
              <w:rPr>
                <w:rFonts w:eastAsia="Calibri"/>
              </w:rPr>
              <w:t>n/a</w:t>
            </w:r>
          </w:p>
        </w:tc>
        <w:tc>
          <w:tcPr>
            <w:tcW w:w="1154" w:type="dxa"/>
            <w:noWrap/>
            <w:vAlign w:val="bottom"/>
            <w:hideMark/>
          </w:tcPr>
          <w:p w14:paraId="52734CA1" w14:textId="77777777" w:rsidR="00C766C9" w:rsidRPr="00AF327F" w:rsidRDefault="00C766C9" w:rsidP="00C766C9">
            <w:pPr>
              <w:spacing w:after="0" w:line="240" w:lineRule="auto"/>
              <w:jc w:val="right"/>
              <w:rPr>
                <w:rFonts w:eastAsia="Calibri"/>
              </w:rPr>
            </w:pPr>
            <w:r w:rsidRPr="00AF327F">
              <w:rPr>
                <w:rFonts w:eastAsia="Calibri"/>
              </w:rPr>
              <w:t>11</w:t>
            </w:r>
          </w:p>
        </w:tc>
        <w:tc>
          <w:tcPr>
            <w:tcW w:w="1178" w:type="dxa"/>
            <w:noWrap/>
            <w:vAlign w:val="bottom"/>
            <w:hideMark/>
          </w:tcPr>
          <w:p w14:paraId="2C4F96C7" w14:textId="77777777" w:rsidR="00C766C9" w:rsidRPr="00AF327F" w:rsidRDefault="00C766C9" w:rsidP="00C766C9">
            <w:pPr>
              <w:spacing w:after="0" w:line="240" w:lineRule="auto"/>
              <w:jc w:val="right"/>
              <w:rPr>
                <w:rFonts w:eastAsia="Calibri"/>
              </w:rPr>
            </w:pPr>
            <w:r w:rsidRPr="00AF327F">
              <w:rPr>
                <w:rFonts w:eastAsia="Calibri"/>
              </w:rPr>
              <w:t>280</w:t>
            </w:r>
          </w:p>
        </w:tc>
      </w:tr>
      <w:tr w:rsidR="00C766C9" w:rsidRPr="00465A16" w14:paraId="74509209" w14:textId="77777777" w:rsidTr="00F51D75">
        <w:trPr>
          <w:trHeight w:val="210"/>
        </w:trPr>
        <w:tc>
          <w:tcPr>
            <w:tcW w:w="1367" w:type="dxa"/>
            <w:noWrap/>
            <w:vAlign w:val="bottom"/>
            <w:hideMark/>
          </w:tcPr>
          <w:p w14:paraId="44A0142C" w14:textId="77777777" w:rsidR="00C766C9" w:rsidRPr="00AF327F" w:rsidRDefault="00C766C9" w:rsidP="00C766C9">
            <w:pPr>
              <w:spacing w:after="0" w:line="240" w:lineRule="auto"/>
              <w:rPr>
                <w:rFonts w:eastAsia="Calibri"/>
              </w:rPr>
            </w:pPr>
            <w:r w:rsidRPr="00AF327F">
              <w:rPr>
                <w:rFonts w:eastAsia="Calibri"/>
              </w:rPr>
              <w:t>Grupo III</w:t>
            </w:r>
          </w:p>
        </w:tc>
        <w:tc>
          <w:tcPr>
            <w:tcW w:w="1620" w:type="dxa"/>
            <w:noWrap/>
            <w:vAlign w:val="bottom"/>
            <w:hideMark/>
          </w:tcPr>
          <w:p w14:paraId="4C32AC75" w14:textId="0D879D34" w:rsidR="00C766C9" w:rsidRPr="00AF327F" w:rsidRDefault="0018092F" w:rsidP="0018092F">
            <w:pPr>
              <w:spacing w:after="0" w:line="240" w:lineRule="auto"/>
              <w:jc w:val="center"/>
              <w:rPr>
                <w:rFonts w:eastAsia="Calibri"/>
              </w:rPr>
            </w:pPr>
            <w:r>
              <w:rPr>
                <w:rFonts w:eastAsia="Calibri"/>
              </w:rPr>
              <w:t>n/a</w:t>
            </w:r>
          </w:p>
        </w:tc>
        <w:tc>
          <w:tcPr>
            <w:tcW w:w="1460" w:type="dxa"/>
            <w:noWrap/>
            <w:vAlign w:val="bottom"/>
            <w:hideMark/>
          </w:tcPr>
          <w:p w14:paraId="4F0EE17D" w14:textId="26A67EAD" w:rsidR="00C766C9" w:rsidRPr="00AF327F" w:rsidRDefault="0018092F" w:rsidP="0018092F">
            <w:pPr>
              <w:spacing w:after="0" w:line="240" w:lineRule="auto"/>
              <w:jc w:val="center"/>
              <w:rPr>
                <w:rFonts w:eastAsia="Calibri"/>
              </w:rPr>
            </w:pPr>
            <w:r>
              <w:rPr>
                <w:rFonts w:eastAsia="Calibri"/>
              </w:rPr>
              <w:t>n/a</w:t>
            </w:r>
          </w:p>
        </w:tc>
        <w:tc>
          <w:tcPr>
            <w:tcW w:w="1154" w:type="dxa"/>
            <w:noWrap/>
            <w:vAlign w:val="bottom"/>
            <w:hideMark/>
          </w:tcPr>
          <w:p w14:paraId="08ED6236" w14:textId="5C5681D2" w:rsidR="00C766C9" w:rsidRPr="00AF327F" w:rsidRDefault="0018092F" w:rsidP="0018092F">
            <w:pPr>
              <w:spacing w:after="0" w:line="240" w:lineRule="auto"/>
              <w:jc w:val="center"/>
              <w:rPr>
                <w:rFonts w:eastAsia="Calibri"/>
              </w:rPr>
            </w:pPr>
            <w:r>
              <w:rPr>
                <w:rFonts w:eastAsia="Calibri"/>
              </w:rPr>
              <w:t>n/a</w:t>
            </w:r>
          </w:p>
        </w:tc>
        <w:tc>
          <w:tcPr>
            <w:tcW w:w="1154" w:type="dxa"/>
            <w:noWrap/>
            <w:vAlign w:val="bottom"/>
            <w:hideMark/>
          </w:tcPr>
          <w:p w14:paraId="15DD7761" w14:textId="77777777" w:rsidR="00C766C9" w:rsidRPr="00AF327F" w:rsidRDefault="00C766C9" w:rsidP="00C766C9">
            <w:pPr>
              <w:spacing w:after="0" w:line="240" w:lineRule="auto"/>
              <w:jc w:val="right"/>
              <w:rPr>
                <w:rFonts w:eastAsia="Calibri"/>
              </w:rPr>
            </w:pPr>
            <w:r w:rsidRPr="00AF327F">
              <w:rPr>
                <w:rFonts w:eastAsia="Calibri"/>
              </w:rPr>
              <w:t>4</w:t>
            </w:r>
          </w:p>
        </w:tc>
        <w:tc>
          <w:tcPr>
            <w:tcW w:w="1178" w:type="dxa"/>
            <w:noWrap/>
            <w:vAlign w:val="bottom"/>
            <w:hideMark/>
          </w:tcPr>
          <w:p w14:paraId="6C397BD5" w14:textId="77777777" w:rsidR="00C766C9" w:rsidRPr="00AF327F" w:rsidRDefault="00C766C9" w:rsidP="00C766C9">
            <w:pPr>
              <w:spacing w:after="0" w:line="240" w:lineRule="auto"/>
              <w:jc w:val="right"/>
              <w:rPr>
                <w:rFonts w:eastAsia="Calibri"/>
              </w:rPr>
            </w:pPr>
            <w:r w:rsidRPr="00AF327F">
              <w:rPr>
                <w:rFonts w:eastAsia="Calibri"/>
              </w:rPr>
              <w:t>66</w:t>
            </w:r>
          </w:p>
        </w:tc>
      </w:tr>
      <w:tr w:rsidR="00C766C9" w:rsidRPr="00465A16" w14:paraId="3087427F" w14:textId="77777777" w:rsidTr="00F51D75">
        <w:trPr>
          <w:trHeight w:val="210"/>
        </w:trPr>
        <w:tc>
          <w:tcPr>
            <w:tcW w:w="1367" w:type="dxa"/>
            <w:noWrap/>
            <w:vAlign w:val="bottom"/>
            <w:hideMark/>
          </w:tcPr>
          <w:p w14:paraId="51FF669E" w14:textId="77777777" w:rsidR="00C766C9" w:rsidRPr="00AF327F" w:rsidRDefault="00C766C9" w:rsidP="00C766C9">
            <w:pPr>
              <w:spacing w:after="0" w:line="240" w:lineRule="auto"/>
              <w:rPr>
                <w:rFonts w:eastAsia="Calibri"/>
              </w:rPr>
            </w:pPr>
            <w:r w:rsidRPr="00AF327F">
              <w:rPr>
                <w:rFonts w:eastAsia="Calibri"/>
              </w:rPr>
              <w:t>Grupo IV</w:t>
            </w:r>
          </w:p>
        </w:tc>
        <w:tc>
          <w:tcPr>
            <w:tcW w:w="1620" w:type="dxa"/>
            <w:noWrap/>
            <w:vAlign w:val="bottom"/>
            <w:hideMark/>
          </w:tcPr>
          <w:p w14:paraId="4E10A546" w14:textId="7DBF405C" w:rsidR="00C766C9" w:rsidRPr="00AF327F" w:rsidRDefault="0018092F" w:rsidP="0018092F">
            <w:pPr>
              <w:spacing w:after="0" w:line="240" w:lineRule="auto"/>
              <w:jc w:val="center"/>
              <w:rPr>
                <w:rFonts w:eastAsia="Calibri"/>
              </w:rPr>
            </w:pPr>
            <w:r>
              <w:rPr>
                <w:rFonts w:eastAsia="Calibri"/>
              </w:rPr>
              <w:t>n/a</w:t>
            </w:r>
          </w:p>
        </w:tc>
        <w:tc>
          <w:tcPr>
            <w:tcW w:w="1460" w:type="dxa"/>
            <w:noWrap/>
            <w:vAlign w:val="bottom"/>
            <w:hideMark/>
          </w:tcPr>
          <w:p w14:paraId="6FA13B27" w14:textId="2D14F8EB" w:rsidR="00C766C9" w:rsidRPr="00AF327F" w:rsidRDefault="0018092F" w:rsidP="0018092F">
            <w:pPr>
              <w:spacing w:after="0" w:line="240" w:lineRule="auto"/>
              <w:jc w:val="center"/>
              <w:rPr>
                <w:rFonts w:eastAsia="Calibri"/>
              </w:rPr>
            </w:pPr>
            <w:r>
              <w:rPr>
                <w:rFonts w:eastAsia="Calibri"/>
              </w:rPr>
              <w:t>n/a</w:t>
            </w:r>
          </w:p>
        </w:tc>
        <w:tc>
          <w:tcPr>
            <w:tcW w:w="1154" w:type="dxa"/>
            <w:noWrap/>
            <w:vAlign w:val="bottom"/>
            <w:hideMark/>
          </w:tcPr>
          <w:p w14:paraId="17674760" w14:textId="189E0DA4" w:rsidR="00C766C9" w:rsidRPr="00AF327F" w:rsidRDefault="0018092F" w:rsidP="0018092F">
            <w:pPr>
              <w:spacing w:after="0" w:line="240" w:lineRule="auto"/>
              <w:jc w:val="center"/>
              <w:rPr>
                <w:rFonts w:eastAsia="Calibri"/>
              </w:rPr>
            </w:pPr>
            <w:r>
              <w:rPr>
                <w:rFonts w:eastAsia="Calibri"/>
              </w:rPr>
              <w:t>n/a</w:t>
            </w:r>
          </w:p>
        </w:tc>
        <w:tc>
          <w:tcPr>
            <w:tcW w:w="1154" w:type="dxa"/>
            <w:noWrap/>
            <w:vAlign w:val="bottom"/>
            <w:hideMark/>
          </w:tcPr>
          <w:p w14:paraId="7029D942" w14:textId="77777777" w:rsidR="00C766C9" w:rsidRPr="00AF327F" w:rsidRDefault="00C766C9" w:rsidP="00C766C9">
            <w:pPr>
              <w:spacing w:after="0" w:line="240" w:lineRule="auto"/>
              <w:jc w:val="right"/>
              <w:rPr>
                <w:rFonts w:eastAsia="Calibri"/>
              </w:rPr>
            </w:pPr>
            <w:r w:rsidRPr="00AF327F">
              <w:rPr>
                <w:rFonts w:eastAsia="Calibri"/>
              </w:rPr>
              <w:t>54</w:t>
            </w:r>
          </w:p>
        </w:tc>
        <w:tc>
          <w:tcPr>
            <w:tcW w:w="1178" w:type="dxa"/>
            <w:noWrap/>
            <w:vAlign w:val="bottom"/>
            <w:hideMark/>
          </w:tcPr>
          <w:p w14:paraId="10809956" w14:textId="77777777" w:rsidR="00C766C9" w:rsidRPr="00AF327F" w:rsidRDefault="00C766C9" w:rsidP="00C766C9">
            <w:pPr>
              <w:spacing w:after="0" w:line="240" w:lineRule="auto"/>
              <w:jc w:val="right"/>
              <w:rPr>
                <w:rFonts w:eastAsia="Calibri"/>
              </w:rPr>
            </w:pPr>
            <w:r w:rsidRPr="00AF327F">
              <w:rPr>
                <w:rFonts w:eastAsia="Calibri"/>
              </w:rPr>
              <w:t>998</w:t>
            </w:r>
          </w:p>
        </w:tc>
      </w:tr>
      <w:tr w:rsidR="00C766C9" w:rsidRPr="00465A16" w14:paraId="70684E29" w14:textId="77777777" w:rsidTr="00F51D75">
        <w:trPr>
          <w:trHeight w:val="210"/>
        </w:trPr>
        <w:tc>
          <w:tcPr>
            <w:tcW w:w="1367" w:type="dxa"/>
            <w:noWrap/>
            <w:vAlign w:val="bottom"/>
            <w:hideMark/>
          </w:tcPr>
          <w:p w14:paraId="500EDC33" w14:textId="77777777" w:rsidR="00C766C9" w:rsidRPr="00AF327F" w:rsidRDefault="00C766C9" w:rsidP="00C766C9">
            <w:pPr>
              <w:spacing w:after="0" w:line="240" w:lineRule="auto"/>
              <w:rPr>
                <w:rFonts w:eastAsia="Calibri"/>
              </w:rPr>
            </w:pPr>
            <w:r w:rsidRPr="00AF327F">
              <w:rPr>
                <w:rFonts w:eastAsia="Calibri"/>
              </w:rPr>
              <w:t>Grupo V</w:t>
            </w:r>
          </w:p>
        </w:tc>
        <w:tc>
          <w:tcPr>
            <w:tcW w:w="1620" w:type="dxa"/>
            <w:noWrap/>
            <w:vAlign w:val="bottom"/>
            <w:hideMark/>
          </w:tcPr>
          <w:p w14:paraId="6522771A" w14:textId="027DFDE3" w:rsidR="00C766C9" w:rsidRPr="00AF327F" w:rsidRDefault="0018092F" w:rsidP="0018092F">
            <w:pPr>
              <w:spacing w:after="0" w:line="240" w:lineRule="auto"/>
              <w:jc w:val="center"/>
              <w:rPr>
                <w:rFonts w:eastAsia="Calibri"/>
              </w:rPr>
            </w:pPr>
            <w:r>
              <w:rPr>
                <w:rFonts w:eastAsia="Calibri"/>
              </w:rPr>
              <w:t>n/a</w:t>
            </w:r>
          </w:p>
        </w:tc>
        <w:tc>
          <w:tcPr>
            <w:tcW w:w="1460" w:type="dxa"/>
            <w:noWrap/>
            <w:vAlign w:val="bottom"/>
            <w:hideMark/>
          </w:tcPr>
          <w:p w14:paraId="764013D5" w14:textId="36818E82" w:rsidR="00C766C9" w:rsidRPr="00AF327F" w:rsidRDefault="0018092F" w:rsidP="0018092F">
            <w:pPr>
              <w:spacing w:after="0" w:line="240" w:lineRule="auto"/>
              <w:jc w:val="center"/>
              <w:rPr>
                <w:rFonts w:eastAsia="Calibri"/>
              </w:rPr>
            </w:pPr>
            <w:r>
              <w:rPr>
                <w:rFonts w:eastAsia="Calibri"/>
              </w:rPr>
              <w:t>n/a</w:t>
            </w:r>
          </w:p>
        </w:tc>
        <w:tc>
          <w:tcPr>
            <w:tcW w:w="1154" w:type="dxa"/>
            <w:noWrap/>
            <w:vAlign w:val="bottom"/>
            <w:hideMark/>
          </w:tcPr>
          <w:p w14:paraId="1345C818" w14:textId="2344EF0B" w:rsidR="00C766C9" w:rsidRPr="00AF327F" w:rsidRDefault="0018092F" w:rsidP="0018092F">
            <w:pPr>
              <w:spacing w:after="0" w:line="240" w:lineRule="auto"/>
              <w:jc w:val="center"/>
              <w:rPr>
                <w:rFonts w:eastAsia="Calibri"/>
              </w:rPr>
            </w:pPr>
            <w:r>
              <w:rPr>
                <w:rFonts w:eastAsia="Calibri"/>
              </w:rPr>
              <w:t>n/a</w:t>
            </w:r>
          </w:p>
        </w:tc>
        <w:tc>
          <w:tcPr>
            <w:tcW w:w="1154" w:type="dxa"/>
            <w:noWrap/>
            <w:vAlign w:val="bottom"/>
            <w:hideMark/>
          </w:tcPr>
          <w:p w14:paraId="771A01FA" w14:textId="77777777" w:rsidR="00C766C9" w:rsidRPr="00AF327F" w:rsidRDefault="00C766C9" w:rsidP="00C766C9">
            <w:pPr>
              <w:spacing w:after="0" w:line="240" w:lineRule="auto"/>
              <w:jc w:val="right"/>
              <w:rPr>
                <w:rFonts w:eastAsia="Calibri"/>
              </w:rPr>
            </w:pPr>
            <w:r w:rsidRPr="00AF327F">
              <w:rPr>
                <w:rFonts w:eastAsia="Calibri"/>
              </w:rPr>
              <w:t>18</w:t>
            </w:r>
          </w:p>
        </w:tc>
        <w:tc>
          <w:tcPr>
            <w:tcW w:w="1178" w:type="dxa"/>
            <w:noWrap/>
            <w:vAlign w:val="bottom"/>
            <w:hideMark/>
          </w:tcPr>
          <w:p w14:paraId="3BCADC0A" w14:textId="77777777" w:rsidR="00C766C9" w:rsidRPr="00AF327F" w:rsidRDefault="00C766C9" w:rsidP="00C766C9">
            <w:pPr>
              <w:spacing w:after="0" w:line="240" w:lineRule="auto"/>
              <w:jc w:val="right"/>
              <w:rPr>
                <w:rFonts w:eastAsia="Calibri"/>
              </w:rPr>
            </w:pPr>
            <w:r w:rsidRPr="00AF327F">
              <w:rPr>
                <w:rFonts w:eastAsia="Calibri"/>
              </w:rPr>
              <w:t>301</w:t>
            </w:r>
          </w:p>
        </w:tc>
      </w:tr>
      <w:tr w:rsidR="00C766C9" w:rsidRPr="00465A16" w14:paraId="5485A33F" w14:textId="77777777" w:rsidTr="00F51D75">
        <w:trPr>
          <w:trHeight w:val="210"/>
        </w:trPr>
        <w:tc>
          <w:tcPr>
            <w:tcW w:w="1367" w:type="dxa"/>
            <w:noWrap/>
            <w:vAlign w:val="bottom"/>
            <w:hideMark/>
          </w:tcPr>
          <w:p w14:paraId="6C8B75A0" w14:textId="77777777" w:rsidR="00C766C9" w:rsidRPr="00AF327F" w:rsidRDefault="00C766C9" w:rsidP="00C766C9">
            <w:pPr>
              <w:spacing w:after="0" w:line="240" w:lineRule="auto"/>
              <w:rPr>
                <w:rFonts w:eastAsia="Calibri"/>
                <w:b/>
                <w:bCs/>
              </w:rPr>
            </w:pPr>
            <w:r w:rsidRPr="00AF327F">
              <w:rPr>
                <w:rFonts w:eastAsia="Calibri"/>
                <w:b/>
                <w:bCs/>
              </w:rPr>
              <w:t xml:space="preserve">Total </w:t>
            </w:r>
          </w:p>
        </w:tc>
        <w:tc>
          <w:tcPr>
            <w:tcW w:w="1620" w:type="dxa"/>
            <w:noWrap/>
            <w:vAlign w:val="bottom"/>
            <w:hideMark/>
          </w:tcPr>
          <w:p w14:paraId="3D2C6958" w14:textId="26932D00" w:rsidR="00C766C9" w:rsidRPr="008D1D0A" w:rsidRDefault="0018092F" w:rsidP="0018092F">
            <w:pPr>
              <w:spacing w:after="0" w:line="240" w:lineRule="auto"/>
              <w:jc w:val="center"/>
              <w:rPr>
                <w:rFonts w:eastAsia="Calibri"/>
                <w:b/>
                <w:bCs/>
              </w:rPr>
            </w:pPr>
            <w:r w:rsidRPr="008D1D0A">
              <w:rPr>
                <w:rFonts w:eastAsia="Calibri"/>
                <w:b/>
                <w:bCs/>
              </w:rPr>
              <w:t>n/a</w:t>
            </w:r>
          </w:p>
        </w:tc>
        <w:tc>
          <w:tcPr>
            <w:tcW w:w="1460" w:type="dxa"/>
            <w:noWrap/>
            <w:vAlign w:val="bottom"/>
            <w:hideMark/>
          </w:tcPr>
          <w:p w14:paraId="6BD2364C" w14:textId="77320EB8" w:rsidR="00C766C9" w:rsidRPr="008D1D0A" w:rsidRDefault="0018092F" w:rsidP="0018092F">
            <w:pPr>
              <w:spacing w:after="0" w:line="240" w:lineRule="auto"/>
              <w:jc w:val="center"/>
              <w:rPr>
                <w:rFonts w:eastAsia="Calibri"/>
                <w:b/>
                <w:bCs/>
              </w:rPr>
            </w:pPr>
            <w:r w:rsidRPr="008D1D0A">
              <w:rPr>
                <w:rFonts w:eastAsia="Calibri"/>
                <w:b/>
                <w:bCs/>
              </w:rPr>
              <w:t>n/a</w:t>
            </w:r>
          </w:p>
        </w:tc>
        <w:tc>
          <w:tcPr>
            <w:tcW w:w="1154" w:type="dxa"/>
            <w:noWrap/>
            <w:vAlign w:val="bottom"/>
            <w:hideMark/>
          </w:tcPr>
          <w:p w14:paraId="7A79FFEF" w14:textId="566BB21D" w:rsidR="00C766C9" w:rsidRPr="008D1D0A" w:rsidRDefault="0018092F" w:rsidP="0018092F">
            <w:pPr>
              <w:spacing w:after="0" w:line="240" w:lineRule="auto"/>
              <w:jc w:val="center"/>
              <w:rPr>
                <w:rFonts w:eastAsia="Calibri"/>
                <w:b/>
                <w:bCs/>
              </w:rPr>
            </w:pPr>
            <w:r w:rsidRPr="008D1D0A">
              <w:rPr>
                <w:rFonts w:eastAsia="Calibri"/>
                <w:b/>
                <w:bCs/>
              </w:rPr>
              <w:t>n/a</w:t>
            </w:r>
          </w:p>
        </w:tc>
        <w:tc>
          <w:tcPr>
            <w:tcW w:w="1154" w:type="dxa"/>
            <w:noWrap/>
            <w:vAlign w:val="bottom"/>
            <w:hideMark/>
          </w:tcPr>
          <w:p w14:paraId="355C7D9E" w14:textId="77777777" w:rsidR="00C766C9" w:rsidRPr="00AF327F" w:rsidRDefault="00C766C9" w:rsidP="00C766C9">
            <w:pPr>
              <w:spacing w:after="0" w:line="240" w:lineRule="auto"/>
              <w:jc w:val="right"/>
              <w:rPr>
                <w:rFonts w:eastAsia="Calibri"/>
                <w:b/>
                <w:bCs/>
              </w:rPr>
            </w:pPr>
            <w:r w:rsidRPr="00AF327F">
              <w:rPr>
                <w:rFonts w:eastAsia="Calibri"/>
                <w:b/>
                <w:bCs/>
              </w:rPr>
              <w:t>95</w:t>
            </w:r>
          </w:p>
        </w:tc>
        <w:tc>
          <w:tcPr>
            <w:tcW w:w="1178" w:type="dxa"/>
            <w:noWrap/>
            <w:vAlign w:val="bottom"/>
            <w:hideMark/>
          </w:tcPr>
          <w:p w14:paraId="384BF1BD" w14:textId="77777777" w:rsidR="00C766C9" w:rsidRPr="00AF327F" w:rsidRDefault="00C766C9" w:rsidP="00C766C9">
            <w:pPr>
              <w:spacing w:after="0" w:line="240" w:lineRule="auto"/>
              <w:jc w:val="right"/>
              <w:rPr>
                <w:rFonts w:eastAsia="Calibri"/>
                <w:b/>
                <w:bCs/>
              </w:rPr>
            </w:pPr>
            <w:r w:rsidRPr="00AF327F">
              <w:rPr>
                <w:rFonts w:eastAsia="Calibri"/>
                <w:b/>
                <w:bCs/>
              </w:rPr>
              <w:t>1750</w:t>
            </w:r>
          </w:p>
        </w:tc>
      </w:tr>
    </w:tbl>
    <w:p w14:paraId="560756E6" w14:textId="7013BF01" w:rsidR="00C766C9" w:rsidRPr="00AF327F" w:rsidRDefault="00C766C9" w:rsidP="00C766C9">
      <w:pPr>
        <w:spacing w:line="360" w:lineRule="auto"/>
        <w:jc w:val="center"/>
        <w:rPr>
          <w:rFonts w:eastAsia="Calibri"/>
          <w:sz w:val="18"/>
          <w:szCs w:val="18"/>
        </w:rPr>
      </w:pPr>
      <w:r w:rsidRPr="00AF327F">
        <w:rPr>
          <w:rFonts w:eastAsia="Calibri"/>
          <w:sz w:val="18"/>
          <w:szCs w:val="18"/>
        </w:rPr>
        <w:t xml:space="preserve">Tabla </w:t>
      </w:r>
      <w:r w:rsidR="003A141E" w:rsidRPr="00AF327F">
        <w:rPr>
          <w:rFonts w:eastAsia="Calibri"/>
          <w:sz w:val="18"/>
          <w:szCs w:val="18"/>
        </w:rPr>
        <w:t>15</w:t>
      </w:r>
      <w:r w:rsidRPr="00AF327F">
        <w:rPr>
          <w:rFonts w:eastAsia="Calibri"/>
          <w:sz w:val="18"/>
          <w:szCs w:val="18"/>
        </w:rPr>
        <w:t>. Promedio del desempeño de los colaboradores por grupo ocupacional, período evaluado 2024.</w:t>
      </w:r>
    </w:p>
    <w:p w14:paraId="2E81B8DC" w14:textId="784DBD4F" w:rsidR="00880FBD" w:rsidRPr="00F51D75" w:rsidRDefault="00C766C9" w:rsidP="00C766C9">
      <w:pPr>
        <w:spacing w:line="360" w:lineRule="auto"/>
        <w:jc w:val="center"/>
        <w:rPr>
          <w:rFonts w:eastAsia="Calibri"/>
          <w:i/>
          <w:iCs/>
          <w:sz w:val="18"/>
          <w:szCs w:val="18"/>
        </w:rPr>
      </w:pPr>
      <w:r w:rsidRPr="00F51D75">
        <w:rPr>
          <w:rFonts w:eastAsia="Calibri"/>
          <w:i/>
          <w:iCs/>
          <w:sz w:val="18"/>
          <w:szCs w:val="18"/>
        </w:rPr>
        <w:t>Fuente Plantilla Evaluación de Desempeño Laboral Institucional, CGR, 2024</w:t>
      </w:r>
    </w:p>
    <w:p w14:paraId="7B88A5D7" w14:textId="77777777" w:rsidR="00C211DE" w:rsidRPr="00AF327F" w:rsidRDefault="00C211DE" w:rsidP="00C934DB">
      <w:pPr>
        <w:spacing w:line="360" w:lineRule="auto"/>
        <w:rPr>
          <w:rFonts w:eastAsia="Calibri"/>
          <w:b/>
          <w:bCs/>
        </w:rPr>
      </w:pPr>
      <w:r w:rsidRPr="00AF327F">
        <w:rPr>
          <w:rFonts w:eastAsia="Calibri"/>
          <w:b/>
          <w:bCs/>
        </w:rPr>
        <w:t>Programa de Pasantías</w:t>
      </w:r>
    </w:p>
    <w:p w14:paraId="666672F2" w14:textId="05F09180" w:rsidR="00724293" w:rsidRPr="00AF327F" w:rsidRDefault="00724293" w:rsidP="00C934DB">
      <w:pPr>
        <w:spacing w:line="360" w:lineRule="auto"/>
        <w:jc w:val="both"/>
        <w:rPr>
          <w:rFonts w:eastAsia="Calibri"/>
        </w:rPr>
      </w:pPr>
      <w:r w:rsidRPr="00AF327F">
        <w:rPr>
          <w:rFonts w:eastAsia="Calibri"/>
        </w:rPr>
        <w:t>A través del programa de pasantías 2025, se estableció como meta la realización de 30 pasantías este año</w:t>
      </w:r>
      <w:r w:rsidR="00F4007F" w:rsidRPr="00AF327F">
        <w:rPr>
          <w:rFonts w:eastAsia="Calibri"/>
        </w:rPr>
        <w:t xml:space="preserve">, sin embargo fueron ejecutadas 47, logrando un 156% de efectividad superando ampliamente el objetivo. </w:t>
      </w:r>
      <w:r w:rsidR="002D35A0">
        <w:rPr>
          <w:rFonts w:eastAsia="Calibri"/>
        </w:rPr>
        <w:t xml:space="preserve">Se mantendrá esta ejecución como proyección </w:t>
      </w:r>
      <w:r w:rsidR="00636109">
        <w:rPr>
          <w:rFonts w:eastAsia="Calibri"/>
        </w:rPr>
        <w:t>p</w:t>
      </w:r>
      <w:r w:rsidR="002D35A0">
        <w:rPr>
          <w:rFonts w:eastAsia="Calibri"/>
        </w:rPr>
        <w:t xml:space="preserve">ara cierre de año. </w:t>
      </w:r>
      <w:r w:rsidR="00F4007F" w:rsidRPr="00AF327F">
        <w:rPr>
          <w:rFonts w:eastAsia="Calibri"/>
        </w:rPr>
        <w:t xml:space="preserve">Como resultado de este programa fueron incorporados formalmente </w:t>
      </w:r>
      <w:r w:rsidR="007526B3" w:rsidRPr="00AF327F">
        <w:rPr>
          <w:rFonts w:eastAsia="Calibri"/>
        </w:rPr>
        <w:t>cuatro</w:t>
      </w:r>
      <w:r w:rsidR="00F4007F" w:rsidRPr="00AF327F">
        <w:rPr>
          <w:rFonts w:eastAsia="Calibri"/>
        </w:rPr>
        <w:t xml:space="preserve"> nuevos colaboradores que presentaron alto rendimiento durante su pasantía. </w:t>
      </w:r>
    </w:p>
    <w:p w14:paraId="18EB4ECC" w14:textId="77777777" w:rsidR="004A67E5" w:rsidRPr="00AF327F" w:rsidRDefault="004A67E5" w:rsidP="00C934DB">
      <w:pPr>
        <w:spacing w:line="360" w:lineRule="auto"/>
        <w:rPr>
          <w:rFonts w:eastAsia="Calibri"/>
          <w:b/>
          <w:bCs/>
        </w:rPr>
      </w:pPr>
    </w:p>
    <w:p w14:paraId="552C047D" w14:textId="68AB911F" w:rsidR="00C211DE" w:rsidRPr="00AF327F" w:rsidRDefault="00C211DE" w:rsidP="00C934DB">
      <w:pPr>
        <w:spacing w:line="360" w:lineRule="auto"/>
        <w:rPr>
          <w:rFonts w:eastAsia="Calibri"/>
          <w:b/>
          <w:bCs/>
        </w:rPr>
      </w:pPr>
      <w:r w:rsidRPr="00AF327F">
        <w:rPr>
          <w:rFonts w:eastAsia="Calibri"/>
          <w:b/>
          <w:bCs/>
        </w:rPr>
        <w:t>Subsidio de Maestrías y Postgrados</w:t>
      </w:r>
    </w:p>
    <w:p w14:paraId="6204ADF1" w14:textId="0BB044AB" w:rsidR="00724293" w:rsidRPr="00AF327F" w:rsidRDefault="0049048A" w:rsidP="00C934DB">
      <w:pPr>
        <w:spacing w:line="360" w:lineRule="auto"/>
        <w:jc w:val="both"/>
        <w:rPr>
          <w:rFonts w:eastAsia="Calibri"/>
        </w:rPr>
      </w:pPr>
      <w:r w:rsidRPr="00AF327F">
        <w:rPr>
          <w:rFonts w:eastAsia="Calibri"/>
        </w:rPr>
        <w:t>La CGR otorga a sus colaboradores el beneficio del subsidio de maestrías y posgrados, para contribuir al desarrollo integral de las competencias técnicas y conductuales de los colaboradores, brindándoles la oportunidad de fortalecer sus conocimientos, habilidades y actitudes en áreas clave para el desempeño de sus funciones.</w:t>
      </w:r>
      <w:r w:rsidRPr="00AF327F">
        <w:t xml:space="preserve"> </w:t>
      </w:r>
      <w:r w:rsidRPr="00AF327F">
        <w:rPr>
          <w:rFonts w:eastAsia="Calibri"/>
        </w:rPr>
        <w:t>Durante el año, se otorgaron seis maestrías, impactando a igual número de colaboradores.</w:t>
      </w:r>
      <w:r w:rsidR="00B83A1D" w:rsidRPr="00B83A1D">
        <w:rPr>
          <w:rFonts w:eastAsia="Calibri"/>
          <w:color w:val="EE0000"/>
        </w:rPr>
        <w:t xml:space="preserve"> </w:t>
      </w:r>
    </w:p>
    <w:p w14:paraId="25BADC5A" w14:textId="77777777" w:rsidR="00C211DE" w:rsidRPr="00AF327F" w:rsidRDefault="00C211DE" w:rsidP="00C211DE">
      <w:pPr>
        <w:spacing w:before="100" w:beforeAutospacing="1" w:after="100" w:afterAutospacing="1" w:line="240" w:lineRule="auto"/>
        <w:jc w:val="both"/>
        <w:rPr>
          <w:rFonts w:eastAsia="Calibri"/>
          <w:b/>
          <w:bCs/>
        </w:rPr>
      </w:pPr>
    </w:p>
    <w:p w14:paraId="0BB35B9C" w14:textId="0CA43E44" w:rsidR="00C211DE" w:rsidRPr="00AF327F" w:rsidRDefault="00C211DE" w:rsidP="00C934DB">
      <w:pPr>
        <w:spacing w:before="100" w:beforeAutospacing="1" w:after="100" w:afterAutospacing="1" w:line="360" w:lineRule="auto"/>
        <w:jc w:val="both"/>
        <w:rPr>
          <w:rFonts w:eastAsia="Calibri"/>
          <w:b/>
          <w:bCs/>
        </w:rPr>
      </w:pPr>
      <w:r w:rsidRPr="00AF327F">
        <w:rPr>
          <w:rFonts w:eastAsia="Calibri"/>
          <w:b/>
          <w:bCs/>
        </w:rPr>
        <w:lastRenderedPageBreak/>
        <w:t>Ejecución de entrenamientos cruzados</w:t>
      </w:r>
    </w:p>
    <w:p w14:paraId="059434E4" w14:textId="11E9E589" w:rsidR="0049048A" w:rsidRPr="0027533B" w:rsidRDefault="0049048A" w:rsidP="00C934DB">
      <w:pPr>
        <w:spacing w:line="360" w:lineRule="auto"/>
        <w:jc w:val="both"/>
        <w:rPr>
          <w:rFonts w:eastAsia="Calibri"/>
        </w:rPr>
      </w:pPr>
      <w:r w:rsidRPr="00AF327F">
        <w:rPr>
          <w:rFonts w:eastAsia="Calibri"/>
        </w:rPr>
        <w:t>Otra gestión lleva</w:t>
      </w:r>
      <w:r w:rsidR="00A81288">
        <w:rPr>
          <w:rFonts w:eastAsia="Calibri"/>
        </w:rPr>
        <w:t>d</w:t>
      </w:r>
      <w:r w:rsidRPr="00AF327F">
        <w:rPr>
          <w:rFonts w:eastAsia="Calibri"/>
        </w:rPr>
        <w:t>a a cabo desde el subsistema de capacitación y desarrollo son los entrenamientos cruzados; una metodología de capacitación interna que permite a los colaboradores aprender las funciones, procesos y buenas prácticas de otras áreas dentro de la institución. Su objetivo es ampliar la comprensión del trabajo en equipo, fortalecer la cooperación y asegurar que los colaboradores conozcan cómo se conectan las distintas unidades para lograr los resultados. En este sentido</w:t>
      </w:r>
      <w:r w:rsidR="00C66888">
        <w:rPr>
          <w:rFonts w:eastAsia="Calibri"/>
        </w:rPr>
        <w:t>,</w:t>
      </w:r>
      <w:r w:rsidRPr="00AF327F">
        <w:rPr>
          <w:rFonts w:eastAsia="Calibri"/>
        </w:rPr>
        <w:t xml:space="preserve"> fueron ejecutados 19 entrenamientos cruzados, impactando 4 áreas de la institución: Dirección Tecnología de la Información y Comunicaciones, Dirección Administrativa Financiera, Escuela Nacional de Control Interno, Dirección de Recursos Humanos.</w:t>
      </w:r>
      <w:r w:rsidR="00B83A1D">
        <w:rPr>
          <w:rFonts w:eastAsia="Calibri"/>
        </w:rPr>
        <w:t xml:space="preserve"> </w:t>
      </w:r>
      <w:r w:rsidR="0027533B">
        <w:rPr>
          <w:rFonts w:eastAsia="Calibri"/>
        </w:rPr>
        <w:t xml:space="preserve">Se proyecta para diciembre la </w:t>
      </w:r>
      <w:r w:rsidR="0027533B" w:rsidRPr="0027533B">
        <w:rPr>
          <w:rFonts w:eastAsia="Calibri"/>
        </w:rPr>
        <w:t>ejecución de un entrenamiento más para personal del área administrativa financiera.</w:t>
      </w:r>
    </w:p>
    <w:p w14:paraId="175691B3" w14:textId="77777777" w:rsidR="0049048A" w:rsidRPr="00AF327F" w:rsidRDefault="0049048A" w:rsidP="00C934DB">
      <w:pPr>
        <w:spacing w:line="360" w:lineRule="auto"/>
        <w:jc w:val="both"/>
        <w:rPr>
          <w:rFonts w:eastAsia="Calibri"/>
        </w:rPr>
      </w:pPr>
      <w:r w:rsidRPr="00AF327F">
        <w:rPr>
          <w:rFonts w:eastAsia="Calibri"/>
        </w:rPr>
        <w:t>Otras actividades destacadas:</w:t>
      </w:r>
    </w:p>
    <w:p w14:paraId="6F204A94" w14:textId="77777777" w:rsidR="0049048A" w:rsidRPr="00AF327F" w:rsidRDefault="0049048A" w:rsidP="00C934DB">
      <w:pPr>
        <w:spacing w:line="360" w:lineRule="auto"/>
        <w:jc w:val="both"/>
        <w:rPr>
          <w:rFonts w:eastAsia="Calibri"/>
        </w:rPr>
      </w:pPr>
      <w:r w:rsidRPr="00AF327F">
        <w:rPr>
          <w:rFonts w:eastAsia="Calibri"/>
        </w:rPr>
        <w:t>Se ejecutó un ejercicio de benchmarking en coordinación con la Dirección de Tecnología del Instituto Nacional de Tránsito Terrestre, orientado al desarrollo de un sistema que optimice el proceso de Evaluación del Desempeño y fortalezca la modernización institucional.</w:t>
      </w:r>
    </w:p>
    <w:p w14:paraId="303035E9" w14:textId="1C3353F6" w:rsidR="0049048A" w:rsidRPr="00AF327F" w:rsidRDefault="0049048A" w:rsidP="00C934DB">
      <w:pPr>
        <w:spacing w:line="360" w:lineRule="auto"/>
        <w:jc w:val="both"/>
        <w:rPr>
          <w:rFonts w:eastAsia="Calibri"/>
        </w:rPr>
      </w:pPr>
      <w:r w:rsidRPr="00AF327F">
        <w:rPr>
          <w:rFonts w:eastAsia="Calibri"/>
        </w:rPr>
        <w:t xml:space="preserve">Se realizó la entrega de certificados a 37 colaboradores que completaron el programa de fortalecimiento de habilidades blandas “Dominicana se Transforma”. </w:t>
      </w:r>
    </w:p>
    <w:p w14:paraId="06AF6436" w14:textId="7828BC69" w:rsidR="0049048A" w:rsidRPr="00AF327F" w:rsidRDefault="0049048A" w:rsidP="00C934DB">
      <w:pPr>
        <w:spacing w:line="360" w:lineRule="auto"/>
        <w:jc w:val="both"/>
        <w:rPr>
          <w:rFonts w:eastAsia="Calibri"/>
        </w:rPr>
      </w:pPr>
      <w:r w:rsidRPr="00AF327F">
        <w:rPr>
          <w:rFonts w:eastAsia="Calibri"/>
        </w:rPr>
        <w:t>Ejecución en un 98% programa de mentoría respecto a las actividades asignadas.</w:t>
      </w:r>
      <w:r w:rsidR="00274CEC">
        <w:rPr>
          <w:rFonts w:eastAsia="Calibri"/>
        </w:rPr>
        <w:t xml:space="preserve"> </w:t>
      </w:r>
      <w:r w:rsidRPr="00AF327F">
        <w:rPr>
          <w:rFonts w:eastAsia="Calibri"/>
        </w:rPr>
        <w:t xml:space="preserve">Este programa </w:t>
      </w:r>
      <w:r w:rsidR="00274CEC" w:rsidRPr="00AF327F">
        <w:rPr>
          <w:rFonts w:eastAsia="Calibri"/>
        </w:rPr>
        <w:t>contin</w:t>
      </w:r>
      <w:r w:rsidR="00274CEC">
        <w:rPr>
          <w:rFonts w:eastAsia="Calibri"/>
        </w:rPr>
        <w:t>úa</w:t>
      </w:r>
      <w:r w:rsidRPr="00AF327F">
        <w:rPr>
          <w:rFonts w:eastAsia="Calibri"/>
        </w:rPr>
        <w:t xml:space="preserve"> consolidándose como un mecanismo clave para facilitar la integración del personal de nuevo ingreso, promoviendo una adaptación más ágil, eficiente y alineada con los valores y objetivos estratégicos de la institución.</w:t>
      </w:r>
      <w:r w:rsidR="00B83A1D" w:rsidRPr="00B83A1D">
        <w:rPr>
          <w:rFonts w:eastAsia="Calibri"/>
          <w:color w:val="EE0000"/>
        </w:rPr>
        <w:t xml:space="preserve"> </w:t>
      </w:r>
    </w:p>
    <w:p w14:paraId="287E07B3" w14:textId="544177A2" w:rsidR="0039247A" w:rsidRPr="00AF327F" w:rsidRDefault="00C211DE" w:rsidP="00C934DB">
      <w:pPr>
        <w:spacing w:line="360" w:lineRule="auto"/>
        <w:jc w:val="both"/>
        <w:rPr>
          <w:rFonts w:eastAsia="Calibri"/>
          <w:b/>
          <w:bCs/>
        </w:rPr>
      </w:pPr>
      <w:r w:rsidRPr="00AF327F">
        <w:rPr>
          <w:rFonts w:eastAsia="Calibri"/>
          <w:b/>
          <w:bCs/>
        </w:rPr>
        <w:lastRenderedPageBreak/>
        <w:t xml:space="preserve">c. </w:t>
      </w:r>
      <w:r w:rsidR="0039247A" w:rsidRPr="00AF327F">
        <w:rPr>
          <w:rFonts w:eastAsia="Calibri"/>
          <w:b/>
          <w:bCs/>
        </w:rPr>
        <w:t xml:space="preserve">Compensación y beneficios </w:t>
      </w:r>
    </w:p>
    <w:p w14:paraId="6D64330C" w14:textId="0F2DE099" w:rsidR="0039247A" w:rsidRPr="00AF327F" w:rsidRDefault="00C211DE" w:rsidP="00C934DB">
      <w:pPr>
        <w:spacing w:line="360" w:lineRule="auto"/>
        <w:jc w:val="both"/>
        <w:rPr>
          <w:rFonts w:eastAsia="Calibri"/>
        </w:rPr>
      </w:pPr>
      <w:r w:rsidRPr="00AF327F">
        <w:rPr>
          <w:rFonts w:eastAsia="Calibri"/>
        </w:rPr>
        <w:t>Fueron</w:t>
      </w:r>
      <w:r w:rsidR="0039247A" w:rsidRPr="00AF327F">
        <w:rPr>
          <w:rFonts w:eastAsia="Calibri"/>
        </w:rPr>
        <w:t xml:space="preserve"> ejecutados los siguientes programas de beneficios a favor de los colaboradores:</w:t>
      </w:r>
    </w:p>
    <w:p w14:paraId="3860C7B3" w14:textId="77777777" w:rsidR="0039247A" w:rsidRPr="00AF327F" w:rsidRDefault="0039247A" w:rsidP="00C934DB">
      <w:pPr>
        <w:spacing w:line="360" w:lineRule="auto"/>
        <w:jc w:val="both"/>
        <w:rPr>
          <w:rFonts w:eastAsia="Calibri"/>
          <w:b/>
          <w:bCs/>
        </w:rPr>
      </w:pPr>
      <w:r w:rsidRPr="00AF327F">
        <w:rPr>
          <w:rFonts w:eastAsia="Calibri"/>
          <w:b/>
          <w:bCs/>
        </w:rPr>
        <w:t>Subsidio Escolar</w:t>
      </w:r>
    </w:p>
    <w:p w14:paraId="3DDB387E" w14:textId="4DD10340" w:rsidR="00C211DE" w:rsidRPr="00AF327F" w:rsidRDefault="00C211DE" w:rsidP="00C934DB">
      <w:pPr>
        <w:spacing w:line="360" w:lineRule="auto"/>
        <w:jc w:val="both"/>
        <w:rPr>
          <w:rFonts w:eastAsia="Calibri"/>
        </w:rPr>
      </w:pPr>
      <w:r w:rsidRPr="00AF327F">
        <w:rPr>
          <w:rFonts w:eastAsia="Calibri"/>
        </w:rPr>
        <w:t xml:space="preserve">En nuestro compromiso con el apoyo integral a las familias de nuestros colaboradores, en el mes de junio dimos inicio al proceso de subsidio escolar, </w:t>
      </w:r>
      <w:r w:rsidR="005B1E71">
        <w:rPr>
          <w:rFonts w:eastAsia="Calibri"/>
        </w:rPr>
        <w:t xml:space="preserve">que </w:t>
      </w:r>
      <w:r w:rsidRPr="00AF327F">
        <w:rPr>
          <w:rFonts w:eastAsia="Calibri"/>
        </w:rPr>
        <w:t>como objetivo aliviar la carga económica que representa la educación para los hijos de nuestros colaboradores, el cual es aplicable a todo hijo(a) legítimo, natural o legalmente adoptado, desde los dos años hasta los dieciocho 18 años; que cursen educación básica (primaria) y/o media (secundaria) hasta 6° grado de secundaria, y que se encuentren matriculados en una institución educativa del país. En este año 2025 fueron beneficiados 744 colaboradores e impactados 1,154 hijos e hijas en edad escolar.</w:t>
      </w:r>
      <w:r w:rsidR="00897E2D">
        <w:rPr>
          <w:rFonts w:eastAsia="Calibri"/>
        </w:rPr>
        <w:t xml:space="preserve"> </w:t>
      </w:r>
    </w:p>
    <w:p w14:paraId="2EA78DF1" w14:textId="77777777" w:rsidR="00C211DE" w:rsidRPr="00AF327F" w:rsidRDefault="00C211DE" w:rsidP="00C934DB">
      <w:pPr>
        <w:spacing w:line="360" w:lineRule="auto"/>
        <w:jc w:val="both"/>
        <w:rPr>
          <w:rFonts w:eastAsia="Calibri"/>
          <w:b/>
          <w:bCs/>
          <w:lang w:val="es-ES"/>
        </w:rPr>
      </w:pPr>
      <w:r w:rsidRPr="00AF327F">
        <w:rPr>
          <w:rFonts w:eastAsia="Calibri"/>
          <w:b/>
          <w:bCs/>
          <w:lang w:val="es-ES"/>
        </w:rPr>
        <w:t>Bonos e incentivos</w:t>
      </w:r>
    </w:p>
    <w:p w14:paraId="6CFD235A" w14:textId="74C55B56" w:rsidR="00C211DE" w:rsidRPr="00AF327F" w:rsidRDefault="00C211DE" w:rsidP="00C934DB">
      <w:pPr>
        <w:spacing w:line="360" w:lineRule="auto"/>
        <w:jc w:val="both"/>
        <w:rPr>
          <w:rFonts w:eastAsia="Calibri"/>
          <w:lang w:val="es-ES"/>
        </w:rPr>
      </w:pPr>
      <w:r w:rsidRPr="00AF327F">
        <w:rPr>
          <w:rFonts w:eastAsia="Calibri"/>
          <w:lang w:val="es-ES"/>
        </w:rPr>
        <w:t xml:space="preserve">Conforme lo establece la Ley Núm.41-08 de Función Pública, así como la circular MAP Núm.0029562 de fecha 6 de octubre 2021, sobre guía de remuneraciones, incentivos, compensaciones y beneficios de los servidores públicos sujetos a la misma, en el mes de abril se entregó el </w:t>
      </w:r>
      <w:r w:rsidR="00C06BFA">
        <w:rPr>
          <w:rFonts w:eastAsia="Calibri"/>
          <w:lang w:val="es-ES"/>
        </w:rPr>
        <w:t>b</w:t>
      </w:r>
      <w:r w:rsidRPr="00AF327F">
        <w:rPr>
          <w:rFonts w:eastAsia="Calibri"/>
          <w:lang w:val="es-ES"/>
        </w:rPr>
        <w:t xml:space="preserve">ono por </w:t>
      </w:r>
      <w:r w:rsidR="00C06BFA">
        <w:rPr>
          <w:rFonts w:eastAsia="Calibri"/>
          <w:lang w:val="es-ES"/>
        </w:rPr>
        <w:t>d</w:t>
      </w:r>
      <w:r w:rsidRPr="00AF327F">
        <w:rPr>
          <w:rFonts w:eastAsia="Calibri"/>
          <w:lang w:val="es-ES"/>
        </w:rPr>
        <w:t xml:space="preserve">esempeño el cual beneficio a 580 colaboradores de carrera administrativa activos y 15 inactivos. </w:t>
      </w:r>
    </w:p>
    <w:p w14:paraId="46421481" w14:textId="77777777" w:rsidR="00C211DE" w:rsidRPr="00AF327F" w:rsidRDefault="00C211DE" w:rsidP="00C934DB">
      <w:pPr>
        <w:spacing w:line="360" w:lineRule="auto"/>
        <w:jc w:val="both"/>
        <w:rPr>
          <w:rFonts w:eastAsia="Calibri"/>
          <w:lang w:val="es-ES"/>
        </w:rPr>
      </w:pPr>
      <w:r w:rsidRPr="00AF327F">
        <w:rPr>
          <w:rFonts w:eastAsia="Calibri"/>
          <w:lang w:val="es-ES"/>
        </w:rPr>
        <w:t xml:space="preserve">Por otro lado, se otorgó el incentivo por Rendimiento Individual a un total de 1,234 colaboradores activos y 75 inactivos. </w:t>
      </w:r>
    </w:p>
    <w:p w14:paraId="460A5AE1" w14:textId="175542F3" w:rsidR="00C211DE" w:rsidRPr="00AF327F" w:rsidRDefault="00C211DE" w:rsidP="00C934DB">
      <w:pPr>
        <w:spacing w:line="360" w:lineRule="auto"/>
        <w:jc w:val="both"/>
        <w:rPr>
          <w:rFonts w:eastAsia="Calibri"/>
          <w:lang w:val="es-ES"/>
        </w:rPr>
      </w:pPr>
      <w:r w:rsidRPr="00AF327F">
        <w:rPr>
          <w:rFonts w:eastAsia="Calibri"/>
          <w:lang w:val="es-ES"/>
        </w:rPr>
        <w:t>Asimismo, en octubre de 2025 se entregó el Incentivo por cumplimiento de indicadores SISMAP, tras alcanzar una puntuación institucional de 93.76%.</w:t>
      </w:r>
      <w:r w:rsidR="00897E2D">
        <w:rPr>
          <w:rFonts w:eastAsia="Calibri"/>
          <w:lang w:val="es-ES"/>
        </w:rPr>
        <w:t xml:space="preserve"> </w:t>
      </w:r>
    </w:p>
    <w:p w14:paraId="2D5CF3FB" w14:textId="77777777" w:rsidR="00C211DE" w:rsidRPr="00AF327F" w:rsidRDefault="00C211DE" w:rsidP="00C211DE">
      <w:pPr>
        <w:spacing w:line="360" w:lineRule="auto"/>
        <w:jc w:val="both"/>
        <w:rPr>
          <w:rFonts w:eastAsia="Calibri"/>
        </w:rPr>
      </w:pPr>
    </w:p>
    <w:p w14:paraId="53874299" w14:textId="77777777" w:rsidR="00C211DE" w:rsidRPr="00AF327F" w:rsidRDefault="00C211DE" w:rsidP="00C934DB">
      <w:pPr>
        <w:spacing w:line="360" w:lineRule="auto"/>
        <w:jc w:val="both"/>
        <w:rPr>
          <w:rFonts w:eastAsia="Calibri"/>
          <w:b/>
          <w:bCs/>
        </w:rPr>
      </w:pPr>
      <w:r w:rsidRPr="00AF327F">
        <w:rPr>
          <w:rFonts w:eastAsia="Calibri"/>
          <w:b/>
          <w:bCs/>
        </w:rPr>
        <w:lastRenderedPageBreak/>
        <w:t>Bienestar Laboral</w:t>
      </w:r>
    </w:p>
    <w:p w14:paraId="04212159" w14:textId="0712D043" w:rsidR="00C211DE" w:rsidRPr="00AF327F" w:rsidRDefault="00C211DE" w:rsidP="00C934DB">
      <w:pPr>
        <w:spacing w:line="360" w:lineRule="auto"/>
        <w:jc w:val="both"/>
        <w:rPr>
          <w:rFonts w:eastAsia="Calibri"/>
        </w:rPr>
      </w:pPr>
      <w:r w:rsidRPr="00AF327F">
        <w:rPr>
          <w:rFonts w:eastAsia="Calibri"/>
        </w:rPr>
        <w:t>Durante el año 2025, la institución avanzó de manera significativa en la implementación, consolidación y fortalecimiento de iniciativas orientadas al bienestar, el desarrollo integral y el reconocimiento del talento humano. La División de Organización del Trabajo y Compensación impulsó diversos programas estratégicos que generaron un impacto positivo en los colaboradores y en el clima laboral de la Contraloría. A continuación, se presentan los principales logros del período, organizados según su ejecución.</w:t>
      </w:r>
    </w:p>
    <w:p w14:paraId="784FC1DE" w14:textId="6AE836E3" w:rsidR="00C211DE" w:rsidRPr="00AF327F" w:rsidRDefault="00C211DE" w:rsidP="00C934DB">
      <w:pPr>
        <w:spacing w:line="360" w:lineRule="auto"/>
        <w:jc w:val="both"/>
        <w:rPr>
          <w:rFonts w:eastAsia="Calibri"/>
        </w:rPr>
      </w:pPr>
      <w:r w:rsidRPr="00AF327F">
        <w:rPr>
          <w:rFonts w:eastAsia="Calibri"/>
        </w:rPr>
        <w:t>En enero se mantuvo de forma permanente el espacio de Lunes de Reflexión, difundido a través del correo institucional de Recursos Humanos. Esta iniciativa continuó consolidándose como una herramienta de motivación, enfoque semanal y fortalecimiento del clima organizacional, siendo altamente valorada por los colaboradores.</w:t>
      </w:r>
    </w:p>
    <w:p w14:paraId="26CD6599" w14:textId="357E7F69" w:rsidR="00C211DE" w:rsidRPr="00AF327F" w:rsidRDefault="00C211DE" w:rsidP="00C934DB">
      <w:pPr>
        <w:spacing w:line="360" w:lineRule="auto"/>
        <w:jc w:val="both"/>
        <w:rPr>
          <w:rFonts w:eastAsia="Calibri"/>
        </w:rPr>
      </w:pPr>
      <w:r w:rsidRPr="00AF327F">
        <w:rPr>
          <w:rFonts w:eastAsia="Calibri"/>
        </w:rPr>
        <w:t xml:space="preserve">En marzo se instauró el </w:t>
      </w:r>
      <w:r w:rsidRPr="00962A03">
        <w:rPr>
          <w:rFonts w:eastAsia="Calibri"/>
          <w:i/>
          <w:iCs/>
        </w:rPr>
        <w:t>programa de Reconocimientos a Colaboradores Destacados</w:t>
      </w:r>
      <w:r w:rsidRPr="00AF327F">
        <w:rPr>
          <w:rFonts w:eastAsia="Calibri"/>
        </w:rPr>
        <w:t>, dirigido a resaltar el desempeño excepcional, el compromiso institucional y la vivencia de los valores organizacionales</w:t>
      </w:r>
      <w:r w:rsidR="00962A03">
        <w:rPr>
          <w:rFonts w:eastAsia="Calibri"/>
        </w:rPr>
        <w:t>, realizado de forma trimestral.</w:t>
      </w:r>
      <w:r w:rsidRPr="00AF327F">
        <w:rPr>
          <w:rFonts w:eastAsia="Calibri"/>
        </w:rPr>
        <w:t xml:space="preserve"> Durante el año fueron reconocidos aproximadamente 50 colaboradores por trimestre, alcanzando un total de 200 reconocidos en 2025. Esta iniciativa fortaleció el sentido de pertenencia y motivación dentro de la institución.</w:t>
      </w:r>
    </w:p>
    <w:p w14:paraId="7B75BD1A" w14:textId="3560FACC" w:rsidR="00B86B16" w:rsidRPr="00AF327F" w:rsidRDefault="00C211DE" w:rsidP="00B86B16">
      <w:pPr>
        <w:spacing w:line="360" w:lineRule="auto"/>
        <w:jc w:val="both"/>
        <w:rPr>
          <w:rFonts w:eastAsia="Calibri"/>
        </w:rPr>
      </w:pPr>
      <w:r w:rsidRPr="00AF327F">
        <w:rPr>
          <w:rFonts w:eastAsia="Calibri"/>
        </w:rPr>
        <w:t xml:space="preserve">En julio la Contraloría General inició el </w:t>
      </w:r>
      <w:r w:rsidRPr="00962A03">
        <w:rPr>
          <w:rFonts w:eastAsia="Calibri"/>
          <w:i/>
          <w:iCs/>
        </w:rPr>
        <w:t>programa Contraloría Saludable</w:t>
      </w:r>
      <w:r w:rsidRPr="00AF327F">
        <w:rPr>
          <w:rFonts w:eastAsia="Calibri"/>
        </w:rPr>
        <w:t xml:space="preserve">, una iniciativa integral que abarca la salud mental, emocional y física de los colaboradores. </w:t>
      </w:r>
      <w:r w:rsidR="00B86B16">
        <w:rPr>
          <w:rFonts w:eastAsia="Calibri"/>
        </w:rPr>
        <w:t xml:space="preserve">Se </w:t>
      </w:r>
      <w:r w:rsidR="00B86B16" w:rsidRPr="00AF327F">
        <w:rPr>
          <w:rFonts w:eastAsia="Calibri"/>
        </w:rPr>
        <w:t>consolidó como una estrategia clave para promover hábitos saludables y mejorar la calidad de vida del personal.</w:t>
      </w:r>
    </w:p>
    <w:p w14:paraId="70D4E45F" w14:textId="77777777" w:rsidR="00B86B16" w:rsidRDefault="00B86B16" w:rsidP="00C934DB">
      <w:pPr>
        <w:spacing w:line="360" w:lineRule="auto"/>
        <w:jc w:val="both"/>
        <w:rPr>
          <w:rFonts w:eastAsia="Calibri"/>
        </w:rPr>
      </w:pPr>
    </w:p>
    <w:p w14:paraId="30BF737A" w14:textId="324A143D" w:rsidR="00C211DE" w:rsidRPr="00AF327F" w:rsidRDefault="00962A03" w:rsidP="00C934DB">
      <w:pPr>
        <w:spacing w:line="360" w:lineRule="auto"/>
        <w:jc w:val="both"/>
        <w:rPr>
          <w:rFonts w:eastAsia="Calibri"/>
        </w:rPr>
      </w:pPr>
      <w:r>
        <w:rPr>
          <w:rFonts w:eastAsia="Calibri"/>
        </w:rPr>
        <w:lastRenderedPageBreak/>
        <w:t>Este</w:t>
      </w:r>
      <w:r w:rsidR="00C211DE" w:rsidRPr="00AF327F">
        <w:rPr>
          <w:rFonts w:eastAsia="Calibri"/>
        </w:rPr>
        <w:t xml:space="preserve"> incluye:</w:t>
      </w:r>
    </w:p>
    <w:p w14:paraId="3BBDE171" w14:textId="54A4A4BA" w:rsidR="00C211DE" w:rsidRPr="00AF327F" w:rsidRDefault="00C211DE" w:rsidP="00C934DB">
      <w:pPr>
        <w:spacing w:line="360" w:lineRule="auto"/>
        <w:jc w:val="both"/>
        <w:rPr>
          <w:rFonts w:eastAsia="Calibri"/>
        </w:rPr>
      </w:pPr>
      <w:r w:rsidRPr="00AF327F">
        <w:rPr>
          <w:rFonts w:eastAsia="Calibri"/>
        </w:rPr>
        <w:t>•Acceso al Consultorio Psicológico Institucional, disponible para acompañamiento profesional de forma confidencial.</w:t>
      </w:r>
    </w:p>
    <w:p w14:paraId="7E7E88E2" w14:textId="4B504504" w:rsidR="00C211DE" w:rsidRPr="00AF327F" w:rsidRDefault="00C211DE" w:rsidP="00C934DB">
      <w:pPr>
        <w:spacing w:line="360" w:lineRule="auto"/>
        <w:jc w:val="both"/>
        <w:rPr>
          <w:rFonts w:eastAsia="Calibri"/>
        </w:rPr>
      </w:pPr>
      <w:r w:rsidRPr="00AF327F">
        <w:rPr>
          <w:rFonts w:eastAsia="Calibri"/>
        </w:rPr>
        <w:t>•Beneficios para acceder a entrenamientos físicos, natación, zumba y otras actividades deportivas, en las cuales la institución cubre un porcentaje del costo.</w:t>
      </w:r>
    </w:p>
    <w:p w14:paraId="6B81C8F9" w14:textId="77777777" w:rsidR="008F166F" w:rsidRPr="00AF327F" w:rsidRDefault="00C211DE" w:rsidP="008F166F">
      <w:pPr>
        <w:spacing w:line="360" w:lineRule="auto"/>
        <w:jc w:val="both"/>
        <w:rPr>
          <w:rFonts w:eastAsia="Calibri"/>
        </w:rPr>
      </w:pPr>
      <w:r w:rsidRPr="00AF327F">
        <w:rPr>
          <w:rFonts w:eastAsia="Calibri"/>
        </w:rPr>
        <w:t>•Implementación de pausas activas dentro de las instalaciones de la Contraloría General</w:t>
      </w:r>
      <w:r w:rsidR="008F166F">
        <w:rPr>
          <w:rFonts w:eastAsia="Calibri"/>
        </w:rPr>
        <w:t xml:space="preserve">, </w:t>
      </w:r>
      <w:r w:rsidR="008F166F" w:rsidRPr="00AF327F">
        <w:rPr>
          <w:rFonts w:eastAsia="Calibri"/>
        </w:rPr>
        <w:t>diseñado para promover hábitos saludables, reducir la fatiga y mejorar el bienestar físico del personal. Esta iniciativa alcanzó a las diferentes direcciones de la Contraloría y se consolidó como una práctica recomendada dentro de la jornada laboral, con gran aceptación entre los colaboradores.</w:t>
      </w:r>
    </w:p>
    <w:p w14:paraId="41ACD461" w14:textId="5356DEAB" w:rsidR="00C211DE" w:rsidRPr="00AF327F" w:rsidRDefault="00C211DE" w:rsidP="00C934DB">
      <w:pPr>
        <w:spacing w:line="360" w:lineRule="auto"/>
        <w:jc w:val="both"/>
        <w:rPr>
          <w:rFonts w:eastAsia="Calibri"/>
        </w:rPr>
      </w:pPr>
      <w:r w:rsidRPr="00AF327F">
        <w:rPr>
          <w:rFonts w:eastAsia="Calibri"/>
        </w:rPr>
        <w:t>En julio se realizó la charla Finanzas Saludables, orientada a brindar herramientas para el manejo responsable de las finanzas personales. La actividad contó con una participación aproximada de 300 colaboradores, evidenciando amplio interés y receptividad. Ese mismo mes se implementaron las Clases de Ajedrez, una iniciativa formativa y recreativa que fomentó el pensamiento estratégico, la concentración y el desarrollo cognitivo, beneficiando aproximadamente a 10 colaboradores.</w:t>
      </w:r>
    </w:p>
    <w:p w14:paraId="5AEB106D" w14:textId="0A55EF2A" w:rsidR="00C211DE" w:rsidRPr="00465A16" w:rsidRDefault="00C211DE" w:rsidP="00C934DB">
      <w:pPr>
        <w:spacing w:line="360" w:lineRule="auto"/>
        <w:jc w:val="both"/>
        <w:rPr>
          <w:rFonts w:eastAsia="Calibri"/>
          <w:color w:val="4C4747"/>
        </w:rPr>
      </w:pPr>
      <w:r w:rsidRPr="00AF327F">
        <w:rPr>
          <w:rFonts w:eastAsia="Calibri"/>
        </w:rPr>
        <w:t xml:space="preserve">Asimismo, en agosto se realizó la Integración de Hijos e Hijas de Colaboradores, una actividad destinada a fortalecer el vínculo institucional con las familias del personal. En esta jornada participaron aproximadamente 200 </w:t>
      </w:r>
      <w:proofErr w:type="gramStart"/>
      <w:r w:rsidRPr="00AF327F">
        <w:rPr>
          <w:rFonts w:eastAsia="Calibri"/>
        </w:rPr>
        <w:t>niños y niñas</w:t>
      </w:r>
      <w:proofErr w:type="gramEnd"/>
      <w:r w:rsidRPr="00AF327F">
        <w:rPr>
          <w:rFonts w:eastAsia="Calibri"/>
        </w:rPr>
        <w:t xml:space="preserve"> de entre 6 y 10 años, quienes disfrutaron de una experiencia educativa y recreativa en el Acuario Nacional de la República Dominicana</w:t>
      </w:r>
      <w:r w:rsidRPr="00465A16">
        <w:rPr>
          <w:rFonts w:eastAsia="Calibri"/>
          <w:color w:val="4C4747"/>
        </w:rPr>
        <w:t>.</w:t>
      </w:r>
    </w:p>
    <w:p w14:paraId="5090858F" w14:textId="77777777" w:rsidR="00C211DE" w:rsidRDefault="00C211DE" w:rsidP="00C211DE">
      <w:pPr>
        <w:spacing w:line="360" w:lineRule="auto"/>
        <w:jc w:val="both"/>
        <w:rPr>
          <w:rFonts w:eastAsia="Calibri"/>
          <w:color w:val="4C4747"/>
        </w:rPr>
      </w:pPr>
    </w:p>
    <w:p w14:paraId="2319A35D" w14:textId="77777777" w:rsidR="008F166F" w:rsidRPr="00465A16" w:rsidRDefault="008F166F" w:rsidP="00C211DE">
      <w:pPr>
        <w:spacing w:line="360" w:lineRule="auto"/>
        <w:jc w:val="both"/>
        <w:rPr>
          <w:rFonts w:eastAsia="Calibri"/>
          <w:color w:val="4C4747"/>
        </w:rPr>
      </w:pPr>
    </w:p>
    <w:p w14:paraId="06E20FDA" w14:textId="2D8DD852" w:rsidR="00C211DE" w:rsidRPr="00AF327F" w:rsidRDefault="00C211DE" w:rsidP="00C934DB">
      <w:pPr>
        <w:spacing w:line="360" w:lineRule="auto"/>
        <w:jc w:val="both"/>
        <w:rPr>
          <w:rFonts w:eastAsia="Calibri"/>
        </w:rPr>
      </w:pPr>
      <w:r w:rsidRPr="00AF327F">
        <w:rPr>
          <w:rFonts w:eastAsia="Calibri"/>
        </w:rPr>
        <w:lastRenderedPageBreak/>
        <w:t xml:space="preserve">En septiembre se implementó el régimen especial de </w:t>
      </w:r>
      <w:r w:rsidR="00B86B16">
        <w:rPr>
          <w:rFonts w:eastAsia="Calibri"/>
        </w:rPr>
        <w:t>p</w:t>
      </w:r>
      <w:r w:rsidRPr="00AF327F">
        <w:rPr>
          <w:rFonts w:eastAsia="Calibri"/>
        </w:rPr>
        <w:t xml:space="preserve">ermisos para </w:t>
      </w:r>
      <w:r w:rsidR="00B86B16">
        <w:rPr>
          <w:rFonts w:eastAsia="Calibri"/>
        </w:rPr>
        <w:t>m</w:t>
      </w:r>
      <w:r w:rsidRPr="00AF327F">
        <w:rPr>
          <w:rFonts w:eastAsia="Calibri"/>
        </w:rPr>
        <w:t xml:space="preserve">adres y </w:t>
      </w:r>
      <w:r w:rsidR="00B86B16">
        <w:rPr>
          <w:rFonts w:eastAsia="Calibri"/>
        </w:rPr>
        <w:t>p</w:t>
      </w:r>
      <w:r w:rsidRPr="00AF327F">
        <w:rPr>
          <w:rFonts w:eastAsia="Calibri"/>
        </w:rPr>
        <w:t xml:space="preserve">adres de </w:t>
      </w:r>
      <w:r w:rsidR="00B86B16">
        <w:rPr>
          <w:rFonts w:eastAsia="Calibri"/>
        </w:rPr>
        <w:t>h</w:t>
      </w:r>
      <w:r w:rsidRPr="00AF327F">
        <w:rPr>
          <w:rFonts w:eastAsia="Calibri"/>
        </w:rPr>
        <w:t xml:space="preserve">ijos con </w:t>
      </w:r>
      <w:r w:rsidR="00B86B16">
        <w:rPr>
          <w:rFonts w:eastAsia="Calibri"/>
        </w:rPr>
        <w:t>c</w:t>
      </w:r>
      <w:r w:rsidRPr="00AF327F">
        <w:rPr>
          <w:rFonts w:eastAsia="Calibri"/>
        </w:rPr>
        <w:t xml:space="preserve">ondiciones </w:t>
      </w:r>
      <w:r w:rsidR="00B86B16">
        <w:rPr>
          <w:rFonts w:eastAsia="Calibri"/>
        </w:rPr>
        <w:t>e</w:t>
      </w:r>
      <w:r w:rsidRPr="00AF327F">
        <w:rPr>
          <w:rFonts w:eastAsia="Calibri"/>
        </w:rPr>
        <w:t xml:space="preserve">speciales o </w:t>
      </w:r>
      <w:r w:rsidR="00B86B16">
        <w:rPr>
          <w:rFonts w:eastAsia="Calibri"/>
        </w:rPr>
        <w:t>d</w:t>
      </w:r>
      <w:r w:rsidRPr="00AF327F">
        <w:rPr>
          <w:rFonts w:eastAsia="Calibri"/>
        </w:rPr>
        <w:t>iscapacidad, medida que reafirmó el compromiso institucional con la inclusión, el apoyo familiar y la sensibilidad social.</w:t>
      </w:r>
    </w:p>
    <w:p w14:paraId="2986C10A" w14:textId="22B4AAB6" w:rsidR="00C211DE" w:rsidRPr="00AF327F" w:rsidRDefault="00C211DE" w:rsidP="00C934DB">
      <w:pPr>
        <w:spacing w:line="360" w:lineRule="auto"/>
        <w:jc w:val="both"/>
        <w:rPr>
          <w:rFonts w:eastAsia="Calibri"/>
        </w:rPr>
      </w:pPr>
      <w:r w:rsidRPr="00AF327F">
        <w:rPr>
          <w:rFonts w:eastAsia="Calibri"/>
        </w:rPr>
        <w:t>En octubre se culminó el Diccionario de Competencias Institucional, una herramienta clave para estandarizar perfiles, evaluaciones y procesos de desarrollo del talento humano. Este logro representa un avance significativo en la profesionalización y modernización de la gestión del talento.</w:t>
      </w:r>
    </w:p>
    <w:p w14:paraId="31A861DE" w14:textId="7D3CBED9" w:rsidR="00C211DE" w:rsidRPr="00AF327F" w:rsidRDefault="00C211DE" w:rsidP="00C934DB">
      <w:pPr>
        <w:spacing w:line="360" w:lineRule="auto"/>
        <w:jc w:val="both"/>
        <w:rPr>
          <w:rFonts w:eastAsia="Calibri"/>
        </w:rPr>
      </w:pPr>
      <w:r w:rsidRPr="00AF327F">
        <w:rPr>
          <w:rFonts w:eastAsia="Calibri"/>
        </w:rPr>
        <w:t xml:space="preserve">En noviembre se llevó a cabo la </w:t>
      </w:r>
      <w:r w:rsidR="00801AF2">
        <w:rPr>
          <w:rFonts w:eastAsia="Calibri"/>
        </w:rPr>
        <w:t>a</w:t>
      </w:r>
      <w:r w:rsidRPr="00AF327F">
        <w:rPr>
          <w:rFonts w:eastAsia="Calibri"/>
        </w:rPr>
        <w:t xml:space="preserve">ctividad </w:t>
      </w:r>
      <w:r w:rsidR="00801AF2">
        <w:rPr>
          <w:rFonts w:eastAsia="Calibri"/>
        </w:rPr>
        <w:t>a</w:t>
      </w:r>
      <w:r w:rsidRPr="00AF327F">
        <w:rPr>
          <w:rFonts w:eastAsia="Calibri"/>
        </w:rPr>
        <w:t xml:space="preserve">nual de </w:t>
      </w:r>
      <w:r w:rsidR="00801AF2">
        <w:rPr>
          <w:rFonts w:eastAsia="Calibri"/>
        </w:rPr>
        <w:t>r</w:t>
      </w:r>
      <w:r w:rsidRPr="00AF327F">
        <w:rPr>
          <w:rFonts w:eastAsia="Calibri"/>
        </w:rPr>
        <w:t xml:space="preserve">econocimientos, un evento que celebró la trayectoria, los aportes y la dedicación de </w:t>
      </w:r>
      <w:r w:rsidR="00A457F3">
        <w:rPr>
          <w:rFonts w:eastAsia="Calibri"/>
        </w:rPr>
        <w:t>152</w:t>
      </w:r>
      <w:r w:rsidRPr="00AF327F">
        <w:rPr>
          <w:rFonts w:eastAsia="Calibri"/>
        </w:rPr>
        <w:t xml:space="preserve"> colaboradores, fortaleciendo la cultura de reconocimiento institucional.</w:t>
      </w:r>
    </w:p>
    <w:p w14:paraId="133916F9" w14:textId="223BB299" w:rsidR="00C211DE" w:rsidRPr="00AF327F" w:rsidRDefault="00C211DE" w:rsidP="00C934DB">
      <w:pPr>
        <w:spacing w:line="360" w:lineRule="auto"/>
        <w:jc w:val="both"/>
        <w:rPr>
          <w:rFonts w:eastAsia="Calibri"/>
        </w:rPr>
      </w:pPr>
      <w:r w:rsidRPr="00AF327F">
        <w:rPr>
          <w:rFonts w:eastAsia="Calibri"/>
        </w:rPr>
        <w:t xml:space="preserve">Durante diciembre se conformó y presentó el </w:t>
      </w:r>
      <w:r w:rsidR="00102C34">
        <w:rPr>
          <w:rFonts w:eastAsia="Calibri"/>
        </w:rPr>
        <w:t>c</w:t>
      </w:r>
      <w:r w:rsidRPr="00AF327F">
        <w:rPr>
          <w:rFonts w:eastAsia="Calibri"/>
        </w:rPr>
        <w:t xml:space="preserve">oro </w:t>
      </w:r>
      <w:r w:rsidR="00102C34">
        <w:rPr>
          <w:rFonts w:eastAsia="Calibri"/>
        </w:rPr>
        <w:t>i</w:t>
      </w:r>
      <w:r w:rsidRPr="00AF327F">
        <w:rPr>
          <w:rFonts w:eastAsia="Calibri"/>
        </w:rPr>
        <w:t>nstitucional de la Contraloría, el cual participó en las actividades navideñas, promoviendo la integración, el talento artístico y el espíritu festivo entre los colaboradores.</w:t>
      </w:r>
    </w:p>
    <w:p w14:paraId="5ADFBB83" w14:textId="77777777" w:rsidR="00E836B3" w:rsidRPr="00AF327F" w:rsidRDefault="00E836B3" w:rsidP="00C934DB">
      <w:pPr>
        <w:spacing w:line="360" w:lineRule="auto"/>
        <w:jc w:val="both"/>
        <w:rPr>
          <w:rFonts w:eastAsia="Calibri"/>
          <w:b/>
          <w:bCs/>
        </w:rPr>
      </w:pPr>
      <w:r w:rsidRPr="00AF327F">
        <w:rPr>
          <w:rFonts w:eastAsia="Calibri"/>
          <w:b/>
          <w:bCs/>
        </w:rPr>
        <w:t>Crecimiento profesional y fortalecimiento del talento humano</w:t>
      </w:r>
    </w:p>
    <w:p w14:paraId="351250B3" w14:textId="0F0CE68F" w:rsidR="00E836B3" w:rsidRPr="00AF327F" w:rsidRDefault="00E836B3" w:rsidP="00C934DB">
      <w:pPr>
        <w:spacing w:line="360" w:lineRule="auto"/>
        <w:jc w:val="both"/>
        <w:rPr>
          <w:rFonts w:eastAsia="Calibri"/>
        </w:rPr>
      </w:pPr>
      <w:r w:rsidRPr="00AF327F">
        <w:rPr>
          <w:rFonts w:eastAsia="Calibri"/>
        </w:rPr>
        <w:t xml:space="preserve">Durante 2025 también se implementó el proyecto Crecimiento Profesional, una iniciativa orientada a impulsar el desarrollo y la movilidad interna de los servidores públicos. Este proyecto incluyó, por primera vez, la evaluación, identificación y promoción de </w:t>
      </w:r>
      <w:r w:rsidR="00897E2D">
        <w:rPr>
          <w:rFonts w:eastAsia="Calibri"/>
        </w:rPr>
        <w:t>cuatro</w:t>
      </w:r>
      <w:r w:rsidR="00897E2D" w:rsidRPr="00AF327F">
        <w:rPr>
          <w:rFonts w:eastAsia="Calibri"/>
        </w:rPr>
        <w:t xml:space="preserve"> </w:t>
      </w:r>
      <w:r w:rsidRPr="00AF327F">
        <w:rPr>
          <w:rFonts w:eastAsia="Calibri"/>
        </w:rPr>
        <w:t>colaboradores</w:t>
      </w:r>
      <w:r w:rsidR="00897E2D">
        <w:rPr>
          <w:rFonts w:eastAsia="Calibri"/>
        </w:rPr>
        <w:t xml:space="preserve"> </w:t>
      </w:r>
      <w:r w:rsidRPr="00AF327F">
        <w:rPr>
          <w:rFonts w:eastAsia="Calibri"/>
        </w:rPr>
        <w:t xml:space="preserve">pertenecientes a áreas tradicionalmente operativas como: </w:t>
      </w:r>
      <w:r w:rsidR="006745EC">
        <w:rPr>
          <w:rFonts w:eastAsia="Calibri"/>
        </w:rPr>
        <w:t>m</w:t>
      </w:r>
      <w:r w:rsidRPr="00AF327F">
        <w:rPr>
          <w:rFonts w:eastAsia="Calibri"/>
        </w:rPr>
        <w:t xml:space="preserve">ayordomía, </w:t>
      </w:r>
      <w:r w:rsidR="006745EC">
        <w:rPr>
          <w:rFonts w:eastAsia="Calibri"/>
        </w:rPr>
        <w:t>s</w:t>
      </w:r>
      <w:r w:rsidRPr="00AF327F">
        <w:rPr>
          <w:rFonts w:eastAsia="Calibri"/>
        </w:rPr>
        <w:t xml:space="preserve">ervicios </w:t>
      </w:r>
      <w:r w:rsidR="006745EC">
        <w:rPr>
          <w:rFonts w:eastAsia="Calibri"/>
        </w:rPr>
        <w:t>g</w:t>
      </w:r>
      <w:r w:rsidRPr="00AF327F">
        <w:rPr>
          <w:rFonts w:eastAsia="Calibri"/>
        </w:rPr>
        <w:t xml:space="preserve">enerales, </w:t>
      </w:r>
      <w:r w:rsidR="006745EC">
        <w:rPr>
          <w:rFonts w:eastAsia="Calibri"/>
        </w:rPr>
        <w:t>t</w:t>
      </w:r>
      <w:r w:rsidRPr="00AF327F">
        <w:rPr>
          <w:rFonts w:eastAsia="Calibri"/>
        </w:rPr>
        <w:t xml:space="preserve">ransportación, </w:t>
      </w:r>
      <w:r w:rsidR="006745EC">
        <w:rPr>
          <w:rFonts w:eastAsia="Calibri"/>
        </w:rPr>
        <w:t>a</w:t>
      </w:r>
      <w:r w:rsidRPr="00AF327F">
        <w:rPr>
          <w:rFonts w:eastAsia="Calibri"/>
        </w:rPr>
        <w:t xml:space="preserve">lmacén y </w:t>
      </w:r>
      <w:r w:rsidR="006745EC">
        <w:rPr>
          <w:rFonts w:eastAsia="Calibri"/>
        </w:rPr>
        <w:t>s</w:t>
      </w:r>
      <w:r w:rsidRPr="00AF327F">
        <w:rPr>
          <w:rFonts w:eastAsia="Calibri"/>
        </w:rPr>
        <w:t xml:space="preserve">uministro, </w:t>
      </w:r>
      <w:r w:rsidR="006745EC">
        <w:rPr>
          <w:rFonts w:eastAsia="Calibri"/>
        </w:rPr>
        <w:t>c</w:t>
      </w:r>
      <w:r w:rsidRPr="00AF327F">
        <w:rPr>
          <w:rFonts w:eastAsia="Calibri"/>
        </w:rPr>
        <w:t xml:space="preserve">orrespondencia y </w:t>
      </w:r>
      <w:r w:rsidR="006745EC">
        <w:rPr>
          <w:rFonts w:eastAsia="Calibri"/>
        </w:rPr>
        <w:t>a</w:t>
      </w:r>
      <w:r w:rsidRPr="00AF327F">
        <w:rPr>
          <w:rFonts w:eastAsia="Calibri"/>
        </w:rPr>
        <w:t>rchivo.</w:t>
      </w:r>
      <w:r w:rsidR="00897E2D">
        <w:rPr>
          <w:rFonts w:eastAsia="Calibri"/>
        </w:rPr>
        <w:t xml:space="preserve"> </w:t>
      </w:r>
    </w:p>
    <w:p w14:paraId="7A24F10F" w14:textId="77777777" w:rsidR="00E836B3" w:rsidRPr="00AF327F" w:rsidRDefault="00E836B3" w:rsidP="00E836B3">
      <w:pPr>
        <w:spacing w:line="360" w:lineRule="auto"/>
        <w:jc w:val="both"/>
        <w:rPr>
          <w:rFonts w:eastAsia="Calibri"/>
        </w:rPr>
      </w:pPr>
    </w:p>
    <w:p w14:paraId="2CB62E7C" w14:textId="77777777" w:rsidR="00E836B3" w:rsidRPr="00AF327F" w:rsidRDefault="00E836B3" w:rsidP="00E836B3">
      <w:pPr>
        <w:spacing w:line="360" w:lineRule="auto"/>
        <w:jc w:val="both"/>
        <w:rPr>
          <w:rFonts w:eastAsia="Calibri"/>
        </w:rPr>
      </w:pPr>
    </w:p>
    <w:p w14:paraId="1AAEC004" w14:textId="7640BD97" w:rsidR="00E836B3" w:rsidRPr="00AF327F" w:rsidRDefault="00E836B3" w:rsidP="00C934DB">
      <w:pPr>
        <w:spacing w:line="360" w:lineRule="auto"/>
        <w:jc w:val="both"/>
        <w:rPr>
          <w:rFonts w:eastAsia="Calibri"/>
        </w:rPr>
      </w:pPr>
      <w:r w:rsidRPr="00AF327F">
        <w:rPr>
          <w:rFonts w:eastAsia="Calibri"/>
        </w:rPr>
        <w:lastRenderedPageBreak/>
        <w:t>Esta iniciativa permitió ofrecer oportunidades reales de crecimiento y profesionalización a colaboradores que anteriormente no habían sido tomados en cuenta dentro de los procesos formales de desarrollo institucional.</w:t>
      </w:r>
    </w:p>
    <w:p w14:paraId="3D091CE4" w14:textId="77777777" w:rsidR="00E836B3" w:rsidRPr="00AF327F" w:rsidRDefault="00E836B3" w:rsidP="00C934DB">
      <w:pPr>
        <w:spacing w:line="360" w:lineRule="auto"/>
        <w:jc w:val="both"/>
        <w:rPr>
          <w:rFonts w:eastAsia="Calibri"/>
        </w:rPr>
      </w:pPr>
      <w:r w:rsidRPr="00AF327F">
        <w:rPr>
          <w:rFonts w:eastAsia="Calibri"/>
        </w:rPr>
        <w:t>Otras actividades de bienestar laboral realizadas:</w:t>
      </w:r>
    </w:p>
    <w:p w14:paraId="21A61C97" w14:textId="1D97107A" w:rsidR="00E836B3" w:rsidRPr="00AF327F" w:rsidRDefault="00E836B3">
      <w:pPr>
        <w:pStyle w:val="Sinespaciado"/>
        <w:numPr>
          <w:ilvl w:val="0"/>
          <w:numId w:val="41"/>
        </w:numPr>
        <w:spacing w:line="360" w:lineRule="auto"/>
        <w:ind w:left="567" w:hanging="578"/>
        <w:rPr>
          <w:color w:val="767171"/>
          <w:lang w:val="es-DO"/>
        </w:rPr>
      </w:pPr>
      <w:r w:rsidRPr="00AF327F">
        <w:rPr>
          <w:color w:val="767171"/>
          <w:lang w:val="es-DO"/>
        </w:rPr>
        <w:t xml:space="preserve">Actividad día de la amistad. </w:t>
      </w:r>
    </w:p>
    <w:p w14:paraId="7CA38473" w14:textId="422B367F" w:rsidR="00E836B3" w:rsidRPr="00AF327F" w:rsidRDefault="00E836B3">
      <w:pPr>
        <w:pStyle w:val="Sinespaciado"/>
        <w:numPr>
          <w:ilvl w:val="0"/>
          <w:numId w:val="41"/>
        </w:numPr>
        <w:spacing w:line="360" w:lineRule="auto"/>
        <w:ind w:left="567" w:hanging="578"/>
        <w:rPr>
          <w:color w:val="767171"/>
          <w:lang w:val="es-DO"/>
        </w:rPr>
      </w:pPr>
      <w:r w:rsidRPr="00AF327F">
        <w:rPr>
          <w:color w:val="767171"/>
          <w:lang w:val="es-DO"/>
        </w:rPr>
        <w:t>Almuerzo por el día de las madres.</w:t>
      </w:r>
    </w:p>
    <w:p w14:paraId="281D2771" w14:textId="728E8D17" w:rsidR="00E836B3" w:rsidRPr="00AF327F" w:rsidRDefault="00E836B3">
      <w:pPr>
        <w:pStyle w:val="Sinespaciado"/>
        <w:numPr>
          <w:ilvl w:val="0"/>
          <w:numId w:val="41"/>
        </w:numPr>
        <w:spacing w:line="360" w:lineRule="auto"/>
        <w:ind w:left="567" w:hanging="578"/>
        <w:rPr>
          <w:color w:val="767171"/>
          <w:lang w:val="es-DO"/>
        </w:rPr>
      </w:pPr>
      <w:r w:rsidRPr="00AF327F">
        <w:rPr>
          <w:color w:val="767171"/>
          <w:lang w:val="es-DO"/>
        </w:rPr>
        <w:t>Actividad por el día mundial de concienciación sobre el autismo, donde se reconocieron las madres y padres de hijos con la condición.</w:t>
      </w:r>
    </w:p>
    <w:p w14:paraId="017ED0AD" w14:textId="24B4E1AA" w:rsidR="00E836B3" w:rsidRPr="00AF327F" w:rsidRDefault="00E836B3">
      <w:pPr>
        <w:pStyle w:val="Sinespaciado"/>
        <w:numPr>
          <w:ilvl w:val="0"/>
          <w:numId w:val="41"/>
        </w:numPr>
        <w:spacing w:line="360" w:lineRule="auto"/>
        <w:ind w:left="567" w:hanging="578"/>
        <w:rPr>
          <w:color w:val="767171"/>
          <w:lang w:val="es-DO"/>
        </w:rPr>
      </w:pPr>
      <w:r w:rsidRPr="00AF327F">
        <w:rPr>
          <w:color w:val="767171"/>
          <w:lang w:val="es-DO"/>
        </w:rPr>
        <w:t xml:space="preserve">Conformación de </w:t>
      </w:r>
      <w:r w:rsidR="0061553D">
        <w:rPr>
          <w:color w:val="767171"/>
          <w:lang w:val="es-DO"/>
        </w:rPr>
        <w:t>l</w:t>
      </w:r>
      <w:r w:rsidRPr="00AF327F">
        <w:rPr>
          <w:color w:val="767171"/>
          <w:lang w:val="es-DO"/>
        </w:rPr>
        <w:t xml:space="preserve">iga de </w:t>
      </w:r>
      <w:r w:rsidR="0061553D">
        <w:rPr>
          <w:color w:val="767171"/>
          <w:lang w:val="es-DO"/>
        </w:rPr>
        <w:t>f</w:t>
      </w:r>
      <w:r w:rsidRPr="00AF327F">
        <w:rPr>
          <w:color w:val="767171"/>
          <w:lang w:val="es-DO"/>
        </w:rPr>
        <w:t xml:space="preserve">utbol </w:t>
      </w:r>
      <w:r w:rsidR="0061553D">
        <w:rPr>
          <w:color w:val="767171"/>
          <w:lang w:val="es-DO"/>
        </w:rPr>
        <w:t>i</w:t>
      </w:r>
      <w:r w:rsidRPr="00AF327F">
        <w:rPr>
          <w:color w:val="767171"/>
          <w:lang w:val="es-DO"/>
        </w:rPr>
        <w:t xml:space="preserve">nfantil en conjunto con el Ministerio de </w:t>
      </w:r>
      <w:r w:rsidR="0061553D">
        <w:rPr>
          <w:color w:val="767171"/>
          <w:lang w:val="es-DO"/>
        </w:rPr>
        <w:t>Hacienda y Economía.</w:t>
      </w:r>
    </w:p>
    <w:p w14:paraId="79184048" w14:textId="30667365" w:rsidR="00E836B3" w:rsidRPr="009E3D3A" w:rsidRDefault="00E836B3">
      <w:pPr>
        <w:pStyle w:val="Sinespaciado"/>
        <w:numPr>
          <w:ilvl w:val="0"/>
          <w:numId w:val="41"/>
        </w:numPr>
        <w:spacing w:line="360" w:lineRule="auto"/>
        <w:ind w:left="567" w:hanging="578"/>
        <w:rPr>
          <w:color w:val="767171"/>
          <w:lang w:val="es-DO"/>
        </w:rPr>
      </w:pPr>
      <w:r w:rsidRPr="00AF327F">
        <w:rPr>
          <w:color w:val="767171"/>
          <w:lang w:val="es-DO"/>
        </w:rPr>
        <w:t xml:space="preserve">Lanzamiento del </w:t>
      </w:r>
      <w:r w:rsidRPr="009E3D3A">
        <w:rPr>
          <w:i/>
          <w:iCs/>
          <w:color w:val="767171"/>
          <w:lang w:val="es-DO"/>
        </w:rPr>
        <w:t>programa Reclutamiento Interno Institucional</w:t>
      </w:r>
      <w:r w:rsidR="009E3D3A">
        <w:rPr>
          <w:i/>
          <w:iCs/>
          <w:color w:val="767171"/>
          <w:lang w:val="es-DO"/>
        </w:rPr>
        <w:t>.</w:t>
      </w:r>
      <w:r w:rsidRPr="009E3D3A">
        <w:rPr>
          <w:color w:val="767171"/>
          <w:lang w:val="es-DO"/>
        </w:rPr>
        <w:t xml:space="preserve"> </w:t>
      </w:r>
    </w:p>
    <w:p w14:paraId="3266F648" w14:textId="7DD34177" w:rsidR="00E836B3" w:rsidRPr="00AF327F" w:rsidRDefault="00E836B3">
      <w:pPr>
        <w:pStyle w:val="Sinespaciado"/>
        <w:numPr>
          <w:ilvl w:val="0"/>
          <w:numId w:val="41"/>
        </w:numPr>
        <w:spacing w:line="360" w:lineRule="auto"/>
        <w:ind w:left="567" w:hanging="578"/>
        <w:rPr>
          <w:color w:val="767171"/>
          <w:lang w:val="es-DO"/>
        </w:rPr>
      </w:pPr>
      <w:r w:rsidRPr="00AF327F">
        <w:rPr>
          <w:color w:val="767171"/>
          <w:lang w:val="es-DO"/>
        </w:rPr>
        <w:t xml:space="preserve">Actividad de integración </w:t>
      </w:r>
      <w:r w:rsidRPr="00EB2224">
        <w:rPr>
          <w:i/>
          <w:iCs/>
          <w:color w:val="767171"/>
          <w:lang w:val="es-DO"/>
        </w:rPr>
        <w:t>Contraloría de viste de pelota.</w:t>
      </w:r>
    </w:p>
    <w:p w14:paraId="0C9D6DC3" w14:textId="2669865C" w:rsidR="00E836B3" w:rsidRPr="00AF327F" w:rsidRDefault="00E836B3">
      <w:pPr>
        <w:pStyle w:val="Sinespaciado"/>
        <w:numPr>
          <w:ilvl w:val="0"/>
          <w:numId w:val="41"/>
        </w:numPr>
        <w:spacing w:line="360" w:lineRule="auto"/>
        <w:ind w:left="567" w:hanging="578"/>
        <w:rPr>
          <w:color w:val="767171"/>
        </w:rPr>
      </w:pPr>
      <w:r w:rsidRPr="00AF327F">
        <w:rPr>
          <w:color w:val="767171"/>
        </w:rPr>
        <w:t>Escondido del arbolito navideño</w:t>
      </w:r>
    </w:p>
    <w:p w14:paraId="30E85742" w14:textId="77777777" w:rsidR="00E836B3" w:rsidRPr="00AF327F" w:rsidRDefault="00E836B3" w:rsidP="00C934DB">
      <w:pPr>
        <w:pStyle w:val="Sinespaciado"/>
        <w:spacing w:line="360" w:lineRule="auto"/>
        <w:ind w:left="-11"/>
        <w:rPr>
          <w:color w:val="767171"/>
        </w:rPr>
      </w:pPr>
    </w:p>
    <w:p w14:paraId="3A13A252" w14:textId="2385A649" w:rsidR="00A347BD" w:rsidRPr="00AF327F" w:rsidRDefault="00E836B3" w:rsidP="00C934DB">
      <w:pPr>
        <w:spacing w:line="360" w:lineRule="auto"/>
        <w:jc w:val="both"/>
        <w:rPr>
          <w:rFonts w:eastAsia="Calibri"/>
        </w:rPr>
      </w:pPr>
      <w:r w:rsidRPr="00AF327F">
        <w:rPr>
          <w:rFonts w:eastAsia="Calibri"/>
        </w:rPr>
        <w:t>Todos estos esfuerzos en materia de bienestar laboral le valieron a la Dirección de Recursos Humanos una placa de reconocimiento por parte de la Asociación Dominicana de Profesionales de la Psicología (ASODOPSI), en mérito a la apertura de la Unidad de Bienestar Laboral, destinada al cuidado de la salud mental de los colaboradores.</w:t>
      </w:r>
      <w:r w:rsidR="00AF6937" w:rsidRPr="00AF327F">
        <w:rPr>
          <w:rFonts w:eastAsia="Calibri"/>
        </w:rPr>
        <w:t xml:space="preserve"> A través de esta se han realizado consultas individuales a 53 colaboradores este año (39 mujeres y 14 hombres)</w:t>
      </w:r>
      <w:r w:rsidR="00BB5E57" w:rsidRPr="00AF327F">
        <w:rPr>
          <w:rFonts w:eastAsia="Calibri"/>
        </w:rPr>
        <w:t>, en promedio de entre tres y cuatro sesiones por colaborador.</w:t>
      </w:r>
      <w:r w:rsidR="00A347BD" w:rsidRPr="00AF327F">
        <w:rPr>
          <w:rFonts w:eastAsia="Calibri"/>
        </w:rPr>
        <w:t xml:space="preserve"> La diferencia en la proporción de mujeres y hombres que asistieron al programa sugiere que es necesario implementar estrategias para fomentar la participación masculina en programas de salud mental.</w:t>
      </w:r>
    </w:p>
    <w:p w14:paraId="25EE2C19" w14:textId="13DEA6E4" w:rsidR="00B13BCB" w:rsidRPr="00AF327F" w:rsidRDefault="00AF6937" w:rsidP="00C934DB">
      <w:pPr>
        <w:pStyle w:val="Sinespaciado"/>
        <w:spacing w:line="360" w:lineRule="auto"/>
        <w:ind w:left="-11"/>
        <w:jc w:val="both"/>
        <w:rPr>
          <w:color w:val="767171"/>
          <w:lang w:val="es-DO"/>
        </w:rPr>
      </w:pPr>
      <w:r w:rsidRPr="00AF327F">
        <w:rPr>
          <w:color w:val="767171"/>
          <w:lang w:val="es-DO"/>
        </w:rPr>
        <w:lastRenderedPageBreak/>
        <w:t xml:space="preserve">También </w:t>
      </w:r>
      <w:r w:rsidR="00BB5E57" w:rsidRPr="00AF327F">
        <w:rPr>
          <w:color w:val="767171"/>
          <w:lang w:val="es-DO"/>
        </w:rPr>
        <w:t xml:space="preserve">se </w:t>
      </w:r>
      <w:r w:rsidRPr="00AF327F">
        <w:rPr>
          <w:color w:val="767171"/>
          <w:lang w:val="es-DO"/>
        </w:rPr>
        <w:t>recibió un reconocimiento por la Fundación Dominicana Unidos Frente el Autismo, por su compromiso, solidaridad y apoyo a los colaboradores con hijos con autismo.</w:t>
      </w:r>
    </w:p>
    <w:p w14:paraId="0F2FBE6D" w14:textId="77777777" w:rsidR="00A347BD" w:rsidRPr="00AF327F" w:rsidRDefault="00A347BD" w:rsidP="00C934DB">
      <w:pPr>
        <w:spacing w:line="360" w:lineRule="auto"/>
      </w:pPr>
    </w:p>
    <w:p w14:paraId="2B7BC733" w14:textId="420684AF" w:rsidR="008A6856" w:rsidRPr="00AF327F" w:rsidRDefault="00A347BD" w:rsidP="00C934DB">
      <w:pPr>
        <w:pStyle w:val="Sinespaciado"/>
        <w:spacing w:line="360" w:lineRule="auto"/>
        <w:ind w:left="-11"/>
        <w:jc w:val="both"/>
        <w:rPr>
          <w:b/>
          <w:bCs/>
          <w:color w:val="767171"/>
          <w:lang w:val="es-DO"/>
        </w:rPr>
      </w:pPr>
      <w:r w:rsidRPr="00AF327F">
        <w:rPr>
          <w:b/>
          <w:bCs/>
          <w:color w:val="767171"/>
          <w:lang w:val="es-DO"/>
        </w:rPr>
        <w:t xml:space="preserve">d. </w:t>
      </w:r>
      <w:r w:rsidR="008A6856" w:rsidRPr="00AF327F">
        <w:rPr>
          <w:b/>
          <w:bCs/>
          <w:color w:val="767171"/>
          <w:lang w:val="es-DO"/>
        </w:rPr>
        <w:t>Relaciones laborales</w:t>
      </w:r>
    </w:p>
    <w:p w14:paraId="6692CC1C" w14:textId="77777777" w:rsidR="00A347BD" w:rsidRPr="00AF327F" w:rsidRDefault="00A347BD" w:rsidP="00C934DB">
      <w:pPr>
        <w:pStyle w:val="Sinespaciado"/>
        <w:spacing w:line="360" w:lineRule="auto"/>
        <w:ind w:left="-11"/>
        <w:jc w:val="both"/>
        <w:rPr>
          <w:b/>
          <w:bCs/>
          <w:color w:val="767171"/>
          <w:lang w:val="es-DO"/>
        </w:rPr>
      </w:pPr>
    </w:p>
    <w:p w14:paraId="0433420F" w14:textId="77777777" w:rsidR="00A347BD" w:rsidRPr="00AF327F" w:rsidRDefault="00A347BD" w:rsidP="00C934DB">
      <w:pPr>
        <w:pStyle w:val="Sinespaciado"/>
        <w:spacing w:line="360" w:lineRule="auto"/>
        <w:ind w:left="-11"/>
        <w:jc w:val="both"/>
        <w:rPr>
          <w:b/>
          <w:bCs/>
          <w:color w:val="767171"/>
          <w:lang w:val="es-DO"/>
        </w:rPr>
      </w:pPr>
      <w:r w:rsidRPr="00AF327F">
        <w:rPr>
          <w:b/>
          <w:bCs/>
          <w:color w:val="767171"/>
          <w:lang w:val="es-DO"/>
        </w:rPr>
        <w:t>Encuesta de clima organizacional</w:t>
      </w:r>
    </w:p>
    <w:p w14:paraId="170BEE62" w14:textId="77777777" w:rsidR="00F17AD7" w:rsidRPr="00AF327F" w:rsidRDefault="00F17AD7" w:rsidP="00C934DB">
      <w:pPr>
        <w:pStyle w:val="Sinespaciado"/>
        <w:spacing w:line="360" w:lineRule="auto"/>
        <w:ind w:left="-11"/>
        <w:jc w:val="both"/>
        <w:rPr>
          <w:b/>
          <w:bCs/>
          <w:color w:val="767171"/>
          <w:lang w:val="es-DO"/>
        </w:rPr>
      </w:pPr>
    </w:p>
    <w:p w14:paraId="3D79EFFF" w14:textId="60B27035" w:rsidR="00A347BD" w:rsidRPr="00AF327F" w:rsidRDefault="00A347BD" w:rsidP="00C934DB">
      <w:pPr>
        <w:pStyle w:val="Sinespaciado"/>
        <w:spacing w:line="360" w:lineRule="auto"/>
        <w:ind w:left="-11"/>
        <w:jc w:val="both"/>
        <w:rPr>
          <w:color w:val="767171"/>
          <w:lang w:val="es-DO"/>
        </w:rPr>
      </w:pPr>
      <w:r w:rsidRPr="00AF327F">
        <w:rPr>
          <w:color w:val="767171"/>
          <w:lang w:val="es-DO"/>
        </w:rPr>
        <w:t>La Contraloría General de la República</w:t>
      </w:r>
      <w:r w:rsidR="00F17AD7" w:rsidRPr="00AF327F">
        <w:rPr>
          <w:color w:val="767171"/>
          <w:lang w:val="es-DO"/>
        </w:rPr>
        <w:t xml:space="preserve">, </w:t>
      </w:r>
      <w:r w:rsidRPr="00AF327F">
        <w:rPr>
          <w:color w:val="767171"/>
          <w:lang w:val="es-DO"/>
        </w:rPr>
        <w:t xml:space="preserve">aplicó su encuesta de clima organizacional a 1,861 colaboradores en el año 2025, arrojando un resultado de satisfacción de un 90%, y hallazgos que desencadenaron un plan de mejora de clima organizacional con las áreas que alcanzaron menor calificación. A la fecha este </w:t>
      </w:r>
      <w:r w:rsidR="003013FF">
        <w:rPr>
          <w:color w:val="767171"/>
          <w:lang w:val="es-DO"/>
        </w:rPr>
        <w:t>plan</w:t>
      </w:r>
      <w:r w:rsidRPr="00AF327F">
        <w:rPr>
          <w:color w:val="767171"/>
          <w:lang w:val="es-DO"/>
        </w:rPr>
        <w:t xml:space="preserve"> obtuvo un desempeño del 100% de ejecución. </w:t>
      </w:r>
    </w:p>
    <w:p w14:paraId="66338A95" w14:textId="77777777" w:rsidR="0065001C" w:rsidRPr="00AF327F" w:rsidRDefault="0065001C" w:rsidP="00C934DB">
      <w:pPr>
        <w:pStyle w:val="Sinespaciado"/>
        <w:spacing w:line="360" w:lineRule="auto"/>
        <w:ind w:left="-11"/>
        <w:jc w:val="both"/>
        <w:rPr>
          <w:color w:val="767171"/>
          <w:lang w:val="es-DO"/>
        </w:rPr>
      </w:pPr>
    </w:p>
    <w:p w14:paraId="09F8EC79" w14:textId="3BFFFA56" w:rsidR="00A347BD" w:rsidRPr="00AF327F" w:rsidRDefault="00A347BD" w:rsidP="00C934DB">
      <w:pPr>
        <w:pStyle w:val="Sinespaciado"/>
        <w:spacing w:line="360" w:lineRule="auto"/>
        <w:ind w:left="-11"/>
        <w:jc w:val="both"/>
        <w:rPr>
          <w:color w:val="767171"/>
          <w:lang w:val="es-DO"/>
        </w:rPr>
      </w:pPr>
      <w:r w:rsidRPr="00AF327F">
        <w:rPr>
          <w:color w:val="767171"/>
          <w:lang w:val="es-DO"/>
        </w:rPr>
        <w:t xml:space="preserve">Por otra parte, respecto al otorgamiento de licencias, el mayor número corresponde a licencias médicas, con un total de 1,054 recibidas, representando porcentualmente un 88.28%. </w:t>
      </w:r>
    </w:p>
    <w:p w14:paraId="14E2E4E1" w14:textId="77777777" w:rsidR="0065001C" w:rsidRPr="00AF327F" w:rsidRDefault="0065001C" w:rsidP="0065001C">
      <w:pPr>
        <w:spacing w:line="360" w:lineRule="auto"/>
        <w:jc w:val="center"/>
        <w:rPr>
          <w:rFonts w:eastAsia="Calibri"/>
          <w:sz w:val="2"/>
          <w:szCs w:val="2"/>
        </w:rPr>
      </w:pPr>
    </w:p>
    <w:tbl>
      <w:tblPr>
        <w:tblpPr w:leftFromText="141" w:rightFromText="141" w:vertAnchor="text" w:horzAnchor="margin" w:tblpXSpec="center" w:tblpY="359"/>
        <w:tblW w:w="4476" w:type="dxa"/>
        <w:tblCellMar>
          <w:left w:w="70" w:type="dxa"/>
          <w:right w:w="70" w:type="dxa"/>
        </w:tblCellMar>
        <w:tblLook w:val="04A0" w:firstRow="1" w:lastRow="0" w:firstColumn="1" w:lastColumn="0" w:noHBand="0" w:noVBand="1"/>
      </w:tblPr>
      <w:tblGrid>
        <w:gridCol w:w="3200"/>
        <w:gridCol w:w="1276"/>
      </w:tblGrid>
      <w:tr w:rsidR="0065001C" w:rsidRPr="0065001C" w14:paraId="49B2F3F8" w14:textId="77777777" w:rsidTr="00BA1804">
        <w:trPr>
          <w:trHeight w:val="312"/>
        </w:trPr>
        <w:tc>
          <w:tcPr>
            <w:tcW w:w="3200"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77B553B9" w14:textId="77777777" w:rsidR="0065001C" w:rsidRPr="0065001C" w:rsidRDefault="0065001C" w:rsidP="0065001C">
            <w:pPr>
              <w:spacing w:after="0" w:line="240" w:lineRule="auto"/>
              <w:jc w:val="center"/>
              <w:rPr>
                <w:rFonts w:eastAsia="Times New Roman"/>
                <w:b/>
                <w:bCs/>
                <w:color w:val="FFFFFF"/>
                <w:spacing w:val="0"/>
                <w:lang w:eastAsia="es-DO"/>
              </w:rPr>
            </w:pPr>
            <w:r w:rsidRPr="0065001C">
              <w:rPr>
                <w:rFonts w:eastAsia="Times New Roman"/>
                <w:b/>
                <w:bCs/>
                <w:color w:val="FFFFFF"/>
                <w:spacing w:val="0"/>
                <w:lang w:eastAsia="es-DO"/>
              </w:rPr>
              <w:t>Tipo de licencia</w:t>
            </w:r>
          </w:p>
        </w:tc>
        <w:tc>
          <w:tcPr>
            <w:tcW w:w="1276" w:type="dxa"/>
            <w:tcBorders>
              <w:top w:val="single" w:sz="4" w:space="0" w:color="auto"/>
              <w:left w:val="nil"/>
              <w:bottom w:val="single" w:sz="4" w:space="0" w:color="auto"/>
              <w:right w:val="single" w:sz="4" w:space="0" w:color="auto"/>
            </w:tcBorders>
            <w:shd w:val="clear" w:color="auto" w:fill="011C50"/>
            <w:noWrap/>
            <w:vAlign w:val="center"/>
            <w:hideMark/>
          </w:tcPr>
          <w:p w14:paraId="0259CA4F" w14:textId="77777777" w:rsidR="0065001C" w:rsidRPr="0065001C" w:rsidRDefault="0065001C" w:rsidP="0065001C">
            <w:pPr>
              <w:spacing w:after="0" w:line="240" w:lineRule="auto"/>
              <w:jc w:val="center"/>
              <w:rPr>
                <w:rFonts w:eastAsia="Times New Roman"/>
                <w:b/>
                <w:bCs/>
                <w:color w:val="FFFFFF"/>
                <w:spacing w:val="0"/>
                <w:lang w:eastAsia="es-DO"/>
              </w:rPr>
            </w:pPr>
            <w:r w:rsidRPr="0065001C">
              <w:rPr>
                <w:rFonts w:eastAsia="Times New Roman"/>
                <w:b/>
                <w:bCs/>
                <w:color w:val="FFFFFF"/>
                <w:spacing w:val="0"/>
                <w:lang w:eastAsia="es-DO"/>
              </w:rPr>
              <w:t>Cantidad</w:t>
            </w:r>
          </w:p>
        </w:tc>
      </w:tr>
      <w:tr w:rsidR="0065001C" w:rsidRPr="0065001C" w14:paraId="2EB90DDD" w14:textId="77777777" w:rsidTr="0065001C">
        <w:trPr>
          <w:trHeight w:val="288"/>
        </w:trPr>
        <w:tc>
          <w:tcPr>
            <w:tcW w:w="3200" w:type="dxa"/>
            <w:tcBorders>
              <w:top w:val="nil"/>
              <w:left w:val="single" w:sz="4" w:space="0" w:color="auto"/>
              <w:bottom w:val="single" w:sz="4" w:space="0" w:color="auto"/>
              <w:right w:val="single" w:sz="4" w:space="0" w:color="auto"/>
            </w:tcBorders>
            <w:noWrap/>
            <w:vAlign w:val="center"/>
            <w:hideMark/>
          </w:tcPr>
          <w:p w14:paraId="71463E92" w14:textId="77777777" w:rsidR="0065001C" w:rsidRPr="00AF327F" w:rsidRDefault="0065001C" w:rsidP="0065001C">
            <w:pPr>
              <w:spacing w:after="0" w:line="240" w:lineRule="auto"/>
              <w:jc w:val="both"/>
              <w:rPr>
                <w:rFonts w:eastAsia="Times New Roman"/>
                <w:spacing w:val="0"/>
                <w:lang w:eastAsia="es-DO"/>
              </w:rPr>
            </w:pPr>
            <w:r w:rsidRPr="00AF327F">
              <w:rPr>
                <w:rFonts w:eastAsia="Times New Roman"/>
                <w:spacing w:val="0"/>
                <w:lang w:eastAsia="es-DO"/>
              </w:rPr>
              <w:t>Licencias con disfrute de sueldo</w:t>
            </w:r>
          </w:p>
        </w:tc>
        <w:tc>
          <w:tcPr>
            <w:tcW w:w="1276" w:type="dxa"/>
            <w:tcBorders>
              <w:top w:val="nil"/>
              <w:left w:val="nil"/>
              <w:bottom w:val="single" w:sz="4" w:space="0" w:color="auto"/>
              <w:right w:val="single" w:sz="4" w:space="0" w:color="auto"/>
            </w:tcBorders>
            <w:noWrap/>
            <w:vAlign w:val="center"/>
            <w:hideMark/>
          </w:tcPr>
          <w:p w14:paraId="2EDB50D7" w14:textId="77777777" w:rsidR="0065001C" w:rsidRPr="00AF327F" w:rsidRDefault="0065001C" w:rsidP="0065001C">
            <w:pPr>
              <w:spacing w:after="0" w:line="240" w:lineRule="auto"/>
              <w:jc w:val="right"/>
              <w:rPr>
                <w:rFonts w:eastAsia="Times New Roman"/>
                <w:spacing w:val="0"/>
                <w:lang w:eastAsia="es-DO"/>
              </w:rPr>
            </w:pPr>
            <w:r w:rsidRPr="00AF327F">
              <w:rPr>
                <w:rFonts w:eastAsia="Times New Roman"/>
                <w:spacing w:val="0"/>
                <w:lang w:eastAsia="es-DO"/>
              </w:rPr>
              <w:t>2</w:t>
            </w:r>
          </w:p>
        </w:tc>
      </w:tr>
      <w:tr w:rsidR="0065001C" w:rsidRPr="0065001C" w14:paraId="40E1FEFC" w14:textId="77777777" w:rsidTr="0065001C">
        <w:trPr>
          <w:trHeight w:val="288"/>
        </w:trPr>
        <w:tc>
          <w:tcPr>
            <w:tcW w:w="3200" w:type="dxa"/>
            <w:tcBorders>
              <w:top w:val="nil"/>
              <w:left w:val="single" w:sz="4" w:space="0" w:color="auto"/>
              <w:bottom w:val="single" w:sz="4" w:space="0" w:color="auto"/>
              <w:right w:val="single" w:sz="4" w:space="0" w:color="auto"/>
            </w:tcBorders>
            <w:noWrap/>
            <w:vAlign w:val="center"/>
            <w:hideMark/>
          </w:tcPr>
          <w:p w14:paraId="0C55B540" w14:textId="77777777" w:rsidR="0065001C" w:rsidRPr="00AF327F" w:rsidRDefault="0065001C" w:rsidP="0065001C">
            <w:pPr>
              <w:spacing w:after="0" w:line="240" w:lineRule="auto"/>
              <w:jc w:val="both"/>
              <w:rPr>
                <w:rFonts w:eastAsia="Times New Roman"/>
                <w:spacing w:val="0"/>
                <w:lang w:eastAsia="es-DO"/>
              </w:rPr>
            </w:pPr>
            <w:r w:rsidRPr="00AF327F">
              <w:rPr>
                <w:rFonts w:eastAsia="Times New Roman"/>
                <w:spacing w:val="0"/>
                <w:lang w:eastAsia="es-DO"/>
              </w:rPr>
              <w:t>Licencias sin disfrute de sueldo</w:t>
            </w:r>
          </w:p>
        </w:tc>
        <w:tc>
          <w:tcPr>
            <w:tcW w:w="1276" w:type="dxa"/>
            <w:tcBorders>
              <w:top w:val="nil"/>
              <w:left w:val="nil"/>
              <w:bottom w:val="single" w:sz="4" w:space="0" w:color="auto"/>
              <w:right w:val="single" w:sz="4" w:space="0" w:color="auto"/>
            </w:tcBorders>
            <w:noWrap/>
            <w:vAlign w:val="center"/>
            <w:hideMark/>
          </w:tcPr>
          <w:p w14:paraId="4F17032F" w14:textId="77777777" w:rsidR="0065001C" w:rsidRPr="00AF327F" w:rsidRDefault="0065001C" w:rsidP="0065001C">
            <w:pPr>
              <w:spacing w:after="0" w:line="240" w:lineRule="auto"/>
              <w:jc w:val="right"/>
              <w:rPr>
                <w:rFonts w:eastAsia="Times New Roman"/>
                <w:spacing w:val="0"/>
                <w:lang w:eastAsia="es-DO"/>
              </w:rPr>
            </w:pPr>
            <w:r w:rsidRPr="00AF327F">
              <w:rPr>
                <w:rFonts w:eastAsia="Times New Roman"/>
                <w:spacing w:val="0"/>
                <w:lang w:eastAsia="es-DO"/>
              </w:rPr>
              <w:t>1</w:t>
            </w:r>
          </w:p>
        </w:tc>
      </w:tr>
      <w:tr w:rsidR="0065001C" w:rsidRPr="0065001C" w14:paraId="487CCF7C" w14:textId="77777777" w:rsidTr="0065001C">
        <w:trPr>
          <w:trHeight w:val="288"/>
        </w:trPr>
        <w:tc>
          <w:tcPr>
            <w:tcW w:w="3200" w:type="dxa"/>
            <w:tcBorders>
              <w:top w:val="nil"/>
              <w:left w:val="single" w:sz="4" w:space="0" w:color="auto"/>
              <w:bottom w:val="single" w:sz="4" w:space="0" w:color="auto"/>
              <w:right w:val="single" w:sz="4" w:space="0" w:color="auto"/>
            </w:tcBorders>
            <w:noWrap/>
            <w:vAlign w:val="center"/>
            <w:hideMark/>
          </w:tcPr>
          <w:p w14:paraId="38FFEC61" w14:textId="77777777" w:rsidR="0065001C" w:rsidRPr="00AF327F" w:rsidRDefault="0065001C" w:rsidP="0065001C">
            <w:pPr>
              <w:spacing w:after="0" w:line="240" w:lineRule="auto"/>
              <w:jc w:val="both"/>
              <w:rPr>
                <w:rFonts w:eastAsia="Times New Roman"/>
                <w:spacing w:val="0"/>
                <w:lang w:eastAsia="es-DO"/>
              </w:rPr>
            </w:pPr>
            <w:r w:rsidRPr="00AF327F">
              <w:rPr>
                <w:rFonts w:eastAsia="Times New Roman"/>
                <w:spacing w:val="0"/>
                <w:lang w:eastAsia="es-DO"/>
              </w:rPr>
              <w:t>Licencias médicas</w:t>
            </w:r>
          </w:p>
        </w:tc>
        <w:tc>
          <w:tcPr>
            <w:tcW w:w="1276" w:type="dxa"/>
            <w:tcBorders>
              <w:top w:val="nil"/>
              <w:left w:val="nil"/>
              <w:bottom w:val="single" w:sz="4" w:space="0" w:color="auto"/>
              <w:right w:val="single" w:sz="4" w:space="0" w:color="auto"/>
            </w:tcBorders>
            <w:noWrap/>
            <w:vAlign w:val="center"/>
            <w:hideMark/>
          </w:tcPr>
          <w:p w14:paraId="4D1C0F1E" w14:textId="77777777" w:rsidR="0065001C" w:rsidRPr="00AF327F" w:rsidRDefault="0065001C" w:rsidP="0065001C">
            <w:pPr>
              <w:spacing w:after="0" w:line="240" w:lineRule="auto"/>
              <w:jc w:val="right"/>
              <w:rPr>
                <w:rFonts w:eastAsia="Times New Roman"/>
                <w:spacing w:val="0"/>
                <w:lang w:eastAsia="es-DO"/>
              </w:rPr>
            </w:pPr>
            <w:r w:rsidRPr="00AF327F">
              <w:rPr>
                <w:rFonts w:eastAsia="Times New Roman"/>
                <w:spacing w:val="0"/>
                <w:lang w:eastAsia="es-DO"/>
              </w:rPr>
              <w:t>1,054</w:t>
            </w:r>
          </w:p>
        </w:tc>
      </w:tr>
      <w:tr w:rsidR="0065001C" w:rsidRPr="0065001C" w14:paraId="2D778882" w14:textId="77777777" w:rsidTr="0065001C">
        <w:trPr>
          <w:trHeight w:val="288"/>
        </w:trPr>
        <w:tc>
          <w:tcPr>
            <w:tcW w:w="3200" w:type="dxa"/>
            <w:tcBorders>
              <w:top w:val="nil"/>
              <w:left w:val="single" w:sz="4" w:space="0" w:color="auto"/>
              <w:bottom w:val="single" w:sz="4" w:space="0" w:color="auto"/>
              <w:right w:val="single" w:sz="4" w:space="0" w:color="auto"/>
            </w:tcBorders>
            <w:noWrap/>
            <w:vAlign w:val="center"/>
            <w:hideMark/>
          </w:tcPr>
          <w:p w14:paraId="77309CDD" w14:textId="77777777" w:rsidR="0065001C" w:rsidRPr="00AF327F" w:rsidRDefault="0065001C" w:rsidP="0065001C">
            <w:pPr>
              <w:spacing w:after="0" w:line="240" w:lineRule="auto"/>
              <w:jc w:val="both"/>
              <w:rPr>
                <w:rFonts w:eastAsia="Times New Roman"/>
                <w:spacing w:val="0"/>
                <w:lang w:eastAsia="es-DO"/>
              </w:rPr>
            </w:pPr>
            <w:r w:rsidRPr="00AF327F">
              <w:rPr>
                <w:rFonts w:eastAsia="Times New Roman"/>
                <w:spacing w:val="0"/>
                <w:lang w:eastAsia="es-DO"/>
              </w:rPr>
              <w:t>Cuidado de familiar</w:t>
            </w:r>
          </w:p>
        </w:tc>
        <w:tc>
          <w:tcPr>
            <w:tcW w:w="1276" w:type="dxa"/>
            <w:tcBorders>
              <w:top w:val="nil"/>
              <w:left w:val="nil"/>
              <w:bottom w:val="single" w:sz="4" w:space="0" w:color="auto"/>
              <w:right w:val="single" w:sz="4" w:space="0" w:color="auto"/>
            </w:tcBorders>
            <w:noWrap/>
            <w:vAlign w:val="center"/>
            <w:hideMark/>
          </w:tcPr>
          <w:p w14:paraId="1EFEBBCE" w14:textId="77777777" w:rsidR="0065001C" w:rsidRPr="00AF327F" w:rsidRDefault="0065001C" w:rsidP="0065001C">
            <w:pPr>
              <w:spacing w:after="0" w:line="240" w:lineRule="auto"/>
              <w:jc w:val="right"/>
              <w:rPr>
                <w:rFonts w:eastAsia="Times New Roman"/>
                <w:spacing w:val="0"/>
                <w:lang w:eastAsia="es-DO"/>
              </w:rPr>
            </w:pPr>
            <w:r w:rsidRPr="00AF327F">
              <w:rPr>
                <w:rFonts w:eastAsia="Times New Roman"/>
                <w:spacing w:val="0"/>
                <w:lang w:eastAsia="es-DO"/>
              </w:rPr>
              <w:t>92</w:t>
            </w:r>
          </w:p>
        </w:tc>
      </w:tr>
      <w:tr w:rsidR="0065001C" w:rsidRPr="0065001C" w14:paraId="281755A1" w14:textId="77777777" w:rsidTr="0065001C">
        <w:trPr>
          <w:trHeight w:val="288"/>
        </w:trPr>
        <w:tc>
          <w:tcPr>
            <w:tcW w:w="3200" w:type="dxa"/>
            <w:tcBorders>
              <w:top w:val="nil"/>
              <w:left w:val="single" w:sz="4" w:space="0" w:color="auto"/>
              <w:bottom w:val="single" w:sz="4" w:space="0" w:color="auto"/>
              <w:right w:val="single" w:sz="4" w:space="0" w:color="auto"/>
            </w:tcBorders>
            <w:noWrap/>
            <w:vAlign w:val="center"/>
            <w:hideMark/>
          </w:tcPr>
          <w:p w14:paraId="5DBC9F51" w14:textId="77777777" w:rsidR="0065001C" w:rsidRPr="00AF327F" w:rsidRDefault="0065001C" w:rsidP="0065001C">
            <w:pPr>
              <w:spacing w:after="0" w:line="240" w:lineRule="auto"/>
              <w:jc w:val="both"/>
              <w:rPr>
                <w:rFonts w:eastAsia="Times New Roman"/>
                <w:spacing w:val="0"/>
                <w:lang w:eastAsia="es-DO"/>
              </w:rPr>
            </w:pPr>
            <w:r w:rsidRPr="00AF327F">
              <w:rPr>
                <w:rFonts w:eastAsia="Times New Roman"/>
                <w:spacing w:val="0"/>
                <w:lang w:eastAsia="es-DO"/>
              </w:rPr>
              <w:t>Licencia permanente</w:t>
            </w:r>
          </w:p>
        </w:tc>
        <w:tc>
          <w:tcPr>
            <w:tcW w:w="1276" w:type="dxa"/>
            <w:tcBorders>
              <w:top w:val="nil"/>
              <w:left w:val="nil"/>
              <w:bottom w:val="single" w:sz="4" w:space="0" w:color="auto"/>
              <w:right w:val="single" w:sz="4" w:space="0" w:color="auto"/>
            </w:tcBorders>
            <w:noWrap/>
            <w:vAlign w:val="center"/>
            <w:hideMark/>
          </w:tcPr>
          <w:p w14:paraId="2838DA31" w14:textId="77777777" w:rsidR="0065001C" w:rsidRPr="00AF327F" w:rsidRDefault="0065001C" w:rsidP="0065001C">
            <w:pPr>
              <w:spacing w:after="0" w:line="240" w:lineRule="auto"/>
              <w:jc w:val="right"/>
              <w:rPr>
                <w:rFonts w:eastAsia="Times New Roman"/>
                <w:spacing w:val="0"/>
                <w:lang w:eastAsia="es-DO"/>
              </w:rPr>
            </w:pPr>
            <w:r w:rsidRPr="00AF327F">
              <w:rPr>
                <w:rFonts w:eastAsia="Times New Roman"/>
                <w:spacing w:val="0"/>
                <w:lang w:eastAsia="es-DO"/>
              </w:rPr>
              <w:t>15</w:t>
            </w:r>
          </w:p>
        </w:tc>
      </w:tr>
      <w:tr w:rsidR="0065001C" w:rsidRPr="0065001C" w14:paraId="4BE7B7E3" w14:textId="77777777" w:rsidTr="0065001C">
        <w:trPr>
          <w:trHeight w:val="288"/>
        </w:trPr>
        <w:tc>
          <w:tcPr>
            <w:tcW w:w="3200" w:type="dxa"/>
            <w:tcBorders>
              <w:top w:val="nil"/>
              <w:left w:val="single" w:sz="4" w:space="0" w:color="auto"/>
              <w:bottom w:val="single" w:sz="4" w:space="0" w:color="auto"/>
              <w:right w:val="single" w:sz="4" w:space="0" w:color="auto"/>
            </w:tcBorders>
            <w:noWrap/>
            <w:vAlign w:val="center"/>
            <w:hideMark/>
          </w:tcPr>
          <w:p w14:paraId="223CD470" w14:textId="77777777" w:rsidR="0065001C" w:rsidRPr="00AF327F" w:rsidRDefault="0065001C" w:rsidP="0065001C">
            <w:pPr>
              <w:spacing w:after="0" w:line="240" w:lineRule="auto"/>
              <w:jc w:val="both"/>
              <w:rPr>
                <w:rFonts w:eastAsia="Times New Roman"/>
                <w:spacing w:val="0"/>
                <w:lang w:eastAsia="es-DO"/>
              </w:rPr>
            </w:pPr>
            <w:r w:rsidRPr="00AF327F">
              <w:rPr>
                <w:rFonts w:eastAsia="Times New Roman"/>
                <w:spacing w:val="0"/>
                <w:lang w:eastAsia="es-DO"/>
              </w:rPr>
              <w:t>Licencia pre- post</w:t>
            </w:r>
          </w:p>
        </w:tc>
        <w:tc>
          <w:tcPr>
            <w:tcW w:w="1276" w:type="dxa"/>
            <w:tcBorders>
              <w:top w:val="nil"/>
              <w:left w:val="nil"/>
              <w:bottom w:val="single" w:sz="4" w:space="0" w:color="auto"/>
              <w:right w:val="single" w:sz="4" w:space="0" w:color="auto"/>
            </w:tcBorders>
            <w:noWrap/>
            <w:vAlign w:val="center"/>
            <w:hideMark/>
          </w:tcPr>
          <w:p w14:paraId="12AE8317" w14:textId="77777777" w:rsidR="0065001C" w:rsidRPr="00AF327F" w:rsidRDefault="0065001C" w:rsidP="0065001C">
            <w:pPr>
              <w:spacing w:after="0" w:line="240" w:lineRule="auto"/>
              <w:jc w:val="right"/>
              <w:rPr>
                <w:rFonts w:eastAsia="Times New Roman"/>
                <w:spacing w:val="0"/>
                <w:lang w:eastAsia="es-DO"/>
              </w:rPr>
            </w:pPr>
            <w:r w:rsidRPr="00AF327F">
              <w:rPr>
                <w:rFonts w:eastAsia="Times New Roman"/>
                <w:spacing w:val="0"/>
                <w:lang w:eastAsia="es-DO"/>
              </w:rPr>
              <w:t>27</w:t>
            </w:r>
          </w:p>
        </w:tc>
      </w:tr>
      <w:tr w:rsidR="0065001C" w:rsidRPr="0065001C" w14:paraId="231CA661" w14:textId="77777777" w:rsidTr="0065001C">
        <w:trPr>
          <w:trHeight w:val="288"/>
        </w:trPr>
        <w:tc>
          <w:tcPr>
            <w:tcW w:w="3200" w:type="dxa"/>
            <w:tcBorders>
              <w:top w:val="nil"/>
              <w:left w:val="single" w:sz="4" w:space="0" w:color="auto"/>
              <w:bottom w:val="single" w:sz="4" w:space="0" w:color="auto"/>
              <w:right w:val="single" w:sz="4" w:space="0" w:color="auto"/>
            </w:tcBorders>
            <w:noWrap/>
            <w:vAlign w:val="center"/>
            <w:hideMark/>
          </w:tcPr>
          <w:p w14:paraId="13865197" w14:textId="77777777" w:rsidR="0065001C" w:rsidRPr="00AF327F" w:rsidRDefault="0065001C" w:rsidP="0065001C">
            <w:pPr>
              <w:spacing w:after="0" w:line="240" w:lineRule="auto"/>
              <w:jc w:val="both"/>
              <w:rPr>
                <w:rFonts w:eastAsia="Times New Roman"/>
                <w:spacing w:val="0"/>
                <w:lang w:eastAsia="es-DO"/>
              </w:rPr>
            </w:pPr>
            <w:r w:rsidRPr="00AF327F">
              <w:rPr>
                <w:rFonts w:eastAsia="Times New Roman"/>
                <w:spacing w:val="0"/>
                <w:lang w:eastAsia="es-DO"/>
              </w:rPr>
              <w:t>Licencia riesgo laboral</w:t>
            </w:r>
          </w:p>
        </w:tc>
        <w:tc>
          <w:tcPr>
            <w:tcW w:w="1276" w:type="dxa"/>
            <w:tcBorders>
              <w:top w:val="nil"/>
              <w:left w:val="nil"/>
              <w:bottom w:val="single" w:sz="4" w:space="0" w:color="auto"/>
              <w:right w:val="single" w:sz="4" w:space="0" w:color="auto"/>
            </w:tcBorders>
            <w:noWrap/>
            <w:vAlign w:val="center"/>
            <w:hideMark/>
          </w:tcPr>
          <w:p w14:paraId="22F4C455" w14:textId="77777777" w:rsidR="0065001C" w:rsidRPr="00AF327F" w:rsidRDefault="0065001C" w:rsidP="0065001C">
            <w:pPr>
              <w:spacing w:after="0" w:line="240" w:lineRule="auto"/>
              <w:jc w:val="right"/>
              <w:rPr>
                <w:rFonts w:eastAsia="Times New Roman"/>
                <w:spacing w:val="0"/>
                <w:lang w:eastAsia="es-DO"/>
              </w:rPr>
            </w:pPr>
            <w:r w:rsidRPr="00AF327F">
              <w:rPr>
                <w:rFonts w:eastAsia="Times New Roman"/>
                <w:spacing w:val="0"/>
                <w:lang w:eastAsia="es-DO"/>
              </w:rPr>
              <w:t>3</w:t>
            </w:r>
          </w:p>
        </w:tc>
      </w:tr>
      <w:tr w:rsidR="0065001C" w:rsidRPr="0065001C" w14:paraId="7A30FED9" w14:textId="77777777" w:rsidTr="00BA1804">
        <w:trPr>
          <w:trHeight w:val="312"/>
        </w:trPr>
        <w:tc>
          <w:tcPr>
            <w:tcW w:w="3200" w:type="dxa"/>
            <w:tcBorders>
              <w:top w:val="nil"/>
              <w:left w:val="single" w:sz="4" w:space="0" w:color="auto"/>
              <w:bottom w:val="single" w:sz="4" w:space="0" w:color="auto"/>
              <w:right w:val="single" w:sz="4" w:space="0" w:color="auto"/>
            </w:tcBorders>
            <w:shd w:val="clear" w:color="auto" w:fill="011C50"/>
            <w:noWrap/>
            <w:vAlign w:val="center"/>
            <w:hideMark/>
          </w:tcPr>
          <w:p w14:paraId="1D27A53E" w14:textId="77777777" w:rsidR="0065001C" w:rsidRPr="0065001C" w:rsidRDefault="0065001C" w:rsidP="0065001C">
            <w:pPr>
              <w:spacing w:after="0" w:line="240" w:lineRule="auto"/>
              <w:rPr>
                <w:rFonts w:eastAsia="Times New Roman"/>
                <w:b/>
                <w:bCs/>
                <w:color w:val="FFFFFF"/>
                <w:spacing w:val="0"/>
                <w:lang w:eastAsia="es-DO"/>
              </w:rPr>
            </w:pPr>
            <w:r w:rsidRPr="0065001C">
              <w:rPr>
                <w:rFonts w:eastAsia="Times New Roman"/>
                <w:b/>
                <w:bCs/>
                <w:color w:val="FFFFFF"/>
                <w:spacing w:val="0"/>
                <w:lang w:eastAsia="es-DO"/>
              </w:rPr>
              <w:t>Total</w:t>
            </w:r>
          </w:p>
        </w:tc>
        <w:tc>
          <w:tcPr>
            <w:tcW w:w="1276" w:type="dxa"/>
            <w:tcBorders>
              <w:top w:val="nil"/>
              <w:left w:val="nil"/>
              <w:bottom w:val="single" w:sz="4" w:space="0" w:color="auto"/>
              <w:right w:val="single" w:sz="4" w:space="0" w:color="auto"/>
            </w:tcBorders>
            <w:shd w:val="clear" w:color="auto" w:fill="011C50"/>
            <w:noWrap/>
            <w:vAlign w:val="center"/>
            <w:hideMark/>
          </w:tcPr>
          <w:p w14:paraId="14FAF260" w14:textId="77777777" w:rsidR="0065001C" w:rsidRPr="0065001C" w:rsidRDefault="0065001C" w:rsidP="0065001C">
            <w:pPr>
              <w:spacing w:after="0" w:line="240" w:lineRule="auto"/>
              <w:jc w:val="right"/>
              <w:rPr>
                <w:rFonts w:eastAsia="Times New Roman"/>
                <w:b/>
                <w:bCs/>
                <w:color w:val="FFFFFF"/>
                <w:spacing w:val="0"/>
                <w:lang w:eastAsia="es-DO"/>
              </w:rPr>
            </w:pPr>
            <w:r w:rsidRPr="0065001C">
              <w:rPr>
                <w:rFonts w:eastAsia="Times New Roman"/>
                <w:b/>
                <w:bCs/>
                <w:color w:val="FFFFFF"/>
                <w:spacing w:val="0"/>
                <w:lang w:eastAsia="es-DO"/>
              </w:rPr>
              <w:t>1,194</w:t>
            </w:r>
          </w:p>
        </w:tc>
      </w:tr>
    </w:tbl>
    <w:p w14:paraId="7907E8A1" w14:textId="3709178B" w:rsidR="0065001C" w:rsidRPr="00AF327F" w:rsidRDefault="0065001C" w:rsidP="0065001C">
      <w:pPr>
        <w:spacing w:line="360" w:lineRule="auto"/>
        <w:jc w:val="center"/>
        <w:rPr>
          <w:rFonts w:eastAsia="Calibri"/>
          <w:sz w:val="18"/>
          <w:szCs w:val="18"/>
        </w:rPr>
      </w:pPr>
      <w:r w:rsidRPr="00AF327F">
        <w:rPr>
          <w:rFonts w:eastAsia="Calibri"/>
          <w:sz w:val="18"/>
          <w:szCs w:val="18"/>
        </w:rPr>
        <w:t>Tabla 1</w:t>
      </w:r>
      <w:r w:rsidR="003A141E" w:rsidRPr="00AF327F">
        <w:rPr>
          <w:rFonts w:eastAsia="Calibri"/>
          <w:sz w:val="18"/>
          <w:szCs w:val="18"/>
        </w:rPr>
        <w:t>6</w:t>
      </w:r>
      <w:r w:rsidRPr="00AF327F">
        <w:rPr>
          <w:rFonts w:eastAsia="Calibri"/>
          <w:sz w:val="18"/>
          <w:szCs w:val="18"/>
        </w:rPr>
        <w:t>. Licencias por tipo</w:t>
      </w:r>
      <w:r w:rsidR="00121C09">
        <w:rPr>
          <w:rFonts w:eastAsia="Calibri"/>
          <w:sz w:val="18"/>
          <w:szCs w:val="18"/>
        </w:rPr>
        <w:t xml:space="preserve"> 2025</w:t>
      </w:r>
    </w:p>
    <w:p w14:paraId="75EB706D" w14:textId="77777777" w:rsidR="0065001C" w:rsidRPr="00465A16" w:rsidRDefault="0065001C" w:rsidP="0065001C">
      <w:pPr>
        <w:spacing w:line="360" w:lineRule="auto"/>
        <w:jc w:val="center"/>
        <w:rPr>
          <w:rFonts w:eastAsia="Calibri"/>
          <w:color w:val="595959" w:themeColor="text1" w:themeTint="A6"/>
          <w:sz w:val="18"/>
          <w:szCs w:val="18"/>
        </w:rPr>
      </w:pPr>
    </w:p>
    <w:p w14:paraId="48696ADF" w14:textId="77777777" w:rsidR="0065001C" w:rsidRPr="00465A16" w:rsidRDefault="0065001C" w:rsidP="0065001C">
      <w:pPr>
        <w:spacing w:line="360" w:lineRule="auto"/>
        <w:jc w:val="center"/>
        <w:rPr>
          <w:rFonts w:eastAsia="Calibri"/>
          <w:color w:val="595959" w:themeColor="text1" w:themeTint="A6"/>
          <w:sz w:val="18"/>
          <w:szCs w:val="18"/>
        </w:rPr>
      </w:pPr>
    </w:p>
    <w:p w14:paraId="1B6E1E24" w14:textId="77777777" w:rsidR="0065001C" w:rsidRPr="00465A16" w:rsidRDefault="0065001C" w:rsidP="0065001C">
      <w:pPr>
        <w:spacing w:line="360" w:lineRule="auto"/>
        <w:jc w:val="center"/>
        <w:rPr>
          <w:rFonts w:eastAsia="Calibri"/>
          <w:color w:val="595959" w:themeColor="text1" w:themeTint="A6"/>
          <w:sz w:val="18"/>
          <w:szCs w:val="18"/>
        </w:rPr>
      </w:pPr>
    </w:p>
    <w:p w14:paraId="57D7BFA5" w14:textId="77777777" w:rsidR="0065001C" w:rsidRPr="00465A16" w:rsidRDefault="0065001C" w:rsidP="0065001C">
      <w:pPr>
        <w:spacing w:line="360" w:lineRule="auto"/>
        <w:jc w:val="center"/>
        <w:rPr>
          <w:rFonts w:eastAsia="Calibri"/>
          <w:color w:val="595959" w:themeColor="text1" w:themeTint="A6"/>
          <w:sz w:val="18"/>
          <w:szCs w:val="18"/>
        </w:rPr>
      </w:pPr>
    </w:p>
    <w:p w14:paraId="4ED433C4" w14:textId="77777777" w:rsidR="0065001C" w:rsidRPr="00465A16" w:rsidRDefault="0065001C" w:rsidP="0065001C">
      <w:pPr>
        <w:spacing w:line="360" w:lineRule="auto"/>
        <w:jc w:val="center"/>
        <w:rPr>
          <w:rFonts w:eastAsia="Calibri"/>
          <w:color w:val="595959" w:themeColor="text1" w:themeTint="A6"/>
          <w:sz w:val="18"/>
          <w:szCs w:val="18"/>
        </w:rPr>
      </w:pPr>
    </w:p>
    <w:p w14:paraId="58971DBF" w14:textId="77777777" w:rsidR="0065001C" w:rsidRPr="00465A16" w:rsidRDefault="0065001C" w:rsidP="0065001C">
      <w:pPr>
        <w:spacing w:line="360" w:lineRule="auto"/>
        <w:jc w:val="center"/>
        <w:rPr>
          <w:rFonts w:eastAsia="Calibri"/>
          <w:color w:val="595959" w:themeColor="text1" w:themeTint="A6"/>
          <w:sz w:val="18"/>
          <w:szCs w:val="18"/>
        </w:rPr>
      </w:pPr>
    </w:p>
    <w:p w14:paraId="205D92A4" w14:textId="3DD2BC85" w:rsidR="0065001C" w:rsidRPr="0077472F" w:rsidRDefault="0065001C" w:rsidP="0065001C">
      <w:pPr>
        <w:spacing w:line="360" w:lineRule="auto"/>
        <w:jc w:val="center"/>
        <w:rPr>
          <w:rFonts w:eastAsia="Calibri"/>
          <w:i/>
          <w:iCs/>
          <w:sz w:val="18"/>
          <w:szCs w:val="18"/>
        </w:rPr>
      </w:pPr>
      <w:r w:rsidRPr="0077472F">
        <w:rPr>
          <w:rFonts w:eastAsia="Calibri"/>
          <w:i/>
          <w:iCs/>
          <w:sz w:val="18"/>
          <w:szCs w:val="18"/>
        </w:rPr>
        <w:t>Fuente. Informe anual RRHH</w:t>
      </w:r>
    </w:p>
    <w:p w14:paraId="6361DA48" w14:textId="77777777" w:rsidR="0065001C" w:rsidRPr="0077472F" w:rsidRDefault="0065001C" w:rsidP="0065001C">
      <w:pPr>
        <w:spacing w:line="360" w:lineRule="auto"/>
        <w:jc w:val="center"/>
        <w:rPr>
          <w:rFonts w:eastAsia="Calibri"/>
          <w:i/>
          <w:iCs/>
          <w:color w:val="595959" w:themeColor="text1" w:themeTint="A6"/>
          <w:sz w:val="18"/>
          <w:szCs w:val="18"/>
        </w:rPr>
      </w:pPr>
    </w:p>
    <w:p w14:paraId="033CA438" w14:textId="77777777" w:rsidR="0065001C" w:rsidRPr="00465A16" w:rsidRDefault="0065001C" w:rsidP="0065001C">
      <w:pPr>
        <w:pStyle w:val="Sinespaciado"/>
        <w:spacing w:line="360" w:lineRule="auto"/>
        <w:ind w:left="-11"/>
        <w:jc w:val="center"/>
        <w:rPr>
          <w:lang w:val="es-DO"/>
        </w:rPr>
      </w:pPr>
    </w:p>
    <w:p w14:paraId="51A363AA" w14:textId="77777777" w:rsidR="00A347BD" w:rsidRPr="00465A16" w:rsidRDefault="00A347BD" w:rsidP="00A347BD">
      <w:pPr>
        <w:spacing w:line="360" w:lineRule="auto"/>
        <w:rPr>
          <w:rFonts w:eastAsia="Calibri"/>
          <w:color w:val="EE0000"/>
          <w:sz w:val="18"/>
          <w:szCs w:val="18"/>
        </w:rPr>
      </w:pPr>
    </w:p>
    <w:p w14:paraId="238A3E63" w14:textId="639E794B" w:rsidR="0065001C" w:rsidRPr="00FA4C09" w:rsidRDefault="0071189C" w:rsidP="0065001C">
      <w:pPr>
        <w:spacing w:line="360" w:lineRule="auto"/>
        <w:jc w:val="center"/>
        <w:rPr>
          <w:rFonts w:eastAsia="Calibri"/>
          <w:sz w:val="18"/>
          <w:szCs w:val="18"/>
        </w:rPr>
      </w:pPr>
      <w:r w:rsidRPr="00FA4C09">
        <w:rPr>
          <w:noProof/>
          <w:lang w:eastAsia="es-DO"/>
        </w:rPr>
        <w:lastRenderedPageBreak/>
        <w:drawing>
          <wp:anchor distT="0" distB="0" distL="114300" distR="114300" simplePos="0" relativeHeight="251760640" behindDoc="0" locked="0" layoutInCell="1" allowOverlap="1" wp14:anchorId="25D42CB4" wp14:editId="638FD0E0">
            <wp:simplePos x="0" y="0"/>
            <wp:positionH relativeFrom="margin">
              <wp:posOffset>76200</wp:posOffset>
            </wp:positionH>
            <wp:positionV relativeFrom="margin">
              <wp:posOffset>579120</wp:posOffset>
            </wp:positionV>
            <wp:extent cx="5196840" cy="2343150"/>
            <wp:effectExtent l="0" t="0" r="3810" b="0"/>
            <wp:wrapSquare wrapText="bothSides"/>
            <wp:docPr id="1418699547" name="Gráfico 1">
              <a:extLst xmlns:a="http://schemas.openxmlformats.org/drawingml/2006/main">
                <a:ext uri="{FF2B5EF4-FFF2-40B4-BE49-F238E27FC236}">
                  <a16:creationId xmlns:a16="http://schemas.microsoft.com/office/drawing/2014/main" id="{B7CC8218-55F9-3FF9-AFAD-E020B4A6F7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Pr="00FA4C09">
        <w:rPr>
          <w:rFonts w:eastAsia="Calibri"/>
          <w:sz w:val="18"/>
          <w:szCs w:val="18"/>
        </w:rPr>
        <w:t>Gráfico 1</w:t>
      </w:r>
      <w:r w:rsidR="006A4423" w:rsidRPr="00FA4C09">
        <w:rPr>
          <w:rFonts w:eastAsia="Calibri"/>
          <w:sz w:val="18"/>
          <w:szCs w:val="18"/>
        </w:rPr>
        <w:t>0</w:t>
      </w:r>
      <w:r w:rsidRPr="00FA4C09">
        <w:rPr>
          <w:rFonts w:eastAsia="Calibri"/>
          <w:sz w:val="18"/>
          <w:szCs w:val="18"/>
        </w:rPr>
        <w:t>. Distribución licencias por tipo</w:t>
      </w:r>
    </w:p>
    <w:p w14:paraId="0A98A1CE" w14:textId="77777777" w:rsidR="00121C09" w:rsidRDefault="00121C09" w:rsidP="0071189C">
      <w:pPr>
        <w:spacing w:line="360" w:lineRule="auto"/>
        <w:jc w:val="center"/>
        <w:rPr>
          <w:rFonts w:eastAsia="Calibri"/>
          <w:i/>
          <w:iCs/>
          <w:sz w:val="18"/>
          <w:szCs w:val="18"/>
        </w:rPr>
      </w:pPr>
    </w:p>
    <w:p w14:paraId="2F96922C" w14:textId="72D904C3" w:rsidR="0071189C" w:rsidRPr="0077472F" w:rsidRDefault="0071189C" w:rsidP="0071189C">
      <w:pPr>
        <w:spacing w:line="360" w:lineRule="auto"/>
        <w:jc w:val="center"/>
        <w:rPr>
          <w:rFonts w:eastAsia="Calibri"/>
          <w:i/>
          <w:iCs/>
          <w:sz w:val="18"/>
          <w:szCs w:val="18"/>
        </w:rPr>
      </w:pPr>
      <w:r w:rsidRPr="0077472F">
        <w:rPr>
          <w:rFonts w:eastAsia="Calibri"/>
          <w:i/>
          <w:iCs/>
          <w:sz w:val="18"/>
          <w:szCs w:val="18"/>
        </w:rPr>
        <w:t>Fuente. Informe anual RRHH</w:t>
      </w:r>
    </w:p>
    <w:p w14:paraId="4B7BDA14" w14:textId="77777777" w:rsidR="0065001C" w:rsidRPr="00AF327F" w:rsidRDefault="0065001C" w:rsidP="00C934DB">
      <w:pPr>
        <w:spacing w:line="360" w:lineRule="auto"/>
        <w:jc w:val="both"/>
        <w:rPr>
          <w:rFonts w:eastAsia="Calibri"/>
          <w:b/>
          <w:bCs/>
        </w:rPr>
      </w:pPr>
    </w:p>
    <w:p w14:paraId="0BFC7892" w14:textId="5DC0E0C5" w:rsidR="00B62154" w:rsidRPr="00AF327F" w:rsidRDefault="00B62154" w:rsidP="00C934DB">
      <w:pPr>
        <w:spacing w:line="360" w:lineRule="auto"/>
        <w:jc w:val="both"/>
        <w:rPr>
          <w:rFonts w:eastAsia="Calibri"/>
          <w:b/>
          <w:bCs/>
        </w:rPr>
      </w:pPr>
      <w:r w:rsidRPr="00AF327F">
        <w:rPr>
          <w:rFonts w:eastAsia="Calibri"/>
          <w:b/>
          <w:bCs/>
        </w:rPr>
        <w:t xml:space="preserve">Seguridad y </w:t>
      </w:r>
      <w:r w:rsidR="0098546A" w:rsidRPr="00AF327F">
        <w:rPr>
          <w:rFonts w:eastAsia="Calibri"/>
          <w:b/>
          <w:bCs/>
        </w:rPr>
        <w:t>S</w:t>
      </w:r>
      <w:r w:rsidRPr="00AF327F">
        <w:rPr>
          <w:rFonts w:eastAsia="Calibri"/>
          <w:b/>
          <w:bCs/>
        </w:rPr>
        <w:t xml:space="preserve">alud en el </w:t>
      </w:r>
      <w:r w:rsidR="0098546A" w:rsidRPr="00AF327F">
        <w:rPr>
          <w:rFonts w:eastAsia="Calibri"/>
          <w:b/>
          <w:bCs/>
        </w:rPr>
        <w:t>T</w:t>
      </w:r>
      <w:r w:rsidRPr="00AF327F">
        <w:rPr>
          <w:rFonts w:eastAsia="Calibri"/>
          <w:b/>
          <w:bCs/>
        </w:rPr>
        <w:t>rabajo</w:t>
      </w:r>
      <w:r w:rsidR="0098546A" w:rsidRPr="00AF327F">
        <w:rPr>
          <w:rFonts w:eastAsia="Calibri"/>
          <w:b/>
          <w:bCs/>
        </w:rPr>
        <w:t xml:space="preserve"> (SST)</w:t>
      </w:r>
    </w:p>
    <w:p w14:paraId="7FC34430" w14:textId="77777777" w:rsidR="0071189C" w:rsidRPr="00AF327F" w:rsidRDefault="0071189C" w:rsidP="00C934DB">
      <w:pPr>
        <w:spacing w:line="360" w:lineRule="auto"/>
        <w:jc w:val="both"/>
        <w:rPr>
          <w:rFonts w:eastAsia="Calibri"/>
        </w:rPr>
      </w:pPr>
      <w:r w:rsidRPr="00AF327F">
        <w:rPr>
          <w:rFonts w:eastAsia="Calibri"/>
        </w:rPr>
        <w:t>Respecto al subsistema de seguridad y salud ocupacional, durante el año 2025 se llevaron a cabo las siguientes actividades:</w:t>
      </w:r>
    </w:p>
    <w:p w14:paraId="011BE44C" w14:textId="3E6DB3CB" w:rsidR="0071189C" w:rsidRPr="00AF327F" w:rsidRDefault="0071189C" w:rsidP="00C934DB">
      <w:pPr>
        <w:spacing w:line="360" w:lineRule="auto"/>
        <w:jc w:val="both"/>
        <w:rPr>
          <w:rFonts w:eastAsia="Calibri"/>
        </w:rPr>
      </w:pPr>
      <w:r w:rsidRPr="00AF327F">
        <w:rPr>
          <w:rFonts w:eastAsia="Calibri"/>
        </w:rPr>
        <w:t>Jornada de donación voluntaria de sangre realizada el 20 de mayo del presente año, con el registro de 77 colaboradores, que resultó en la colecta de 46 bolsas de sangre.</w:t>
      </w:r>
      <w:r w:rsidR="00F6717C">
        <w:rPr>
          <w:rFonts w:eastAsia="Calibri"/>
        </w:rPr>
        <w:t xml:space="preserve"> Durante el mes de diciembre se ejecutó una nueva jornada donde participaron 30 colaboradores colectando igual número de bolsas de sangre. </w:t>
      </w:r>
    </w:p>
    <w:p w14:paraId="2611D8A8" w14:textId="56636BB2" w:rsidR="0071189C" w:rsidRPr="00AF327F" w:rsidRDefault="0071189C" w:rsidP="00C934DB">
      <w:pPr>
        <w:spacing w:line="360" w:lineRule="auto"/>
        <w:jc w:val="both"/>
        <w:rPr>
          <w:rFonts w:eastAsia="Calibri"/>
        </w:rPr>
      </w:pPr>
      <w:r w:rsidRPr="00AF327F">
        <w:rPr>
          <w:rFonts w:eastAsia="Calibri"/>
        </w:rPr>
        <w:t>Jornada odontol</w:t>
      </w:r>
      <w:r w:rsidR="00046BB1" w:rsidRPr="00AF327F">
        <w:rPr>
          <w:rFonts w:eastAsia="Calibri"/>
        </w:rPr>
        <w:t>ógic</w:t>
      </w:r>
      <w:r w:rsidRPr="00AF327F">
        <w:rPr>
          <w:rFonts w:eastAsia="Calibri"/>
        </w:rPr>
        <w:t>a realizada el 08 de agosto del presente año, con el registro de 91 colaboradores, que resultó en 83 atenciones exitosas. Lo que refleja un alto grado de interés y compromiso de personal con el cuidado de su salud bucal. Este resultado evidencia la efectividad de la convocatoria y la relevancia de la actividad para los colaboradores.</w:t>
      </w:r>
    </w:p>
    <w:p w14:paraId="46F3B7B2" w14:textId="77777777" w:rsidR="0071189C" w:rsidRPr="00AF327F" w:rsidRDefault="0071189C" w:rsidP="0071189C">
      <w:pPr>
        <w:spacing w:line="360" w:lineRule="auto"/>
        <w:jc w:val="both"/>
        <w:rPr>
          <w:rFonts w:eastAsia="Calibri"/>
        </w:rPr>
      </w:pPr>
      <w:bookmarkStart w:id="29" w:name="_Toc188966521"/>
      <w:bookmarkStart w:id="30" w:name="_Toc189216456"/>
    </w:p>
    <w:p w14:paraId="04ACEE54" w14:textId="77777777" w:rsidR="0071189C" w:rsidRPr="00AF327F" w:rsidRDefault="0071189C" w:rsidP="0071189C">
      <w:pPr>
        <w:spacing w:line="360" w:lineRule="auto"/>
        <w:jc w:val="both"/>
        <w:rPr>
          <w:rFonts w:eastAsia="Calibri"/>
        </w:rPr>
      </w:pPr>
    </w:p>
    <w:p w14:paraId="15B15C7B" w14:textId="1CE13F18" w:rsidR="0071189C" w:rsidRPr="00AF327F" w:rsidRDefault="0071189C" w:rsidP="00C934DB">
      <w:pPr>
        <w:spacing w:line="360" w:lineRule="auto"/>
        <w:jc w:val="both"/>
        <w:rPr>
          <w:rFonts w:eastAsia="Calibri"/>
        </w:rPr>
      </w:pPr>
      <w:r w:rsidRPr="00AF327F">
        <w:rPr>
          <w:rFonts w:eastAsia="Calibri"/>
        </w:rPr>
        <w:t>La jornada oftalmológica realizada en la Contraloría General de la República, en colaboración con SENASA, fue un éxito rotundo, alcanzando sus objetivos de prevención y atención en salud ocular</w:t>
      </w:r>
      <w:bookmarkEnd w:id="29"/>
      <w:bookmarkEnd w:id="30"/>
      <w:r w:rsidR="00D2536F">
        <w:rPr>
          <w:rFonts w:eastAsia="Calibri"/>
        </w:rPr>
        <w:t>,</w:t>
      </w:r>
      <w:r w:rsidRPr="00AF327F">
        <w:rPr>
          <w:rFonts w:eastAsia="Calibri"/>
        </w:rPr>
        <w:t xml:space="preserve"> impacta</w:t>
      </w:r>
      <w:r w:rsidR="00D2536F">
        <w:rPr>
          <w:rFonts w:eastAsia="Calibri"/>
        </w:rPr>
        <w:t>ndo a</w:t>
      </w:r>
      <w:r w:rsidRPr="00AF327F">
        <w:rPr>
          <w:rFonts w:eastAsia="Calibri"/>
        </w:rPr>
        <w:t xml:space="preserve"> 102 colaboradores.</w:t>
      </w:r>
    </w:p>
    <w:p w14:paraId="35B62D4C" w14:textId="3B197728" w:rsidR="0071189C" w:rsidRPr="00AF327F" w:rsidRDefault="0071189C" w:rsidP="00C934DB">
      <w:pPr>
        <w:spacing w:line="360" w:lineRule="auto"/>
        <w:jc w:val="both"/>
        <w:rPr>
          <w:rFonts w:eastAsia="Calibri"/>
        </w:rPr>
      </w:pPr>
      <w:r w:rsidRPr="00AF327F">
        <w:rPr>
          <w:rFonts w:eastAsia="Calibri"/>
        </w:rPr>
        <w:t xml:space="preserve">El Simulacro Nacional de Evacuación, permitió evaluar la capacidad de respuesta de la institución ante una emergencia. En general, </w:t>
      </w:r>
      <w:r w:rsidR="00705E88">
        <w:rPr>
          <w:rFonts w:eastAsia="Calibri"/>
        </w:rPr>
        <w:t>r</w:t>
      </w:r>
      <w:r w:rsidRPr="00AF327F">
        <w:rPr>
          <w:rFonts w:eastAsia="Calibri"/>
        </w:rPr>
        <w:t>epresent</w:t>
      </w:r>
      <w:r w:rsidR="00705E88">
        <w:rPr>
          <w:rFonts w:eastAsia="Calibri"/>
        </w:rPr>
        <w:t>ó</w:t>
      </w:r>
      <w:r w:rsidRPr="00AF327F">
        <w:rPr>
          <w:rFonts w:eastAsia="Calibri"/>
        </w:rPr>
        <w:t xml:space="preserve"> una experiencia valiosa para fortalecer la cultura de prevención dentro de la institución, permitiendo identificar fortalezas y oportunidades de mejora en respuestas ante emergencias.</w:t>
      </w:r>
      <w:bookmarkStart w:id="31" w:name="_Toc195008571"/>
    </w:p>
    <w:p w14:paraId="28F49F11" w14:textId="53E7E979" w:rsidR="0071189C" w:rsidRPr="00AF327F" w:rsidRDefault="00F17AD7" w:rsidP="00C934DB">
      <w:pPr>
        <w:spacing w:line="360" w:lineRule="auto"/>
        <w:jc w:val="both"/>
        <w:rPr>
          <w:rFonts w:eastAsia="Calibri"/>
        </w:rPr>
      </w:pPr>
      <w:r w:rsidRPr="00AF327F">
        <w:rPr>
          <w:rFonts w:eastAsia="Calibri"/>
        </w:rPr>
        <w:t>En compromiso</w:t>
      </w:r>
      <w:r w:rsidR="0071189C" w:rsidRPr="00AF327F">
        <w:rPr>
          <w:rFonts w:eastAsia="Calibri"/>
        </w:rPr>
        <w:t xml:space="preserve"> con la salud y el bienestar de los colaboradores, </w:t>
      </w:r>
      <w:r w:rsidRPr="00AF327F">
        <w:rPr>
          <w:rFonts w:eastAsia="Calibri"/>
        </w:rPr>
        <w:t>se realizó</w:t>
      </w:r>
      <w:r w:rsidR="0071189C" w:rsidRPr="00AF327F">
        <w:rPr>
          <w:rFonts w:eastAsia="Calibri"/>
        </w:rPr>
        <w:t xml:space="preserve"> el pasado 19 de noviembre del año en curso, la Jornada de vacunación contra la influenza, con el apoyo del Ministerio de Salud Pública, con el objetivo de prevenir y reducir la propagación de este virus. Fueron impactados 135 colaboradores de esta Contraloría.</w:t>
      </w:r>
    </w:p>
    <w:p w14:paraId="1FD76C60" w14:textId="199AE8AF" w:rsidR="0071189C" w:rsidRPr="00AF327F" w:rsidRDefault="00046BB1" w:rsidP="00C934DB">
      <w:pPr>
        <w:spacing w:line="360" w:lineRule="auto"/>
        <w:jc w:val="both"/>
        <w:rPr>
          <w:rFonts w:eastAsia="Calibri"/>
        </w:rPr>
      </w:pPr>
      <w:r w:rsidRPr="00AF327F">
        <w:rPr>
          <w:rFonts w:eastAsia="Calibri"/>
        </w:rPr>
        <w:t>En conmemoración del Día Mundial de la Salud, se realizó un o</w:t>
      </w:r>
      <w:r w:rsidR="0071189C" w:rsidRPr="00AF327F">
        <w:rPr>
          <w:rFonts w:eastAsia="Calibri"/>
        </w:rPr>
        <w:t>perativo médico en la CGR, con la participación de los colaboradores y una alta tasa de recepción de medicamentos para el tratamiento de diversas afecciones. Este tipo de actividades refuerzan el compromiso de la institución con el bienestar de sus empleados, promoviendo una cultura de salud integral y prevención.</w:t>
      </w:r>
      <w:bookmarkStart w:id="32" w:name="_Toc180577124"/>
      <w:bookmarkEnd w:id="31"/>
      <w:r w:rsidR="0071189C" w:rsidRPr="00AF327F">
        <w:rPr>
          <w:rFonts w:eastAsia="Calibri"/>
        </w:rPr>
        <w:t xml:space="preserve"> El operativo registró una excelente acogida por parte de los colaboradores de la Contraloría General de la República. </w:t>
      </w:r>
    </w:p>
    <w:p w14:paraId="4B871C94" w14:textId="26656888" w:rsidR="0071189C" w:rsidRPr="00AF327F" w:rsidRDefault="0071189C" w:rsidP="00C934DB">
      <w:pPr>
        <w:spacing w:line="360" w:lineRule="auto"/>
        <w:jc w:val="both"/>
        <w:rPr>
          <w:rFonts w:eastAsia="Calibri"/>
        </w:rPr>
      </w:pPr>
      <w:r w:rsidRPr="00AF327F">
        <w:rPr>
          <w:rFonts w:eastAsia="Calibri"/>
        </w:rPr>
        <w:t>En total, 120 colaboradores asistieron al evento y recibieron medicamentos. Este interés demuestra una creciente preocupación por la salud y la necesidad de estos programas de prevención en el entorno laboral.</w:t>
      </w:r>
      <w:bookmarkEnd w:id="32"/>
    </w:p>
    <w:p w14:paraId="377DD6BB" w14:textId="77777777" w:rsidR="002E3F81" w:rsidRDefault="002E3F81" w:rsidP="00C934DB">
      <w:pPr>
        <w:spacing w:line="360" w:lineRule="auto"/>
        <w:jc w:val="both"/>
        <w:rPr>
          <w:rFonts w:eastAsia="Calibri"/>
        </w:rPr>
      </w:pPr>
    </w:p>
    <w:p w14:paraId="19602599" w14:textId="71A39261" w:rsidR="0071189C" w:rsidRPr="00AF327F" w:rsidRDefault="0071189C" w:rsidP="00C934DB">
      <w:pPr>
        <w:spacing w:line="360" w:lineRule="auto"/>
        <w:jc w:val="both"/>
        <w:rPr>
          <w:rFonts w:eastAsia="Calibri"/>
        </w:rPr>
      </w:pPr>
      <w:r w:rsidRPr="00AF327F">
        <w:rPr>
          <w:rFonts w:eastAsia="Calibri"/>
        </w:rPr>
        <w:lastRenderedPageBreak/>
        <w:t>Semana de la salud 2025, ejecutada del 13 al 17 de octubre del presente año, promoviendo la salud y el bienestar de nuestros colaboradores. Esta jornada tuvo como objetivo concientizar y motivar a los colaboradores de nuestra institución aportando información, actividades interactivas y servicios de diagnóstico primario fomentando una cultura de salud y bienestar laboral. Para lograrlo, buscamos generar un acercamiento significativo hacia temas de salud preventiva, hábitos saludables y bienestar integral.</w:t>
      </w:r>
    </w:p>
    <w:p w14:paraId="188F0B2B" w14:textId="5D591576" w:rsidR="0071189C" w:rsidRPr="00AF327F" w:rsidRDefault="0071189C" w:rsidP="00C934DB">
      <w:pPr>
        <w:spacing w:line="360" w:lineRule="auto"/>
        <w:jc w:val="both"/>
        <w:rPr>
          <w:rFonts w:eastAsia="Calibri"/>
        </w:rPr>
      </w:pPr>
      <w:r w:rsidRPr="00AF327F">
        <w:rPr>
          <w:rFonts w:eastAsia="Calibri"/>
        </w:rPr>
        <w:t>En total, 960 empleados asistieron a las diferentes actividades programadas durante la semana, beneficiándose de servicios médicos, charlas sobre salud preventiva y jornadas específicas de detección temprana de cáncer de mama y de próstata. Esta destacada participación refleja el interés y la creciente conciencia del personal sobre la importancia de la prevención y el cuidado de la salud en el entorno laboral.</w:t>
      </w:r>
    </w:p>
    <w:p w14:paraId="6161BFB5" w14:textId="77777777" w:rsidR="0071189C" w:rsidRPr="00AF327F" w:rsidRDefault="0071189C" w:rsidP="00C934DB">
      <w:pPr>
        <w:spacing w:line="360" w:lineRule="auto"/>
        <w:jc w:val="both"/>
        <w:rPr>
          <w:rFonts w:eastAsia="Calibri"/>
        </w:rPr>
      </w:pPr>
      <w:r w:rsidRPr="00AF327F">
        <w:rPr>
          <w:rFonts w:eastAsia="Calibri"/>
        </w:rPr>
        <w:t xml:space="preserve">Asimismo, en este año, el consultorio médico ha asistido a un total de 667 colaboradores, la mayoría de dichas atenciones han sido por procesos gripales y cefaleas. </w:t>
      </w:r>
    </w:p>
    <w:p w14:paraId="05F7EC48" w14:textId="77777777" w:rsidR="0071189C" w:rsidRPr="00AF327F" w:rsidRDefault="0071189C" w:rsidP="0071189C">
      <w:pPr>
        <w:spacing w:line="360" w:lineRule="auto"/>
        <w:jc w:val="both"/>
        <w:rPr>
          <w:rFonts w:eastAsia="Calibri"/>
        </w:rPr>
      </w:pPr>
    </w:p>
    <w:p w14:paraId="3E47B4B1" w14:textId="5FEBD213" w:rsidR="0071189C" w:rsidRPr="00AF327F" w:rsidRDefault="0071189C">
      <w:pPr>
        <w:rPr>
          <w:rFonts w:eastAsia="Calibri"/>
          <w:b/>
          <w:bCs/>
        </w:rPr>
      </w:pPr>
      <w:r w:rsidRPr="00AF327F">
        <w:rPr>
          <w:rFonts w:eastAsia="Calibri"/>
          <w:b/>
          <w:bCs/>
        </w:rPr>
        <w:br w:type="page"/>
      </w:r>
    </w:p>
    <w:p w14:paraId="60582647" w14:textId="624EC025" w:rsidR="00C50202" w:rsidRPr="00AF327F" w:rsidRDefault="0071189C" w:rsidP="00C934DB">
      <w:pPr>
        <w:spacing w:line="360" w:lineRule="auto"/>
        <w:jc w:val="both"/>
        <w:rPr>
          <w:rFonts w:eastAsia="Calibri"/>
          <w:b/>
          <w:bCs/>
        </w:rPr>
      </w:pPr>
      <w:r w:rsidRPr="00AF327F">
        <w:rPr>
          <w:rFonts w:eastAsia="Calibri"/>
          <w:b/>
          <w:bCs/>
        </w:rPr>
        <w:lastRenderedPageBreak/>
        <w:t xml:space="preserve">e. </w:t>
      </w:r>
      <w:r w:rsidR="007E1337" w:rsidRPr="00AF327F">
        <w:rPr>
          <w:rFonts w:eastAsia="Calibri"/>
          <w:b/>
          <w:bCs/>
        </w:rPr>
        <w:t>Registro, control y nómina</w:t>
      </w:r>
    </w:p>
    <w:p w14:paraId="5D8AFEC0" w14:textId="0E8D6F2E" w:rsidR="007E247D" w:rsidRPr="00AF327F" w:rsidRDefault="0071189C" w:rsidP="00C934DB">
      <w:pPr>
        <w:spacing w:line="360" w:lineRule="auto"/>
        <w:jc w:val="both"/>
        <w:rPr>
          <w:rFonts w:eastAsia="Calibri"/>
        </w:rPr>
      </w:pPr>
      <w:r w:rsidRPr="00AF327F">
        <w:rPr>
          <w:rFonts w:eastAsia="Calibri"/>
        </w:rPr>
        <w:t xml:space="preserve">Al </w:t>
      </w:r>
      <w:r w:rsidR="00C50202" w:rsidRPr="00AF327F">
        <w:rPr>
          <w:rFonts w:eastAsia="Calibri"/>
        </w:rPr>
        <w:t xml:space="preserve">30 de </w:t>
      </w:r>
      <w:r w:rsidRPr="00AF327F">
        <w:rPr>
          <w:rFonts w:eastAsia="Calibri"/>
        </w:rPr>
        <w:t>noviembre</w:t>
      </w:r>
      <w:r w:rsidR="00C50202" w:rsidRPr="00AF327F">
        <w:rPr>
          <w:rFonts w:eastAsia="Calibri"/>
        </w:rPr>
        <w:t xml:space="preserve">, la institución cuenta con un total de </w:t>
      </w:r>
      <w:r w:rsidRPr="00AF327F">
        <w:rPr>
          <w:rFonts w:eastAsia="Calibri"/>
        </w:rPr>
        <w:t>1,9</w:t>
      </w:r>
      <w:r w:rsidR="00FD4D55">
        <w:rPr>
          <w:rFonts w:eastAsia="Calibri"/>
        </w:rPr>
        <w:t>25</w:t>
      </w:r>
      <w:r w:rsidR="00C50202" w:rsidRPr="00AF327F">
        <w:rPr>
          <w:rFonts w:eastAsia="Calibri"/>
        </w:rPr>
        <w:t xml:space="preserve"> colaboradores, con una proyección al cierre de diciembre de 1</w:t>
      </w:r>
      <w:r w:rsidRPr="00AF327F">
        <w:rPr>
          <w:rFonts w:eastAsia="Calibri"/>
        </w:rPr>
        <w:t>,9</w:t>
      </w:r>
      <w:r w:rsidR="00FD4D55">
        <w:rPr>
          <w:rFonts w:eastAsia="Calibri"/>
        </w:rPr>
        <w:t>30</w:t>
      </w:r>
      <w:r w:rsidR="00C50202" w:rsidRPr="00AF327F">
        <w:rPr>
          <w:rFonts w:eastAsia="Calibri"/>
        </w:rPr>
        <w:t>, distribuidos de la siguiente manera:</w:t>
      </w:r>
    </w:p>
    <w:p w14:paraId="004184A5" w14:textId="19EEAC31" w:rsidR="00EE20B4" w:rsidRPr="00AF327F" w:rsidRDefault="0071189C" w:rsidP="0071189C">
      <w:pPr>
        <w:spacing w:line="360" w:lineRule="auto"/>
        <w:jc w:val="center"/>
        <w:rPr>
          <w:rFonts w:eastAsia="Calibri"/>
          <w:sz w:val="18"/>
          <w:szCs w:val="18"/>
        </w:rPr>
      </w:pPr>
      <w:r w:rsidRPr="00AF327F">
        <w:rPr>
          <w:rFonts w:eastAsia="Calibri"/>
          <w:sz w:val="18"/>
          <w:szCs w:val="18"/>
        </w:rPr>
        <w:t>Tabla 1</w:t>
      </w:r>
      <w:r w:rsidR="006A4423" w:rsidRPr="00AF327F">
        <w:rPr>
          <w:rFonts w:eastAsia="Calibri"/>
          <w:sz w:val="18"/>
          <w:szCs w:val="18"/>
        </w:rPr>
        <w:t>7</w:t>
      </w:r>
      <w:r w:rsidRPr="00AF327F">
        <w:rPr>
          <w:rFonts w:eastAsia="Calibri"/>
          <w:sz w:val="18"/>
          <w:szCs w:val="18"/>
        </w:rPr>
        <w:t>. Distribución colaboradores por estatus</w:t>
      </w:r>
      <w:r w:rsidR="00F6615C">
        <w:rPr>
          <w:rFonts w:eastAsia="Calibri"/>
          <w:sz w:val="18"/>
          <w:szCs w:val="18"/>
        </w:rPr>
        <w:t xml:space="preserve"> 2025</w:t>
      </w:r>
    </w:p>
    <w:tbl>
      <w:tblPr>
        <w:tblW w:w="5360" w:type="dxa"/>
        <w:tblInd w:w="1275" w:type="dxa"/>
        <w:tblCellMar>
          <w:left w:w="70" w:type="dxa"/>
          <w:right w:w="70" w:type="dxa"/>
        </w:tblCellMar>
        <w:tblLook w:val="04A0" w:firstRow="1" w:lastRow="0" w:firstColumn="1" w:lastColumn="0" w:noHBand="0" w:noVBand="1"/>
      </w:tblPr>
      <w:tblGrid>
        <w:gridCol w:w="2620"/>
        <w:gridCol w:w="1400"/>
        <w:gridCol w:w="1340"/>
      </w:tblGrid>
      <w:tr w:rsidR="0071189C" w:rsidRPr="0071189C" w14:paraId="5347E084" w14:textId="77777777" w:rsidTr="00BA1804">
        <w:trPr>
          <w:trHeight w:val="624"/>
        </w:trPr>
        <w:tc>
          <w:tcPr>
            <w:tcW w:w="262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2F52EAF" w14:textId="77777777" w:rsidR="0071189C" w:rsidRPr="0071189C" w:rsidRDefault="0071189C" w:rsidP="0071189C">
            <w:pPr>
              <w:spacing w:after="0" w:line="240" w:lineRule="auto"/>
              <w:jc w:val="center"/>
              <w:rPr>
                <w:rFonts w:eastAsia="Times New Roman"/>
                <w:b/>
                <w:bCs/>
                <w:color w:val="FFFFFF"/>
                <w:spacing w:val="0"/>
                <w:lang w:eastAsia="es-DO"/>
              </w:rPr>
            </w:pPr>
            <w:r w:rsidRPr="0071189C">
              <w:rPr>
                <w:rFonts w:eastAsia="Times New Roman"/>
                <w:b/>
                <w:bCs/>
                <w:color w:val="FFFFFF"/>
                <w:spacing w:val="0"/>
                <w:lang w:eastAsia="es-DO"/>
              </w:rPr>
              <w:t>Clasificación</w:t>
            </w:r>
          </w:p>
        </w:tc>
        <w:tc>
          <w:tcPr>
            <w:tcW w:w="1400" w:type="dxa"/>
            <w:tcBorders>
              <w:top w:val="single" w:sz="4" w:space="0" w:color="auto"/>
              <w:left w:val="nil"/>
              <w:bottom w:val="single" w:sz="4" w:space="0" w:color="auto"/>
              <w:right w:val="single" w:sz="4" w:space="0" w:color="auto"/>
            </w:tcBorders>
            <w:shd w:val="clear" w:color="auto" w:fill="011C50"/>
            <w:vAlign w:val="center"/>
            <w:hideMark/>
          </w:tcPr>
          <w:p w14:paraId="730CEC2D" w14:textId="77777777" w:rsidR="0071189C" w:rsidRPr="0071189C" w:rsidRDefault="0071189C" w:rsidP="0071189C">
            <w:pPr>
              <w:spacing w:after="0" w:line="240" w:lineRule="auto"/>
              <w:jc w:val="center"/>
              <w:rPr>
                <w:rFonts w:eastAsia="Times New Roman"/>
                <w:b/>
                <w:bCs/>
                <w:color w:val="FFFFFF"/>
                <w:spacing w:val="0"/>
                <w:lang w:eastAsia="es-DO"/>
              </w:rPr>
            </w:pPr>
            <w:r w:rsidRPr="0071189C">
              <w:rPr>
                <w:rFonts w:eastAsia="Times New Roman"/>
                <w:b/>
                <w:bCs/>
                <w:color w:val="FFFFFF"/>
                <w:spacing w:val="0"/>
                <w:lang w:eastAsia="es-DO"/>
              </w:rPr>
              <w:t>Al 30 de Noviembre</w:t>
            </w:r>
          </w:p>
        </w:tc>
        <w:tc>
          <w:tcPr>
            <w:tcW w:w="1340" w:type="dxa"/>
            <w:tcBorders>
              <w:top w:val="single" w:sz="4" w:space="0" w:color="auto"/>
              <w:left w:val="nil"/>
              <w:bottom w:val="single" w:sz="4" w:space="0" w:color="auto"/>
              <w:right w:val="single" w:sz="4" w:space="0" w:color="auto"/>
            </w:tcBorders>
            <w:shd w:val="clear" w:color="auto" w:fill="011C50"/>
            <w:vAlign w:val="center"/>
            <w:hideMark/>
          </w:tcPr>
          <w:p w14:paraId="3D3335A9" w14:textId="77777777" w:rsidR="00FD4D55" w:rsidRDefault="00FD4D55" w:rsidP="00FD4D55">
            <w:pPr>
              <w:spacing w:after="0" w:line="240" w:lineRule="auto"/>
              <w:jc w:val="center"/>
              <w:rPr>
                <w:rFonts w:eastAsia="Times New Roman"/>
                <w:b/>
                <w:bCs/>
                <w:color w:val="FFFFFF"/>
                <w:spacing w:val="0"/>
                <w:lang w:eastAsia="es-DO"/>
              </w:rPr>
            </w:pPr>
            <w:r>
              <w:rPr>
                <w:rFonts w:eastAsia="Times New Roman"/>
                <w:b/>
                <w:bCs/>
                <w:color w:val="FFFFFF"/>
                <w:spacing w:val="0"/>
                <w:lang w:eastAsia="es-DO"/>
              </w:rPr>
              <w:t>Al 31</w:t>
            </w:r>
          </w:p>
          <w:p w14:paraId="51CD7D2C" w14:textId="709E732D" w:rsidR="0071189C" w:rsidRPr="0071189C" w:rsidRDefault="00FD4D55" w:rsidP="00FD4D55">
            <w:pPr>
              <w:spacing w:after="0" w:line="240" w:lineRule="auto"/>
              <w:jc w:val="center"/>
              <w:rPr>
                <w:rFonts w:eastAsia="Times New Roman"/>
                <w:b/>
                <w:bCs/>
                <w:color w:val="FFFFFF"/>
                <w:spacing w:val="0"/>
                <w:lang w:eastAsia="es-DO"/>
              </w:rPr>
            </w:pPr>
            <w:r>
              <w:rPr>
                <w:rFonts w:eastAsia="Times New Roman"/>
                <w:b/>
                <w:bCs/>
                <w:color w:val="FFFFFF"/>
                <w:spacing w:val="0"/>
                <w:lang w:eastAsia="es-DO"/>
              </w:rPr>
              <w:t>Diciembre</w:t>
            </w:r>
          </w:p>
        </w:tc>
      </w:tr>
      <w:tr w:rsidR="00FD4D55" w:rsidRPr="0071189C" w14:paraId="0AA8CA02" w14:textId="77777777" w:rsidTr="0071189C">
        <w:trPr>
          <w:trHeight w:val="312"/>
        </w:trPr>
        <w:tc>
          <w:tcPr>
            <w:tcW w:w="2620" w:type="dxa"/>
            <w:tcBorders>
              <w:top w:val="nil"/>
              <w:left w:val="single" w:sz="4" w:space="0" w:color="auto"/>
              <w:bottom w:val="single" w:sz="4" w:space="0" w:color="auto"/>
              <w:right w:val="single" w:sz="4" w:space="0" w:color="auto"/>
            </w:tcBorders>
            <w:vAlign w:val="center"/>
            <w:hideMark/>
          </w:tcPr>
          <w:p w14:paraId="077D1880" w14:textId="77777777" w:rsidR="00FD4D55" w:rsidRPr="00AF327F" w:rsidRDefault="00FD4D55" w:rsidP="00FD4D55">
            <w:pPr>
              <w:spacing w:after="0" w:line="240" w:lineRule="auto"/>
              <w:rPr>
                <w:rFonts w:eastAsia="Times New Roman"/>
                <w:spacing w:val="0"/>
                <w:lang w:eastAsia="es-DO"/>
              </w:rPr>
            </w:pPr>
            <w:r w:rsidRPr="00AF327F">
              <w:rPr>
                <w:rFonts w:eastAsia="Times New Roman"/>
                <w:spacing w:val="0"/>
                <w:lang w:eastAsia="es-DO"/>
              </w:rPr>
              <w:t>De carrera</w:t>
            </w:r>
          </w:p>
        </w:tc>
        <w:tc>
          <w:tcPr>
            <w:tcW w:w="1400" w:type="dxa"/>
            <w:tcBorders>
              <w:top w:val="nil"/>
              <w:left w:val="nil"/>
              <w:bottom w:val="single" w:sz="4" w:space="0" w:color="auto"/>
              <w:right w:val="single" w:sz="4" w:space="0" w:color="auto"/>
            </w:tcBorders>
            <w:vAlign w:val="center"/>
            <w:hideMark/>
          </w:tcPr>
          <w:p w14:paraId="6521933B" w14:textId="2861B204" w:rsidR="00FD4D55" w:rsidRPr="00AF327F" w:rsidRDefault="00FD4D55" w:rsidP="00FD4D55">
            <w:pPr>
              <w:spacing w:after="0" w:line="240" w:lineRule="auto"/>
              <w:jc w:val="center"/>
              <w:rPr>
                <w:rFonts w:eastAsia="Times New Roman"/>
                <w:spacing w:val="0"/>
                <w:lang w:eastAsia="es-DO"/>
              </w:rPr>
            </w:pPr>
            <w:r w:rsidRPr="00597EDC">
              <w:rPr>
                <w:rFonts w:eastAsia="Times New Roman"/>
                <w:spacing w:val="0"/>
                <w:lang w:eastAsia="es-DO"/>
              </w:rPr>
              <w:t>568</w:t>
            </w:r>
          </w:p>
        </w:tc>
        <w:tc>
          <w:tcPr>
            <w:tcW w:w="1340" w:type="dxa"/>
            <w:tcBorders>
              <w:top w:val="nil"/>
              <w:left w:val="nil"/>
              <w:bottom w:val="single" w:sz="4" w:space="0" w:color="auto"/>
              <w:right w:val="single" w:sz="4" w:space="0" w:color="auto"/>
            </w:tcBorders>
            <w:noWrap/>
            <w:vAlign w:val="center"/>
            <w:hideMark/>
          </w:tcPr>
          <w:p w14:paraId="541A2921" w14:textId="2C267974" w:rsidR="00FD4D55" w:rsidRPr="00AF327F" w:rsidRDefault="00FD4D55" w:rsidP="00FD4D55">
            <w:pPr>
              <w:spacing w:after="0" w:line="240" w:lineRule="auto"/>
              <w:jc w:val="center"/>
              <w:rPr>
                <w:rFonts w:eastAsia="Times New Roman"/>
                <w:spacing w:val="0"/>
                <w:lang w:eastAsia="es-DO"/>
              </w:rPr>
            </w:pPr>
            <w:r>
              <w:rPr>
                <w:rFonts w:eastAsia="Times New Roman"/>
                <w:spacing w:val="0"/>
                <w:lang w:eastAsia="es-DO"/>
              </w:rPr>
              <w:t>567</w:t>
            </w:r>
          </w:p>
        </w:tc>
      </w:tr>
      <w:tr w:rsidR="00FD4D55" w:rsidRPr="0071189C" w14:paraId="4ACCA3C2" w14:textId="77777777" w:rsidTr="0071189C">
        <w:trPr>
          <w:trHeight w:val="312"/>
        </w:trPr>
        <w:tc>
          <w:tcPr>
            <w:tcW w:w="2620" w:type="dxa"/>
            <w:tcBorders>
              <w:top w:val="nil"/>
              <w:left w:val="single" w:sz="4" w:space="0" w:color="auto"/>
              <w:bottom w:val="single" w:sz="4" w:space="0" w:color="auto"/>
              <w:right w:val="single" w:sz="4" w:space="0" w:color="auto"/>
            </w:tcBorders>
            <w:vAlign w:val="center"/>
            <w:hideMark/>
          </w:tcPr>
          <w:p w14:paraId="085A5B3D" w14:textId="77777777" w:rsidR="00FD4D55" w:rsidRPr="00AF327F" w:rsidRDefault="00FD4D55" w:rsidP="00FD4D55">
            <w:pPr>
              <w:spacing w:after="0" w:line="240" w:lineRule="auto"/>
              <w:rPr>
                <w:rFonts w:eastAsia="Times New Roman"/>
                <w:spacing w:val="0"/>
                <w:lang w:eastAsia="es-DO"/>
              </w:rPr>
            </w:pPr>
            <w:r w:rsidRPr="00AF327F">
              <w:rPr>
                <w:rFonts w:eastAsia="Times New Roman"/>
                <w:spacing w:val="0"/>
                <w:lang w:eastAsia="es-DO"/>
              </w:rPr>
              <w:t>De libre nombramiento</w:t>
            </w:r>
          </w:p>
        </w:tc>
        <w:tc>
          <w:tcPr>
            <w:tcW w:w="1400" w:type="dxa"/>
            <w:tcBorders>
              <w:top w:val="nil"/>
              <w:left w:val="nil"/>
              <w:bottom w:val="single" w:sz="4" w:space="0" w:color="auto"/>
              <w:right w:val="single" w:sz="4" w:space="0" w:color="auto"/>
            </w:tcBorders>
            <w:vAlign w:val="center"/>
            <w:hideMark/>
          </w:tcPr>
          <w:p w14:paraId="0D6AE298" w14:textId="1054019F" w:rsidR="00FD4D55" w:rsidRPr="00AF327F" w:rsidRDefault="00FD4D55" w:rsidP="00FD4D55">
            <w:pPr>
              <w:spacing w:after="0" w:line="240" w:lineRule="auto"/>
              <w:jc w:val="center"/>
              <w:rPr>
                <w:rFonts w:eastAsia="Times New Roman"/>
                <w:spacing w:val="0"/>
                <w:lang w:eastAsia="es-DO"/>
              </w:rPr>
            </w:pPr>
            <w:r w:rsidRPr="00597EDC">
              <w:rPr>
                <w:rFonts w:eastAsia="Times New Roman"/>
                <w:spacing w:val="0"/>
                <w:lang w:eastAsia="es-DO"/>
              </w:rPr>
              <w:t>3</w:t>
            </w:r>
          </w:p>
        </w:tc>
        <w:tc>
          <w:tcPr>
            <w:tcW w:w="1340" w:type="dxa"/>
            <w:tcBorders>
              <w:top w:val="nil"/>
              <w:left w:val="nil"/>
              <w:bottom w:val="single" w:sz="4" w:space="0" w:color="auto"/>
              <w:right w:val="single" w:sz="4" w:space="0" w:color="auto"/>
            </w:tcBorders>
            <w:noWrap/>
            <w:vAlign w:val="center"/>
            <w:hideMark/>
          </w:tcPr>
          <w:p w14:paraId="588393DE" w14:textId="48F2F072" w:rsidR="00FD4D55" w:rsidRPr="00AF327F" w:rsidRDefault="00FD4D55" w:rsidP="00FD4D55">
            <w:pPr>
              <w:spacing w:after="0" w:line="240" w:lineRule="auto"/>
              <w:jc w:val="center"/>
              <w:rPr>
                <w:rFonts w:eastAsia="Times New Roman"/>
                <w:spacing w:val="0"/>
                <w:lang w:eastAsia="es-DO"/>
              </w:rPr>
            </w:pPr>
            <w:r>
              <w:rPr>
                <w:rFonts w:eastAsia="Times New Roman"/>
                <w:spacing w:val="0"/>
                <w:lang w:eastAsia="es-DO"/>
              </w:rPr>
              <w:t>4</w:t>
            </w:r>
          </w:p>
        </w:tc>
      </w:tr>
      <w:tr w:rsidR="00FD4D55" w:rsidRPr="0071189C" w14:paraId="16F675D3" w14:textId="77777777" w:rsidTr="0071189C">
        <w:trPr>
          <w:trHeight w:val="312"/>
        </w:trPr>
        <w:tc>
          <w:tcPr>
            <w:tcW w:w="2620" w:type="dxa"/>
            <w:tcBorders>
              <w:top w:val="nil"/>
              <w:left w:val="single" w:sz="4" w:space="0" w:color="auto"/>
              <w:bottom w:val="single" w:sz="4" w:space="0" w:color="auto"/>
              <w:right w:val="single" w:sz="4" w:space="0" w:color="auto"/>
            </w:tcBorders>
            <w:vAlign w:val="center"/>
            <w:hideMark/>
          </w:tcPr>
          <w:p w14:paraId="27B329D6" w14:textId="77777777" w:rsidR="00FD4D55" w:rsidRPr="00AF327F" w:rsidRDefault="00FD4D55" w:rsidP="00FD4D55">
            <w:pPr>
              <w:spacing w:after="0" w:line="240" w:lineRule="auto"/>
              <w:rPr>
                <w:rFonts w:eastAsia="Times New Roman"/>
                <w:spacing w:val="0"/>
                <w:lang w:eastAsia="es-DO"/>
              </w:rPr>
            </w:pPr>
            <w:r w:rsidRPr="00AF327F">
              <w:rPr>
                <w:rFonts w:eastAsia="Times New Roman"/>
                <w:spacing w:val="0"/>
                <w:lang w:eastAsia="es-DO"/>
              </w:rPr>
              <w:t>Designados</w:t>
            </w:r>
          </w:p>
        </w:tc>
        <w:tc>
          <w:tcPr>
            <w:tcW w:w="1400" w:type="dxa"/>
            <w:tcBorders>
              <w:top w:val="nil"/>
              <w:left w:val="nil"/>
              <w:bottom w:val="single" w:sz="4" w:space="0" w:color="auto"/>
              <w:right w:val="single" w:sz="4" w:space="0" w:color="auto"/>
            </w:tcBorders>
            <w:vAlign w:val="center"/>
            <w:hideMark/>
          </w:tcPr>
          <w:p w14:paraId="1F58C0D9" w14:textId="7958E6DB" w:rsidR="00FD4D55" w:rsidRPr="00AF327F" w:rsidRDefault="00FD4D55" w:rsidP="00FD4D55">
            <w:pPr>
              <w:spacing w:after="0" w:line="240" w:lineRule="auto"/>
              <w:jc w:val="center"/>
              <w:rPr>
                <w:rFonts w:eastAsia="Times New Roman"/>
                <w:spacing w:val="0"/>
                <w:lang w:eastAsia="es-DO"/>
              </w:rPr>
            </w:pPr>
            <w:r w:rsidRPr="00597EDC">
              <w:rPr>
                <w:rFonts w:eastAsia="Times New Roman"/>
                <w:spacing w:val="0"/>
                <w:lang w:eastAsia="es-DO"/>
              </w:rPr>
              <w:t>92</w:t>
            </w:r>
          </w:p>
        </w:tc>
        <w:tc>
          <w:tcPr>
            <w:tcW w:w="1340" w:type="dxa"/>
            <w:tcBorders>
              <w:top w:val="nil"/>
              <w:left w:val="nil"/>
              <w:bottom w:val="single" w:sz="4" w:space="0" w:color="auto"/>
              <w:right w:val="single" w:sz="4" w:space="0" w:color="auto"/>
            </w:tcBorders>
            <w:noWrap/>
            <w:vAlign w:val="center"/>
            <w:hideMark/>
          </w:tcPr>
          <w:p w14:paraId="2AEB10F6" w14:textId="160EACEE" w:rsidR="00FD4D55" w:rsidRPr="00AF327F" w:rsidRDefault="00FD4D55" w:rsidP="00FD4D55">
            <w:pPr>
              <w:spacing w:after="0" w:line="240" w:lineRule="auto"/>
              <w:jc w:val="center"/>
              <w:rPr>
                <w:rFonts w:eastAsia="Times New Roman"/>
                <w:spacing w:val="0"/>
                <w:lang w:eastAsia="es-DO"/>
              </w:rPr>
            </w:pPr>
            <w:r w:rsidRPr="00597EDC">
              <w:rPr>
                <w:rFonts w:eastAsia="Times New Roman"/>
                <w:spacing w:val="0"/>
                <w:lang w:eastAsia="es-DO"/>
              </w:rPr>
              <w:t>92</w:t>
            </w:r>
          </w:p>
        </w:tc>
      </w:tr>
      <w:tr w:rsidR="00FD4D55" w:rsidRPr="0071189C" w14:paraId="075BD65D" w14:textId="77777777" w:rsidTr="0071189C">
        <w:trPr>
          <w:trHeight w:val="312"/>
        </w:trPr>
        <w:tc>
          <w:tcPr>
            <w:tcW w:w="2620" w:type="dxa"/>
            <w:tcBorders>
              <w:top w:val="nil"/>
              <w:left w:val="single" w:sz="4" w:space="0" w:color="auto"/>
              <w:bottom w:val="single" w:sz="4" w:space="0" w:color="auto"/>
              <w:right w:val="single" w:sz="4" w:space="0" w:color="auto"/>
            </w:tcBorders>
            <w:vAlign w:val="center"/>
            <w:hideMark/>
          </w:tcPr>
          <w:p w14:paraId="0812EBEF" w14:textId="77777777" w:rsidR="00FD4D55" w:rsidRPr="00AF327F" w:rsidRDefault="00FD4D55" w:rsidP="00FD4D55">
            <w:pPr>
              <w:spacing w:after="0" w:line="240" w:lineRule="auto"/>
              <w:rPr>
                <w:rFonts w:eastAsia="Times New Roman"/>
                <w:spacing w:val="0"/>
                <w:lang w:eastAsia="es-DO"/>
              </w:rPr>
            </w:pPr>
            <w:r w:rsidRPr="00AF327F">
              <w:rPr>
                <w:rFonts w:eastAsia="Times New Roman"/>
                <w:spacing w:val="0"/>
                <w:lang w:eastAsia="es-DO"/>
              </w:rPr>
              <w:t>Estatuto simplificado</w:t>
            </w:r>
          </w:p>
        </w:tc>
        <w:tc>
          <w:tcPr>
            <w:tcW w:w="1400" w:type="dxa"/>
            <w:tcBorders>
              <w:top w:val="nil"/>
              <w:left w:val="nil"/>
              <w:bottom w:val="single" w:sz="4" w:space="0" w:color="auto"/>
              <w:right w:val="single" w:sz="4" w:space="0" w:color="auto"/>
            </w:tcBorders>
            <w:vAlign w:val="center"/>
            <w:hideMark/>
          </w:tcPr>
          <w:p w14:paraId="58F1DFDA" w14:textId="47A9A488" w:rsidR="00FD4D55" w:rsidRPr="00AF327F" w:rsidRDefault="00FD4D55" w:rsidP="00FD4D55">
            <w:pPr>
              <w:spacing w:after="0" w:line="240" w:lineRule="auto"/>
              <w:jc w:val="center"/>
              <w:rPr>
                <w:rFonts w:eastAsia="Times New Roman"/>
                <w:spacing w:val="0"/>
                <w:lang w:eastAsia="es-DO"/>
              </w:rPr>
            </w:pPr>
            <w:r w:rsidRPr="00597EDC">
              <w:rPr>
                <w:rFonts w:eastAsia="Times New Roman"/>
                <w:spacing w:val="0"/>
                <w:lang w:eastAsia="es-DO"/>
              </w:rPr>
              <w:t>397</w:t>
            </w:r>
          </w:p>
        </w:tc>
        <w:tc>
          <w:tcPr>
            <w:tcW w:w="1340" w:type="dxa"/>
            <w:tcBorders>
              <w:top w:val="nil"/>
              <w:left w:val="nil"/>
              <w:bottom w:val="single" w:sz="4" w:space="0" w:color="auto"/>
              <w:right w:val="single" w:sz="4" w:space="0" w:color="auto"/>
            </w:tcBorders>
            <w:noWrap/>
            <w:vAlign w:val="center"/>
            <w:hideMark/>
          </w:tcPr>
          <w:p w14:paraId="52259898" w14:textId="24BE161A" w:rsidR="00FD4D55" w:rsidRPr="00AF327F" w:rsidRDefault="00FD4D55" w:rsidP="00FD4D55">
            <w:pPr>
              <w:spacing w:after="0" w:line="240" w:lineRule="auto"/>
              <w:jc w:val="center"/>
              <w:rPr>
                <w:rFonts w:eastAsia="Times New Roman"/>
                <w:spacing w:val="0"/>
                <w:lang w:eastAsia="es-DO"/>
              </w:rPr>
            </w:pPr>
            <w:r w:rsidRPr="00597EDC">
              <w:rPr>
                <w:rFonts w:eastAsia="Times New Roman"/>
                <w:spacing w:val="0"/>
                <w:lang w:eastAsia="es-DO"/>
              </w:rPr>
              <w:t>3</w:t>
            </w:r>
            <w:r>
              <w:rPr>
                <w:rFonts w:eastAsia="Times New Roman"/>
                <w:spacing w:val="0"/>
                <w:lang w:eastAsia="es-DO"/>
              </w:rPr>
              <w:t>98</w:t>
            </w:r>
          </w:p>
        </w:tc>
      </w:tr>
      <w:tr w:rsidR="00FD4D55" w:rsidRPr="0071189C" w14:paraId="396743A9" w14:textId="77777777" w:rsidTr="0071189C">
        <w:trPr>
          <w:trHeight w:val="312"/>
        </w:trPr>
        <w:tc>
          <w:tcPr>
            <w:tcW w:w="2620" w:type="dxa"/>
            <w:tcBorders>
              <w:top w:val="nil"/>
              <w:left w:val="single" w:sz="4" w:space="0" w:color="auto"/>
              <w:bottom w:val="single" w:sz="4" w:space="0" w:color="auto"/>
              <w:right w:val="single" w:sz="4" w:space="0" w:color="auto"/>
            </w:tcBorders>
            <w:vAlign w:val="center"/>
            <w:hideMark/>
          </w:tcPr>
          <w:p w14:paraId="693B6AC6" w14:textId="77777777" w:rsidR="00FD4D55" w:rsidRPr="00AF327F" w:rsidRDefault="00FD4D55" w:rsidP="00FD4D55">
            <w:pPr>
              <w:spacing w:after="0" w:line="240" w:lineRule="auto"/>
              <w:rPr>
                <w:rFonts w:eastAsia="Times New Roman"/>
                <w:spacing w:val="0"/>
                <w:lang w:eastAsia="es-DO"/>
              </w:rPr>
            </w:pPr>
            <w:r w:rsidRPr="00AF327F">
              <w:rPr>
                <w:rFonts w:eastAsia="Times New Roman"/>
                <w:spacing w:val="0"/>
                <w:lang w:eastAsia="es-DO"/>
              </w:rPr>
              <w:t>Temporales</w:t>
            </w:r>
          </w:p>
        </w:tc>
        <w:tc>
          <w:tcPr>
            <w:tcW w:w="1400" w:type="dxa"/>
            <w:tcBorders>
              <w:top w:val="nil"/>
              <w:left w:val="nil"/>
              <w:bottom w:val="single" w:sz="4" w:space="0" w:color="auto"/>
              <w:right w:val="single" w:sz="4" w:space="0" w:color="auto"/>
            </w:tcBorders>
            <w:vAlign w:val="center"/>
            <w:hideMark/>
          </w:tcPr>
          <w:p w14:paraId="277C2897" w14:textId="45DF76A6" w:rsidR="00FD4D55" w:rsidRPr="00AF327F" w:rsidRDefault="00FD4D55" w:rsidP="00FD4D55">
            <w:pPr>
              <w:spacing w:after="0" w:line="240" w:lineRule="auto"/>
              <w:jc w:val="center"/>
              <w:rPr>
                <w:rFonts w:eastAsia="Times New Roman"/>
                <w:spacing w:val="0"/>
                <w:lang w:eastAsia="es-DO"/>
              </w:rPr>
            </w:pPr>
            <w:r w:rsidRPr="00597EDC">
              <w:rPr>
                <w:rFonts w:eastAsia="Times New Roman"/>
                <w:spacing w:val="0"/>
                <w:lang w:eastAsia="es-DO"/>
              </w:rPr>
              <w:t>854</w:t>
            </w:r>
          </w:p>
        </w:tc>
        <w:tc>
          <w:tcPr>
            <w:tcW w:w="1340" w:type="dxa"/>
            <w:tcBorders>
              <w:top w:val="nil"/>
              <w:left w:val="nil"/>
              <w:bottom w:val="single" w:sz="4" w:space="0" w:color="auto"/>
              <w:right w:val="single" w:sz="4" w:space="0" w:color="auto"/>
            </w:tcBorders>
            <w:noWrap/>
            <w:vAlign w:val="center"/>
            <w:hideMark/>
          </w:tcPr>
          <w:p w14:paraId="612DE998" w14:textId="0363C975" w:rsidR="00FD4D55" w:rsidRPr="00AF327F" w:rsidRDefault="00FD4D55" w:rsidP="00FD4D55">
            <w:pPr>
              <w:spacing w:after="0" w:line="240" w:lineRule="auto"/>
              <w:jc w:val="center"/>
              <w:rPr>
                <w:rFonts w:eastAsia="Times New Roman"/>
                <w:spacing w:val="0"/>
                <w:lang w:eastAsia="es-DO"/>
              </w:rPr>
            </w:pPr>
            <w:r>
              <w:rPr>
                <w:rFonts w:eastAsia="Times New Roman"/>
                <w:spacing w:val="0"/>
                <w:lang w:eastAsia="es-DO"/>
              </w:rPr>
              <w:t>858</w:t>
            </w:r>
          </w:p>
        </w:tc>
      </w:tr>
      <w:tr w:rsidR="00FD4D55" w:rsidRPr="0071189C" w14:paraId="68199E22" w14:textId="77777777" w:rsidTr="0071189C">
        <w:trPr>
          <w:trHeight w:val="312"/>
        </w:trPr>
        <w:tc>
          <w:tcPr>
            <w:tcW w:w="2620" w:type="dxa"/>
            <w:tcBorders>
              <w:top w:val="nil"/>
              <w:left w:val="single" w:sz="4" w:space="0" w:color="auto"/>
              <w:bottom w:val="single" w:sz="4" w:space="0" w:color="auto"/>
              <w:right w:val="single" w:sz="4" w:space="0" w:color="auto"/>
            </w:tcBorders>
            <w:vAlign w:val="center"/>
            <w:hideMark/>
          </w:tcPr>
          <w:p w14:paraId="499B8342" w14:textId="77777777" w:rsidR="00FD4D55" w:rsidRPr="00AF327F" w:rsidRDefault="00FD4D55" w:rsidP="00FD4D55">
            <w:pPr>
              <w:spacing w:after="0" w:line="240" w:lineRule="auto"/>
              <w:rPr>
                <w:rFonts w:eastAsia="Times New Roman"/>
                <w:spacing w:val="0"/>
                <w:lang w:eastAsia="es-DO"/>
              </w:rPr>
            </w:pPr>
            <w:r w:rsidRPr="00AF327F">
              <w:rPr>
                <w:rFonts w:eastAsia="Times New Roman"/>
                <w:spacing w:val="0"/>
                <w:lang w:eastAsia="es-DO"/>
              </w:rPr>
              <w:t>Período probatorio</w:t>
            </w:r>
          </w:p>
        </w:tc>
        <w:tc>
          <w:tcPr>
            <w:tcW w:w="1400" w:type="dxa"/>
            <w:tcBorders>
              <w:top w:val="nil"/>
              <w:left w:val="nil"/>
              <w:bottom w:val="single" w:sz="4" w:space="0" w:color="auto"/>
              <w:right w:val="single" w:sz="4" w:space="0" w:color="auto"/>
            </w:tcBorders>
            <w:vAlign w:val="center"/>
            <w:hideMark/>
          </w:tcPr>
          <w:p w14:paraId="6E076526" w14:textId="73C3604A" w:rsidR="00FD4D55" w:rsidRPr="00AF327F" w:rsidRDefault="00FD4D55" w:rsidP="00FD4D55">
            <w:pPr>
              <w:spacing w:after="0" w:line="240" w:lineRule="auto"/>
              <w:jc w:val="center"/>
              <w:rPr>
                <w:rFonts w:eastAsia="Times New Roman"/>
                <w:spacing w:val="0"/>
                <w:lang w:eastAsia="es-DO"/>
              </w:rPr>
            </w:pPr>
            <w:r w:rsidRPr="00597EDC">
              <w:rPr>
                <w:rFonts w:eastAsia="Times New Roman"/>
                <w:spacing w:val="0"/>
                <w:lang w:eastAsia="es-DO"/>
              </w:rPr>
              <w:t>1</w:t>
            </w:r>
          </w:p>
        </w:tc>
        <w:tc>
          <w:tcPr>
            <w:tcW w:w="1340" w:type="dxa"/>
            <w:tcBorders>
              <w:top w:val="nil"/>
              <w:left w:val="nil"/>
              <w:bottom w:val="single" w:sz="4" w:space="0" w:color="auto"/>
              <w:right w:val="single" w:sz="4" w:space="0" w:color="auto"/>
            </w:tcBorders>
            <w:noWrap/>
            <w:vAlign w:val="center"/>
            <w:hideMark/>
          </w:tcPr>
          <w:p w14:paraId="2CC04B68" w14:textId="3E65A694" w:rsidR="00FD4D55" w:rsidRPr="00AF327F" w:rsidRDefault="00FD4D55" w:rsidP="00FD4D55">
            <w:pPr>
              <w:spacing w:after="0" w:line="240" w:lineRule="auto"/>
              <w:jc w:val="center"/>
              <w:rPr>
                <w:rFonts w:eastAsia="Times New Roman"/>
                <w:spacing w:val="0"/>
                <w:lang w:eastAsia="es-DO"/>
              </w:rPr>
            </w:pPr>
            <w:r w:rsidRPr="00597EDC">
              <w:rPr>
                <w:rFonts w:eastAsia="Times New Roman"/>
                <w:spacing w:val="0"/>
                <w:lang w:eastAsia="es-DO"/>
              </w:rPr>
              <w:t>1</w:t>
            </w:r>
          </w:p>
        </w:tc>
      </w:tr>
      <w:tr w:rsidR="00FD4D55" w:rsidRPr="0071189C" w14:paraId="4BB4C254" w14:textId="77777777" w:rsidTr="0071189C">
        <w:trPr>
          <w:trHeight w:val="312"/>
        </w:trPr>
        <w:tc>
          <w:tcPr>
            <w:tcW w:w="2620" w:type="dxa"/>
            <w:tcBorders>
              <w:top w:val="nil"/>
              <w:left w:val="single" w:sz="4" w:space="0" w:color="auto"/>
              <w:bottom w:val="single" w:sz="4" w:space="0" w:color="auto"/>
              <w:right w:val="single" w:sz="4" w:space="0" w:color="auto"/>
            </w:tcBorders>
            <w:vAlign w:val="center"/>
            <w:hideMark/>
          </w:tcPr>
          <w:p w14:paraId="39D477E3" w14:textId="77777777" w:rsidR="00FD4D55" w:rsidRPr="00AF327F" w:rsidRDefault="00FD4D55" w:rsidP="00FD4D55">
            <w:pPr>
              <w:spacing w:after="0" w:line="240" w:lineRule="auto"/>
              <w:rPr>
                <w:rFonts w:eastAsia="Times New Roman"/>
                <w:spacing w:val="0"/>
                <w:lang w:eastAsia="es-DO"/>
              </w:rPr>
            </w:pPr>
            <w:r w:rsidRPr="00AF327F">
              <w:rPr>
                <w:rFonts w:eastAsia="Times New Roman"/>
                <w:spacing w:val="0"/>
                <w:lang w:eastAsia="es-DO"/>
              </w:rPr>
              <w:t>En trámite de pensión</w:t>
            </w:r>
          </w:p>
        </w:tc>
        <w:tc>
          <w:tcPr>
            <w:tcW w:w="1400" w:type="dxa"/>
            <w:tcBorders>
              <w:top w:val="nil"/>
              <w:left w:val="nil"/>
              <w:bottom w:val="single" w:sz="4" w:space="0" w:color="auto"/>
              <w:right w:val="single" w:sz="4" w:space="0" w:color="auto"/>
            </w:tcBorders>
            <w:noWrap/>
            <w:vAlign w:val="center"/>
            <w:hideMark/>
          </w:tcPr>
          <w:p w14:paraId="27080AC5" w14:textId="46BD8D1E" w:rsidR="00FD4D55" w:rsidRPr="00AF327F" w:rsidRDefault="00FD4D55" w:rsidP="00FD4D55">
            <w:pPr>
              <w:spacing w:after="0" w:line="240" w:lineRule="auto"/>
              <w:jc w:val="center"/>
              <w:rPr>
                <w:rFonts w:eastAsia="Times New Roman"/>
                <w:spacing w:val="0"/>
                <w:lang w:eastAsia="es-DO"/>
              </w:rPr>
            </w:pPr>
            <w:r w:rsidRPr="00597EDC">
              <w:rPr>
                <w:rFonts w:eastAsia="Times New Roman"/>
                <w:spacing w:val="0"/>
                <w:lang w:eastAsia="es-DO"/>
              </w:rPr>
              <w:t>10</w:t>
            </w:r>
          </w:p>
        </w:tc>
        <w:tc>
          <w:tcPr>
            <w:tcW w:w="1340" w:type="dxa"/>
            <w:tcBorders>
              <w:top w:val="nil"/>
              <w:left w:val="nil"/>
              <w:bottom w:val="single" w:sz="4" w:space="0" w:color="auto"/>
              <w:right w:val="single" w:sz="4" w:space="0" w:color="auto"/>
            </w:tcBorders>
            <w:noWrap/>
            <w:vAlign w:val="center"/>
            <w:hideMark/>
          </w:tcPr>
          <w:p w14:paraId="7A91F018" w14:textId="0DEBA57C" w:rsidR="00FD4D55" w:rsidRPr="00AF327F" w:rsidRDefault="00FD4D55" w:rsidP="00FD4D55">
            <w:pPr>
              <w:spacing w:after="0" w:line="240" w:lineRule="auto"/>
              <w:jc w:val="center"/>
              <w:rPr>
                <w:rFonts w:eastAsia="Times New Roman"/>
                <w:spacing w:val="0"/>
                <w:lang w:eastAsia="es-DO"/>
              </w:rPr>
            </w:pPr>
            <w:r w:rsidRPr="00597EDC">
              <w:rPr>
                <w:rFonts w:eastAsia="Times New Roman"/>
                <w:spacing w:val="0"/>
                <w:lang w:eastAsia="es-DO"/>
              </w:rPr>
              <w:t>10</w:t>
            </w:r>
          </w:p>
        </w:tc>
      </w:tr>
      <w:tr w:rsidR="00FD4D55" w:rsidRPr="0071189C" w14:paraId="1B4B52D8" w14:textId="77777777" w:rsidTr="0071189C">
        <w:trPr>
          <w:trHeight w:val="312"/>
        </w:trPr>
        <w:tc>
          <w:tcPr>
            <w:tcW w:w="2620" w:type="dxa"/>
            <w:tcBorders>
              <w:top w:val="nil"/>
              <w:left w:val="single" w:sz="4" w:space="0" w:color="auto"/>
              <w:bottom w:val="single" w:sz="4" w:space="0" w:color="auto"/>
              <w:right w:val="single" w:sz="4" w:space="0" w:color="auto"/>
            </w:tcBorders>
            <w:shd w:val="clear" w:color="000000" w:fill="011C50"/>
            <w:noWrap/>
            <w:vAlign w:val="center"/>
            <w:hideMark/>
          </w:tcPr>
          <w:p w14:paraId="708FE2DC" w14:textId="77777777" w:rsidR="00FD4D55" w:rsidRPr="0071189C" w:rsidRDefault="00FD4D55" w:rsidP="00FD4D55">
            <w:pPr>
              <w:spacing w:after="0" w:line="240" w:lineRule="auto"/>
              <w:jc w:val="center"/>
              <w:rPr>
                <w:rFonts w:eastAsia="Times New Roman"/>
                <w:b/>
                <w:bCs/>
                <w:color w:val="FFFFFF"/>
                <w:spacing w:val="0"/>
                <w:lang w:eastAsia="es-DO"/>
              </w:rPr>
            </w:pPr>
            <w:r w:rsidRPr="0071189C">
              <w:rPr>
                <w:rFonts w:eastAsia="Times New Roman"/>
                <w:b/>
                <w:bCs/>
                <w:color w:val="FFFFFF"/>
                <w:spacing w:val="0"/>
                <w:lang w:eastAsia="es-DO"/>
              </w:rPr>
              <w:t>Total</w:t>
            </w:r>
          </w:p>
        </w:tc>
        <w:tc>
          <w:tcPr>
            <w:tcW w:w="1400" w:type="dxa"/>
            <w:tcBorders>
              <w:top w:val="nil"/>
              <w:left w:val="nil"/>
              <w:bottom w:val="single" w:sz="4" w:space="0" w:color="auto"/>
              <w:right w:val="single" w:sz="4" w:space="0" w:color="auto"/>
            </w:tcBorders>
            <w:shd w:val="clear" w:color="000000" w:fill="011C50"/>
            <w:noWrap/>
            <w:vAlign w:val="center"/>
            <w:hideMark/>
          </w:tcPr>
          <w:p w14:paraId="5AFF03A9" w14:textId="33B1E2FA" w:rsidR="00FD4D55" w:rsidRPr="0071189C" w:rsidRDefault="00FD4D55" w:rsidP="00FD4D55">
            <w:pPr>
              <w:spacing w:after="0" w:line="240" w:lineRule="auto"/>
              <w:jc w:val="center"/>
              <w:rPr>
                <w:rFonts w:eastAsia="Times New Roman"/>
                <w:b/>
                <w:bCs/>
                <w:color w:val="FFFFFF"/>
                <w:spacing w:val="0"/>
                <w:lang w:eastAsia="es-DO"/>
              </w:rPr>
            </w:pPr>
            <w:r w:rsidRPr="00597EDC">
              <w:rPr>
                <w:rFonts w:eastAsia="Times New Roman"/>
                <w:b/>
                <w:bCs/>
                <w:color w:val="FFFFFF"/>
                <w:spacing w:val="0"/>
                <w:lang w:eastAsia="es-DO"/>
              </w:rPr>
              <w:t>1,925</w:t>
            </w:r>
          </w:p>
        </w:tc>
        <w:tc>
          <w:tcPr>
            <w:tcW w:w="1340" w:type="dxa"/>
            <w:tcBorders>
              <w:top w:val="nil"/>
              <w:left w:val="nil"/>
              <w:bottom w:val="single" w:sz="4" w:space="0" w:color="auto"/>
              <w:right w:val="single" w:sz="4" w:space="0" w:color="auto"/>
            </w:tcBorders>
            <w:shd w:val="clear" w:color="000000" w:fill="011C50"/>
            <w:noWrap/>
            <w:vAlign w:val="center"/>
            <w:hideMark/>
          </w:tcPr>
          <w:p w14:paraId="043C6069" w14:textId="1A9F2B64" w:rsidR="00FD4D55" w:rsidRPr="0071189C" w:rsidRDefault="00FD4D55" w:rsidP="00FD4D55">
            <w:pPr>
              <w:spacing w:after="0" w:line="240" w:lineRule="auto"/>
              <w:jc w:val="center"/>
              <w:rPr>
                <w:rFonts w:eastAsia="Times New Roman"/>
                <w:b/>
                <w:bCs/>
                <w:color w:val="FFFFFF"/>
                <w:spacing w:val="0"/>
                <w:lang w:eastAsia="es-DO"/>
              </w:rPr>
            </w:pPr>
            <w:r w:rsidRPr="00597EDC">
              <w:rPr>
                <w:rFonts w:eastAsia="Times New Roman"/>
                <w:b/>
                <w:bCs/>
                <w:color w:val="FFFFFF"/>
                <w:spacing w:val="0"/>
                <w:lang w:eastAsia="es-DO"/>
              </w:rPr>
              <w:t>1,</w:t>
            </w:r>
            <w:r>
              <w:rPr>
                <w:rFonts w:eastAsia="Times New Roman"/>
                <w:b/>
                <w:bCs/>
                <w:color w:val="FFFFFF"/>
                <w:spacing w:val="0"/>
                <w:lang w:eastAsia="es-DO"/>
              </w:rPr>
              <w:t>930</w:t>
            </w:r>
          </w:p>
        </w:tc>
      </w:tr>
    </w:tbl>
    <w:p w14:paraId="60A3862D" w14:textId="1CE52DEB" w:rsidR="0071189C" w:rsidRPr="0077472F" w:rsidRDefault="0071189C" w:rsidP="0071189C">
      <w:pPr>
        <w:spacing w:line="360" w:lineRule="auto"/>
        <w:jc w:val="center"/>
        <w:rPr>
          <w:rFonts w:eastAsia="Calibri"/>
          <w:i/>
          <w:iCs/>
          <w:sz w:val="18"/>
          <w:szCs w:val="18"/>
        </w:rPr>
      </w:pPr>
      <w:r w:rsidRPr="0077472F">
        <w:rPr>
          <w:rFonts w:eastAsia="Calibri"/>
          <w:i/>
          <w:iCs/>
          <w:sz w:val="18"/>
          <w:szCs w:val="18"/>
        </w:rPr>
        <w:t>Fuente. Informe Anual RRHH</w:t>
      </w:r>
    </w:p>
    <w:p w14:paraId="27EFE05E" w14:textId="77777777" w:rsidR="0071189C" w:rsidRPr="00AF327F" w:rsidRDefault="0071189C" w:rsidP="007E247D">
      <w:pPr>
        <w:spacing w:line="360" w:lineRule="auto"/>
        <w:jc w:val="center"/>
        <w:rPr>
          <w:b/>
          <w:bCs/>
          <w:sz w:val="18"/>
          <w:szCs w:val="18"/>
        </w:rPr>
      </w:pPr>
    </w:p>
    <w:p w14:paraId="3B98F147" w14:textId="33AFBD6D" w:rsidR="007E247D" w:rsidRPr="00AF327F" w:rsidRDefault="007E247D" w:rsidP="007E247D">
      <w:pPr>
        <w:spacing w:line="360" w:lineRule="auto"/>
        <w:jc w:val="center"/>
        <w:rPr>
          <w:sz w:val="18"/>
          <w:szCs w:val="18"/>
        </w:rPr>
      </w:pPr>
      <w:r w:rsidRPr="00AF327F">
        <w:rPr>
          <w:sz w:val="18"/>
          <w:szCs w:val="18"/>
        </w:rPr>
        <w:t xml:space="preserve">Gráfico </w:t>
      </w:r>
      <w:r w:rsidR="006A4423" w:rsidRPr="00AF327F">
        <w:rPr>
          <w:sz w:val="18"/>
          <w:szCs w:val="18"/>
        </w:rPr>
        <w:t>11</w:t>
      </w:r>
      <w:r w:rsidRPr="00AF327F">
        <w:rPr>
          <w:sz w:val="18"/>
          <w:szCs w:val="18"/>
        </w:rPr>
        <w:t>. Porcentaje de colaboradores por estatus</w:t>
      </w:r>
    </w:p>
    <w:p w14:paraId="1BFBCECC" w14:textId="3A5133E6" w:rsidR="007E1337" w:rsidRPr="00465A16" w:rsidRDefault="00DE5254" w:rsidP="007E1337">
      <w:pPr>
        <w:spacing w:line="360" w:lineRule="auto"/>
        <w:ind w:left="284"/>
        <w:jc w:val="both"/>
        <w:rPr>
          <w:color w:val="EE0000"/>
        </w:rPr>
      </w:pPr>
      <w:r w:rsidRPr="00465A16">
        <w:rPr>
          <w:noProof/>
          <w:lang w:eastAsia="es-DO"/>
        </w:rPr>
        <w:drawing>
          <wp:inline distT="0" distB="0" distL="0" distR="0" wp14:anchorId="5840D9BE" wp14:editId="1C842425">
            <wp:extent cx="4662312" cy="2065866"/>
            <wp:effectExtent l="0" t="0" r="5080" b="0"/>
            <wp:docPr id="981573267" name="Gráfico 981573267">
              <a:extLst xmlns:a="http://schemas.openxmlformats.org/drawingml/2006/main">
                <a:ext uri="{FF2B5EF4-FFF2-40B4-BE49-F238E27FC236}">
                  <a16:creationId xmlns:a16="http://schemas.microsoft.com/office/drawing/2014/main" id="{D5DD7C85-511A-FCF8-7CD8-258139759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3D1D2A8" w14:textId="7FAC630C" w:rsidR="007E247D" w:rsidRPr="00FA4C09" w:rsidRDefault="007E247D" w:rsidP="00DE5254">
      <w:pPr>
        <w:spacing w:line="360" w:lineRule="auto"/>
        <w:jc w:val="center"/>
        <w:rPr>
          <w:i/>
          <w:iCs/>
          <w:sz w:val="18"/>
          <w:szCs w:val="18"/>
        </w:rPr>
      </w:pPr>
      <w:r w:rsidRPr="00FA4C09">
        <w:rPr>
          <w:i/>
          <w:iCs/>
          <w:sz w:val="18"/>
          <w:szCs w:val="18"/>
        </w:rPr>
        <w:t>Fuente. Dirección de Recursos Humanos</w:t>
      </w:r>
    </w:p>
    <w:p w14:paraId="034F30A6" w14:textId="77777777" w:rsidR="007E247D" w:rsidRPr="006A4423" w:rsidRDefault="007E247D" w:rsidP="007E247D">
      <w:pPr>
        <w:spacing w:line="360" w:lineRule="auto"/>
        <w:jc w:val="center"/>
        <w:rPr>
          <w:color w:val="4C4747"/>
          <w:sz w:val="18"/>
          <w:szCs w:val="18"/>
        </w:rPr>
      </w:pPr>
    </w:p>
    <w:p w14:paraId="3991D767" w14:textId="77777777" w:rsidR="00DE5254" w:rsidRPr="00465A16" w:rsidRDefault="00DE5254" w:rsidP="007E1337">
      <w:pPr>
        <w:spacing w:line="360" w:lineRule="auto"/>
        <w:ind w:left="284"/>
        <w:jc w:val="both"/>
        <w:rPr>
          <w:color w:val="EE0000"/>
        </w:rPr>
      </w:pPr>
    </w:p>
    <w:p w14:paraId="6C035117" w14:textId="77777777" w:rsidR="00DE5254" w:rsidRPr="00465A16" w:rsidRDefault="00DE5254" w:rsidP="0077548E">
      <w:pPr>
        <w:spacing w:line="360" w:lineRule="auto"/>
        <w:ind w:left="284"/>
        <w:jc w:val="both"/>
        <w:rPr>
          <w:color w:val="EE0000"/>
        </w:rPr>
      </w:pPr>
    </w:p>
    <w:p w14:paraId="41F7F7AC" w14:textId="77777777" w:rsidR="00DE5254" w:rsidRPr="00AF327F" w:rsidRDefault="00DE5254" w:rsidP="00C934DB">
      <w:pPr>
        <w:spacing w:line="360" w:lineRule="auto"/>
        <w:jc w:val="both"/>
      </w:pPr>
      <w:r w:rsidRPr="00AF327F">
        <w:lastRenderedPageBreak/>
        <w:t>En ese mismo orden, presentamos a continuación el comportamiento de la rotación del personal que ha dado como resultado índice un 0.07% según se muestra en la siguiente tabla.</w:t>
      </w:r>
    </w:p>
    <w:tbl>
      <w:tblPr>
        <w:tblpPr w:leftFromText="141" w:rightFromText="141" w:vertAnchor="text" w:horzAnchor="margin" w:tblpY="260"/>
        <w:tblW w:w="7933" w:type="dxa"/>
        <w:tblCellMar>
          <w:left w:w="70" w:type="dxa"/>
          <w:right w:w="70" w:type="dxa"/>
        </w:tblCellMar>
        <w:tblLook w:val="04A0" w:firstRow="1" w:lastRow="0" w:firstColumn="1" w:lastColumn="0" w:noHBand="0" w:noVBand="1"/>
      </w:tblPr>
      <w:tblGrid>
        <w:gridCol w:w="1271"/>
        <w:gridCol w:w="1985"/>
        <w:gridCol w:w="1701"/>
        <w:gridCol w:w="1417"/>
        <w:gridCol w:w="1559"/>
      </w:tblGrid>
      <w:tr w:rsidR="00DE5254" w:rsidRPr="00465A16" w14:paraId="78833C39" w14:textId="77777777" w:rsidTr="00DE5254">
        <w:trPr>
          <w:trHeight w:val="274"/>
        </w:trPr>
        <w:tc>
          <w:tcPr>
            <w:tcW w:w="1271" w:type="dxa"/>
            <w:tcBorders>
              <w:top w:val="single" w:sz="4" w:space="0" w:color="auto"/>
              <w:left w:val="single" w:sz="4" w:space="0" w:color="auto"/>
              <w:bottom w:val="nil"/>
              <w:right w:val="single" w:sz="4" w:space="0" w:color="auto"/>
            </w:tcBorders>
            <w:shd w:val="clear" w:color="auto" w:fill="011C50"/>
            <w:noWrap/>
            <w:vAlign w:val="center"/>
            <w:hideMark/>
          </w:tcPr>
          <w:p w14:paraId="418515E0" w14:textId="77777777" w:rsidR="00DE5254" w:rsidRPr="00465A16" w:rsidRDefault="00DE5254" w:rsidP="00DE5254">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Mes</w:t>
            </w:r>
          </w:p>
        </w:tc>
        <w:tc>
          <w:tcPr>
            <w:tcW w:w="1985" w:type="dxa"/>
            <w:tcBorders>
              <w:top w:val="single" w:sz="4" w:space="0" w:color="auto"/>
              <w:left w:val="nil"/>
              <w:bottom w:val="nil"/>
              <w:right w:val="single" w:sz="4" w:space="0" w:color="auto"/>
            </w:tcBorders>
            <w:shd w:val="clear" w:color="auto" w:fill="011C50"/>
            <w:vAlign w:val="center"/>
            <w:hideMark/>
          </w:tcPr>
          <w:p w14:paraId="29A5126F" w14:textId="77777777" w:rsidR="00DE5254" w:rsidRPr="00465A16" w:rsidRDefault="00DE5254" w:rsidP="00DE5254">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Total Empleados</w:t>
            </w:r>
          </w:p>
        </w:tc>
        <w:tc>
          <w:tcPr>
            <w:tcW w:w="1701" w:type="dxa"/>
            <w:tcBorders>
              <w:top w:val="single" w:sz="4" w:space="0" w:color="auto"/>
              <w:left w:val="nil"/>
              <w:bottom w:val="nil"/>
              <w:right w:val="single" w:sz="4" w:space="0" w:color="auto"/>
            </w:tcBorders>
            <w:shd w:val="clear" w:color="auto" w:fill="011C50"/>
            <w:vAlign w:val="center"/>
            <w:hideMark/>
          </w:tcPr>
          <w:p w14:paraId="3CC100EB" w14:textId="77777777" w:rsidR="00DE5254" w:rsidRPr="00465A16" w:rsidRDefault="00DE5254" w:rsidP="00DE5254">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Ingresos</w:t>
            </w:r>
          </w:p>
        </w:tc>
        <w:tc>
          <w:tcPr>
            <w:tcW w:w="1417" w:type="dxa"/>
            <w:tcBorders>
              <w:top w:val="single" w:sz="4" w:space="0" w:color="auto"/>
              <w:left w:val="nil"/>
              <w:bottom w:val="nil"/>
              <w:right w:val="single" w:sz="4" w:space="0" w:color="auto"/>
            </w:tcBorders>
            <w:shd w:val="clear" w:color="auto" w:fill="011C50"/>
            <w:vAlign w:val="center"/>
            <w:hideMark/>
          </w:tcPr>
          <w:p w14:paraId="534D13FB" w14:textId="77777777" w:rsidR="00DE5254" w:rsidRPr="00465A16" w:rsidRDefault="00DE5254" w:rsidP="00DE5254">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Salidas</w:t>
            </w:r>
          </w:p>
        </w:tc>
        <w:tc>
          <w:tcPr>
            <w:tcW w:w="1559" w:type="dxa"/>
            <w:tcBorders>
              <w:top w:val="single" w:sz="4" w:space="0" w:color="auto"/>
              <w:left w:val="nil"/>
              <w:bottom w:val="nil"/>
              <w:right w:val="single" w:sz="4" w:space="0" w:color="auto"/>
            </w:tcBorders>
            <w:shd w:val="clear" w:color="auto" w:fill="011C50"/>
            <w:noWrap/>
            <w:vAlign w:val="center"/>
            <w:hideMark/>
          </w:tcPr>
          <w:p w14:paraId="4F047181" w14:textId="77777777" w:rsidR="00DE5254" w:rsidRPr="00465A16" w:rsidRDefault="00DE5254" w:rsidP="00DE5254">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w:t>
            </w:r>
          </w:p>
        </w:tc>
      </w:tr>
      <w:tr w:rsidR="00225268" w:rsidRPr="00465A16" w14:paraId="69DF1524" w14:textId="77777777" w:rsidTr="00DE5254">
        <w:trPr>
          <w:trHeight w:val="312"/>
        </w:trPr>
        <w:tc>
          <w:tcPr>
            <w:tcW w:w="1271" w:type="dxa"/>
            <w:tcBorders>
              <w:top w:val="single" w:sz="4" w:space="0" w:color="auto"/>
              <w:left w:val="single" w:sz="4" w:space="0" w:color="auto"/>
              <w:bottom w:val="single" w:sz="4" w:space="0" w:color="auto"/>
              <w:right w:val="single" w:sz="4" w:space="0" w:color="auto"/>
            </w:tcBorders>
            <w:noWrap/>
            <w:vAlign w:val="center"/>
            <w:hideMark/>
          </w:tcPr>
          <w:p w14:paraId="5DAA5928" w14:textId="77777777" w:rsidR="00225268" w:rsidRPr="00AF327F" w:rsidRDefault="00225268" w:rsidP="00225268">
            <w:pPr>
              <w:spacing w:after="0" w:line="240" w:lineRule="auto"/>
              <w:rPr>
                <w:rFonts w:eastAsia="Times New Roman"/>
                <w:spacing w:val="0"/>
                <w:lang w:eastAsia="es-DO"/>
              </w:rPr>
            </w:pPr>
            <w:r w:rsidRPr="00AF327F">
              <w:rPr>
                <w:rFonts w:eastAsia="Times New Roman"/>
                <w:spacing w:val="0"/>
                <w:lang w:eastAsia="es-DO"/>
              </w:rPr>
              <w:t>Enero</w:t>
            </w:r>
          </w:p>
        </w:tc>
        <w:tc>
          <w:tcPr>
            <w:tcW w:w="1985" w:type="dxa"/>
            <w:tcBorders>
              <w:top w:val="single" w:sz="4" w:space="0" w:color="auto"/>
              <w:left w:val="nil"/>
              <w:bottom w:val="single" w:sz="4" w:space="0" w:color="auto"/>
              <w:right w:val="single" w:sz="4" w:space="0" w:color="auto"/>
            </w:tcBorders>
            <w:noWrap/>
            <w:vAlign w:val="center"/>
            <w:hideMark/>
          </w:tcPr>
          <w:p w14:paraId="6B2B3682" w14:textId="2E105702" w:rsidR="00225268" w:rsidRPr="00AF327F" w:rsidRDefault="00225268" w:rsidP="00225268">
            <w:pPr>
              <w:spacing w:after="0" w:line="240" w:lineRule="auto"/>
              <w:jc w:val="center"/>
              <w:rPr>
                <w:rFonts w:eastAsia="Times New Roman"/>
                <w:spacing w:val="0"/>
                <w:lang w:eastAsia="es-DO"/>
              </w:rPr>
            </w:pPr>
            <w:r w:rsidRPr="00301F88">
              <w:rPr>
                <w:rFonts w:eastAsia="Times New Roman"/>
                <w:spacing w:val="0"/>
                <w:lang w:eastAsia="es-DO"/>
              </w:rPr>
              <w:t>18</w:t>
            </w:r>
            <w:r>
              <w:rPr>
                <w:rFonts w:eastAsia="Times New Roman"/>
                <w:spacing w:val="0"/>
                <w:lang w:eastAsia="es-DO"/>
              </w:rPr>
              <w:t>73</w:t>
            </w:r>
          </w:p>
        </w:tc>
        <w:tc>
          <w:tcPr>
            <w:tcW w:w="1701" w:type="dxa"/>
            <w:tcBorders>
              <w:top w:val="single" w:sz="4" w:space="0" w:color="auto"/>
              <w:left w:val="nil"/>
              <w:bottom w:val="single" w:sz="4" w:space="0" w:color="auto"/>
              <w:right w:val="single" w:sz="4" w:space="0" w:color="auto"/>
            </w:tcBorders>
            <w:noWrap/>
            <w:vAlign w:val="center"/>
            <w:hideMark/>
          </w:tcPr>
          <w:p w14:paraId="73D71767" w14:textId="6C51695F"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0</w:t>
            </w:r>
          </w:p>
        </w:tc>
        <w:tc>
          <w:tcPr>
            <w:tcW w:w="1417" w:type="dxa"/>
            <w:tcBorders>
              <w:top w:val="single" w:sz="4" w:space="0" w:color="auto"/>
              <w:left w:val="nil"/>
              <w:bottom w:val="single" w:sz="4" w:space="0" w:color="auto"/>
              <w:right w:val="single" w:sz="4" w:space="0" w:color="auto"/>
            </w:tcBorders>
            <w:noWrap/>
            <w:vAlign w:val="center"/>
            <w:hideMark/>
          </w:tcPr>
          <w:p w14:paraId="1DA9C621" w14:textId="13ACF9B4"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9</w:t>
            </w:r>
          </w:p>
        </w:tc>
        <w:tc>
          <w:tcPr>
            <w:tcW w:w="1559" w:type="dxa"/>
            <w:tcBorders>
              <w:top w:val="single" w:sz="4" w:space="0" w:color="auto"/>
              <w:left w:val="nil"/>
              <w:bottom w:val="single" w:sz="4" w:space="0" w:color="auto"/>
              <w:right w:val="single" w:sz="4" w:space="0" w:color="auto"/>
            </w:tcBorders>
            <w:noWrap/>
            <w:vAlign w:val="center"/>
            <w:hideMark/>
          </w:tcPr>
          <w:p w14:paraId="15228F45" w14:textId="2C63C373" w:rsidR="00225268" w:rsidRPr="00AF327F" w:rsidRDefault="00225268" w:rsidP="00225268">
            <w:pPr>
              <w:spacing w:after="0" w:line="240" w:lineRule="auto"/>
              <w:jc w:val="center"/>
              <w:rPr>
                <w:rFonts w:eastAsia="Times New Roman"/>
                <w:spacing w:val="0"/>
                <w:lang w:eastAsia="es-DO"/>
              </w:rPr>
            </w:pPr>
            <w:r w:rsidRPr="00301F88">
              <w:rPr>
                <w:rFonts w:eastAsia="Times New Roman"/>
                <w:spacing w:val="0"/>
                <w:lang w:eastAsia="es-DO"/>
              </w:rPr>
              <w:t>0.</w:t>
            </w:r>
            <w:r>
              <w:rPr>
                <w:rFonts w:eastAsia="Times New Roman"/>
                <w:spacing w:val="0"/>
                <w:lang w:eastAsia="es-DO"/>
              </w:rPr>
              <w:t>48</w:t>
            </w:r>
          </w:p>
        </w:tc>
      </w:tr>
      <w:tr w:rsidR="00225268" w:rsidRPr="00465A16" w14:paraId="205A2B8D" w14:textId="77777777" w:rsidTr="00DE5254">
        <w:trPr>
          <w:trHeight w:val="312"/>
        </w:trPr>
        <w:tc>
          <w:tcPr>
            <w:tcW w:w="1271" w:type="dxa"/>
            <w:tcBorders>
              <w:top w:val="nil"/>
              <w:left w:val="single" w:sz="4" w:space="0" w:color="auto"/>
              <w:bottom w:val="single" w:sz="4" w:space="0" w:color="auto"/>
              <w:right w:val="single" w:sz="4" w:space="0" w:color="auto"/>
            </w:tcBorders>
            <w:noWrap/>
            <w:vAlign w:val="center"/>
            <w:hideMark/>
          </w:tcPr>
          <w:p w14:paraId="2E3B066F" w14:textId="77777777" w:rsidR="00225268" w:rsidRPr="00AF327F" w:rsidRDefault="00225268" w:rsidP="00225268">
            <w:pPr>
              <w:spacing w:after="0" w:line="240" w:lineRule="auto"/>
              <w:rPr>
                <w:rFonts w:eastAsia="Times New Roman"/>
                <w:spacing w:val="0"/>
                <w:lang w:eastAsia="es-DO"/>
              </w:rPr>
            </w:pPr>
            <w:r w:rsidRPr="00AF327F">
              <w:rPr>
                <w:rFonts w:eastAsia="Times New Roman"/>
                <w:spacing w:val="0"/>
                <w:lang w:eastAsia="es-DO"/>
              </w:rPr>
              <w:t>Febrero</w:t>
            </w:r>
          </w:p>
        </w:tc>
        <w:tc>
          <w:tcPr>
            <w:tcW w:w="1985" w:type="dxa"/>
            <w:tcBorders>
              <w:top w:val="nil"/>
              <w:left w:val="nil"/>
              <w:bottom w:val="single" w:sz="4" w:space="0" w:color="auto"/>
              <w:right w:val="single" w:sz="4" w:space="0" w:color="auto"/>
            </w:tcBorders>
            <w:noWrap/>
            <w:vAlign w:val="center"/>
            <w:hideMark/>
          </w:tcPr>
          <w:p w14:paraId="29728992" w14:textId="06DEC660" w:rsidR="00225268" w:rsidRPr="00AF327F" w:rsidRDefault="00225268" w:rsidP="00225268">
            <w:pPr>
              <w:spacing w:after="0" w:line="240" w:lineRule="auto"/>
              <w:jc w:val="center"/>
              <w:rPr>
                <w:rFonts w:eastAsia="Times New Roman"/>
                <w:spacing w:val="0"/>
                <w:lang w:eastAsia="es-DO"/>
              </w:rPr>
            </w:pPr>
            <w:r w:rsidRPr="00301F88">
              <w:rPr>
                <w:rFonts w:eastAsia="Times New Roman"/>
                <w:spacing w:val="0"/>
                <w:lang w:eastAsia="es-DO"/>
              </w:rPr>
              <w:t>18</w:t>
            </w:r>
            <w:r>
              <w:rPr>
                <w:rFonts w:eastAsia="Times New Roman"/>
                <w:spacing w:val="0"/>
                <w:lang w:eastAsia="es-DO"/>
              </w:rPr>
              <w:t>61</w:t>
            </w:r>
          </w:p>
        </w:tc>
        <w:tc>
          <w:tcPr>
            <w:tcW w:w="1701" w:type="dxa"/>
            <w:tcBorders>
              <w:top w:val="nil"/>
              <w:left w:val="nil"/>
              <w:bottom w:val="single" w:sz="4" w:space="0" w:color="auto"/>
              <w:right w:val="single" w:sz="4" w:space="0" w:color="auto"/>
            </w:tcBorders>
            <w:noWrap/>
            <w:vAlign w:val="center"/>
            <w:hideMark/>
          </w:tcPr>
          <w:p w14:paraId="2A147730" w14:textId="7C0F3F1B"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3</w:t>
            </w:r>
          </w:p>
        </w:tc>
        <w:tc>
          <w:tcPr>
            <w:tcW w:w="1417" w:type="dxa"/>
            <w:tcBorders>
              <w:top w:val="nil"/>
              <w:left w:val="nil"/>
              <w:bottom w:val="single" w:sz="4" w:space="0" w:color="auto"/>
              <w:right w:val="single" w:sz="4" w:space="0" w:color="auto"/>
            </w:tcBorders>
            <w:noWrap/>
            <w:vAlign w:val="center"/>
            <w:hideMark/>
          </w:tcPr>
          <w:p w14:paraId="6E2D3B69" w14:textId="4BF1BA3B"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15</w:t>
            </w:r>
          </w:p>
        </w:tc>
        <w:tc>
          <w:tcPr>
            <w:tcW w:w="1559" w:type="dxa"/>
            <w:tcBorders>
              <w:top w:val="nil"/>
              <w:left w:val="nil"/>
              <w:bottom w:val="single" w:sz="4" w:space="0" w:color="auto"/>
              <w:right w:val="single" w:sz="4" w:space="0" w:color="auto"/>
            </w:tcBorders>
            <w:noWrap/>
            <w:vAlign w:val="center"/>
            <w:hideMark/>
          </w:tcPr>
          <w:p w14:paraId="584D1637" w14:textId="69532863" w:rsidR="00225268" w:rsidRPr="00AF327F" w:rsidRDefault="00225268" w:rsidP="00225268">
            <w:pPr>
              <w:spacing w:after="0" w:line="240" w:lineRule="auto"/>
              <w:jc w:val="center"/>
              <w:rPr>
                <w:rFonts w:eastAsia="Times New Roman"/>
                <w:spacing w:val="0"/>
                <w:lang w:eastAsia="es-DO"/>
              </w:rPr>
            </w:pPr>
            <w:r w:rsidRPr="00301F88">
              <w:rPr>
                <w:rFonts w:eastAsia="Times New Roman"/>
                <w:spacing w:val="0"/>
                <w:lang w:eastAsia="es-DO"/>
              </w:rPr>
              <w:t>0.</w:t>
            </w:r>
            <w:r>
              <w:rPr>
                <w:rFonts w:eastAsia="Times New Roman"/>
                <w:spacing w:val="0"/>
                <w:lang w:eastAsia="es-DO"/>
              </w:rPr>
              <w:t>80</w:t>
            </w:r>
          </w:p>
        </w:tc>
      </w:tr>
      <w:tr w:rsidR="00225268" w:rsidRPr="00465A16" w14:paraId="21F5768C" w14:textId="77777777" w:rsidTr="00DE5254">
        <w:trPr>
          <w:trHeight w:val="312"/>
        </w:trPr>
        <w:tc>
          <w:tcPr>
            <w:tcW w:w="1271" w:type="dxa"/>
            <w:tcBorders>
              <w:top w:val="nil"/>
              <w:left w:val="single" w:sz="4" w:space="0" w:color="auto"/>
              <w:bottom w:val="single" w:sz="4" w:space="0" w:color="auto"/>
              <w:right w:val="single" w:sz="4" w:space="0" w:color="auto"/>
            </w:tcBorders>
            <w:noWrap/>
            <w:vAlign w:val="center"/>
            <w:hideMark/>
          </w:tcPr>
          <w:p w14:paraId="3E458575" w14:textId="77777777" w:rsidR="00225268" w:rsidRPr="00AF327F" w:rsidRDefault="00225268" w:rsidP="00225268">
            <w:pPr>
              <w:spacing w:after="0" w:line="240" w:lineRule="auto"/>
              <w:rPr>
                <w:rFonts w:eastAsia="Times New Roman"/>
                <w:spacing w:val="0"/>
                <w:lang w:eastAsia="es-DO"/>
              </w:rPr>
            </w:pPr>
            <w:r w:rsidRPr="00AF327F">
              <w:rPr>
                <w:rFonts w:eastAsia="Times New Roman"/>
                <w:spacing w:val="0"/>
                <w:lang w:eastAsia="es-DO"/>
              </w:rPr>
              <w:t>Marzo</w:t>
            </w:r>
          </w:p>
        </w:tc>
        <w:tc>
          <w:tcPr>
            <w:tcW w:w="1985" w:type="dxa"/>
            <w:tcBorders>
              <w:top w:val="nil"/>
              <w:left w:val="nil"/>
              <w:bottom w:val="single" w:sz="4" w:space="0" w:color="auto"/>
              <w:right w:val="single" w:sz="4" w:space="0" w:color="auto"/>
            </w:tcBorders>
            <w:noWrap/>
            <w:vAlign w:val="center"/>
            <w:hideMark/>
          </w:tcPr>
          <w:p w14:paraId="0C1DAD0D" w14:textId="13468019" w:rsidR="00225268" w:rsidRPr="00AF327F" w:rsidRDefault="00225268" w:rsidP="00225268">
            <w:pPr>
              <w:spacing w:after="0" w:line="240" w:lineRule="auto"/>
              <w:jc w:val="center"/>
              <w:rPr>
                <w:rFonts w:eastAsia="Times New Roman"/>
                <w:spacing w:val="0"/>
                <w:lang w:eastAsia="es-DO"/>
              </w:rPr>
            </w:pPr>
            <w:r w:rsidRPr="00301F88">
              <w:rPr>
                <w:rFonts w:eastAsia="Times New Roman"/>
                <w:spacing w:val="0"/>
                <w:lang w:eastAsia="es-DO"/>
              </w:rPr>
              <w:t>18</w:t>
            </w:r>
            <w:r>
              <w:rPr>
                <w:rFonts w:eastAsia="Times New Roman"/>
                <w:spacing w:val="0"/>
                <w:lang w:eastAsia="es-DO"/>
              </w:rPr>
              <w:t>84</w:t>
            </w:r>
          </w:p>
        </w:tc>
        <w:tc>
          <w:tcPr>
            <w:tcW w:w="1701" w:type="dxa"/>
            <w:tcBorders>
              <w:top w:val="nil"/>
              <w:left w:val="nil"/>
              <w:bottom w:val="single" w:sz="4" w:space="0" w:color="auto"/>
              <w:right w:val="single" w:sz="4" w:space="0" w:color="auto"/>
            </w:tcBorders>
            <w:noWrap/>
            <w:vAlign w:val="center"/>
            <w:hideMark/>
          </w:tcPr>
          <w:p w14:paraId="69849380" w14:textId="1F041FFC"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38</w:t>
            </w:r>
          </w:p>
        </w:tc>
        <w:tc>
          <w:tcPr>
            <w:tcW w:w="1417" w:type="dxa"/>
            <w:tcBorders>
              <w:top w:val="nil"/>
              <w:left w:val="nil"/>
              <w:bottom w:val="single" w:sz="4" w:space="0" w:color="auto"/>
              <w:right w:val="single" w:sz="4" w:space="0" w:color="auto"/>
            </w:tcBorders>
            <w:noWrap/>
            <w:vAlign w:val="center"/>
            <w:hideMark/>
          </w:tcPr>
          <w:p w14:paraId="1E1B9627" w14:textId="08361C47"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15</w:t>
            </w:r>
          </w:p>
        </w:tc>
        <w:tc>
          <w:tcPr>
            <w:tcW w:w="1559" w:type="dxa"/>
            <w:tcBorders>
              <w:top w:val="nil"/>
              <w:left w:val="nil"/>
              <w:bottom w:val="single" w:sz="4" w:space="0" w:color="auto"/>
              <w:right w:val="single" w:sz="4" w:space="0" w:color="auto"/>
            </w:tcBorders>
            <w:noWrap/>
            <w:vAlign w:val="center"/>
            <w:hideMark/>
          </w:tcPr>
          <w:p w14:paraId="235C2B4A" w14:textId="051405CE" w:rsidR="00225268" w:rsidRPr="00AF327F" w:rsidRDefault="00225268" w:rsidP="00225268">
            <w:pPr>
              <w:spacing w:after="0" w:line="240" w:lineRule="auto"/>
              <w:jc w:val="center"/>
              <w:rPr>
                <w:rFonts w:eastAsia="Times New Roman"/>
                <w:spacing w:val="0"/>
                <w:lang w:eastAsia="es-DO"/>
              </w:rPr>
            </w:pPr>
            <w:r w:rsidRPr="00301F88">
              <w:rPr>
                <w:rFonts w:eastAsia="Times New Roman"/>
                <w:spacing w:val="0"/>
                <w:lang w:eastAsia="es-DO"/>
              </w:rPr>
              <w:t>0.</w:t>
            </w:r>
            <w:r>
              <w:rPr>
                <w:rFonts w:eastAsia="Times New Roman"/>
                <w:spacing w:val="0"/>
                <w:lang w:eastAsia="es-DO"/>
              </w:rPr>
              <w:t>80</w:t>
            </w:r>
          </w:p>
        </w:tc>
      </w:tr>
      <w:tr w:rsidR="00225268" w:rsidRPr="00465A16" w14:paraId="0D752D6B" w14:textId="77777777" w:rsidTr="00DE5254">
        <w:trPr>
          <w:trHeight w:val="312"/>
        </w:trPr>
        <w:tc>
          <w:tcPr>
            <w:tcW w:w="1271" w:type="dxa"/>
            <w:tcBorders>
              <w:top w:val="nil"/>
              <w:left w:val="single" w:sz="4" w:space="0" w:color="auto"/>
              <w:bottom w:val="single" w:sz="4" w:space="0" w:color="auto"/>
              <w:right w:val="single" w:sz="4" w:space="0" w:color="auto"/>
            </w:tcBorders>
            <w:noWrap/>
            <w:vAlign w:val="center"/>
            <w:hideMark/>
          </w:tcPr>
          <w:p w14:paraId="60D1A955" w14:textId="77777777" w:rsidR="00225268" w:rsidRPr="00AF327F" w:rsidRDefault="00225268" w:rsidP="00225268">
            <w:pPr>
              <w:spacing w:after="0" w:line="240" w:lineRule="auto"/>
              <w:rPr>
                <w:rFonts w:eastAsia="Times New Roman"/>
                <w:spacing w:val="0"/>
                <w:lang w:eastAsia="es-DO"/>
              </w:rPr>
            </w:pPr>
            <w:r w:rsidRPr="00AF327F">
              <w:rPr>
                <w:rFonts w:eastAsia="Times New Roman"/>
                <w:spacing w:val="0"/>
                <w:lang w:eastAsia="es-DO"/>
              </w:rPr>
              <w:t>Abril</w:t>
            </w:r>
          </w:p>
        </w:tc>
        <w:tc>
          <w:tcPr>
            <w:tcW w:w="1985" w:type="dxa"/>
            <w:tcBorders>
              <w:top w:val="nil"/>
              <w:left w:val="nil"/>
              <w:bottom w:val="single" w:sz="4" w:space="0" w:color="auto"/>
              <w:right w:val="single" w:sz="4" w:space="0" w:color="auto"/>
            </w:tcBorders>
            <w:noWrap/>
            <w:vAlign w:val="center"/>
            <w:hideMark/>
          </w:tcPr>
          <w:p w14:paraId="6659FEDD" w14:textId="12E1A718"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1910</w:t>
            </w:r>
          </w:p>
        </w:tc>
        <w:tc>
          <w:tcPr>
            <w:tcW w:w="1701" w:type="dxa"/>
            <w:tcBorders>
              <w:top w:val="nil"/>
              <w:left w:val="nil"/>
              <w:bottom w:val="single" w:sz="4" w:space="0" w:color="auto"/>
              <w:right w:val="single" w:sz="4" w:space="0" w:color="auto"/>
            </w:tcBorders>
            <w:noWrap/>
            <w:vAlign w:val="center"/>
            <w:hideMark/>
          </w:tcPr>
          <w:p w14:paraId="25934E16" w14:textId="0276AF79"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39</w:t>
            </w:r>
          </w:p>
        </w:tc>
        <w:tc>
          <w:tcPr>
            <w:tcW w:w="1417" w:type="dxa"/>
            <w:tcBorders>
              <w:top w:val="nil"/>
              <w:left w:val="nil"/>
              <w:bottom w:val="single" w:sz="4" w:space="0" w:color="auto"/>
              <w:right w:val="single" w:sz="4" w:space="0" w:color="auto"/>
            </w:tcBorders>
            <w:noWrap/>
            <w:vAlign w:val="center"/>
            <w:hideMark/>
          </w:tcPr>
          <w:p w14:paraId="1F2767C1" w14:textId="31A10B61"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13</w:t>
            </w:r>
          </w:p>
        </w:tc>
        <w:tc>
          <w:tcPr>
            <w:tcW w:w="1559" w:type="dxa"/>
            <w:tcBorders>
              <w:top w:val="nil"/>
              <w:left w:val="nil"/>
              <w:bottom w:val="single" w:sz="4" w:space="0" w:color="auto"/>
              <w:right w:val="single" w:sz="4" w:space="0" w:color="auto"/>
            </w:tcBorders>
            <w:noWrap/>
            <w:vAlign w:val="center"/>
            <w:hideMark/>
          </w:tcPr>
          <w:p w14:paraId="45C40EB6" w14:textId="71831FE9" w:rsidR="00225268" w:rsidRPr="00AF327F" w:rsidRDefault="00225268" w:rsidP="00225268">
            <w:pPr>
              <w:spacing w:after="0" w:line="240" w:lineRule="auto"/>
              <w:jc w:val="center"/>
              <w:rPr>
                <w:rFonts w:eastAsia="Times New Roman"/>
                <w:spacing w:val="0"/>
                <w:lang w:eastAsia="es-DO"/>
              </w:rPr>
            </w:pPr>
            <w:r w:rsidRPr="00301F88">
              <w:rPr>
                <w:rFonts w:eastAsia="Times New Roman"/>
                <w:spacing w:val="0"/>
                <w:lang w:eastAsia="es-DO"/>
              </w:rPr>
              <w:t>0.</w:t>
            </w:r>
            <w:r>
              <w:rPr>
                <w:rFonts w:eastAsia="Times New Roman"/>
                <w:spacing w:val="0"/>
                <w:lang w:eastAsia="es-DO"/>
              </w:rPr>
              <w:t>69</w:t>
            </w:r>
          </w:p>
        </w:tc>
      </w:tr>
      <w:tr w:rsidR="00225268" w:rsidRPr="00465A16" w14:paraId="2D27CB91" w14:textId="77777777" w:rsidTr="00DE5254">
        <w:trPr>
          <w:trHeight w:val="312"/>
        </w:trPr>
        <w:tc>
          <w:tcPr>
            <w:tcW w:w="1271" w:type="dxa"/>
            <w:tcBorders>
              <w:top w:val="nil"/>
              <w:left w:val="single" w:sz="4" w:space="0" w:color="auto"/>
              <w:bottom w:val="single" w:sz="4" w:space="0" w:color="auto"/>
              <w:right w:val="single" w:sz="4" w:space="0" w:color="auto"/>
            </w:tcBorders>
            <w:noWrap/>
            <w:vAlign w:val="center"/>
            <w:hideMark/>
          </w:tcPr>
          <w:p w14:paraId="635C186B" w14:textId="77777777" w:rsidR="00225268" w:rsidRPr="00AF327F" w:rsidRDefault="00225268" w:rsidP="00225268">
            <w:pPr>
              <w:spacing w:after="0" w:line="240" w:lineRule="auto"/>
              <w:rPr>
                <w:rFonts w:eastAsia="Times New Roman"/>
                <w:spacing w:val="0"/>
                <w:lang w:eastAsia="es-DO"/>
              </w:rPr>
            </w:pPr>
            <w:r w:rsidRPr="00AF327F">
              <w:rPr>
                <w:rFonts w:eastAsia="Times New Roman"/>
                <w:spacing w:val="0"/>
                <w:lang w:eastAsia="es-DO"/>
              </w:rPr>
              <w:t>Mayo</w:t>
            </w:r>
          </w:p>
        </w:tc>
        <w:tc>
          <w:tcPr>
            <w:tcW w:w="1985" w:type="dxa"/>
            <w:tcBorders>
              <w:top w:val="nil"/>
              <w:left w:val="nil"/>
              <w:bottom w:val="single" w:sz="4" w:space="0" w:color="auto"/>
              <w:right w:val="single" w:sz="4" w:space="0" w:color="auto"/>
            </w:tcBorders>
            <w:noWrap/>
            <w:vAlign w:val="center"/>
            <w:hideMark/>
          </w:tcPr>
          <w:p w14:paraId="61825688" w14:textId="77777777" w:rsidR="00225268" w:rsidRDefault="00225268" w:rsidP="00225268">
            <w:pPr>
              <w:spacing w:after="0" w:line="240" w:lineRule="auto"/>
              <w:jc w:val="center"/>
              <w:rPr>
                <w:rFonts w:eastAsia="Times New Roman"/>
                <w:spacing w:val="0"/>
                <w:lang w:eastAsia="es-DO"/>
              </w:rPr>
            </w:pPr>
            <w:r w:rsidRPr="00301F88">
              <w:rPr>
                <w:rFonts w:eastAsia="Times New Roman"/>
                <w:spacing w:val="0"/>
                <w:lang w:eastAsia="es-DO"/>
              </w:rPr>
              <w:t>1</w:t>
            </w:r>
            <w:r>
              <w:rPr>
                <w:rFonts w:eastAsia="Times New Roman"/>
                <w:spacing w:val="0"/>
                <w:lang w:eastAsia="es-DO"/>
              </w:rPr>
              <w:t>921</w:t>
            </w:r>
          </w:p>
          <w:p w14:paraId="5F21A3B3" w14:textId="75D402F5" w:rsidR="00225268" w:rsidRPr="00AF327F" w:rsidRDefault="00225268" w:rsidP="00225268">
            <w:pPr>
              <w:spacing w:after="0" w:line="240" w:lineRule="auto"/>
              <w:jc w:val="center"/>
              <w:rPr>
                <w:rFonts w:eastAsia="Times New Roman"/>
                <w:spacing w:val="0"/>
                <w:lang w:eastAsia="es-DO"/>
              </w:rPr>
            </w:pPr>
          </w:p>
        </w:tc>
        <w:tc>
          <w:tcPr>
            <w:tcW w:w="1701" w:type="dxa"/>
            <w:tcBorders>
              <w:top w:val="nil"/>
              <w:left w:val="nil"/>
              <w:bottom w:val="single" w:sz="4" w:space="0" w:color="auto"/>
              <w:right w:val="single" w:sz="4" w:space="0" w:color="auto"/>
            </w:tcBorders>
            <w:noWrap/>
            <w:vAlign w:val="center"/>
            <w:hideMark/>
          </w:tcPr>
          <w:p w14:paraId="2891FA46" w14:textId="28C436D4"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24</w:t>
            </w:r>
          </w:p>
        </w:tc>
        <w:tc>
          <w:tcPr>
            <w:tcW w:w="1417" w:type="dxa"/>
            <w:tcBorders>
              <w:top w:val="nil"/>
              <w:left w:val="nil"/>
              <w:bottom w:val="single" w:sz="4" w:space="0" w:color="auto"/>
              <w:right w:val="single" w:sz="4" w:space="0" w:color="auto"/>
            </w:tcBorders>
            <w:noWrap/>
            <w:vAlign w:val="center"/>
            <w:hideMark/>
          </w:tcPr>
          <w:p w14:paraId="033B06A8" w14:textId="144B81B4"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13</w:t>
            </w:r>
          </w:p>
        </w:tc>
        <w:tc>
          <w:tcPr>
            <w:tcW w:w="1559" w:type="dxa"/>
            <w:tcBorders>
              <w:top w:val="nil"/>
              <w:left w:val="nil"/>
              <w:bottom w:val="single" w:sz="4" w:space="0" w:color="auto"/>
              <w:right w:val="single" w:sz="4" w:space="0" w:color="auto"/>
            </w:tcBorders>
            <w:noWrap/>
            <w:vAlign w:val="center"/>
            <w:hideMark/>
          </w:tcPr>
          <w:p w14:paraId="0A7B097E" w14:textId="280DA53C"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0.69</w:t>
            </w:r>
          </w:p>
        </w:tc>
      </w:tr>
      <w:tr w:rsidR="00225268" w:rsidRPr="00465A16" w14:paraId="6977F128" w14:textId="77777777" w:rsidTr="00DE5254">
        <w:trPr>
          <w:trHeight w:val="312"/>
        </w:trPr>
        <w:tc>
          <w:tcPr>
            <w:tcW w:w="1271" w:type="dxa"/>
            <w:tcBorders>
              <w:top w:val="nil"/>
              <w:left w:val="single" w:sz="4" w:space="0" w:color="auto"/>
              <w:bottom w:val="single" w:sz="4" w:space="0" w:color="auto"/>
              <w:right w:val="single" w:sz="4" w:space="0" w:color="auto"/>
            </w:tcBorders>
            <w:noWrap/>
            <w:vAlign w:val="center"/>
            <w:hideMark/>
          </w:tcPr>
          <w:p w14:paraId="6AB94B43" w14:textId="77777777" w:rsidR="00225268" w:rsidRPr="00AF327F" w:rsidRDefault="00225268" w:rsidP="00225268">
            <w:pPr>
              <w:spacing w:after="0" w:line="240" w:lineRule="auto"/>
              <w:rPr>
                <w:rFonts w:eastAsia="Times New Roman"/>
                <w:spacing w:val="0"/>
                <w:lang w:eastAsia="es-DO"/>
              </w:rPr>
            </w:pPr>
            <w:r w:rsidRPr="00AF327F">
              <w:rPr>
                <w:rFonts w:eastAsia="Times New Roman"/>
                <w:spacing w:val="0"/>
                <w:lang w:eastAsia="es-DO"/>
              </w:rPr>
              <w:t>Junio</w:t>
            </w:r>
          </w:p>
        </w:tc>
        <w:tc>
          <w:tcPr>
            <w:tcW w:w="1985" w:type="dxa"/>
            <w:tcBorders>
              <w:top w:val="nil"/>
              <w:left w:val="nil"/>
              <w:bottom w:val="single" w:sz="4" w:space="0" w:color="auto"/>
              <w:right w:val="single" w:sz="4" w:space="0" w:color="auto"/>
            </w:tcBorders>
            <w:noWrap/>
            <w:vAlign w:val="center"/>
            <w:hideMark/>
          </w:tcPr>
          <w:p w14:paraId="618932E0" w14:textId="58762F48" w:rsidR="00225268" w:rsidRPr="00AF327F" w:rsidRDefault="00225268" w:rsidP="00225268">
            <w:pPr>
              <w:spacing w:after="0" w:line="240" w:lineRule="auto"/>
              <w:jc w:val="center"/>
              <w:rPr>
                <w:rFonts w:eastAsia="Times New Roman"/>
                <w:spacing w:val="0"/>
                <w:lang w:eastAsia="es-DO"/>
              </w:rPr>
            </w:pPr>
            <w:r w:rsidRPr="00301F88">
              <w:rPr>
                <w:rFonts w:eastAsia="Times New Roman"/>
                <w:spacing w:val="0"/>
                <w:lang w:eastAsia="es-DO"/>
              </w:rPr>
              <w:t>1</w:t>
            </w:r>
            <w:r>
              <w:rPr>
                <w:rFonts w:eastAsia="Times New Roman"/>
                <w:spacing w:val="0"/>
                <w:lang w:eastAsia="es-DO"/>
              </w:rPr>
              <w:t>934</w:t>
            </w:r>
          </w:p>
        </w:tc>
        <w:tc>
          <w:tcPr>
            <w:tcW w:w="1701" w:type="dxa"/>
            <w:tcBorders>
              <w:top w:val="nil"/>
              <w:left w:val="nil"/>
              <w:bottom w:val="single" w:sz="4" w:space="0" w:color="auto"/>
              <w:right w:val="single" w:sz="4" w:space="0" w:color="auto"/>
            </w:tcBorders>
            <w:noWrap/>
            <w:vAlign w:val="center"/>
            <w:hideMark/>
          </w:tcPr>
          <w:p w14:paraId="6771A253" w14:textId="3DAFFE2D"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23</w:t>
            </w:r>
          </w:p>
        </w:tc>
        <w:tc>
          <w:tcPr>
            <w:tcW w:w="1417" w:type="dxa"/>
            <w:tcBorders>
              <w:top w:val="nil"/>
              <w:left w:val="nil"/>
              <w:bottom w:val="single" w:sz="4" w:space="0" w:color="auto"/>
              <w:right w:val="single" w:sz="4" w:space="0" w:color="auto"/>
            </w:tcBorders>
            <w:noWrap/>
            <w:vAlign w:val="center"/>
            <w:hideMark/>
          </w:tcPr>
          <w:p w14:paraId="0D6D3A06" w14:textId="4809A24E"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10</w:t>
            </w:r>
          </w:p>
        </w:tc>
        <w:tc>
          <w:tcPr>
            <w:tcW w:w="1559" w:type="dxa"/>
            <w:tcBorders>
              <w:top w:val="nil"/>
              <w:left w:val="nil"/>
              <w:bottom w:val="single" w:sz="4" w:space="0" w:color="auto"/>
              <w:right w:val="single" w:sz="4" w:space="0" w:color="auto"/>
            </w:tcBorders>
            <w:noWrap/>
            <w:vAlign w:val="center"/>
            <w:hideMark/>
          </w:tcPr>
          <w:p w14:paraId="3257B2ED" w14:textId="4E1622F3" w:rsidR="00225268" w:rsidRPr="00AF327F" w:rsidRDefault="00225268" w:rsidP="00225268">
            <w:pPr>
              <w:spacing w:after="0" w:line="240" w:lineRule="auto"/>
              <w:jc w:val="center"/>
              <w:rPr>
                <w:rFonts w:eastAsia="Times New Roman"/>
                <w:spacing w:val="0"/>
                <w:lang w:eastAsia="es-DO"/>
              </w:rPr>
            </w:pPr>
            <w:r w:rsidRPr="00301F88">
              <w:rPr>
                <w:rFonts w:eastAsia="Times New Roman"/>
                <w:spacing w:val="0"/>
                <w:lang w:eastAsia="es-DO"/>
              </w:rPr>
              <w:t>0.</w:t>
            </w:r>
            <w:r>
              <w:rPr>
                <w:rFonts w:eastAsia="Times New Roman"/>
                <w:spacing w:val="0"/>
                <w:lang w:eastAsia="es-DO"/>
              </w:rPr>
              <w:t>52</w:t>
            </w:r>
          </w:p>
        </w:tc>
      </w:tr>
      <w:tr w:rsidR="00225268" w:rsidRPr="00465A16" w14:paraId="360A9FBB" w14:textId="77777777" w:rsidTr="00DE5254">
        <w:trPr>
          <w:trHeight w:val="312"/>
        </w:trPr>
        <w:tc>
          <w:tcPr>
            <w:tcW w:w="1271" w:type="dxa"/>
            <w:tcBorders>
              <w:top w:val="nil"/>
              <w:left w:val="single" w:sz="4" w:space="0" w:color="auto"/>
              <w:bottom w:val="single" w:sz="4" w:space="0" w:color="auto"/>
              <w:right w:val="single" w:sz="4" w:space="0" w:color="auto"/>
            </w:tcBorders>
            <w:noWrap/>
            <w:vAlign w:val="center"/>
            <w:hideMark/>
          </w:tcPr>
          <w:p w14:paraId="396B7B2D" w14:textId="77777777" w:rsidR="00225268" w:rsidRPr="00AF327F" w:rsidRDefault="00225268" w:rsidP="00225268">
            <w:pPr>
              <w:spacing w:after="0" w:line="240" w:lineRule="auto"/>
              <w:rPr>
                <w:rFonts w:eastAsia="Times New Roman"/>
                <w:spacing w:val="0"/>
                <w:lang w:eastAsia="es-DO"/>
              </w:rPr>
            </w:pPr>
            <w:r w:rsidRPr="00AF327F">
              <w:rPr>
                <w:rFonts w:eastAsia="Times New Roman"/>
                <w:spacing w:val="0"/>
                <w:lang w:eastAsia="es-DO"/>
              </w:rPr>
              <w:t>Julio</w:t>
            </w:r>
          </w:p>
        </w:tc>
        <w:tc>
          <w:tcPr>
            <w:tcW w:w="1985" w:type="dxa"/>
            <w:tcBorders>
              <w:top w:val="nil"/>
              <w:left w:val="nil"/>
              <w:bottom w:val="single" w:sz="4" w:space="0" w:color="auto"/>
              <w:right w:val="single" w:sz="4" w:space="0" w:color="auto"/>
            </w:tcBorders>
            <w:noWrap/>
            <w:vAlign w:val="center"/>
          </w:tcPr>
          <w:p w14:paraId="6B61398C" w14:textId="3C1FDECF"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1925</w:t>
            </w:r>
          </w:p>
        </w:tc>
        <w:tc>
          <w:tcPr>
            <w:tcW w:w="1701" w:type="dxa"/>
            <w:tcBorders>
              <w:top w:val="nil"/>
              <w:left w:val="nil"/>
              <w:bottom w:val="single" w:sz="4" w:space="0" w:color="auto"/>
              <w:right w:val="single" w:sz="4" w:space="0" w:color="auto"/>
            </w:tcBorders>
            <w:noWrap/>
            <w:vAlign w:val="center"/>
          </w:tcPr>
          <w:p w14:paraId="0BE9A5A6" w14:textId="395CCA46"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5</w:t>
            </w:r>
          </w:p>
        </w:tc>
        <w:tc>
          <w:tcPr>
            <w:tcW w:w="1417" w:type="dxa"/>
            <w:tcBorders>
              <w:top w:val="nil"/>
              <w:left w:val="nil"/>
              <w:bottom w:val="single" w:sz="4" w:space="0" w:color="auto"/>
              <w:right w:val="single" w:sz="4" w:space="0" w:color="auto"/>
            </w:tcBorders>
            <w:noWrap/>
            <w:vAlign w:val="center"/>
          </w:tcPr>
          <w:p w14:paraId="1D849977" w14:textId="206D71FD"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14</w:t>
            </w:r>
          </w:p>
        </w:tc>
        <w:tc>
          <w:tcPr>
            <w:tcW w:w="1559" w:type="dxa"/>
            <w:tcBorders>
              <w:top w:val="nil"/>
              <w:left w:val="nil"/>
              <w:bottom w:val="single" w:sz="4" w:space="0" w:color="auto"/>
              <w:right w:val="single" w:sz="4" w:space="0" w:color="auto"/>
            </w:tcBorders>
            <w:noWrap/>
            <w:vAlign w:val="center"/>
          </w:tcPr>
          <w:p w14:paraId="03001AA3" w14:textId="524182C8"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0.73</w:t>
            </w:r>
          </w:p>
        </w:tc>
      </w:tr>
      <w:tr w:rsidR="00225268" w:rsidRPr="00465A16" w14:paraId="55437694" w14:textId="77777777" w:rsidTr="00DE5254">
        <w:trPr>
          <w:trHeight w:val="312"/>
        </w:trPr>
        <w:tc>
          <w:tcPr>
            <w:tcW w:w="1271" w:type="dxa"/>
            <w:tcBorders>
              <w:top w:val="nil"/>
              <w:left w:val="single" w:sz="4" w:space="0" w:color="auto"/>
              <w:bottom w:val="single" w:sz="4" w:space="0" w:color="auto"/>
              <w:right w:val="single" w:sz="4" w:space="0" w:color="auto"/>
            </w:tcBorders>
            <w:noWrap/>
            <w:vAlign w:val="center"/>
            <w:hideMark/>
          </w:tcPr>
          <w:p w14:paraId="509E8B79" w14:textId="77777777" w:rsidR="00225268" w:rsidRPr="00AF327F" w:rsidRDefault="00225268" w:rsidP="00225268">
            <w:pPr>
              <w:spacing w:after="0" w:line="240" w:lineRule="auto"/>
              <w:rPr>
                <w:rFonts w:eastAsia="Times New Roman"/>
                <w:spacing w:val="0"/>
                <w:lang w:eastAsia="es-DO"/>
              </w:rPr>
            </w:pPr>
            <w:r w:rsidRPr="00AF327F">
              <w:rPr>
                <w:rFonts w:eastAsia="Times New Roman"/>
                <w:spacing w:val="0"/>
                <w:lang w:eastAsia="es-DO"/>
              </w:rPr>
              <w:t>Agosto</w:t>
            </w:r>
          </w:p>
        </w:tc>
        <w:tc>
          <w:tcPr>
            <w:tcW w:w="1985" w:type="dxa"/>
            <w:tcBorders>
              <w:top w:val="nil"/>
              <w:left w:val="nil"/>
              <w:bottom w:val="single" w:sz="4" w:space="0" w:color="auto"/>
              <w:right w:val="single" w:sz="4" w:space="0" w:color="auto"/>
            </w:tcBorders>
            <w:noWrap/>
            <w:vAlign w:val="center"/>
          </w:tcPr>
          <w:p w14:paraId="6D5976D3" w14:textId="599F3257"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1919</w:t>
            </w:r>
          </w:p>
        </w:tc>
        <w:tc>
          <w:tcPr>
            <w:tcW w:w="1701" w:type="dxa"/>
            <w:tcBorders>
              <w:top w:val="nil"/>
              <w:left w:val="nil"/>
              <w:bottom w:val="single" w:sz="4" w:space="0" w:color="auto"/>
              <w:right w:val="single" w:sz="4" w:space="0" w:color="auto"/>
            </w:tcBorders>
            <w:noWrap/>
            <w:vAlign w:val="center"/>
          </w:tcPr>
          <w:p w14:paraId="1C305CA3" w14:textId="2A3640B7"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11</w:t>
            </w:r>
          </w:p>
        </w:tc>
        <w:tc>
          <w:tcPr>
            <w:tcW w:w="1417" w:type="dxa"/>
            <w:tcBorders>
              <w:top w:val="nil"/>
              <w:left w:val="nil"/>
              <w:bottom w:val="single" w:sz="4" w:space="0" w:color="auto"/>
              <w:right w:val="single" w:sz="4" w:space="0" w:color="auto"/>
            </w:tcBorders>
            <w:noWrap/>
            <w:vAlign w:val="center"/>
          </w:tcPr>
          <w:p w14:paraId="065EA6EB" w14:textId="148B8295"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17</w:t>
            </w:r>
          </w:p>
        </w:tc>
        <w:tc>
          <w:tcPr>
            <w:tcW w:w="1559" w:type="dxa"/>
            <w:tcBorders>
              <w:top w:val="nil"/>
              <w:left w:val="nil"/>
              <w:bottom w:val="single" w:sz="4" w:space="0" w:color="auto"/>
              <w:right w:val="single" w:sz="4" w:space="0" w:color="auto"/>
            </w:tcBorders>
            <w:noWrap/>
            <w:vAlign w:val="center"/>
          </w:tcPr>
          <w:p w14:paraId="783646B5" w14:textId="4870B136"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0.88</w:t>
            </w:r>
          </w:p>
        </w:tc>
      </w:tr>
      <w:tr w:rsidR="00225268" w:rsidRPr="00465A16" w14:paraId="146E71C8" w14:textId="77777777" w:rsidTr="00DE5254">
        <w:trPr>
          <w:trHeight w:val="312"/>
        </w:trPr>
        <w:tc>
          <w:tcPr>
            <w:tcW w:w="1271" w:type="dxa"/>
            <w:tcBorders>
              <w:top w:val="nil"/>
              <w:left w:val="single" w:sz="4" w:space="0" w:color="auto"/>
              <w:bottom w:val="single" w:sz="4" w:space="0" w:color="auto"/>
              <w:right w:val="single" w:sz="4" w:space="0" w:color="auto"/>
            </w:tcBorders>
            <w:noWrap/>
            <w:vAlign w:val="center"/>
            <w:hideMark/>
          </w:tcPr>
          <w:p w14:paraId="1828EA1A" w14:textId="77777777" w:rsidR="00225268" w:rsidRPr="00AF327F" w:rsidRDefault="00225268" w:rsidP="00225268">
            <w:pPr>
              <w:spacing w:after="0" w:line="240" w:lineRule="auto"/>
              <w:rPr>
                <w:rFonts w:eastAsia="Times New Roman"/>
                <w:spacing w:val="0"/>
                <w:lang w:eastAsia="es-DO"/>
              </w:rPr>
            </w:pPr>
            <w:r w:rsidRPr="00AF327F">
              <w:rPr>
                <w:rFonts w:eastAsia="Times New Roman"/>
                <w:spacing w:val="0"/>
                <w:lang w:eastAsia="es-DO"/>
              </w:rPr>
              <w:t>Septiembre</w:t>
            </w:r>
          </w:p>
        </w:tc>
        <w:tc>
          <w:tcPr>
            <w:tcW w:w="1985" w:type="dxa"/>
            <w:tcBorders>
              <w:top w:val="nil"/>
              <w:left w:val="nil"/>
              <w:bottom w:val="single" w:sz="4" w:space="0" w:color="auto"/>
              <w:right w:val="single" w:sz="4" w:space="0" w:color="auto"/>
            </w:tcBorders>
            <w:noWrap/>
            <w:vAlign w:val="center"/>
          </w:tcPr>
          <w:p w14:paraId="74A9B538" w14:textId="00E5CBA8"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1914</w:t>
            </w:r>
          </w:p>
        </w:tc>
        <w:tc>
          <w:tcPr>
            <w:tcW w:w="1701" w:type="dxa"/>
            <w:tcBorders>
              <w:top w:val="nil"/>
              <w:left w:val="nil"/>
              <w:bottom w:val="single" w:sz="4" w:space="0" w:color="auto"/>
              <w:right w:val="single" w:sz="4" w:space="0" w:color="auto"/>
            </w:tcBorders>
            <w:noWrap/>
            <w:vAlign w:val="center"/>
          </w:tcPr>
          <w:p w14:paraId="2D9A1404" w14:textId="61DA8D48"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7</w:t>
            </w:r>
          </w:p>
        </w:tc>
        <w:tc>
          <w:tcPr>
            <w:tcW w:w="1417" w:type="dxa"/>
            <w:tcBorders>
              <w:top w:val="nil"/>
              <w:left w:val="nil"/>
              <w:bottom w:val="single" w:sz="4" w:space="0" w:color="auto"/>
              <w:right w:val="single" w:sz="4" w:space="0" w:color="auto"/>
            </w:tcBorders>
            <w:noWrap/>
            <w:vAlign w:val="center"/>
          </w:tcPr>
          <w:p w14:paraId="0AFE9BDF" w14:textId="4B8F84C5"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12</w:t>
            </w:r>
          </w:p>
        </w:tc>
        <w:tc>
          <w:tcPr>
            <w:tcW w:w="1559" w:type="dxa"/>
            <w:tcBorders>
              <w:top w:val="nil"/>
              <w:left w:val="nil"/>
              <w:bottom w:val="single" w:sz="4" w:space="0" w:color="auto"/>
              <w:right w:val="single" w:sz="4" w:space="0" w:color="auto"/>
            </w:tcBorders>
            <w:noWrap/>
            <w:vAlign w:val="center"/>
          </w:tcPr>
          <w:p w14:paraId="64AE7940" w14:textId="2D495B77"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0.62</w:t>
            </w:r>
          </w:p>
        </w:tc>
      </w:tr>
      <w:tr w:rsidR="00225268" w:rsidRPr="00465A16" w14:paraId="3F7218CA" w14:textId="77777777" w:rsidTr="00DE5254">
        <w:trPr>
          <w:trHeight w:val="312"/>
        </w:trPr>
        <w:tc>
          <w:tcPr>
            <w:tcW w:w="1271" w:type="dxa"/>
            <w:tcBorders>
              <w:top w:val="nil"/>
              <w:left w:val="single" w:sz="4" w:space="0" w:color="auto"/>
              <w:bottom w:val="single" w:sz="4" w:space="0" w:color="auto"/>
              <w:right w:val="single" w:sz="4" w:space="0" w:color="auto"/>
            </w:tcBorders>
            <w:noWrap/>
            <w:vAlign w:val="center"/>
            <w:hideMark/>
          </w:tcPr>
          <w:p w14:paraId="6C0FBDDA" w14:textId="77777777" w:rsidR="00225268" w:rsidRPr="00AF327F" w:rsidRDefault="00225268" w:rsidP="00225268">
            <w:pPr>
              <w:spacing w:after="0" w:line="240" w:lineRule="auto"/>
              <w:rPr>
                <w:rFonts w:eastAsia="Times New Roman"/>
                <w:spacing w:val="0"/>
                <w:lang w:eastAsia="es-DO"/>
              </w:rPr>
            </w:pPr>
            <w:r w:rsidRPr="00AF327F">
              <w:rPr>
                <w:rFonts w:eastAsia="Times New Roman"/>
                <w:spacing w:val="0"/>
                <w:lang w:eastAsia="es-DO"/>
              </w:rPr>
              <w:t>Octubre</w:t>
            </w:r>
          </w:p>
        </w:tc>
        <w:tc>
          <w:tcPr>
            <w:tcW w:w="1985" w:type="dxa"/>
            <w:tcBorders>
              <w:top w:val="nil"/>
              <w:left w:val="nil"/>
              <w:bottom w:val="single" w:sz="4" w:space="0" w:color="auto"/>
              <w:right w:val="single" w:sz="4" w:space="0" w:color="auto"/>
            </w:tcBorders>
            <w:noWrap/>
            <w:vAlign w:val="center"/>
          </w:tcPr>
          <w:p w14:paraId="32F336E1" w14:textId="67850EDD"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1916</w:t>
            </w:r>
          </w:p>
        </w:tc>
        <w:tc>
          <w:tcPr>
            <w:tcW w:w="1701" w:type="dxa"/>
            <w:tcBorders>
              <w:top w:val="nil"/>
              <w:left w:val="nil"/>
              <w:bottom w:val="single" w:sz="4" w:space="0" w:color="auto"/>
              <w:right w:val="single" w:sz="4" w:space="0" w:color="auto"/>
            </w:tcBorders>
            <w:noWrap/>
            <w:vAlign w:val="center"/>
          </w:tcPr>
          <w:p w14:paraId="378D11C2" w14:textId="5AF702E8"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13</w:t>
            </w:r>
          </w:p>
        </w:tc>
        <w:tc>
          <w:tcPr>
            <w:tcW w:w="1417" w:type="dxa"/>
            <w:tcBorders>
              <w:top w:val="nil"/>
              <w:left w:val="nil"/>
              <w:bottom w:val="single" w:sz="4" w:space="0" w:color="auto"/>
              <w:right w:val="single" w:sz="4" w:space="0" w:color="auto"/>
            </w:tcBorders>
            <w:noWrap/>
            <w:vAlign w:val="center"/>
          </w:tcPr>
          <w:p w14:paraId="39EF05E9" w14:textId="07395468"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11</w:t>
            </w:r>
          </w:p>
        </w:tc>
        <w:tc>
          <w:tcPr>
            <w:tcW w:w="1559" w:type="dxa"/>
            <w:tcBorders>
              <w:top w:val="nil"/>
              <w:left w:val="nil"/>
              <w:bottom w:val="single" w:sz="4" w:space="0" w:color="auto"/>
              <w:right w:val="single" w:sz="4" w:space="0" w:color="auto"/>
            </w:tcBorders>
            <w:noWrap/>
            <w:vAlign w:val="center"/>
          </w:tcPr>
          <w:p w14:paraId="21C28B98" w14:textId="1CF9C11B"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0.57</w:t>
            </w:r>
          </w:p>
        </w:tc>
      </w:tr>
      <w:tr w:rsidR="00225268" w:rsidRPr="00465A16" w14:paraId="10F28ABB" w14:textId="77777777" w:rsidTr="00DE5254">
        <w:trPr>
          <w:trHeight w:val="312"/>
        </w:trPr>
        <w:tc>
          <w:tcPr>
            <w:tcW w:w="1271" w:type="dxa"/>
            <w:tcBorders>
              <w:top w:val="nil"/>
              <w:left w:val="single" w:sz="4" w:space="0" w:color="auto"/>
              <w:bottom w:val="single" w:sz="4" w:space="0" w:color="auto"/>
              <w:right w:val="single" w:sz="4" w:space="0" w:color="auto"/>
            </w:tcBorders>
            <w:noWrap/>
            <w:vAlign w:val="center"/>
            <w:hideMark/>
          </w:tcPr>
          <w:p w14:paraId="172DDDAB" w14:textId="77777777" w:rsidR="00225268" w:rsidRPr="00AF327F" w:rsidRDefault="00225268" w:rsidP="00225268">
            <w:pPr>
              <w:spacing w:after="0" w:line="240" w:lineRule="auto"/>
              <w:rPr>
                <w:rFonts w:eastAsia="Times New Roman"/>
                <w:spacing w:val="0"/>
                <w:lang w:eastAsia="es-DO"/>
              </w:rPr>
            </w:pPr>
            <w:r w:rsidRPr="00AF327F">
              <w:rPr>
                <w:rFonts w:eastAsia="Times New Roman"/>
                <w:spacing w:val="0"/>
                <w:lang w:eastAsia="es-DO"/>
              </w:rPr>
              <w:t>Noviembre</w:t>
            </w:r>
          </w:p>
        </w:tc>
        <w:tc>
          <w:tcPr>
            <w:tcW w:w="1985" w:type="dxa"/>
            <w:tcBorders>
              <w:top w:val="nil"/>
              <w:left w:val="nil"/>
              <w:bottom w:val="single" w:sz="4" w:space="0" w:color="auto"/>
              <w:right w:val="single" w:sz="4" w:space="0" w:color="auto"/>
            </w:tcBorders>
            <w:noWrap/>
            <w:vAlign w:val="center"/>
          </w:tcPr>
          <w:p w14:paraId="559DAC41" w14:textId="44D9A6F3"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1925</w:t>
            </w:r>
          </w:p>
        </w:tc>
        <w:tc>
          <w:tcPr>
            <w:tcW w:w="1701" w:type="dxa"/>
            <w:tcBorders>
              <w:top w:val="nil"/>
              <w:left w:val="nil"/>
              <w:bottom w:val="single" w:sz="4" w:space="0" w:color="auto"/>
              <w:right w:val="single" w:sz="4" w:space="0" w:color="auto"/>
            </w:tcBorders>
            <w:noWrap/>
            <w:vAlign w:val="center"/>
          </w:tcPr>
          <w:p w14:paraId="1CE6303A" w14:textId="52F77209"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22</w:t>
            </w:r>
          </w:p>
        </w:tc>
        <w:tc>
          <w:tcPr>
            <w:tcW w:w="1417" w:type="dxa"/>
            <w:tcBorders>
              <w:top w:val="nil"/>
              <w:left w:val="nil"/>
              <w:bottom w:val="single" w:sz="4" w:space="0" w:color="auto"/>
              <w:right w:val="single" w:sz="4" w:space="0" w:color="auto"/>
            </w:tcBorders>
            <w:noWrap/>
            <w:vAlign w:val="center"/>
          </w:tcPr>
          <w:p w14:paraId="45D4E927" w14:textId="51D2B34E"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13</w:t>
            </w:r>
          </w:p>
        </w:tc>
        <w:tc>
          <w:tcPr>
            <w:tcW w:w="1559" w:type="dxa"/>
            <w:tcBorders>
              <w:top w:val="nil"/>
              <w:left w:val="nil"/>
              <w:bottom w:val="single" w:sz="4" w:space="0" w:color="auto"/>
              <w:right w:val="single" w:sz="4" w:space="0" w:color="auto"/>
            </w:tcBorders>
            <w:noWrap/>
            <w:vAlign w:val="center"/>
          </w:tcPr>
          <w:p w14:paraId="14014CF8" w14:textId="0F226DF0"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0.68</w:t>
            </w:r>
          </w:p>
        </w:tc>
      </w:tr>
      <w:tr w:rsidR="00225268" w:rsidRPr="00465A16" w14:paraId="70B16ADF" w14:textId="77777777" w:rsidTr="00DE5254">
        <w:trPr>
          <w:trHeight w:val="312"/>
        </w:trPr>
        <w:tc>
          <w:tcPr>
            <w:tcW w:w="1271" w:type="dxa"/>
            <w:tcBorders>
              <w:top w:val="nil"/>
              <w:left w:val="single" w:sz="4" w:space="0" w:color="auto"/>
              <w:bottom w:val="single" w:sz="4" w:space="0" w:color="auto"/>
              <w:right w:val="single" w:sz="4" w:space="0" w:color="auto"/>
            </w:tcBorders>
            <w:noWrap/>
            <w:vAlign w:val="center"/>
            <w:hideMark/>
          </w:tcPr>
          <w:p w14:paraId="43C0EA18" w14:textId="77777777" w:rsidR="00225268" w:rsidRPr="00AF327F" w:rsidRDefault="00225268" w:rsidP="00225268">
            <w:pPr>
              <w:spacing w:after="0" w:line="240" w:lineRule="auto"/>
              <w:rPr>
                <w:rFonts w:eastAsia="Times New Roman"/>
                <w:spacing w:val="0"/>
                <w:lang w:eastAsia="es-DO"/>
              </w:rPr>
            </w:pPr>
            <w:r w:rsidRPr="00AF327F">
              <w:rPr>
                <w:rFonts w:eastAsia="Times New Roman"/>
                <w:spacing w:val="0"/>
                <w:lang w:eastAsia="es-DO"/>
              </w:rPr>
              <w:t>Diciembre</w:t>
            </w:r>
          </w:p>
        </w:tc>
        <w:tc>
          <w:tcPr>
            <w:tcW w:w="1985" w:type="dxa"/>
            <w:tcBorders>
              <w:top w:val="nil"/>
              <w:left w:val="nil"/>
              <w:bottom w:val="single" w:sz="4" w:space="0" w:color="auto"/>
              <w:right w:val="single" w:sz="4" w:space="0" w:color="auto"/>
            </w:tcBorders>
            <w:noWrap/>
            <w:vAlign w:val="center"/>
          </w:tcPr>
          <w:p w14:paraId="5AE18378" w14:textId="61A07BAD"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1930</w:t>
            </w:r>
          </w:p>
        </w:tc>
        <w:tc>
          <w:tcPr>
            <w:tcW w:w="1701" w:type="dxa"/>
            <w:tcBorders>
              <w:top w:val="nil"/>
              <w:left w:val="nil"/>
              <w:bottom w:val="single" w:sz="4" w:space="0" w:color="auto"/>
              <w:right w:val="single" w:sz="4" w:space="0" w:color="auto"/>
            </w:tcBorders>
            <w:noWrap/>
            <w:vAlign w:val="center"/>
          </w:tcPr>
          <w:p w14:paraId="187D69E3" w14:textId="6F7FA756"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10</w:t>
            </w:r>
          </w:p>
        </w:tc>
        <w:tc>
          <w:tcPr>
            <w:tcW w:w="1417" w:type="dxa"/>
            <w:tcBorders>
              <w:top w:val="nil"/>
              <w:left w:val="nil"/>
              <w:bottom w:val="single" w:sz="4" w:space="0" w:color="auto"/>
              <w:right w:val="single" w:sz="4" w:space="0" w:color="auto"/>
            </w:tcBorders>
            <w:noWrap/>
            <w:vAlign w:val="center"/>
          </w:tcPr>
          <w:p w14:paraId="1E53F465" w14:textId="703A8696"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5</w:t>
            </w:r>
          </w:p>
        </w:tc>
        <w:tc>
          <w:tcPr>
            <w:tcW w:w="1559" w:type="dxa"/>
            <w:tcBorders>
              <w:top w:val="nil"/>
              <w:left w:val="nil"/>
              <w:bottom w:val="single" w:sz="4" w:space="0" w:color="auto"/>
              <w:right w:val="single" w:sz="4" w:space="0" w:color="auto"/>
            </w:tcBorders>
            <w:noWrap/>
            <w:vAlign w:val="center"/>
          </w:tcPr>
          <w:p w14:paraId="15D392BF" w14:textId="36E03AF9" w:rsidR="00225268" w:rsidRPr="00AF327F" w:rsidRDefault="00225268" w:rsidP="00225268">
            <w:pPr>
              <w:spacing w:after="0" w:line="240" w:lineRule="auto"/>
              <w:jc w:val="center"/>
              <w:rPr>
                <w:rFonts w:eastAsia="Times New Roman"/>
                <w:spacing w:val="0"/>
                <w:lang w:eastAsia="es-DO"/>
              </w:rPr>
            </w:pPr>
            <w:r>
              <w:rPr>
                <w:rFonts w:eastAsia="Times New Roman"/>
                <w:spacing w:val="0"/>
                <w:lang w:eastAsia="es-DO"/>
              </w:rPr>
              <w:t>0.26</w:t>
            </w:r>
          </w:p>
        </w:tc>
      </w:tr>
      <w:tr w:rsidR="00DE5254" w:rsidRPr="00465A16" w14:paraId="1232DE15" w14:textId="77777777" w:rsidTr="00DE5254">
        <w:trPr>
          <w:trHeight w:val="106"/>
        </w:trPr>
        <w:tc>
          <w:tcPr>
            <w:tcW w:w="1271" w:type="dxa"/>
            <w:tcBorders>
              <w:top w:val="nil"/>
              <w:left w:val="single" w:sz="4" w:space="0" w:color="auto"/>
              <w:bottom w:val="single" w:sz="4" w:space="0" w:color="auto"/>
              <w:right w:val="single" w:sz="4" w:space="0" w:color="auto"/>
            </w:tcBorders>
            <w:shd w:val="clear" w:color="auto" w:fill="011C50"/>
            <w:noWrap/>
            <w:vAlign w:val="center"/>
            <w:hideMark/>
          </w:tcPr>
          <w:p w14:paraId="615DE3C5" w14:textId="77777777" w:rsidR="00DE5254" w:rsidRPr="00465A16" w:rsidRDefault="00DE5254" w:rsidP="00DE5254">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Totales</w:t>
            </w:r>
          </w:p>
        </w:tc>
        <w:tc>
          <w:tcPr>
            <w:tcW w:w="1985" w:type="dxa"/>
            <w:tcBorders>
              <w:top w:val="nil"/>
              <w:left w:val="nil"/>
              <w:bottom w:val="single" w:sz="4" w:space="0" w:color="auto"/>
              <w:right w:val="single" w:sz="4" w:space="0" w:color="auto"/>
            </w:tcBorders>
            <w:shd w:val="clear" w:color="auto" w:fill="011C50"/>
            <w:noWrap/>
            <w:vAlign w:val="center"/>
            <w:hideMark/>
          </w:tcPr>
          <w:p w14:paraId="69F7F905" w14:textId="77777777" w:rsidR="00DE5254" w:rsidRPr="00465A16" w:rsidRDefault="00DE5254" w:rsidP="00DE5254">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 </w:t>
            </w:r>
          </w:p>
        </w:tc>
        <w:tc>
          <w:tcPr>
            <w:tcW w:w="1701" w:type="dxa"/>
            <w:tcBorders>
              <w:top w:val="nil"/>
              <w:left w:val="nil"/>
              <w:bottom w:val="single" w:sz="4" w:space="0" w:color="auto"/>
              <w:right w:val="single" w:sz="4" w:space="0" w:color="auto"/>
            </w:tcBorders>
            <w:shd w:val="clear" w:color="auto" w:fill="011C50"/>
            <w:noWrap/>
            <w:vAlign w:val="center"/>
            <w:hideMark/>
          </w:tcPr>
          <w:p w14:paraId="691929B4" w14:textId="77777777" w:rsidR="00DE5254" w:rsidRPr="00465A16" w:rsidRDefault="00DE5254" w:rsidP="00DE5254">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185</w:t>
            </w:r>
          </w:p>
        </w:tc>
        <w:tc>
          <w:tcPr>
            <w:tcW w:w="1417" w:type="dxa"/>
            <w:tcBorders>
              <w:top w:val="nil"/>
              <w:left w:val="nil"/>
              <w:bottom w:val="single" w:sz="4" w:space="0" w:color="auto"/>
              <w:right w:val="single" w:sz="4" w:space="0" w:color="auto"/>
            </w:tcBorders>
            <w:shd w:val="clear" w:color="auto" w:fill="011C50"/>
            <w:noWrap/>
            <w:vAlign w:val="center"/>
            <w:hideMark/>
          </w:tcPr>
          <w:p w14:paraId="0561C605" w14:textId="77777777" w:rsidR="00DE5254" w:rsidRPr="00465A16" w:rsidRDefault="00DE5254" w:rsidP="00DE5254">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142</w:t>
            </w:r>
          </w:p>
        </w:tc>
        <w:tc>
          <w:tcPr>
            <w:tcW w:w="1559" w:type="dxa"/>
            <w:tcBorders>
              <w:top w:val="nil"/>
              <w:left w:val="nil"/>
              <w:bottom w:val="single" w:sz="4" w:space="0" w:color="auto"/>
              <w:right w:val="single" w:sz="4" w:space="0" w:color="auto"/>
            </w:tcBorders>
            <w:shd w:val="clear" w:color="auto" w:fill="011C50"/>
            <w:noWrap/>
            <w:vAlign w:val="center"/>
            <w:hideMark/>
          </w:tcPr>
          <w:p w14:paraId="12F66950" w14:textId="53CC3408" w:rsidR="00DE5254" w:rsidRPr="00465A16" w:rsidRDefault="00DE5254" w:rsidP="00DE5254">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0.0</w:t>
            </w:r>
            <w:r w:rsidR="00225268">
              <w:rPr>
                <w:rFonts w:eastAsia="Times New Roman"/>
                <w:b/>
                <w:bCs/>
                <w:color w:val="FFFFFF"/>
                <w:spacing w:val="0"/>
                <w:lang w:eastAsia="es-DO"/>
              </w:rPr>
              <w:t>8</w:t>
            </w:r>
          </w:p>
        </w:tc>
      </w:tr>
    </w:tbl>
    <w:p w14:paraId="60E56969" w14:textId="10BC8FD3" w:rsidR="00DE5254" w:rsidRPr="00AF327F" w:rsidRDefault="00DE5254" w:rsidP="00DE5254">
      <w:pPr>
        <w:spacing w:line="360" w:lineRule="auto"/>
        <w:jc w:val="center"/>
        <w:rPr>
          <w:sz w:val="18"/>
          <w:szCs w:val="18"/>
        </w:rPr>
      </w:pPr>
      <w:r w:rsidRPr="00AF327F">
        <w:rPr>
          <w:sz w:val="18"/>
          <w:szCs w:val="18"/>
        </w:rPr>
        <w:t>Tabla 1</w:t>
      </w:r>
      <w:r w:rsidR="006A4423" w:rsidRPr="00AF327F">
        <w:rPr>
          <w:sz w:val="18"/>
          <w:szCs w:val="18"/>
        </w:rPr>
        <w:t>8</w:t>
      </w:r>
      <w:r w:rsidRPr="00AF327F">
        <w:rPr>
          <w:sz w:val="18"/>
          <w:szCs w:val="18"/>
        </w:rPr>
        <w:t>. Índice de rotación de personal</w:t>
      </w:r>
      <w:r w:rsidR="00225268">
        <w:rPr>
          <w:sz w:val="18"/>
          <w:szCs w:val="18"/>
        </w:rPr>
        <w:t xml:space="preserve"> 2025</w:t>
      </w:r>
    </w:p>
    <w:p w14:paraId="22C642FC" w14:textId="230545DC" w:rsidR="00DE5254" w:rsidRPr="00FA4C09" w:rsidRDefault="00DE5254" w:rsidP="00DE5254">
      <w:pPr>
        <w:spacing w:line="360" w:lineRule="auto"/>
        <w:jc w:val="center"/>
        <w:rPr>
          <w:i/>
          <w:iCs/>
          <w:sz w:val="18"/>
          <w:szCs w:val="18"/>
        </w:rPr>
      </w:pPr>
      <w:r w:rsidRPr="00FA4C09">
        <w:rPr>
          <w:i/>
          <w:iCs/>
          <w:sz w:val="18"/>
          <w:szCs w:val="18"/>
        </w:rPr>
        <w:t>Fuente. Dirección de Recursos Humanos</w:t>
      </w:r>
    </w:p>
    <w:p w14:paraId="673FD7FA" w14:textId="46EAA0CB" w:rsidR="00DE5254" w:rsidRPr="00465A16" w:rsidRDefault="00DE5254" w:rsidP="00C934DB">
      <w:pPr>
        <w:spacing w:line="360" w:lineRule="auto"/>
        <w:jc w:val="both"/>
        <w:rPr>
          <w:color w:val="4C4747"/>
        </w:rPr>
      </w:pPr>
      <w:r w:rsidRPr="00AF327F">
        <w:t>Respecto a la distribución de los colaboradores según el grupo ocupacional en que se encuentran, el 5</w:t>
      </w:r>
      <w:r w:rsidR="004E79CD">
        <w:t>6</w:t>
      </w:r>
      <w:r w:rsidRPr="00AF327F">
        <w:t xml:space="preserve">% pertenece al Grupo 4, el 15% al grupo 5, un 18% al grupo 2, un 6% al grupo al grupo 1, un 3% al grupo 3, el 2% son cargos de confianza, y con 3 colaboradores </w:t>
      </w:r>
      <w:r w:rsidRPr="004E79CD">
        <w:t>representando un 0% están los de</w:t>
      </w:r>
      <w:r w:rsidR="002E3F81" w:rsidRPr="004E79CD">
        <w:t xml:space="preserve"> </w:t>
      </w:r>
      <w:r w:rsidRPr="004E79CD">
        <w:t>libre nombramiento y remoción.</w:t>
      </w:r>
      <w:r w:rsidR="00F6615C" w:rsidRPr="004E79CD">
        <w:t xml:space="preserve"> </w:t>
      </w:r>
      <w:r w:rsidR="004E79CD" w:rsidRPr="004E79CD">
        <w:t>Estas cifras se mantendrán hasta cierre de año.</w:t>
      </w:r>
    </w:p>
    <w:tbl>
      <w:tblPr>
        <w:tblpPr w:leftFromText="141" w:rightFromText="141" w:vertAnchor="text" w:horzAnchor="margin" w:tblpY="232"/>
        <w:tblW w:w="7938" w:type="dxa"/>
        <w:tblLayout w:type="fixed"/>
        <w:tblCellMar>
          <w:left w:w="70" w:type="dxa"/>
          <w:right w:w="70" w:type="dxa"/>
        </w:tblCellMar>
        <w:tblLook w:val="04A0" w:firstRow="1" w:lastRow="0" w:firstColumn="1" w:lastColumn="0" w:noHBand="0" w:noVBand="1"/>
      </w:tblPr>
      <w:tblGrid>
        <w:gridCol w:w="4536"/>
        <w:gridCol w:w="851"/>
        <w:gridCol w:w="850"/>
        <w:gridCol w:w="851"/>
        <w:gridCol w:w="850"/>
      </w:tblGrid>
      <w:tr w:rsidR="00DB06F7" w:rsidRPr="00465A16" w14:paraId="5CFB4B19" w14:textId="77777777" w:rsidTr="00DB06F7">
        <w:trPr>
          <w:trHeight w:val="126"/>
        </w:trPr>
        <w:tc>
          <w:tcPr>
            <w:tcW w:w="4536"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0B7BCBE2" w14:textId="77777777" w:rsidR="00DB06F7" w:rsidRPr="00465A16" w:rsidRDefault="00DB06F7" w:rsidP="00DB06F7">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Grupos</w:t>
            </w:r>
          </w:p>
        </w:tc>
        <w:tc>
          <w:tcPr>
            <w:tcW w:w="851" w:type="dxa"/>
            <w:tcBorders>
              <w:top w:val="single" w:sz="4" w:space="0" w:color="auto"/>
              <w:left w:val="nil"/>
              <w:bottom w:val="single" w:sz="4" w:space="0" w:color="auto"/>
              <w:right w:val="single" w:sz="4" w:space="0" w:color="auto"/>
            </w:tcBorders>
            <w:shd w:val="clear" w:color="auto" w:fill="011C50"/>
          </w:tcPr>
          <w:p w14:paraId="274961BD" w14:textId="77777777" w:rsidR="00DB06F7" w:rsidRPr="00465A16" w:rsidRDefault="00DB06F7" w:rsidP="00DB06F7">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F</w:t>
            </w:r>
          </w:p>
        </w:tc>
        <w:tc>
          <w:tcPr>
            <w:tcW w:w="850" w:type="dxa"/>
            <w:tcBorders>
              <w:top w:val="single" w:sz="4" w:space="0" w:color="auto"/>
              <w:left w:val="single" w:sz="4" w:space="0" w:color="auto"/>
              <w:bottom w:val="single" w:sz="4" w:space="0" w:color="auto"/>
              <w:right w:val="single" w:sz="4" w:space="0" w:color="auto"/>
            </w:tcBorders>
            <w:shd w:val="clear" w:color="auto" w:fill="011C50"/>
          </w:tcPr>
          <w:p w14:paraId="453751D2" w14:textId="77777777" w:rsidR="00DB06F7" w:rsidRPr="00465A16" w:rsidRDefault="00DB06F7" w:rsidP="00DB06F7">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M</w:t>
            </w:r>
          </w:p>
        </w:tc>
        <w:tc>
          <w:tcPr>
            <w:tcW w:w="851"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764ACE09" w14:textId="77777777" w:rsidR="00DB06F7" w:rsidRPr="00465A16" w:rsidRDefault="00DB06F7" w:rsidP="00DB06F7">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 xml:space="preserve">Total </w:t>
            </w:r>
          </w:p>
        </w:tc>
        <w:tc>
          <w:tcPr>
            <w:tcW w:w="850" w:type="dxa"/>
            <w:tcBorders>
              <w:top w:val="single" w:sz="4" w:space="0" w:color="auto"/>
              <w:left w:val="nil"/>
              <w:bottom w:val="single" w:sz="4" w:space="0" w:color="auto"/>
              <w:right w:val="single" w:sz="4" w:space="0" w:color="auto"/>
            </w:tcBorders>
            <w:shd w:val="clear" w:color="auto" w:fill="011C50"/>
            <w:noWrap/>
            <w:vAlign w:val="bottom"/>
            <w:hideMark/>
          </w:tcPr>
          <w:p w14:paraId="2ECF2CED" w14:textId="77777777" w:rsidR="00DB06F7" w:rsidRPr="00465A16" w:rsidRDefault="00DB06F7" w:rsidP="00DB06F7">
            <w:pPr>
              <w:spacing w:after="0" w:line="24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w:t>
            </w:r>
          </w:p>
        </w:tc>
      </w:tr>
      <w:tr w:rsidR="00DB06F7" w:rsidRPr="00465A16" w14:paraId="4115321A" w14:textId="77777777" w:rsidTr="00DB06F7">
        <w:trPr>
          <w:trHeight w:val="312"/>
        </w:trPr>
        <w:tc>
          <w:tcPr>
            <w:tcW w:w="4536" w:type="dxa"/>
            <w:tcBorders>
              <w:top w:val="nil"/>
              <w:left w:val="single" w:sz="4" w:space="0" w:color="auto"/>
              <w:bottom w:val="single" w:sz="4" w:space="0" w:color="auto"/>
              <w:right w:val="single" w:sz="4" w:space="0" w:color="auto"/>
            </w:tcBorders>
            <w:vAlign w:val="center"/>
            <w:hideMark/>
          </w:tcPr>
          <w:p w14:paraId="2F7CF778" w14:textId="77777777" w:rsidR="00DB06F7" w:rsidRPr="00AF327F" w:rsidRDefault="00DB06F7" w:rsidP="00DB06F7">
            <w:pPr>
              <w:spacing w:after="0" w:line="240" w:lineRule="auto"/>
              <w:rPr>
                <w:rFonts w:eastAsia="Times New Roman"/>
                <w:spacing w:val="0"/>
                <w:lang w:eastAsia="es-DO"/>
              </w:rPr>
            </w:pPr>
            <w:r w:rsidRPr="00AF327F">
              <w:rPr>
                <w:rFonts w:eastAsia="Times New Roman"/>
                <w:spacing w:val="0"/>
                <w:lang w:eastAsia="es-DO"/>
              </w:rPr>
              <w:t>Libre nombramiento y remoción</w:t>
            </w:r>
          </w:p>
        </w:tc>
        <w:tc>
          <w:tcPr>
            <w:tcW w:w="851" w:type="dxa"/>
            <w:tcBorders>
              <w:top w:val="nil"/>
              <w:left w:val="nil"/>
              <w:bottom w:val="single" w:sz="4" w:space="0" w:color="auto"/>
              <w:right w:val="single" w:sz="4" w:space="0" w:color="auto"/>
            </w:tcBorders>
            <w:vAlign w:val="center"/>
          </w:tcPr>
          <w:p w14:paraId="682E73F5"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N/A</w:t>
            </w:r>
          </w:p>
        </w:tc>
        <w:tc>
          <w:tcPr>
            <w:tcW w:w="850" w:type="dxa"/>
            <w:tcBorders>
              <w:top w:val="nil"/>
              <w:left w:val="single" w:sz="4" w:space="0" w:color="auto"/>
              <w:bottom w:val="single" w:sz="4" w:space="0" w:color="auto"/>
              <w:right w:val="single" w:sz="4" w:space="0" w:color="auto"/>
            </w:tcBorders>
            <w:vAlign w:val="center"/>
          </w:tcPr>
          <w:p w14:paraId="59237524"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3</w:t>
            </w:r>
          </w:p>
        </w:tc>
        <w:tc>
          <w:tcPr>
            <w:tcW w:w="851" w:type="dxa"/>
            <w:tcBorders>
              <w:top w:val="nil"/>
              <w:left w:val="single" w:sz="4" w:space="0" w:color="auto"/>
              <w:bottom w:val="single" w:sz="4" w:space="0" w:color="auto"/>
              <w:right w:val="single" w:sz="4" w:space="0" w:color="auto"/>
            </w:tcBorders>
            <w:noWrap/>
            <w:vAlign w:val="center"/>
            <w:hideMark/>
          </w:tcPr>
          <w:p w14:paraId="4051B893"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3</w:t>
            </w:r>
          </w:p>
        </w:tc>
        <w:tc>
          <w:tcPr>
            <w:tcW w:w="850" w:type="dxa"/>
            <w:tcBorders>
              <w:top w:val="nil"/>
              <w:left w:val="nil"/>
              <w:bottom w:val="single" w:sz="4" w:space="0" w:color="auto"/>
              <w:right w:val="single" w:sz="4" w:space="0" w:color="auto"/>
            </w:tcBorders>
            <w:noWrap/>
            <w:vAlign w:val="center"/>
            <w:hideMark/>
          </w:tcPr>
          <w:p w14:paraId="1A22B8B8"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0%</w:t>
            </w:r>
          </w:p>
        </w:tc>
      </w:tr>
      <w:tr w:rsidR="00DB06F7" w:rsidRPr="00465A16" w14:paraId="3585C708" w14:textId="77777777" w:rsidTr="00DB06F7">
        <w:trPr>
          <w:trHeight w:val="312"/>
        </w:trPr>
        <w:tc>
          <w:tcPr>
            <w:tcW w:w="4536" w:type="dxa"/>
            <w:tcBorders>
              <w:top w:val="nil"/>
              <w:left w:val="single" w:sz="4" w:space="0" w:color="auto"/>
              <w:bottom w:val="single" w:sz="4" w:space="0" w:color="auto"/>
              <w:right w:val="single" w:sz="4" w:space="0" w:color="auto"/>
            </w:tcBorders>
            <w:noWrap/>
            <w:vAlign w:val="center"/>
            <w:hideMark/>
          </w:tcPr>
          <w:p w14:paraId="652FDF51" w14:textId="77777777" w:rsidR="00DB06F7" w:rsidRPr="00AF327F" w:rsidRDefault="00DB06F7" w:rsidP="00DB06F7">
            <w:pPr>
              <w:spacing w:after="0" w:line="240" w:lineRule="auto"/>
              <w:rPr>
                <w:rFonts w:eastAsia="Times New Roman"/>
                <w:spacing w:val="0"/>
                <w:lang w:eastAsia="es-DO"/>
              </w:rPr>
            </w:pPr>
            <w:r w:rsidRPr="00AF327F">
              <w:rPr>
                <w:rFonts w:eastAsia="Times New Roman"/>
                <w:spacing w:val="0"/>
                <w:lang w:eastAsia="es-DO"/>
              </w:rPr>
              <w:t>Cargo de confianza</w:t>
            </w:r>
          </w:p>
        </w:tc>
        <w:tc>
          <w:tcPr>
            <w:tcW w:w="851" w:type="dxa"/>
            <w:tcBorders>
              <w:top w:val="nil"/>
              <w:left w:val="nil"/>
              <w:bottom w:val="single" w:sz="4" w:space="0" w:color="auto"/>
              <w:right w:val="single" w:sz="4" w:space="0" w:color="auto"/>
            </w:tcBorders>
          </w:tcPr>
          <w:p w14:paraId="78971863"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31</w:t>
            </w:r>
          </w:p>
        </w:tc>
        <w:tc>
          <w:tcPr>
            <w:tcW w:w="850" w:type="dxa"/>
            <w:tcBorders>
              <w:top w:val="nil"/>
              <w:left w:val="single" w:sz="4" w:space="0" w:color="auto"/>
              <w:bottom w:val="single" w:sz="4" w:space="0" w:color="auto"/>
              <w:right w:val="single" w:sz="4" w:space="0" w:color="auto"/>
            </w:tcBorders>
          </w:tcPr>
          <w:p w14:paraId="578F98BB"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5</w:t>
            </w:r>
          </w:p>
        </w:tc>
        <w:tc>
          <w:tcPr>
            <w:tcW w:w="851" w:type="dxa"/>
            <w:tcBorders>
              <w:top w:val="nil"/>
              <w:left w:val="single" w:sz="4" w:space="0" w:color="auto"/>
              <w:bottom w:val="single" w:sz="4" w:space="0" w:color="auto"/>
              <w:right w:val="single" w:sz="4" w:space="0" w:color="auto"/>
            </w:tcBorders>
            <w:noWrap/>
            <w:vAlign w:val="bottom"/>
            <w:hideMark/>
          </w:tcPr>
          <w:p w14:paraId="3AE3270F"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36</w:t>
            </w:r>
          </w:p>
        </w:tc>
        <w:tc>
          <w:tcPr>
            <w:tcW w:w="850" w:type="dxa"/>
            <w:tcBorders>
              <w:top w:val="nil"/>
              <w:left w:val="nil"/>
              <w:bottom w:val="single" w:sz="4" w:space="0" w:color="auto"/>
              <w:right w:val="single" w:sz="4" w:space="0" w:color="auto"/>
            </w:tcBorders>
            <w:noWrap/>
            <w:vAlign w:val="bottom"/>
            <w:hideMark/>
          </w:tcPr>
          <w:p w14:paraId="375E3E38"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2%</w:t>
            </w:r>
          </w:p>
        </w:tc>
      </w:tr>
      <w:tr w:rsidR="00DB06F7" w:rsidRPr="00465A16" w14:paraId="3AC8E6B5" w14:textId="77777777" w:rsidTr="00DB06F7">
        <w:trPr>
          <w:trHeight w:val="312"/>
        </w:trPr>
        <w:tc>
          <w:tcPr>
            <w:tcW w:w="4536" w:type="dxa"/>
            <w:tcBorders>
              <w:top w:val="nil"/>
              <w:left w:val="single" w:sz="4" w:space="0" w:color="auto"/>
              <w:bottom w:val="single" w:sz="4" w:space="0" w:color="auto"/>
              <w:right w:val="single" w:sz="4" w:space="0" w:color="auto"/>
            </w:tcBorders>
            <w:noWrap/>
            <w:vAlign w:val="center"/>
            <w:hideMark/>
          </w:tcPr>
          <w:p w14:paraId="68314BD4" w14:textId="77777777" w:rsidR="00DB06F7" w:rsidRPr="00AF327F" w:rsidRDefault="00DB06F7" w:rsidP="00DB06F7">
            <w:pPr>
              <w:spacing w:after="0" w:line="240" w:lineRule="auto"/>
              <w:rPr>
                <w:rFonts w:eastAsia="Times New Roman"/>
                <w:spacing w:val="0"/>
                <w:lang w:eastAsia="es-DO"/>
              </w:rPr>
            </w:pPr>
            <w:r w:rsidRPr="00AF327F">
              <w:rPr>
                <w:rFonts w:eastAsia="Times New Roman"/>
                <w:spacing w:val="0"/>
                <w:lang w:eastAsia="es-DO"/>
              </w:rPr>
              <w:t>Grupo 1</w:t>
            </w:r>
          </w:p>
        </w:tc>
        <w:tc>
          <w:tcPr>
            <w:tcW w:w="851" w:type="dxa"/>
            <w:tcBorders>
              <w:top w:val="nil"/>
              <w:left w:val="nil"/>
              <w:bottom w:val="single" w:sz="4" w:space="0" w:color="auto"/>
              <w:right w:val="single" w:sz="4" w:space="0" w:color="auto"/>
            </w:tcBorders>
          </w:tcPr>
          <w:p w14:paraId="4637009F"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40</w:t>
            </w:r>
          </w:p>
        </w:tc>
        <w:tc>
          <w:tcPr>
            <w:tcW w:w="850" w:type="dxa"/>
            <w:tcBorders>
              <w:top w:val="nil"/>
              <w:left w:val="single" w:sz="4" w:space="0" w:color="auto"/>
              <w:bottom w:val="single" w:sz="4" w:space="0" w:color="auto"/>
              <w:right w:val="single" w:sz="4" w:space="0" w:color="auto"/>
            </w:tcBorders>
          </w:tcPr>
          <w:p w14:paraId="471FB039"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82</w:t>
            </w:r>
          </w:p>
        </w:tc>
        <w:tc>
          <w:tcPr>
            <w:tcW w:w="851" w:type="dxa"/>
            <w:tcBorders>
              <w:top w:val="nil"/>
              <w:left w:val="single" w:sz="4" w:space="0" w:color="auto"/>
              <w:bottom w:val="single" w:sz="4" w:space="0" w:color="auto"/>
              <w:right w:val="single" w:sz="4" w:space="0" w:color="auto"/>
            </w:tcBorders>
            <w:noWrap/>
            <w:vAlign w:val="bottom"/>
            <w:hideMark/>
          </w:tcPr>
          <w:p w14:paraId="25B85A18"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122</w:t>
            </w:r>
          </w:p>
        </w:tc>
        <w:tc>
          <w:tcPr>
            <w:tcW w:w="850" w:type="dxa"/>
            <w:tcBorders>
              <w:top w:val="nil"/>
              <w:left w:val="nil"/>
              <w:bottom w:val="single" w:sz="4" w:space="0" w:color="auto"/>
              <w:right w:val="single" w:sz="4" w:space="0" w:color="auto"/>
            </w:tcBorders>
            <w:noWrap/>
            <w:vAlign w:val="bottom"/>
            <w:hideMark/>
          </w:tcPr>
          <w:p w14:paraId="2C6506F6"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6%</w:t>
            </w:r>
          </w:p>
        </w:tc>
      </w:tr>
      <w:tr w:rsidR="00DB06F7" w:rsidRPr="00465A16" w14:paraId="11D47D83" w14:textId="77777777" w:rsidTr="00DB06F7">
        <w:trPr>
          <w:trHeight w:val="312"/>
        </w:trPr>
        <w:tc>
          <w:tcPr>
            <w:tcW w:w="4536" w:type="dxa"/>
            <w:tcBorders>
              <w:top w:val="nil"/>
              <w:left w:val="single" w:sz="4" w:space="0" w:color="auto"/>
              <w:bottom w:val="single" w:sz="4" w:space="0" w:color="auto"/>
              <w:right w:val="single" w:sz="4" w:space="0" w:color="auto"/>
            </w:tcBorders>
            <w:noWrap/>
            <w:vAlign w:val="center"/>
            <w:hideMark/>
          </w:tcPr>
          <w:p w14:paraId="48477157" w14:textId="77777777" w:rsidR="00DB06F7" w:rsidRPr="00AF327F" w:rsidRDefault="00DB06F7" w:rsidP="00DB06F7">
            <w:pPr>
              <w:spacing w:after="0" w:line="240" w:lineRule="auto"/>
              <w:rPr>
                <w:rFonts w:eastAsia="Times New Roman"/>
                <w:spacing w:val="0"/>
                <w:lang w:eastAsia="es-DO"/>
              </w:rPr>
            </w:pPr>
            <w:r w:rsidRPr="00AF327F">
              <w:rPr>
                <w:rFonts w:eastAsia="Times New Roman"/>
                <w:spacing w:val="0"/>
                <w:lang w:eastAsia="es-DO"/>
              </w:rPr>
              <w:t>Grupo 2</w:t>
            </w:r>
          </w:p>
        </w:tc>
        <w:tc>
          <w:tcPr>
            <w:tcW w:w="851" w:type="dxa"/>
            <w:tcBorders>
              <w:top w:val="nil"/>
              <w:left w:val="nil"/>
              <w:bottom w:val="single" w:sz="4" w:space="0" w:color="auto"/>
              <w:right w:val="single" w:sz="4" w:space="0" w:color="auto"/>
            </w:tcBorders>
          </w:tcPr>
          <w:p w14:paraId="77D3EA4C"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217</w:t>
            </w:r>
          </w:p>
        </w:tc>
        <w:tc>
          <w:tcPr>
            <w:tcW w:w="850" w:type="dxa"/>
            <w:tcBorders>
              <w:top w:val="nil"/>
              <w:left w:val="single" w:sz="4" w:space="0" w:color="auto"/>
              <w:bottom w:val="single" w:sz="4" w:space="0" w:color="auto"/>
              <w:right w:val="single" w:sz="4" w:space="0" w:color="auto"/>
            </w:tcBorders>
          </w:tcPr>
          <w:p w14:paraId="17D061B2"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121</w:t>
            </w:r>
          </w:p>
        </w:tc>
        <w:tc>
          <w:tcPr>
            <w:tcW w:w="851" w:type="dxa"/>
            <w:tcBorders>
              <w:top w:val="nil"/>
              <w:left w:val="single" w:sz="4" w:space="0" w:color="auto"/>
              <w:bottom w:val="single" w:sz="4" w:space="0" w:color="auto"/>
              <w:right w:val="single" w:sz="4" w:space="0" w:color="auto"/>
            </w:tcBorders>
            <w:noWrap/>
            <w:vAlign w:val="bottom"/>
            <w:hideMark/>
          </w:tcPr>
          <w:p w14:paraId="30409559"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338</w:t>
            </w:r>
          </w:p>
        </w:tc>
        <w:tc>
          <w:tcPr>
            <w:tcW w:w="850" w:type="dxa"/>
            <w:tcBorders>
              <w:top w:val="nil"/>
              <w:left w:val="nil"/>
              <w:bottom w:val="single" w:sz="4" w:space="0" w:color="auto"/>
              <w:right w:val="single" w:sz="4" w:space="0" w:color="auto"/>
            </w:tcBorders>
            <w:noWrap/>
            <w:vAlign w:val="bottom"/>
            <w:hideMark/>
          </w:tcPr>
          <w:p w14:paraId="38AE4D33"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18%</w:t>
            </w:r>
          </w:p>
        </w:tc>
      </w:tr>
      <w:tr w:rsidR="00DB06F7" w:rsidRPr="00465A16" w14:paraId="630A9D17" w14:textId="77777777" w:rsidTr="00DB06F7">
        <w:trPr>
          <w:trHeight w:val="312"/>
        </w:trPr>
        <w:tc>
          <w:tcPr>
            <w:tcW w:w="4536" w:type="dxa"/>
            <w:tcBorders>
              <w:top w:val="nil"/>
              <w:left w:val="single" w:sz="4" w:space="0" w:color="auto"/>
              <w:bottom w:val="single" w:sz="4" w:space="0" w:color="auto"/>
              <w:right w:val="single" w:sz="4" w:space="0" w:color="auto"/>
            </w:tcBorders>
            <w:noWrap/>
            <w:vAlign w:val="center"/>
            <w:hideMark/>
          </w:tcPr>
          <w:p w14:paraId="1FDFD838" w14:textId="77777777" w:rsidR="00DB06F7" w:rsidRPr="00AF327F" w:rsidRDefault="00DB06F7" w:rsidP="00DB06F7">
            <w:pPr>
              <w:spacing w:after="0" w:line="240" w:lineRule="auto"/>
              <w:rPr>
                <w:rFonts w:eastAsia="Times New Roman"/>
                <w:spacing w:val="0"/>
                <w:lang w:eastAsia="es-DO"/>
              </w:rPr>
            </w:pPr>
            <w:r w:rsidRPr="00AF327F">
              <w:rPr>
                <w:rFonts w:eastAsia="Times New Roman"/>
                <w:spacing w:val="0"/>
                <w:lang w:eastAsia="es-DO"/>
              </w:rPr>
              <w:t>Grupo 3</w:t>
            </w:r>
          </w:p>
        </w:tc>
        <w:tc>
          <w:tcPr>
            <w:tcW w:w="851" w:type="dxa"/>
            <w:tcBorders>
              <w:top w:val="nil"/>
              <w:left w:val="nil"/>
              <w:bottom w:val="single" w:sz="4" w:space="0" w:color="auto"/>
              <w:right w:val="single" w:sz="4" w:space="0" w:color="auto"/>
            </w:tcBorders>
          </w:tcPr>
          <w:p w14:paraId="697696B6"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17</w:t>
            </w:r>
          </w:p>
        </w:tc>
        <w:tc>
          <w:tcPr>
            <w:tcW w:w="850" w:type="dxa"/>
            <w:tcBorders>
              <w:top w:val="nil"/>
              <w:left w:val="single" w:sz="4" w:space="0" w:color="auto"/>
              <w:bottom w:val="single" w:sz="4" w:space="0" w:color="auto"/>
              <w:right w:val="single" w:sz="4" w:space="0" w:color="auto"/>
            </w:tcBorders>
          </w:tcPr>
          <w:p w14:paraId="0580B111"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48</w:t>
            </w:r>
          </w:p>
        </w:tc>
        <w:tc>
          <w:tcPr>
            <w:tcW w:w="851" w:type="dxa"/>
            <w:tcBorders>
              <w:top w:val="nil"/>
              <w:left w:val="single" w:sz="4" w:space="0" w:color="auto"/>
              <w:bottom w:val="single" w:sz="4" w:space="0" w:color="auto"/>
              <w:right w:val="single" w:sz="4" w:space="0" w:color="auto"/>
            </w:tcBorders>
            <w:noWrap/>
            <w:vAlign w:val="bottom"/>
            <w:hideMark/>
          </w:tcPr>
          <w:p w14:paraId="351590B3"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65</w:t>
            </w:r>
          </w:p>
        </w:tc>
        <w:tc>
          <w:tcPr>
            <w:tcW w:w="850" w:type="dxa"/>
            <w:tcBorders>
              <w:top w:val="nil"/>
              <w:left w:val="nil"/>
              <w:bottom w:val="single" w:sz="4" w:space="0" w:color="auto"/>
              <w:right w:val="single" w:sz="4" w:space="0" w:color="auto"/>
            </w:tcBorders>
            <w:noWrap/>
            <w:vAlign w:val="bottom"/>
            <w:hideMark/>
          </w:tcPr>
          <w:p w14:paraId="175CED5C"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3%</w:t>
            </w:r>
          </w:p>
        </w:tc>
      </w:tr>
      <w:tr w:rsidR="00DB06F7" w:rsidRPr="00465A16" w14:paraId="41EC9AAF" w14:textId="77777777" w:rsidTr="00DB06F7">
        <w:trPr>
          <w:trHeight w:val="312"/>
        </w:trPr>
        <w:tc>
          <w:tcPr>
            <w:tcW w:w="4536" w:type="dxa"/>
            <w:tcBorders>
              <w:top w:val="nil"/>
              <w:left w:val="single" w:sz="4" w:space="0" w:color="auto"/>
              <w:bottom w:val="single" w:sz="4" w:space="0" w:color="auto"/>
              <w:right w:val="single" w:sz="4" w:space="0" w:color="auto"/>
            </w:tcBorders>
            <w:noWrap/>
            <w:vAlign w:val="center"/>
            <w:hideMark/>
          </w:tcPr>
          <w:p w14:paraId="29395DD0" w14:textId="77777777" w:rsidR="00DB06F7" w:rsidRPr="00AF327F" w:rsidRDefault="00DB06F7" w:rsidP="00DB06F7">
            <w:pPr>
              <w:spacing w:after="0" w:line="240" w:lineRule="auto"/>
              <w:rPr>
                <w:rFonts w:eastAsia="Times New Roman"/>
                <w:spacing w:val="0"/>
                <w:lang w:eastAsia="es-DO"/>
              </w:rPr>
            </w:pPr>
            <w:r w:rsidRPr="00AF327F">
              <w:rPr>
                <w:rFonts w:eastAsia="Times New Roman"/>
                <w:spacing w:val="0"/>
                <w:lang w:eastAsia="es-DO"/>
              </w:rPr>
              <w:t>Grupo 4</w:t>
            </w:r>
          </w:p>
        </w:tc>
        <w:tc>
          <w:tcPr>
            <w:tcW w:w="851" w:type="dxa"/>
            <w:tcBorders>
              <w:top w:val="nil"/>
              <w:left w:val="nil"/>
              <w:bottom w:val="single" w:sz="4" w:space="0" w:color="auto"/>
              <w:right w:val="single" w:sz="4" w:space="0" w:color="auto"/>
            </w:tcBorders>
          </w:tcPr>
          <w:p w14:paraId="18D0C1F7"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670</w:t>
            </w:r>
          </w:p>
        </w:tc>
        <w:tc>
          <w:tcPr>
            <w:tcW w:w="850" w:type="dxa"/>
            <w:tcBorders>
              <w:top w:val="nil"/>
              <w:left w:val="single" w:sz="4" w:space="0" w:color="auto"/>
              <w:bottom w:val="single" w:sz="4" w:space="0" w:color="auto"/>
              <w:right w:val="single" w:sz="4" w:space="0" w:color="auto"/>
            </w:tcBorders>
          </w:tcPr>
          <w:p w14:paraId="1BADEC8F"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398</w:t>
            </w:r>
          </w:p>
        </w:tc>
        <w:tc>
          <w:tcPr>
            <w:tcW w:w="851" w:type="dxa"/>
            <w:tcBorders>
              <w:top w:val="nil"/>
              <w:left w:val="single" w:sz="4" w:space="0" w:color="auto"/>
              <w:bottom w:val="single" w:sz="4" w:space="0" w:color="auto"/>
              <w:right w:val="single" w:sz="4" w:space="0" w:color="auto"/>
            </w:tcBorders>
            <w:noWrap/>
            <w:vAlign w:val="bottom"/>
            <w:hideMark/>
          </w:tcPr>
          <w:p w14:paraId="7A58FCE4"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1,068</w:t>
            </w:r>
          </w:p>
        </w:tc>
        <w:tc>
          <w:tcPr>
            <w:tcW w:w="850" w:type="dxa"/>
            <w:tcBorders>
              <w:top w:val="nil"/>
              <w:left w:val="nil"/>
              <w:bottom w:val="single" w:sz="4" w:space="0" w:color="auto"/>
              <w:right w:val="single" w:sz="4" w:space="0" w:color="auto"/>
            </w:tcBorders>
            <w:noWrap/>
            <w:vAlign w:val="bottom"/>
            <w:hideMark/>
          </w:tcPr>
          <w:p w14:paraId="42EAB9F4"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55%</w:t>
            </w:r>
          </w:p>
        </w:tc>
      </w:tr>
      <w:tr w:rsidR="00DB06F7" w:rsidRPr="00465A16" w14:paraId="7739815E" w14:textId="77777777" w:rsidTr="00DB06F7">
        <w:trPr>
          <w:trHeight w:val="312"/>
        </w:trPr>
        <w:tc>
          <w:tcPr>
            <w:tcW w:w="4536" w:type="dxa"/>
            <w:tcBorders>
              <w:top w:val="nil"/>
              <w:left w:val="single" w:sz="4" w:space="0" w:color="auto"/>
              <w:bottom w:val="single" w:sz="4" w:space="0" w:color="auto"/>
              <w:right w:val="single" w:sz="4" w:space="0" w:color="auto"/>
            </w:tcBorders>
            <w:noWrap/>
            <w:vAlign w:val="center"/>
            <w:hideMark/>
          </w:tcPr>
          <w:p w14:paraId="2CF70BA2" w14:textId="77777777" w:rsidR="00DB06F7" w:rsidRPr="00AF327F" w:rsidRDefault="00DB06F7" w:rsidP="00DB06F7">
            <w:pPr>
              <w:spacing w:after="0" w:line="240" w:lineRule="auto"/>
              <w:rPr>
                <w:rFonts w:eastAsia="Times New Roman"/>
                <w:spacing w:val="0"/>
                <w:lang w:eastAsia="es-DO"/>
              </w:rPr>
            </w:pPr>
            <w:r w:rsidRPr="00AF327F">
              <w:rPr>
                <w:rFonts w:eastAsia="Times New Roman"/>
                <w:spacing w:val="0"/>
                <w:lang w:eastAsia="es-DO"/>
              </w:rPr>
              <w:t>Grupo 5</w:t>
            </w:r>
          </w:p>
        </w:tc>
        <w:tc>
          <w:tcPr>
            <w:tcW w:w="851" w:type="dxa"/>
            <w:tcBorders>
              <w:top w:val="nil"/>
              <w:left w:val="nil"/>
              <w:bottom w:val="single" w:sz="4" w:space="0" w:color="auto"/>
              <w:right w:val="single" w:sz="4" w:space="0" w:color="auto"/>
            </w:tcBorders>
          </w:tcPr>
          <w:p w14:paraId="1C861A73"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164</w:t>
            </w:r>
          </w:p>
        </w:tc>
        <w:tc>
          <w:tcPr>
            <w:tcW w:w="850" w:type="dxa"/>
            <w:tcBorders>
              <w:top w:val="nil"/>
              <w:left w:val="single" w:sz="4" w:space="0" w:color="auto"/>
              <w:bottom w:val="single" w:sz="4" w:space="0" w:color="auto"/>
              <w:right w:val="single" w:sz="4" w:space="0" w:color="auto"/>
            </w:tcBorders>
          </w:tcPr>
          <w:p w14:paraId="5FB16406"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129</w:t>
            </w:r>
          </w:p>
        </w:tc>
        <w:tc>
          <w:tcPr>
            <w:tcW w:w="851" w:type="dxa"/>
            <w:tcBorders>
              <w:top w:val="nil"/>
              <w:left w:val="single" w:sz="4" w:space="0" w:color="auto"/>
              <w:bottom w:val="single" w:sz="4" w:space="0" w:color="auto"/>
              <w:right w:val="single" w:sz="4" w:space="0" w:color="auto"/>
            </w:tcBorders>
            <w:noWrap/>
            <w:vAlign w:val="bottom"/>
            <w:hideMark/>
          </w:tcPr>
          <w:p w14:paraId="33572780"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293</w:t>
            </w:r>
          </w:p>
        </w:tc>
        <w:tc>
          <w:tcPr>
            <w:tcW w:w="850" w:type="dxa"/>
            <w:tcBorders>
              <w:top w:val="nil"/>
              <w:left w:val="nil"/>
              <w:bottom w:val="single" w:sz="4" w:space="0" w:color="auto"/>
              <w:right w:val="single" w:sz="4" w:space="0" w:color="auto"/>
            </w:tcBorders>
            <w:noWrap/>
            <w:vAlign w:val="bottom"/>
            <w:hideMark/>
          </w:tcPr>
          <w:p w14:paraId="319333DD" w14:textId="77777777" w:rsidR="00DB06F7" w:rsidRPr="00AF327F" w:rsidRDefault="00DB06F7" w:rsidP="00DB06F7">
            <w:pPr>
              <w:spacing w:after="0" w:line="240" w:lineRule="auto"/>
              <w:jc w:val="center"/>
              <w:rPr>
                <w:rFonts w:eastAsia="Times New Roman"/>
                <w:spacing w:val="0"/>
                <w:lang w:eastAsia="es-DO"/>
              </w:rPr>
            </w:pPr>
            <w:r w:rsidRPr="00AF327F">
              <w:rPr>
                <w:rFonts w:eastAsia="Times New Roman"/>
                <w:spacing w:val="0"/>
                <w:lang w:eastAsia="es-DO"/>
              </w:rPr>
              <w:t>15%</w:t>
            </w:r>
          </w:p>
        </w:tc>
      </w:tr>
      <w:tr w:rsidR="00DB06F7" w:rsidRPr="00465A16" w14:paraId="03154736" w14:textId="77777777" w:rsidTr="00DB06F7">
        <w:trPr>
          <w:trHeight w:val="312"/>
        </w:trPr>
        <w:tc>
          <w:tcPr>
            <w:tcW w:w="4536" w:type="dxa"/>
            <w:tcBorders>
              <w:top w:val="nil"/>
              <w:left w:val="single" w:sz="4" w:space="0" w:color="auto"/>
              <w:bottom w:val="single" w:sz="4" w:space="0" w:color="auto"/>
              <w:right w:val="single" w:sz="4" w:space="0" w:color="auto"/>
            </w:tcBorders>
            <w:shd w:val="clear" w:color="auto" w:fill="011C50"/>
            <w:noWrap/>
            <w:vAlign w:val="bottom"/>
            <w:hideMark/>
          </w:tcPr>
          <w:p w14:paraId="7424FC6A" w14:textId="77777777" w:rsidR="00DB06F7" w:rsidRPr="00465A16" w:rsidRDefault="00DB06F7" w:rsidP="00DB06F7">
            <w:pPr>
              <w:spacing w:after="0" w:line="240" w:lineRule="auto"/>
              <w:rPr>
                <w:rFonts w:eastAsia="Times New Roman"/>
                <w:b/>
                <w:bCs/>
                <w:color w:val="FFFFFF"/>
                <w:spacing w:val="0"/>
                <w:lang w:eastAsia="es-DO"/>
              </w:rPr>
            </w:pPr>
            <w:r w:rsidRPr="00465A16">
              <w:rPr>
                <w:rFonts w:eastAsia="Times New Roman"/>
                <w:b/>
                <w:bCs/>
                <w:color w:val="FFFFFF"/>
                <w:spacing w:val="0"/>
                <w:lang w:eastAsia="es-DO"/>
              </w:rPr>
              <w:t xml:space="preserve">Total general </w:t>
            </w:r>
          </w:p>
        </w:tc>
        <w:tc>
          <w:tcPr>
            <w:tcW w:w="851" w:type="dxa"/>
            <w:tcBorders>
              <w:top w:val="nil"/>
              <w:left w:val="nil"/>
              <w:bottom w:val="single" w:sz="4" w:space="0" w:color="auto"/>
              <w:right w:val="single" w:sz="4" w:space="0" w:color="auto"/>
            </w:tcBorders>
            <w:shd w:val="clear" w:color="auto" w:fill="011C50"/>
          </w:tcPr>
          <w:p w14:paraId="49F465B8" w14:textId="77777777" w:rsidR="00DB06F7" w:rsidRPr="00465A16" w:rsidRDefault="00DB06F7" w:rsidP="00DB06F7">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1,139</w:t>
            </w:r>
          </w:p>
        </w:tc>
        <w:tc>
          <w:tcPr>
            <w:tcW w:w="850" w:type="dxa"/>
            <w:tcBorders>
              <w:top w:val="nil"/>
              <w:left w:val="single" w:sz="4" w:space="0" w:color="auto"/>
              <w:bottom w:val="single" w:sz="4" w:space="0" w:color="auto"/>
              <w:right w:val="single" w:sz="4" w:space="0" w:color="auto"/>
            </w:tcBorders>
            <w:shd w:val="clear" w:color="auto" w:fill="011C50"/>
          </w:tcPr>
          <w:p w14:paraId="3FEF1D62" w14:textId="77777777" w:rsidR="00DB06F7" w:rsidRPr="00465A16" w:rsidRDefault="00DB06F7" w:rsidP="00DB06F7">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786</w:t>
            </w:r>
          </w:p>
        </w:tc>
        <w:tc>
          <w:tcPr>
            <w:tcW w:w="851" w:type="dxa"/>
            <w:tcBorders>
              <w:top w:val="nil"/>
              <w:left w:val="single" w:sz="4" w:space="0" w:color="auto"/>
              <w:bottom w:val="single" w:sz="4" w:space="0" w:color="auto"/>
              <w:right w:val="single" w:sz="4" w:space="0" w:color="auto"/>
            </w:tcBorders>
            <w:shd w:val="clear" w:color="auto" w:fill="011C50"/>
            <w:noWrap/>
            <w:vAlign w:val="bottom"/>
            <w:hideMark/>
          </w:tcPr>
          <w:p w14:paraId="534714C3" w14:textId="77777777" w:rsidR="00DB06F7" w:rsidRPr="00465A16" w:rsidRDefault="00DB06F7" w:rsidP="00DB06F7">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1,925</w:t>
            </w:r>
          </w:p>
        </w:tc>
        <w:tc>
          <w:tcPr>
            <w:tcW w:w="850" w:type="dxa"/>
            <w:tcBorders>
              <w:top w:val="nil"/>
              <w:left w:val="nil"/>
              <w:bottom w:val="single" w:sz="4" w:space="0" w:color="auto"/>
              <w:right w:val="single" w:sz="4" w:space="0" w:color="auto"/>
            </w:tcBorders>
            <w:shd w:val="clear" w:color="auto" w:fill="011C50"/>
            <w:noWrap/>
            <w:vAlign w:val="bottom"/>
            <w:hideMark/>
          </w:tcPr>
          <w:p w14:paraId="68F466B6" w14:textId="77777777" w:rsidR="00DB06F7" w:rsidRPr="00465A16" w:rsidRDefault="00DB06F7" w:rsidP="00DB06F7">
            <w:pPr>
              <w:spacing w:after="0" w:line="24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100%</w:t>
            </w:r>
          </w:p>
        </w:tc>
      </w:tr>
    </w:tbl>
    <w:p w14:paraId="174D82E4" w14:textId="1E0BD3B5" w:rsidR="00DE5254" w:rsidRPr="00B865A7" w:rsidRDefault="00DE5254" w:rsidP="00DE5254">
      <w:pPr>
        <w:spacing w:line="360" w:lineRule="auto"/>
        <w:jc w:val="center"/>
        <w:rPr>
          <w:sz w:val="18"/>
          <w:szCs w:val="18"/>
        </w:rPr>
      </w:pPr>
      <w:r w:rsidRPr="00B865A7">
        <w:rPr>
          <w:sz w:val="18"/>
          <w:szCs w:val="18"/>
        </w:rPr>
        <w:t>Tabla 1</w:t>
      </w:r>
      <w:r w:rsidR="006A4423" w:rsidRPr="00B865A7">
        <w:rPr>
          <w:sz w:val="18"/>
          <w:szCs w:val="18"/>
        </w:rPr>
        <w:t>9</w:t>
      </w:r>
      <w:r w:rsidRPr="00B865A7">
        <w:rPr>
          <w:sz w:val="18"/>
          <w:szCs w:val="18"/>
        </w:rPr>
        <w:t>. Distribución de colaboradores por grupo ocupacional</w:t>
      </w:r>
    </w:p>
    <w:p w14:paraId="1649CBB9" w14:textId="2F299DD7" w:rsidR="00DE5254" w:rsidRPr="00B865A7" w:rsidRDefault="00DE5254" w:rsidP="00DE5254">
      <w:pPr>
        <w:spacing w:line="360" w:lineRule="auto"/>
        <w:jc w:val="center"/>
        <w:rPr>
          <w:i/>
          <w:iCs/>
          <w:sz w:val="18"/>
          <w:szCs w:val="18"/>
        </w:rPr>
      </w:pPr>
      <w:r w:rsidRPr="00B865A7">
        <w:rPr>
          <w:i/>
          <w:iCs/>
          <w:sz w:val="18"/>
          <w:szCs w:val="18"/>
        </w:rPr>
        <w:t>Fuente. Dirección de Recursos Humanos</w:t>
      </w:r>
    </w:p>
    <w:p w14:paraId="61A9B18F" w14:textId="21F76F36" w:rsidR="0077548E" w:rsidRPr="00FA4C09" w:rsidRDefault="0077548E" w:rsidP="0077548E">
      <w:pPr>
        <w:spacing w:line="360" w:lineRule="auto"/>
        <w:ind w:left="284"/>
        <w:jc w:val="center"/>
        <w:rPr>
          <w:sz w:val="18"/>
          <w:szCs w:val="18"/>
        </w:rPr>
      </w:pPr>
      <w:r w:rsidRPr="00FA4C09">
        <w:rPr>
          <w:sz w:val="18"/>
          <w:szCs w:val="18"/>
        </w:rPr>
        <w:lastRenderedPageBreak/>
        <w:t xml:space="preserve">Gráfico </w:t>
      </w:r>
      <w:r w:rsidR="00B970B8" w:rsidRPr="00FA4C09">
        <w:rPr>
          <w:sz w:val="18"/>
          <w:szCs w:val="18"/>
        </w:rPr>
        <w:t>1</w:t>
      </w:r>
      <w:r w:rsidR="006A4423" w:rsidRPr="00FA4C09">
        <w:rPr>
          <w:sz w:val="18"/>
          <w:szCs w:val="18"/>
        </w:rPr>
        <w:t>2</w:t>
      </w:r>
      <w:r w:rsidRPr="00FA4C09">
        <w:rPr>
          <w:sz w:val="18"/>
          <w:szCs w:val="18"/>
        </w:rPr>
        <w:t xml:space="preserve">. Porcentaje de colaboradores por grupo ocupacional </w:t>
      </w:r>
    </w:p>
    <w:p w14:paraId="63AC885A" w14:textId="22DBE627" w:rsidR="00F53428" w:rsidRPr="00465A16" w:rsidRDefault="007B3258" w:rsidP="007E1337">
      <w:pPr>
        <w:spacing w:line="360" w:lineRule="auto"/>
        <w:ind w:left="284"/>
        <w:jc w:val="both"/>
        <w:rPr>
          <w:color w:val="EE0000"/>
        </w:rPr>
      </w:pPr>
      <w:r w:rsidRPr="00597EDC">
        <w:rPr>
          <w:noProof/>
          <w:lang w:eastAsia="es-DO"/>
        </w:rPr>
        <w:drawing>
          <wp:inline distT="0" distB="0" distL="0" distR="0" wp14:anchorId="691931FE" wp14:editId="59B547E3">
            <wp:extent cx="4856018" cy="2230120"/>
            <wp:effectExtent l="0" t="0" r="1905" b="17780"/>
            <wp:docPr id="167675791" name="Gráfico 1">
              <a:extLst xmlns:a="http://schemas.openxmlformats.org/drawingml/2006/main">
                <a:ext uri="{FF2B5EF4-FFF2-40B4-BE49-F238E27FC236}">
                  <a16:creationId xmlns:a16="http://schemas.microsoft.com/office/drawing/2014/main" id="{81832C77-E955-F539-699D-F27EAE8620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418A2D7" w14:textId="2EE98647" w:rsidR="00F53428" w:rsidRPr="00FA4C09" w:rsidRDefault="0077548E" w:rsidP="004C41DA">
      <w:pPr>
        <w:jc w:val="center"/>
        <w:rPr>
          <w:i/>
          <w:iCs/>
          <w:sz w:val="18"/>
          <w:szCs w:val="18"/>
        </w:rPr>
      </w:pPr>
      <w:r w:rsidRPr="00FA4C09">
        <w:rPr>
          <w:i/>
          <w:iCs/>
          <w:sz w:val="18"/>
          <w:szCs w:val="18"/>
        </w:rPr>
        <w:t>Fuente. Dirección de Recursos Humanos</w:t>
      </w:r>
    </w:p>
    <w:p w14:paraId="72282F4E" w14:textId="04BB8CFB" w:rsidR="004C41DA" w:rsidRPr="00AF327F" w:rsidRDefault="004C41DA" w:rsidP="00C934DB">
      <w:pPr>
        <w:spacing w:line="360" w:lineRule="auto"/>
        <w:jc w:val="both"/>
      </w:pPr>
      <w:r w:rsidRPr="00FA4C09">
        <w:t>Otra estadística importante de nuestra gestión humana es la gestión de vacaciones. En este sentido, en la</w:t>
      </w:r>
      <w:r w:rsidRPr="00AF327F">
        <w:t xml:space="preserve"> institución fueron otorgadas un total de 1,907 vacaciones, siendo el mes de septiembre el de mayor disfrute con </w:t>
      </w:r>
      <w:r w:rsidRPr="007B3258">
        <w:t>un total de</w:t>
      </w:r>
      <w:r w:rsidRPr="00AF327F">
        <w:t xml:space="preserve"> 265 vacaciones otorgadas. </w:t>
      </w:r>
    </w:p>
    <w:tbl>
      <w:tblPr>
        <w:tblpPr w:leftFromText="141" w:rightFromText="141" w:vertAnchor="text" w:horzAnchor="margin" w:tblpXSpec="center" w:tblpY="317"/>
        <w:tblW w:w="6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4"/>
        <w:gridCol w:w="1559"/>
        <w:gridCol w:w="1417"/>
        <w:gridCol w:w="1276"/>
      </w:tblGrid>
      <w:tr w:rsidR="004C41DA" w:rsidRPr="00465A16" w14:paraId="3FBEE095" w14:textId="77777777" w:rsidTr="00F6615C">
        <w:trPr>
          <w:trHeight w:val="330"/>
        </w:trPr>
        <w:tc>
          <w:tcPr>
            <w:tcW w:w="2684" w:type="dxa"/>
            <w:shd w:val="clear" w:color="auto" w:fill="011C50"/>
            <w:noWrap/>
            <w:vAlign w:val="center"/>
            <w:hideMark/>
          </w:tcPr>
          <w:p w14:paraId="34169C1D" w14:textId="77777777" w:rsidR="004C41DA" w:rsidRPr="00465A16" w:rsidRDefault="004C41DA" w:rsidP="004C41DA">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Mes</w:t>
            </w:r>
          </w:p>
        </w:tc>
        <w:tc>
          <w:tcPr>
            <w:tcW w:w="1559" w:type="dxa"/>
            <w:shd w:val="clear" w:color="auto" w:fill="011C50"/>
            <w:noWrap/>
            <w:vAlign w:val="center"/>
            <w:hideMark/>
          </w:tcPr>
          <w:p w14:paraId="626FDD40" w14:textId="13002136" w:rsidR="004C41DA" w:rsidRPr="00465A16" w:rsidRDefault="004C41DA" w:rsidP="004C41DA">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Masculino</w:t>
            </w:r>
          </w:p>
        </w:tc>
        <w:tc>
          <w:tcPr>
            <w:tcW w:w="1417" w:type="dxa"/>
            <w:shd w:val="clear" w:color="auto" w:fill="011C50"/>
            <w:noWrap/>
            <w:vAlign w:val="center"/>
            <w:hideMark/>
          </w:tcPr>
          <w:p w14:paraId="7887BC7C" w14:textId="309AF58F" w:rsidR="004C41DA" w:rsidRPr="00465A16" w:rsidRDefault="004C41DA" w:rsidP="004C41DA">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Femenino</w:t>
            </w:r>
          </w:p>
        </w:tc>
        <w:tc>
          <w:tcPr>
            <w:tcW w:w="1276" w:type="dxa"/>
            <w:shd w:val="clear" w:color="auto" w:fill="011C50"/>
            <w:noWrap/>
            <w:vAlign w:val="center"/>
            <w:hideMark/>
          </w:tcPr>
          <w:p w14:paraId="0A56D1E4" w14:textId="28FD72FF" w:rsidR="004C41DA" w:rsidRPr="00465A16" w:rsidRDefault="004C41DA" w:rsidP="004C41DA">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Total</w:t>
            </w:r>
          </w:p>
        </w:tc>
      </w:tr>
      <w:tr w:rsidR="007B3258" w:rsidRPr="00465A16" w14:paraId="4CC1ADA5" w14:textId="77777777" w:rsidTr="00F6615C">
        <w:trPr>
          <w:trHeight w:val="315"/>
        </w:trPr>
        <w:tc>
          <w:tcPr>
            <w:tcW w:w="2684" w:type="dxa"/>
            <w:noWrap/>
            <w:vAlign w:val="center"/>
            <w:hideMark/>
          </w:tcPr>
          <w:p w14:paraId="18BA9C48" w14:textId="77777777" w:rsidR="007B3258" w:rsidRPr="007B3258" w:rsidRDefault="007B3258" w:rsidP="007B3258">
            <w:pPr>
              <w:spacing w:after="0" w:line="240" w:lineRule="auto"/>
              <w:rPr>
                <w:rFonts w:eastAsia="Times New Roman"/>
                <w:spacing w:val="0"/>
                <w:lang w:eastAsia="es-DO"/>
              </w:rPr>
            </w:pPr>
            <w:r w:rsidRPr="007B3258">
              <w:rPr>
                <w:rFonts w:eastAsia="Times New Roman"/>
                <w:spacing w:val="0"/>
                <w:lang w:eastAsia="es-DO"/>
              </w:rPr>
              <w:t>Enero</w:t>
            </w:r>
          </w:p>
        </w:tc>
        <w:tc>
          <w:tcPr>
            <w:tcW w:w="1559" w:type="dxa"/>
            <w:noWrap/>
            <w:vAlign w:val="center"/>
            <w:hideMark/>
          </w:tcPr>
          <w:p w14:paraId="4A0A3C10" w14:textId="7A45CD86"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49</w:t>
            </w:r>
          </w:p>
        </w:tc>
        <w:tc>
          <w:tcPr>
            <w:tcW w:w="1417" w:type="dxa"/>
            <w:noWrap/>
            <w:vAlign w:val="center"/>
            <w:hideMark/>
          </w:tcPr>
          <w:p w14:paraId="05AF1DB7" w14:textId="43A42FAB"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58</w:t>
            </w:r>
          </w:p>
        </w:tc>
        <w:tc>
          <w:tcPr>
            <w:tcW w:w="1276" w:type="dxa"/>
            <w:noWrap/>
            <w:vAlign w:val="center"/>
            <w:hideMark/>
          </w:tcPr>
          <w:p w14:paraId="2A13982D" w14:textId="1C214483"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107</w:t>
            </w:r>
          </w:p>
        </w:tc>
      </w:tr>
      <w:tr w:rsidR="007B3258" w:rsidRPr="00465A16" w14:paraId="12267593" w14:textId="77777777" w:rsidTr="00F6615C">
        <w:trPr>
          <w:trHeight w:val="315"/>
        </w:trPr>
        <w:tc>
          <w:tcPr>
            <w:tcW w:w="2684" w:type="dxa"/>
            <w:noWrap/>
            <w:vAlign w:val="center"/>
            <w:hideMark/>
          </w:tcPr>
          <w:p w14:paraId="3D2F6EBB" w14:textId="77777777" w:rsidR="007B3258" w:rsidRPr="007B3258" w:rsidRDefault="007B3258" w:rsidP="007B3258">
            <w:pPr>
              <w:spacing w:after="0" w:line="240" w:lineRule="auto"/>
              <w:rPr>
                <w:rFonts w:eastAsia="Times New Roman"/>
                <w:spacing w:val="0"/>
                <w:lang w:eastAsia="es-DO"/>
              </w:rPr>
            </w:pPr>
            <w:r w:rsidRPr="007B3258">
              <w:rPr>
                <w:rFonts w:eastAsia="Times New Roman"/>
                <w:spacing w:val="0"/>
                <w:lang w:eastAsia="es-DO"/>
              </w:rPr>
              <w:t>Febrero</w:t>
            </w:r>
          </w:p>
        </w:tc>
        <w:tc>
          <w:tcPr>
            <w:tcW w:w="1559" w:type="dxa"/>
            <w:noWrap/>
            <w:vAlign w:val="center"/>
            <w:hideMark/>
          </w:tcPr>
          <w:p w14:paraId="5FB7C2F7" w14:textId="5BB68465"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67</w:t>
            </w:r>
          </w:p>
        </w:tc>
        <w:tc>
          <w:tcPr>
            <w:tcW w:w="1417" w:type="dxa"/>
            <w:noWrap/>
            <w:vAlign w:val="center"/>
            <w:hideMark/>
          </w:tcPr>
          <w:p w14:paraId="27BF5F10" w14:textId="10A99775"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83</w:t>
            </w:r>
          </w:p>
        </w:tc>
        <w:tc>
          <w:tcPr>
            <w:tcW w:w="1276" w:type="dxa"/>
            <w:noWrap/>
            <w:vAlign w:val="center"/>
            <w:hideMark/>
          </w:tcPr>
          <w:p w14:paraId="73AEC0C7" w14:textId="269E81BE"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150</w:t>
            </w:r>
          </w:p>
        </w:tc>
      </w:tr>
      <w:tr w:rsidR="007B3258" w:rsidRPr="00465A16" w14:paraId="2C68CE37" w14:textId="77777777" w:rsidTr="00F6615C">
        <w:trPr>
          <w:trHeight w:val="315"/>
        </w:trPr>
        <w:tc>
          <w:tcPr>
            <w:tcW w:w="2684" w:type="dxa"/>
            <w:noWrap/>
            <w:vAlign w:val="center"/>
            <w:hideMark/>
          </w:tcPr>
          <w:p w14:paraId="687955CD" w14:textId="77777777" w:rsidR="007B3258" w:rsidRPr="007B3258" w:rsidRDefault="007B3258" w:rsidP="007B3258">
            <w:pPr>
              <w:spacing w:after="0" w:line="240" w:lineRule="auto"/>
              <w:rPr>
                <w:rFonts w:eastAsia="Times New Roman"/>
                <w:spacing w:val="0"/>
                <w:lang w:eastAsia="es-DO"/>
              </w:rPr>
            </w:pPr>
            <w:r w:rsidRPr="007B3258">
              <w:rPr>
                <w:rFonts w:eastAsia="Times New Roman"/>
                <w:spacing w:val="0"/>
                <w:lang w:eastAsia="es-DO"/>
              </w:rPr>
              <w:t>Marzo</w:t>
            </w:r>
          </w:p>
        </w:tc>
        <w:tc>
          <w:tcPr>
            <w:tcW w:w="1559" w:type="dxa"/>
            <w:noWrap/>
            <w:vAlign w:val="center"/>
            <w:hideMark/>
          </w:tcPr>
          <w:p w14:paraId="11DD8BAB" w14:textId="5CDC5BE4"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84</w:t>
            </w:r>
          </w:p>
        </w:tc>
        <w:tc>
          <w:tcPr>
            <w:tcW w:w="1417" w:type="dxa"/>
            <w:noWrap/>
            <w:vAlign w:val="center"/>
            <w:hideMark/>
          </w:tcPr>
          <w:p w14:paraId="7B43CBB3" w14:textId="664D18F0"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72</w:t>
            </w:r>
          </w:p>
        </w:tc>
        <w:tc>
          <w:tcPr>
            <w:tcW w:w="1276" w:type="dxa"/>
            <w:noWrap/>
            <w:vAlign w:val="center"/>
            <w:hideMark/>
          </w:tcPr>
          <w:p w14:paraId="72EA9526" w14:textId="2F1BE4D7"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156</w:t>
            </w:r>
          </w:p>
        </w:tc>
      </w:tr>
      <w:tr w:rsidR="007B3258" w:rsidRPr="00465A16" w14:paraId="4FCBC315" w14:textId="77777777" w:rsidTr="00F6615C">
        <w:trPr>
          <w:trHeight w:val="315"/>
        </w:trPr>
        <w:tc>
          <w:tcPr>
            <w:tcW w:w="2684" w:type="dxa"/>
            <w:noWrap/>
            <w:vAlign w:val="center"/>
            <w:hideMark/>
          </w:tcPr>
          <w:p w14:paraId="4BBBCDC0" w14:textId="77777777" w:rsidR="007B3258" w:rsidRPr="007B3258" w:rsidRDefault="007B3258" w:rsidP="007B3258">
            <w:pPr>
              <w:spacing w:after="0" w:line="240" w:lineRule="auto"/>
              <w:rPr>
                <w:rFonts w:eastAsia="Times New Roman"/>
                <w:spacing w:val="0"/>
                <w:lang w:eastAsia="es-DO"/>
              </w:rPr>
            </w:pPr>
            <w:r w:rsidRPr="007B3258">
              <w:rPr>
                <w:rFonts w:eastAsia="Times New Roman"/>
                <w:spacing w:val="0"/>
                <w:lang w:eastAsia="es-DO"/>
              </w:rPr>
              <w:t>Abril</w:t>
            </w:r>
          </w:p>
        </w:tc>
        <w:tc>
          <w:tcPr>
            <w:tcW w:w="1559" w:type="dxa"/>
            <w:noWrap/>
            <w:vAlign w:val="center"/>
            <w:hideMark/>
          </w:tcPr>
          <w:p w14:paraId="7ED11A4F" w14:textId="758C1BB1"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79</w:t>
            </w:r>
          </w:p>
        </w:tc>
        <w:tc>
          <w:tcPr>
            <w:tcW w:w="1417" w:type="dxa"/>
            <w:noWrap/>
            <w:vAlign w:val="center"/>
            <w:hideMark/>
          </w:tcPr>
          <w:p w14:paraId="36EB478E" w14:textId="629F05BA"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84</w:t>
            </w:r>
          </w:p>
        </w:tc>
        <w:tc>
          <w:tcPr>
            <w:tcW w:w="1276" w:type="dxa"/>
            <w:noWrap/>
            <w:vAlign w:val="center"/>
            <w:hideMark/>
          </w:tcPr>
          <w:p w14:paraId="7B24D9FD" w14:textId="5C13BDCA"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163</w:t>
            </w:r>
          </w:p>
        </w:tc>
      </w:tr>
      <w:tr w:rsidR="007B3258" w:rsidRPr="00465A16" w14:paraId="1D3708E5" w14:textId="77777777" w:rsidTr="00F6615C">
        <w:trPr>
          <w:trHeight w:val="315"/>
        </w:trPr>
        <w:tc>
          <w:tcPr>
            <w:tcW w:w="2684" w:type="dxa"/>
            <w:noWrap/>
            <w:vAlign w:val="center"/>
            <w:hideMark/>
          </w:tcPr>
          <w:p w14:paraId="5707E65A" w14:textId="77777777" w:rsidR="007B3258" w:rsidRPr="007B3258" w:rsidRDefault="007B3258" w:rsidP="007B3258">
            <w:pPr>
              <w:spacing w:after="0" w:line="240" w:lineRule="auto"/>
              <w:rPr>
                <w:rFonts w:eastAsia="Times New Roman"/>
                <w:spacing w:val="0"/>
                <w:lang w:eastAsia="es-DO"/>
              </w:rPr>
            </w:pPr>
            <w:r w:rsidRPr="007B3258">
              <w:rPr>
                <w:rFonts w:eastAsia="Times New Roman"/>
                <w:spacing w:val="0"/>
                <w:lang w:eastAsia="es-DO"/>
              </w:rPr>
              <w:t>Mayo</w:t>
            </w:r>
          </w:p>
        </w:tc>
        <w:tc>
          <w:tcPr>
            <w:tcW w:w="1559" w:type="dxa"/>
            <w:noWrap/>
            <w:vAlign w:val="center"/>
            <w:hideMark/>
          </w:tcPr>
          <w:p w14:paraId="651CEFD9" w14:textId="3544B3B7"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82</w:t>
            </w:r>
          </w:p>
        </w:tc>
        <w:tc>
          <w:tcPr>
            <w:tcW w:w="1417" w:type="dxa"/>
            <w:noWrap/>
            <w:vAlign w:val="center"/>
            <w:hideMark/>
          </w:tcPr>
          <w:p w14:paraId="222A39EA" w14:textId="17C3CEF8"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71</w:t>
            </w:r>
          </w:p>
        </w:tc>
        <w:tc>
          <w:tcPr>
            <w:tcW w:w="1276" w:type="dxa"/>
            <w:noWrap/>
            <w:vAlign w:val="center"/>
            <w:hideMark/>
          </w:tcPr>
          <w:p w14:paraId="48FC96EE" w14:textId="4550171D"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153</w:t>
            </w:r>
          </w:p>
        </w:tc>
      </w:tr>
      <w:tr w:rsidR="007B3258" w:rsidRPr="00465A16" w14:paraId="4F76A20E" w14:textId="77777777" w:rsidTr="00F6615C">
        <w:trPr>
          <w:trHeight w:val="315"/>
        </w:trPr>
        <w:tc>
          <w:tcPr>
            <w:tcW w:w="2684" w:type="dxa"/>
            <w:noWrap/>
            <w:vAlign w:val="center"/>
            <w:hideMark/>
          </w:tcPr>
          <w:p w14:paraId="635D0A43" w14:textId="77777777" w:rsidR="007B3258" w:rsidRPr="007B3258" w:rsidRDefault="007B3258" w:rsidP="007B3258">
            <w:pPr>
              <w:spacing w:after="0" w:line="240" w:lineRule="auto"/>
              <w:rPr>
                <w:rFonts w:eastAsia="Times New Roman"/>
                <w:spacing w:val="0"/>
                <w:lang w:eastAsia="es-DO"/>
              </w:rPr>
            </w:pPr>
            <w:r w:rsidRPr="007B3258">
              <w:rPr>
                <w:rFonts w:eastAsia="Times New Roman"/>
                <w:spacing w:val="0"/>
                <w:lang w:eastAsia="es-DO"/>
              </w:rPr>
              <w:t>Junio</w:t>
            </w:r>
          </w:p>
        </w:tc>
        <w:tc>
          <w:tcPr>
            <w:tcW w:w="1559" w:type="dxa"/>
            <w:noWrap/>
            <w:vAlign w:val="center"/>
            <w:hideMark/>
          </w:tcPr>
          <w:p w14:paraId="035F9AB7" w14:textId="076D600C"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115</w:t>
            </w:r>
          </w:p>
        </w:tc>
        <w:tc>
          <w:tcPr>
            <w:tcW w:w="1417" w:type="dxa"/>
            <w:noWrap/>
            <w:vAlign w:val="center"/>
            <w:hideMark/>
          </w:tcPr>
          <w:p w14:paraId="05BF00F4" w14:textId="50EB8B27"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146</w:t>
            </w:r>
          </w:p>
        </w:tc>
        <w:tc>
          <w:tcPr>
            <w:tcW w:w="1276" w:type="dxa"/>
            <w:noWrap/>
            <w:vAlign w:val="center"/>
            <w:hideMark/>
          </w:tcPr>
          <w:p w14:paraId="0B943309" w14:textId="35E253AF"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261</w:t>
            </w:r>
          </w:p>
        </w:tc>
      </w:tr>
      <w:tr w:rsidR="007B3258" w:rsidRPr="00465A16" w14:paraId="71C102F6" w14:textId="77777777" w:rsidTr="00F6615C">
        <w:trPr>
          <w:trHeight w:val="315"/>
        </w:trPr>
        <w:tc>
          <w:tcPr>
            <w:tcW w:w="2684" w:type="dxa"/>
            <w:noWrap/>
            <w:vAlign w:val="center"/>
            <w:hideMark/>
          </w:tcPr>
          <w:p w14:paraId="1533DF5C" w14:textId="77777777" w:rsidR="007B3258" w:rsidRPr="007B3258" w:rsidRDefault="007B3258" w:rsidP="007B3258">
            <w:pPr>
              <w:spacing w:after="0" w:line="240" w:lineRule="auto"/>
              <w:rPr>
                <w:rFonts w:eastAsia="Times New Roman"/>
                <w:spacing w:val="0"/>
                <w:lang w:eastAsia="es-DO"/>
              </w:rPr>
            </w:pPr>
            <w:r w:rsidRPr="007B3258">
              <w:rPr>
                <w:rFonts w:eastAsia="Times New Roman"/>
                <w:spacing w:val="0"/>
                <w:lang w:eastAsia="es-DO"/>
              </w:rPr>
              <w:t>Julio</w:t>
            </w:r>
          </w:p>
        </w:tc>
        <w:tc>
          <w:tcPr>
            <w:tcW w:w="1559" w:type="dxa"/>
            <w:noWrap/>
            <w:vAlign w:val="center"/>
            <w:hideMark/>
          </w:tcPr>
          <w:p w14:paraId="020C91F6" w14:textId="4C2239DE"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113</w:t>
            </w:r>
          </w:p>
        </w:tc>
        <w:tc>
          <w:tcPr>
            <w:tcW w:w="1417" w:type="dxa"/>
            <w:noWrap/>
            <w:vAlign w:val="center"/>
            <w:hideMark/>
          </w:tcPr>
          <w:p w14:paraId="37482D0F" w14:textId="5CA49672"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120</w:t>
            </w:r>
          </w:p>
        </w:tc>
        <w:tc>
          <w:tcPr>
            <w:tcW w:w="1276" w:type="dxa"/>
            <w:noWrap/>
            <w:vAlign w:val="center"/>
            <w:hideMark/>
          </w:tcPr>
          <w:p w14:paraId="66F5761C" w14:textId="1540A708"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233</w:t>
            </w:r>
          </w:p>
        </w:tc>
      </w:tr>
      <w:tr w:rsidR="007B3258" w:rsidRPr="00465A16" w14:paraId="5A2A25D4" w14:textId="77777777" w:rsidTr="00F6615C">
        <w:trPr>
          <w:trHeight w:val="315"/>
        </w:trPr>
        <w:tc>
          <w:tcPr>
            <w:tcW w:w="2684" w:type="dxa"/>
            <w:noWrap/>
            <w:vAlign w:val="center"/>
            <w:hideMark/>
          </w:tcPr>
          <w:p w14:paraId="149B7BB3" w14:textId="77777777" w:rsidR="007B3258" w:rsidRPr="007B3258" w:rsidRDefault="007B3258" w:rsidP="007B3258">
            <w:pPr>
              <w:spacing w:after="0" w:line="240" w:lineRule="auto"/>
              <w:rPr>
                <w:rFonts w:eastAsia="Times New Roman"/>
                <w:spacing w:val="0"/>
                <w:lang w:eastAsia="es-DO"/>
              </w:rPr>
            </w:pPr>
            <w:r w:rsidRPr="007B3258">
              <w:rPr>
                <w:rFonts w:eastAsia="Times New Roman"/>
                <w:spacing w:val="0"/>
                <w:lang w:eastAsia="es-DO"/>
              </w:rPr>
              <w:t>Agosto</w:t>
            </w:r>
          </w:p>
        </w:tc>
        <w:tc>
          <w:tcPr>
            <w:tcW w:w="1559" w:type="dxa"/>
            <w:noWrap/>
            <w:vAlign w:val="center"/>
            <w:hideMark/>
          </w:tcPr>
          <w:p w14:paraId="2BE53DE6" w14:textId="688CAE72"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108</w:t>
            </w:r>
          </w:p>
        </w:tc>
        <w:tc>
          <w:tcPr>
            <w:tcW w:w="1417" w:type="dxa"/>
            <w:noWrap/>
            <w:vAlign w:val="center"/>
            <w:hideMark/>
          </w:tcPr>
          <w:p w14:paraId="1484590E" w14:textId="13C6817E"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115</w:t>
            </w:r>
          </w:p>
        </w:tc>
        <w:tc>
          <w:tcPr>
            <w:tcW w:w="1276" w:type="dxa"/>
            <w:noWrap/>
            <w:vAlign w:val="center"/>
            <w:hideMark/>
          </w:tcPr>
          <w:p w14:paraId="34591FEA" w14:textId="04EC9C2C"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223</w:t>
            </w:r>
          </w:p>
        </w:tc>
      </w:tr>
      <w:tr w:rsidR="007B3258" w:rsidRPr="00465A16" w14:paraId="4FD3CBE9" w14:textId="77777777" w:rsidTr="00F6615C">
        <w:trPr>
          <w:trHeight w:val="315"/>
        </w:trPr>
        <w:tc>
          <w:tcPr>
            <w:tcW w:w="2684" w:type="dxa"/>
            <w:noWrap/>
            <w:vAlign w:val="center"/>
            <w:hideMark/>
          </w:tcPr>
          <w:p w14:paraId="1DFA1D58" w14:textId="77777777" w:rsidR="007B3258" w:rsidRPr="007B3258" w:rsidRDefault="007B3258" w:rsidP="007B3258">
            <w:pPr>
              <w:spacing w:after="0" w:line="240" w:lineRule="auto"/>
              <w:rPr>
                <w:rFonts w:eastAsia="Times New Roman"/>
                <w:spacing w:val="0"/>
                <w:lang w:eastAsia="es-DO"/>
              </w:rPr>
            </w:pPr>
            <w:r w:rsidRPr="007B3258">
              <w:rPr>
                <w:rFonts w:eastAsia="Times New Roman"/>
                <w:spacing w:val="0"/>
                <w:lang w:eastAsia="es-DO"/>
              </w:rPr>
              <w:t>Septiembre</w:t>
            </w:r>
          </w:p>
        </w:tc>
        <w:tc>
          <w:tcPr>
            <w:tcW w:w="1559" w:type="dxa"/>
            <w:noWrap/>
            <w:vAlign w:val="center"/>
            <w:hideMark/>
          </w:tcPr>
          <w:p w14:paraId="1F447EF4" w14:textId="2F8B300C"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143</w:t>
            </w:r>
          </w:p>
        </w:tc>
        <w:tc>
          <w:tcPr>
            <w:tcW w:w="1417" w:type="dxa"/>
            <w:noWrap/>
            <w:vAlign w:val="center"/>
            <w:hideMark/>
          </w:tcPr>
          <w:p w14:paraId="21C72325" w14:textId="776722B2"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122</w:t>
            </w:r>
          </w:p>
        </w:tc>
        <w:tc>
          <w:tcPr>
            <w:tcW w:w="1276" w:type="dxa"/>
            <w:noWrap/>
            <w:vAlign w:val="center"/>
            <w:hideMark/>
          </w:tcPr>
          <w:p w14:paraId="6F9C075F" w14:textId="3EF03EA5"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265</w:t>
            </w:r>
          </w:p>
        </w:tc>
      </w:tr>
      <w:tr w:rsidR="007B3258" w:rsidRPr="00465A16" w14:paraId="5D77B78D" w14:textId="77777777" w:rsidTr="00F6615C">
        <w:trPr>
          <w:trHeight w:val="315"/>
        </w:trPr>
        <w:tc>
          <w:tcPr>
            <w:tcW w:w="2684" w:type="dxa"/>
            <w:noWrap/>
            <w:vAlign w:val="center"/>
            <w:hideMark/>
          </w:tcPr>
          <w:p w14:paraId="0B4281FD" w14:textId="77777777" w:rsidR="007B3258" w:rsidRPr="007B3258" w:rsidRDefault="007B3258" w:rsidP="007B3258">
            <w:pPr>
              <w:spacing w:after="0" w:line="240" w:lineRule="auto"/>
              <w:rPr>
                <w:rFonts w:eastAsia="Times New Roman"/>
                <w:spacing w:val="0"/>
                <w:lang w:eastAsia="es-DO"/>
              </w:rPr>
            </w:pPr>
            <w:r w:rsidRPr="007B3258">
              <w:rPr>
                <w:rFonts w:eastAsia="Times New Roman"/>
                <w:spacing w:val="0"/>
                <w:lang w:eastAsia="es-DO"/>
              </w:rPr>
              <w:t>Octubre</w:t>
            </w:r>
          </w:p>
        </w:tc>
        <w:tc>
          <w:tcPr>
            <w:tcW w:w="1559" w:type="dxa"/>
            <w:noWrap/>
            <w:vAlign w:val="center"/>
            <w:hideMark/>
          </w:tcPr>
          <w:p w14:paraId="1181804F" w14:textId="02507960"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86</w:t>
            </w:r>
          </w:p>
        </w:tc>
        <w:tc>
          <w:tcPr>
            <w:tcW w:w="1417" w:type="dxa"/>
            <w:noWrap/>
            <w:vAlign w:val="center"/>
            <w:hideMark/>
          </w:tcPr>
          <w:p w14:paraId="30240F6C" w14:textId="1EBD3E31"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78</w:t>
            </w:r>
          </w:p>
        </w:tc>
        <w:tc>
          <w:tcPr>
            <w:tcW w:w="1276" w:type="dxa"/>
            <w:noWrap/>
            <w:vAlign w:val="center"/>
            <w:hideMark/>
          </w:tcPr>
          <w:p w14:paraId="727068F7" w14:textId="138BBC0B"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164</w:t>
            </w:r>
          </w:p>
        </w:tc>
      </w:tr>
      <w:tr w:rsidR="007B3258" w:rsidRPr="00465A16" w14:paraId="44730615" w14:textId="77777777" w:rsidTr="00F6615C">
        <w:trPr>
          <w:trHeight w:val="315"/>
        </w:trPr>
        <w:tc>
          <w:tcPr>
            <w:tcW w:w="2684" w:type="dxa"/>
            <w:noWrap/>
            <w:vAlign w:val="center"/>
            <w:hideMark/>
          </w:tcPr>
          <w:p w14:paraId="54C984BF" w14:textId="77777777" w:rsidR="007B3258" w:rsidRPr="007B3258" w:rsidRDefault="007B3258" w:rsidP="007B3258">
            <w:pPr>
              <w:spacing w:after="0" w:line="240" w:lineRule="auto"/>
              <w:rPr>
                <w:rFonts w:eastAsia="Times New Roman"/>
                <w:spacing w:val="0"/>
                <w:lang w:eastAsia="es-DO"/>
              </w:rPr>
            </w:pPr>
            <w:r w:rsidRPr="007B3258">
              <w:rPr>
                <w:rFonts w:eastAsia="Times New Roman"/>
                <w:spacing w:val="0"/>
                <w:lang w:eastAsia="es-DO"/>
              </w:rPr>
              <w:t>Noviembre</w:t>
            </w:r>
          </w:p>
        </w:tc>
        <w:tc>
          <w:tcPr>
            <w:tcW w:w="1559" w:type="dxa"/>
            <w:noWrap/>
            <w:vAlign w:val="center"/>
            <w:hideMark/>
          </w:tcPr>
          <w:p w14:paraId="51F67C23" w14:textId="7C5CFA7C"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12</w:t>
            </w:r>
          </w:p>
        </w:tc>
        <w:tc>
          <w:tcPr>
            <w:tcW w:w="1417" w:type="dxa"/>
            <w:noWrap/>
            <w:vAlign w:val="center"/>
            <w:hideMark/>
          </w:tcPr>
          <w:p w14:paraId="78052201" w14:textId="06714190"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17</w:t>
            </w:r>
          </w:p>
        </w:tc>
        <w:tc>
          <w:tcPr>
            <w:tcW w:w="1276" w:type="dxa"/>
            <w:noWrap/>
            <w:vAlign w:val="center"/>
            <w:hideMark/>
          </w:tcPr>
          <w:p w14:paraId="77F671A7" w14:textId="561C6F7E"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29</w:t>
            </w:r>
          </w:p>
        </w:tc>
      </w:tr>
      <w:tr w:rsidR="007B3258" w:rsidRPr="00465A16" w14:paraId="5C32BEFB" w14:textId="77777777" w:rsidTr="00F6615C">
        <w:trPr>
          <w:trHeight w:val="315"/>
        </w:trPr>
        <w:tc>
          <w:tcPr>
            <w:tcW w:w="2684" w:type="dxa"/>
            <w:noWrap/>
            <w:vAlign w:val="center"/>
            <w:hideMark/>
          </w:tcPr>
          <w:p w14:paraId="0BBD3B8F" w14:textId="77777777" w:rsidR="007B3258" w:rsidRPr="007B3258" w:rsidRDefault="007B3258" w:rsidP="007B3258">
            <w:pPr>
              <w:spacing w:after="0" w:line="240" w:lineRule="auto"/>
              <w:rPr>
                <w:rFonts w:eastAsia="Times New Roman"/>
                <w:spacing w:val="0"/>
                <w:lang w:eastAsia="es-DO"/>
              </w:rPr>
            </w:pPr>
            <w:r w:rsidRPr="007B3258">
              <w:rPr>
                <w:rFonts w:eastAsia="Times New Roman"/>
                <w:spacing w:val="0"/>
                <w:lang w:eastAsia="es-DO"/>
              </w:rPr>
              <w:t>Diciembre</w:t>
            </w:r>
          </w:p>
        </w:tc>
        <w:tc>
          <w:tcPr>
            <w:tcW w:w="1559" w:type="dxa"/>
            <w:noWrap/>
            <w:vAlign w:val="center"/>
            <w:hideMark/>
          </w:tcPr>
          <w:p w14:paraId="75A28DF3" w14:textId="74B2FA68"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7</w:t>
            </w:r>
          </w:p>
        </w:tc>
        <w:tc>
          <w:tcPr>
            <w:tcW w:w="1417" w:type="dxa"/>
            <w:noWrap/>
            <w:vAlign w:val="center"/>
            <w:hideMark/>
          </w:tcPr>
          <w:p w14:paraId="782C9B89" w14:textId="396DBB68"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13</w:t>
            </w:r>
          </w:p>
        </w:tc>
        <w:tc>
          <w:tcPr>
            <w:tcW w:w="1276" w:type="dxa"/>
            <w:noWrap/>
            <w:vAlign w:val="center"/>
            <w:hideMark/>
          </w:tcPr>
          <w:p w14:paraId="6257C523" w14:textId="16CA6DAD" w:rsidR="007B3258" w:rsidRPr="007B3258" w:rsidRDefault="007B3258" w:rsidP="007B3258">
            <w:pPr>
              <w:spacing w:after="0" w:line="240" w:lineRule="auto"/>
              <w:jc w:val="right"/>
              <w:rPr>
                <w:rFonts w:eastAsia="Times New Roman"/>
                <w:spacing w:val="0"/>
                <w:lang w:eastAsia="es-DO"/>
              </w:rPr>
            </w:pPr>
            <w:r w:rsidRPr="007B3258">
              <w:rPr>
                <w:rFonts w:eastAsia="Times New Roman"/>
                <w:spacing w:val="0"/>
                <w:sz w:val="22"/>
                <w:szCs w:val="22"/>
                <w:lang w:eastAsia="es-DO"/>
              </w:rPr>
              <w:t>20</w:t>
            </w:r>
          </w:p>
        </w:tc>
      </w:tr>
      <w:tr w:rsidR="007B3258" w:rsidRPr="00465A16" w14:paraId="1B89F4B6" w14:textId="77777777" w:rsidTr="00F6615C">
        <w:trPr>
          <w:trHeight w:val="330"/>
        </w:trPr>
        <w:tc>
          <w:tcPr>
            <w:tcW w:w="2684" w:type="dxa"/>
            <w:shd w:val="clear" w:color="auto" w:fill="011C50"/>
            <w:noWrap/>
            <w:vAlign w:val="center"/>
            <w:hideMark/>
          </w:tcPr>
          <w:p w14:paraId="21D59946" w14:textId="77777777" w:rsidR="007B3258" w:rsidRPr="00465A16" w:rsidRDefault="007B3258" w:rsidP="007B3258">
            <w:pPr>
              <w:spacing w:after="0" w:line="240" w:lineRule="auto"/>
              <w:rPr>
                <w:rFonts w:eastAsia="Times New Roman"/>
                <w:b/>
                <w:bCs/>
                <w:color w:val="FFFFFF"/>
                <w:spacing w:val="0"/>
                <w:lang w:eastAsia="es-DO"/>
              </w:rPr>
            </w:pPr>
            <w:r w:rsidRPr="00465A16">
              <w:rPr>
                <w:rFonts w:eastAsia="Times New Roman"/>
                <w:b/>
                <w:bCs/>
                <w:color w:val="FFFFFF"/>
                <w:spacing w:val="0"/>
                <w:lang w:eastAsia="es-DO"/>
              </w:rPr>
              <w:t>Totales</w:t>
            </w:r>
          </w:p>
        </w:tc>
        <w:tc>
          <w:tcPr>
            <w:tcW w:w="1559" w:type="dxa"/>
            <w:shd w:val="clear" w:color="auto" w:fill="011C50"/>
            <w:noWrap/>
            <w:vAlign w:val="center"/>
            <w:hideMark/>
          </w:tcPr>
          <w:p w14:paraId="1A65D019" w14:textId="66F73AAB" w:rsidR="007B3258" w:rsidRPr="00465A16" w:rsidRDefault="007B3258" w:rsidP="007B3258">
            <w:pPr>
              <w:spacing w:after="0" w:line="240" w:lineRule="auto"/>
              <w:jc w:val="right"/>
              <w:rPr>
                <w:rFonts w:eastAsia="Times New Roman"/>
                <w:b/>
                <w:bCs/>
                <w:color w:val="FFFFFF"/>
                <w:spacing w:val="0"/>
                <w:lang w:eastAsia="es-DO"/>
              </w:rPr>
            </w:pPr>
            <w:r w:rsidRPr="00465A16">
              <w:rPr>
                <w:rFonts w:eastAsia="Times New Roman"/>
                <w:b/>
                <w:bCs/>
                <w:color w:val="FFFFFF"/>
                <w:spacing w:val="0"/>
                <w:lang w:eastAsia="es-DO"/>
              </w:rPr>
              <w:t>9</w:t>
            </w:r>
            <w:r>
              <w:rPr>
                <w:rFonts w:eastAsia="Times New Roman"/>
                <w:b/>
                <w:bCs/>
                <w:color w:val="FFFFFF"/>
                <w:spacing w:val="0"/>
                <w:lang w:eastAsia="es-DO"/>
              </w:rPr>
              <w:t>45</w:t>
            </w:r>
          </w:p>
        </w:tc>
        <w:tc>
          <w:tcPr>
            <w:tcW w:w="1417" w:type="dxa"/>
            <w:shd w:val="clear" w:color="auto" w:fill="011C50"/>
            <w:noWrap/>
            <w:vAlign w:val="center"/>
            <w:hideMark/>
          </w:tcPr>
          <w:p w14:paraId="4EED155D" w14:textId="4C1B6C14" w:rsidR="007B3258" w:rsidRPr="00465A16" w:rsidRDefault="007B3258" w:rsidP="007B3258">
            <w:pPr>
              <w:spacing w:after="0" w:line="240" w:lineRule="auto"/>
              <w:jc w:val="right"/>
              <w:rPr>
                <w:rFonts w:eastAsia="Times New Roman"/>
                <w:b/>
                <w:bCs/>
                <w:color w:val="FFFFFF"/>
                <w:spacing w:val="0"/>
                <w:lang w:eastAsia="es-DO"/>
              </w:rPr>
            </w:pPr>
            <w:r w:rsidRPr="00597EDC">
              <w:rPr>
                <w:rFonts w:eastAsia="Times New Roman"/>
                <w:b/>
                <w:bCs/>
                <w:color w:val="FFFFFF"/>
                <w:spacing w:val="0"/>
                <w:lang w:eastAsia="es-DO"/>
              </w:rPr>
              <w:t>969</w:t>
            </w:r>
          </w:p>
        </w:tc>
        <w:tc>
          <w:tcPr>
            <w:tcW w:w="1276" w:type="dxa"/>
            <w:shd w:val="clear" w:color="auto" w:fill="011C50"/>
            <w:noWrap/>
            <w:vAlign w:val="center"/>
            <w:hideMark/>
          </w:tcPr>
          <w:p w14:paraId="78597928" w14:textId="5F07AE49" w:rsidR="007B3258" w:rsidRPr="00465A16" w:rsidRDefault="007B3258" w:rsidP="007B3258">
            <w:pPr>
              <w:spacing w:after="0" w:line="240" w:lineRule="auto"/>
              <w:jc w:val="right"/>
              <w:rPr>
                <w:rFonts w:eastAsia="Times New Roman"/>
                <w:b/>
                <w:bCs/>
                <w:color w:val="FFFFFF"/>
                <w:spacing w:val="0"/>
                <w:lang w:eastAsia="es-DO"/>
              </w:rPr>
            </w:pPr>
            <w:r>
              <w:rPr>
                <w:rFonts w:eastAsia="Times New Roman"/>
                <w:b/>
                <w:bCs/>
                <w:color w:val="FFFFFF"/>
                <w:spacing w:val="0"/>
                <w:lang w:eastAsia="es-DO"/>
              </w:rPr>
              <w:t>1924</w:t>
            </w:r>
          </w:p>
        </w:tc>
      </w:tr>
    </w:tbl>
    <w:p w14:paraId="43F26D84" w14:textId="02142A9E" w:rsidR="00F53428" w:rsidRPr="00AF327F" w:rsidRDefault="00F53428" w:rsidP="004C41DA">
      <w:pPr>
        <w:spacing w:line="360" w:lineRule="auto"/>
        <w:ind w:left="284"/>
        <w:jc w:val="center"/>
        <w:rPr>
          <w:sz w:val="18"/>
          <w:szCs w:val="18"/>
        </w:rPr>
      </w:pPr>
      <w:r w:rsidRPr="00AF327F">
        <w:rPr>
          <w:sz w:val="18"/>
          <w:szCs w:val="18"/>
        </w:rPr>
        <w:t xml:space="preserve">Tabla </w:t>
      </w:r>
      <w:r w:rsidR="006A4423" w:rsidRPr="00AF327F">
        <w:rPr>
          <w:sz w:val="18"/>
          <w:szCs w:val="18"/>
        </w:rPr>
        <w:t>20</w:t>
      </w:r>
      <w:r w:rsidRPr="00AF327F">
        <w:rPr>
          <w:sz w:val="18"/>
          <w:szCs w:val="18"/>
        </w:rPr>
        <w:t xml:space="preserve">. Disfrute de vacaciones </w:t>
      </w:r>
      <w:r w:rsidR="007B3258">
        <w:rPr>
          <w:sz w:val="18"/>
          <w:szCs w:val="18"/>
        </w:rPr>
        <w:t xml:space="preserve">enero- diciembre </w:t>
      </w:r>
      <w:r w:rsidRPr="00AF327F">
        <w:rPr>
          <w:sz w:val="18"/>
          <w:szCs w:val="18"/>
        </w:rPr>
        <w:t>202</w:t>
      </w:r>
      <w:r w:rsidR="004C41DA" w:rsidRPr="00AF327F">
        <w:rPr>
          <w:sz w:val="18"/>
          <w:szCs w:val="18"/>
        </w:rPr>
        <w:t>5</w:t>
      </w:r>
    </w:p>
    <w:p w14:paraId="32190855" w14:textId="2BD976FC" w:rsidR="007F1303" w:rsidRPr="0077472F" w:rsidRDefault="007F1303" w:rsidP="00B970B8">
      <w:pPr>
        <w:jc w:val="center"/>
        <w:rPr>
          <w:i/>
          <w:iCs/>
          <w:sz w:val="18"/>
          <w:szCs w:val="18"/>
        </w:rPr>
      </w:pPr>
      <w:r w:rsidRPr="0077472F">
        <w:rPr>
          <w:i/>
          <w:iCs/>
          <w:sz w:val="18"/>
          <w:szCs w:val="18"/>
        </w:rPr>
        <w:t>Fuente. Dirección de Recursos Humanos</w:t>
      </w:r>
    </w:p>
    <w:p w14:paraId="59CA782A" w14:textId="6CC659B9" w:rsidR="00F53428" w:rsidRPr="0077472F" w:rsidRDefault="00F53428" w:rsidP="00F53428">
      <w:pPr>
        <w:spacing w:line="360" w:lineRule="auto"/>
        <w:jc w:val="both"/>
        <w:rPr>
          <w:i/>
          <w:iCs/>
        </w:rPr>
      </w:pPr>
    </w:p>
    <w:p w14:paraId="0A65ABFB" w14:textId="20D0D5CE" w:rsidR="0077548E" w:rsidRPr="00465A16" w:rsidRDefault="0077548E" w:rsidP="007E1337">
      <w:pPr>
        <w:spacing w:line="360" w:lineRule="auto"/>
        <w:ind w:left="284"/>
        <w:jc w:val="both"/>
        <w:rPr>
          <w:color w:val="EE0000"/>
        </w:rPr>
      </w:pPr>
    </w:p>
    <w:p w14:paraId="4E321CF8" w14:textId="5B30D98C" w:rsidR="00045BAD" w:rsidRPr="00582880" w:rsidRDefault="00B62154" w:rsidP="00C934DB">
      <w:pPr>
        <w:spacing w:line="360" w:lineRule="auto"/>
        <w:jc w:val="both"/>
        <w:rPr>
          <w:b/>
          <w:bCs/>
        </w:rPr>
      </w:pPr>
      <w:r w:rsidRPr="00465A16">
        <w:rPr>
          <w:color w:val="EE0000"/>
        </w:rPr>
        <w:br w:type="page"/>
      </w:r>
      <w:r w:rsidR="00045BAD" w:rsidRPr="00582880">
        <w:rPr>
          <w:b/>
          <w:bCs/>
        </w:rPr>
        <w:lastRenderedPageBreak/>
        <w:t>f. Resultados de estudios sobre equidad salarial entre hombres y mujeres, por grupo ocupacional.</w:t>
      </w:r>
    </w:p>
    <w:p w14:paraId="680F0D28" w14:textId="1C078419" w:rsidR="00045BAD" w:rsidRPr="00582880" w:rsidRDefault="00045BAD" w:rsidP="00C934DB">
      <w:pPr>
        <w:spacing w:line="360" w:lineRule="auto"/>
        <w:jc w:val="both"/>
      </w:pPr>
      <w:r w:rsidRPr="00582880">
        <w:t>Durante el per</w:t>
      </w:r>
      <w:r w:rsidR="000A6BBA">
        <w:t>í</w:t>
      </w:r>
      <w:r w:rsidRPr="00582880">
        <w:t>odo analizado, a saber, junio 2024 a mayo 2025, la Contraloría General de la República avanzó significativamente en el fortalecimiento de la igualdad entre mujeres y hombres, garantizando condiciones equitativas en la distribución salarial, el acceso a oportunidades y la participación en los distintos grupos ocupacionales. El análisis realizado evidencia que la institución sostiene una estructura salarial justa y acorde con el enfoque de igualdad que promueve el Sello Igualando RD.</w:t>
      </w:r>
    </w:p>
    <w:p w14:paraId="452AC49C" w14:textId="266EAE88" w:rsidR="00045BAD" w:rsidRPr="00582880" w:rsidRDefault="00045BAD" w:rsidP="00C934DB">
      <w:pPr>
        <w:spacing w:line="360" w:lineRule="auto"/>
        <w:jc w:val="both"/>
      </w:pPr>
      <w:r w:rsidRPr="00582880">
        <w:t xml:space="preserve">En los grupos de mayor jerarquía institucional (grupos ocupacionales </w:t>
      </w:r>
      <w:r w:rsidR="007E03FD" w:rsidRPr="00582880">
        <w:t>IV</w:t>
      </w:r>
      <w:r w:rsidR="007E03FD" w:rsidRPr="007E03FD">
        <w:t xml:space="preserve"> </w:t>
      </w:r>
      <w:r w:rsidR="007E03FD" w:rsidRPr="00582880">
        <w:t xml:space="preserve">y </w:t>
      </w:r>
      <w:r w:rsidRPr="00582880">
        <w:t>V) no se identifican brechas salariales relevantes entre mujeres y hombres. Por el contrario, se observa una amplia participación femenina, quienes además concentran una mayor masa salarial, resultado de su presencia en posiciones directivas, profesionales y de análisis estratégico. Este comportamiento refuerza el compromiso institucional de promover la participación de las mujeres en niveles de toma de decisiones.</w:t>
      </w:r>
    </w:p>
    <w:p w14:paraId="73338005" w14:textId="77777777" w:rsidR="00045BAD" w:rsidRPr="00582880" w:rsidRDefault="00045BAD" w:rsidP="00C934DB">
      <w:pPr>
        <w:spacing w:line="360" w:lineRule="auto"/>
        <w:jc w:val="both"/>
      </w:pPr>
      <w:r w:rsidRPr="00582880">
        <w:t>Las brechas salariales relevantes se registran únicamente en los grupos operativos y técnicos (grupos III y I), donde los hombres concentran la mayor presencia debido a la naturaleza de los cargos (técnicos, choferes, mensajeros y oficios generales), históricamente asociados a especialidades masculinizadas. Esta distribución ocupacional explica las diferencias observadas y no responde a prácticas discriminatorias en la remuneración.</w:t>
      </w:r>
    </w:p>
    <w:p w14:paraId="12EEEE4E" w14:textId="77777777" w:rsidR="00045BAD" w:rsidRPr="00582880" w:rsidRDefault="00045BAD" w:rsidP="00C934DB">
      <w:pPr>
        <w:spacing w:line="360" w:lineRule="auto"/>
        <w:jc w:val="both"/>
      </w:pPr>
    </w:p>
    <w:p w14:paraId="6639DB8B" w14:textId="77777777" w:rsidR="00045BAD" w:rsidRPr="00582880" w:rsidRDefault="00045BAD" w:rsidP="00045BAD">
      <w:pPr>
        <w:spacing w:line="360" w:lineRule="auto"/>
        <w:jc w:val="both"/>
      </w:pPr>
    </w:p>
    <w:p w14:paraId="71E0988B" w14:textId="54A85935" w:rsidR="00045BAD" w:rsidRPr="00582880" w:rsidRDefault="00045BAD" w:rsidP="00C934DB">
      <w:pPr>
        <w:spacing w:line="360" w:lineRule="auto"/>
        <w:jc w:val="both"/>
      </w:pPr>
      <w:r w:rsidRPr="00582880">
        <w:lastRenderedPageBreak/>
        <w:t>En cuanto al acceso a beneficios institucionales, programas de capacitación y bienestar laboral, tanto hombres como mujeres participan en igualdad de condiciones. Destaca la mayor asistencia femenina a los procesos de fortalecimiento de capacidades, lo que refleja su interés y compromiso con el desarrollo profesional dentro de la institución.</w:t>
      </w:r>
    </w:p>
    <w:p w14:paraId="50490B93" w14:textId="7C3B103E" w:rsidR="00045BAD" w:rsidRPr="00582880" w:rsidRDefault="00045BAD" w:rsidP="00C934DB">
      <w:pPr>
        <w:spacing w:line="360" w:lineRule="auto"/>
        <w:jc w:val="both"/>
      </w:pPr>
      <w:r w:rsidRPr="00582880">
        <w:t>De manera global, las mujeres reciben una masa salarial superior durante el per</w:t>
      </w:r>
      <w:r w:rsidR="00DD0927">
        <w:t>í</w:t>
      </w:r>
      <w:r w:rsidRPr="00582880">
        <w:t>odo (42.58% más que los hombres), lo cual está directamente vinculado a su mayor participación en posiciones profesionales, administrativas y directivas. Este resultado confirma que la Contraloría aplica políticas remunerativas equitativas y basadas en la escala salarial aprobada por el MAP, sin discriminación por razones de género.</w:t>
      </w:r>
    </w:p>
    <w:p w14:paraId="4FFC780E" w14:textId="77777777" w:rsidR="00045BAD" w:rsidRPr="00582880" w:rsidRDefault="00045BAD" w:rsidP="00C934DB">
      <w:pPr>
        <w:spacing w:line="360" w:lineRule="auto"/>
        <w:jc w:val="both"/>
      </w:pPr>
      <w:r w:rsidRPr="00582880">
        <w:t>En síntesis, los avances logrados evidencian que la Contraloría General de la República:</w:t>
      </w:r>
    </w:p>
    <w:p w14:paraId="2396A00F" w14:textId="77777777" w:rsidR="00045BAD" w:rsidRPr="00582880" w:rsidRDefault="00045BAD">
      <w:pPr>
        <w:numPr>
          <w:ilvl w:val="0"/>
          <w:numId w:val="42"/>
        </w:numPr>
        <w:spacing w:line="360" w:lineRule="auto"/>
        <w:jc w:val="both"/>
      </w:pPr>
      <w:r w:rsidRPr="00582880">
        <w:t>Sustenta una estructura salarial equilibrada y coherente con la normativa nacional y los estándares del Sello Igualando RD.</w:t>
      </w:r>
    </w:p>
    <w:p w14:paraId="6487134C" w14:textId="77777777" w:rsidR="00045BAD" w:rsidRPr="00582880" w:rsidRDefault="00045BAD">
      <w:pPr>
        <w:numPr>
          <w:ilvl w:val="0"/>
          <w:numId w:val="42"/>
        </w:numPr>
        <w:spacing w:line="360" w:lineRule="auto"/>
        <w:jc w:val="both"/>
      </w:pPr>
      <w:r w:rsidRPr="00582880">
        <w:t>Garantiza igualdad de oportunidades en el acceso a beneficios, capacitaciones y procesos institucionales.</w:t>
      </w:r>
    </w:p>
    <w:p w14:paraId="2CFC3F20" w14:textId="77777777" w:rsidR="00045BAD" w:rsidRPr="00582880" w:rsidRDefault="00045BAD">
      <w:pPr>
        <w:numPr>
          <w:ilvl w:val="0"/>
          <w:numId w:val="42"/>
        </w:numPr>
        <w:spacing w:line="360" w:lineRule="auto"/>
        <w:jc w:val="both"/>
      </w:pPr>
      <w:r w:rsidRPr="00582880">
        <w:t>Promueve la participación de las mujeres en puestos de mayor responsabilidad y liderazgo.</w:t>
      </w:r>
    </w:p>
    <w:p w14:paraId="640E7368" w14:textId="77777777" w:rsidR="00045BAD" w:rsidRPr="00582880" w:rsidRDefault="00045BAD">
      <w:pPr>
        <w:numPr>
          <w:ilvl w:val="0"/>
          <w:numId w:val="42"/>
        </w:numPr>
        <w:spacing w:line="360" w:lineRule="auto"/>
        <w:jc w:val="both"/>
      </w:pPr>
      <w:r w:rsidRPr="00582880">
        <w:t>Identifica con claridad las áreas donde persisten brechas derivadas de la composición ocupacional, lo que permitirá continuar diseñando acciones correctivas para su disminución progresiva.</w:t>
      </w:r>
    </w:p>
    <w:p w14:paraId="196E533F" w14:textId="77777777" w:rsidR="00045BAD" w:rsidRPr="00582880" w:rsidRDefault="00045BAD" w:rsidP="00045BAD">
      <w:pPr>
        <w:spacing w:line="360" w:lineRule="auto"/>
        <w:ind w:left="720"/>
        <w:jc w:val="both"/>
      </w:pPr>
    </w:p>
    <w:p w14:paraId="4E2829B5" w14:textId="77777777" w:rsidR="00045BAD" w:rsidRPr="00465A16" w:rsidRDefault="00045BAD" w:rsidP="00045BAD">
      <w:pPr>
        <w:spacing w:line="360" w:lineRule="auto"/>
        <w:ind w:left="720"/>
        <w:jc w:val="both"/>
        <w:rPr>
          <w:color w:val="4C4747"/>
        </w:rPr>
      </w:pPr>
    </w:p>
    <w:p w14:paraId="387C5208" w14:textId="77777777" w:rsidR="00045BAD" w:rsidRPr="00582880" w:rsidRDefault="00045BAD" w:rsidP="00C934DB">
      <w:pPr>
        <w:spacing w:line="360" w:lineRule="auto"/>
        <w:jc w:val="both"/>
      </w:pPr>
      <w:r w:rsidRPr="00582880">
        <w:lastRenderedPageBreak/>
        <w:t>Estos resultados reafirman el compromiso institucional con la igualdad de género, la transparencia y la mejora continua, contribuyendo a los objetivos nacionales e internacionales de desarrollo y a la rendición de cuentas.</w:t>
      </w:r>
    </w:p>
    <w:p w14:paraId="0EE02E07" w14:textId="3EE03EDD" w:rsidR="00045BAD" w:rsidRPr="00582880" w:rsidRDefault="00045BAD" w:rsidP="00C934DB">
      <w:pPr>
        <w:spacing w:line="360" w:lineRule="auto"/>
        <w:jc w:val="both"/>
        <w:rPr>
          <w:b/>
          <w:bCs/>
        </w:rPr>
      </w:pPr>
      <w:r w:rsidRPr="00582880">
        <w:rPr>
          <w:b/>
          <w:bCs/>
        </w:rPr>
        <w:t>g. Análisis de los resultados del SISMAP</w:t>
      </w:r>
    </w:p>
    <w:p w14:paraId="31D46560" w14:textId="08711AD7" w:rsidR="00045BAD" w:rsidRPr="00582880" w:rsidRDefault="00045BAD" w:rsidP="00C934DB">
      <w:pPr>
        <w:spacing w:line="360" w:lineRule="auto"/>
        <w:jc w:val="both"/>
      </w:pPr>
      <w:r w:rsidRPr="00582880">
        <w:t xml:space="preserve">El SISMAP es un sistema de monitoreo que busca medir los niveles de desarrollo de la gestión pública, a través de los Indicadores Básicos de Organización y Gestión (IBOG) y Sub -Indicadores Vinculados (SIV), relacionados principalmente a la Ley de Función Pública y otras normativas complementarias en términos </w:t>
      </w:r>
      <w:r w:rsidR="007D5A93">
        <w:t>p</w:t>
      </w:r>
      <w:r w:rsidRPr="00582880">
        <w:t xml:space="preserve">rofesionalización del </w:t>
      </w:r>
      <w:r w:rsidR="007D5A93">
        <w:t>e</w:t>
      </w:r>
      <w:r w:rsidRPr="00582880">
        <w:t xml:space="preserve">mpleo </w:t>
      </w:r>
      <w:r w:rsidR="007D5A93">
        <w:t>p</w:t>
      </w:r>
      <w:r w:rsidRPr="00582880">
        <w:t xml:space="preserve">úblico, </w:t>
      </w:r>
      <w:r w:rsidR="007D5A93">
        <w:t>f</w:t>
      </w:r>
      <w:r w:rsidRPr="00582880">
        <w:t xml:space="preserve">ortalecimiento </w:t>
      </w:r>
      <w:r w:rsidR="007D5A93">
        <w:t>i</w:t>
      </w:r>
      <w:r w:rsidRPr="00582880">
        <w:t xml:space="preserve">nstitucional y </w:t>
      </w:r>
      <w:r w:rsidR="007D5A93">
        <w:t>c</w:t>
      </w:r>
      <w:r w:rsidRPr="00582880">
        <w:t>alidad.</w:t>
      </w:r>
    </w:p>
    <w:p w14:paraId="26BCCA0E" w14:textId="3DD39D15" w:rsidR="00045BAD" w:rsidRPr="00582880" w:rsidRDefault="00045BAD" w:rsidP="00C934DB">
      <w:pPr>
        <w:spacing w:line="360" w:lineRule="auto"/>
        <w:jc w:val="both"/>
      </w:pPr>
      <w:r w:rsidRPr="00582880">
        <w:t>A diciembre 2025, la Contraloría General de la República, se encuentra en la posición 7, con una puntuación de 95.98%.</w:t>
      </w:r>
      <w:r w:rsidR="006B0459">
        <w:t xml:space="preserve"> Se proyecta mantener esta puntuación hasta cierre de año. </w:t>
      </w:r>
    </w:p>
    <w:p w14:paraId="5E2AF11C" w14:textId="64B8F135" w:rsidR="006A4423" w:rsidRPr="00582880" w:rsidRDefault="006A4423" w:rsidP="006A4423">
      <w:pPr>
        <w:spacing w:line="360" w:lineRule="auto"/>
        <w:ind w:left="284"/>
        <w:jc w:val="center"/>
        <w:rPr>
          <w:sz w:val="18"/>
          <w:szCs w:val="18"/>
        </w:rPr>
      </w:pPr>
      <w:r w:rsidRPr="00582880">
        <w:rPr>
          <w:sz w:val="18"/>
          <w:szCs w:val="18"/>
        </w:rPr>
        <w:t xml:space="preserve">Tabla 21. </w:t>
      </w:r>
      <w:r w:rsidR="006B0459">
        <w:rPr>
          <w:sz w:val="18"/>
          <w:szCs w:val="18"/>
        </w:rPr>
        <w:t>Resultados SISMAP al 31 Dic 2025</w:t>
      </w:r>
    </w:p>
    <w:tbl>
      <w:tblPr>
        <w:tblW w:w="7780" w:type="dxa"/>
        <w:tblCellMar>
          <w:left w:w="70" w:type="dxa"/>
          <w:right w:w="70" w:type="dxa"/>
        </w:tblCellMar>
        <w:tblLook w:val="04A0" w:firstRow="1" w:lastRow="0" w:firstColumn="1" w:lastColumn="0" w:noHBand="0" w:noVBand="1"/>
      </w:tblPr>
      <w:tblGrid>
        <w:gridCol w:w="1713"/>
        <w:gridCol w:w="1554"/>
        <w:gridCol w:w="2086"/>
        <w:gridCol w:w="2427"/>
      </w:tblGrid>
      <w:tr w:rsidR="00456E61" w:rsidRPr="00456E61" w14:paraId="7D7141C7" w14:textId="77777777" w:rsidTr="006B0459">
        <w:trPr>
          <w:trHeight w:val="463"/>
          <w:tblHeader/>
        </w:trPr>
        <w:tc>
          <w:tcPr>
            <w:tcW w:w="1713"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1ACAF2F" w14:textId="77777777" w:rsidR="00456E61" w:rsidRPr="00456E61" w:rsidRDefault="00456E61" w:rsidP="00456E61">
            <w:pPr>
              <w:spacing w:after="0" w:line="240" w:lineRule="auto"/>
              <w:jc w:val="center"/>
              <w:rPr>
                <w:rFonts w:eastAsia="Times New Roman"/>
                <w:b/>
                <w:bCs/>
                <w:color w:val="FFFFFF"/>
                <w:spacing w:val="0"/>
                <w:lang w:eastAsia="es-DO"/>
              </w:rPr>
            </w:pPr>
            <w:r w:rsidRPr="00456E61">
              <w:rPr>
                <w:rFonts w:eastAsia="Times New Roman"/>
                <w:b/>
                <w:bCs/>
                <w:color w:val="FFFFFF"/>
                <w:spacing w:val="0"/>
                <w:lang w:eastAsia="es-DO"/>
              </w:rPr>
              <w:t>Indicador</w:t>
            </w:r>
          </w:p>
        </w:tc>
        <w:tc>
          <w:tcPr>
            <w:tcW w:w="1554" w:type="dxa"/>
            <w:tcBorders>
              <w:top w:val="single" w:sz="4" w:space="0" w:color="auto"/>
              <w:left w:val="nil"/>
              <w:bottom w:val="single" w:sz="4" w:space="0" w:color="auto"/>
              <w:right w:val="single" w:sz="4" w:space="0" w:color="auto"/>
            </w:tcBorders>
            <w:shd w:val="clear" w:color="auto" w:fill="011C50"/>
            <w:vAlign w:val="center"/>
            <w:hideMark/>
          </w:tcPr>
          <w:p w14:paraId="08C98B66" w14:textId="77777777" w:rsidR="00456E61" w:rsidRPr="00456E61" w:rsidRDefault="00456E61" w:rsidP="00456E61">
            <w:pPr>
              <w:spacing w:after="0" w:line="240" w:lineRule="auto"/>
              <w:jc w:val="center"/>
              <w:rPr>
                <w:rFonts w:eastAsia="Times New Roman"/>
                <w:b/>
                <w:bCs/>
                <w:color w:val="FFFFFF"/>
                <w:spacing w:val="0"/>
                <w:lang w:eastAsia="es-DO"/>
              </w:rPr>
            </w:pPr>
            <w:r w:rsidRPr="00456E61">
              <w:rPr>
                <w:rFonts w:eastAsia="Times New Roman"/>
                <w:b/>
                <w:bCs/>
                <w:color w:val="FFFFFF"/>
                <w:spacing w:val="0"/>
                <w:lang w:eastAsia="es-DO"/>
              </w:rPr>
              <w:t>% cumplimiento</w:t>
            </w:r>
          </w:p>
        </w:tc>
        <w:tc>
          <w:tcPr>
            <w:tcW w:w="2086" w:type="dxa"/>
            <w:tcBorders>
              <w:top w:val="single" w:sz="4" w:space="0" w:color="auto"/>
              <w:left w:val="nil"/>
              <w:bottom w:val="single" w:sz="4" w:space="0" w:color="auto"/>
              <w:right w:val="single" w:sz="4" w:space="0" w:color="auto"/>
            </w:tcBorders>
            <w:shd w:val="clear" w:color="auto" w:fill="011C50"/>
            <w:vAlign w:val="center"/>
            <w:hideMark/>
          </w:tcPr>
          <w:p w14:paraId="36F57C21" w14:textId="77777777" w:rsidR="00456E61" w:rsidRPr="00456E61" w:rsidRDefault="00456E61" w:rsidP="00456E61">
            <w:pPr>
              <w:spacing w:after="0" w:line="240" w:lineRule="auto"/>
              <w:jc w:val="center"/>
              <w:rPr>
                <w:rFonts w:eastAsia="Times New Roman"/>
                <w:b/>
                <w:bCs/>
                <w:color w:val="FFFFFF"/>
                <w:spacing w:val="0"/>
                <w:lang w:eastAsia="es-DO"/>
              </w:rPr>
            </w:pPr>
            <w:r w:rsidRPr="00456E61">
              <w:rPr>
                <w:rFonts w:eastAsia="Times New Roman"/>
                <w:b/>
                <w:bCs/>
                <w:color w:val="FFFFFF"/>
                <w:spacing w:val="0"/>
                <w:lang w:eastAsia="es-DO"/>
              </w:rPr>
              <w:t>Principales ejecutorias</w:t>
            </w:r>
          </w:p>
        </w:tc>
        <w:tc>
          <w:tcPr>
            <w:tcW w:w="2427" w:type="dxa"/>
            <w:tcBorders>
              <w:top w:val="single" w:sz="4" w:space="0" w:color="auto"/>
              <w:left w:val="nil"/>
              <w:bottom w:val="single" w:sz="4" w:space="0" w:color="auto"/>
              <w:right w:val="single" w:sz="4" w:space="0" w:color="auto"/>
            </w:tcBorders>
            <w:shd w:val="clear" w:color="auto" w:fill="011C50"/>
            <w:vAlign w:val="center"/>
            <w:hideMark/>
          </w:tcPr>
          <w:p w14:paraId="02A7E10C" w14:textId="77777777" w:rsidR="00456E61" w:rsidRPr="00456E61" w:rsidRDefault="00456E61" w:rsidP="00456E61">
            <w:pPr>
              <w:spacing w:after="0" w:line="240" w:lineRule="auto"/>
              <w:jc w:val="center"/>
              <w:rPr>
                <w:rFonts w:eastAsia="Times New Roman"/>
                <w:b/>
                <w:bCs/>
                <w:color w:val="FFFFFF"/>
                <w:spacing w:val="0"/>
                <w:lang w:eastAsia="es-DO"/>
              </w:rPr>
            </w:pPr>
            <w:r w:rsidRPr="00456E61">
              <w:rPr>
                <w:rFonts w:eastAsia="Times New Roman"/>
                <w:b/>
                <w:bCs/>
                <w:color w:val="FFFFFF"/>
                <w:spacing w:val="0"/>
                <w:lang w:eastAsia="es-DO"/>
              </w:rPr>
              <w:t>Detalles desvío s/a</w:t>
            </w:r>
          </w:p>
        </w:tc>
      </w:tr>
      <w:tr w:rsidR="00582880" w:rsidRPr="00582880" w14:paraId="67C97728" w14:textId="77777777" w:rsidTr="006B0459">
        <w:trPr>
          <w:trHeight w:val="823"/>
        </w:trPr>
        <w:tc>
          <w:tcPr>
            <w:tcW w:w="1713" w:type="dxa"/>
            <w:tcBorders>
              <w:top w:val="nil"/>
              <w:left w:val="single" w:sz="4" w:space="0" w:color="auto"/>
              <w:bottom w:val="single" w:sz="4" w:space="0" w:color="auto"/>
              <w:right w:val="single" w:sz="4" w:space="0" w:color="auto"/>
            </w:tcBorders>
            <w:vAlign w:val="center"/>
            <w:hideMark/>
          </w:tcPr>
          <w:p w14:paraId="7CF566E1"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01. Gestión de la calidad y servicios</w:t>
            </w:r>
          </w:p>
        </w:tc>
        <w:tc>
          <w:tcPr>
            <w:tcW w:w="1554" w:type="dxa"/>
            <w:tcBorders>
              <w:top w:val="nil"/>
              <w:left w:val="nil"/>
              <w:bottom w:val="single" w:sz="4" w:space="0" w:color="auto"/>
              <w:right w:val="single" w:sz="4" w:space="0" w:color="auto"/>
            </w:tcBorders>
            <w:vAlign w:val="center"/>
            <w:hideMark/>
          </w:tcPr>
          <w:p w14:paraId="6D78B2C2" w14:textId="77777777" w:rsidR="00456E61" w:rsidRPr="00582880" w:rsidRDefault="00456E61" w:rsidP="00456E61">
            <w:pPr>
              <w:spacing w:after="0" w:line="360" w:lineRule="auto"/>
              <w:jc w:val="center"/>
              <w:rPr>
                <w:rFonts w:eastAsia="Times New Roman"/>
                <w:spacing w:val="0"/>
                <w:lang w:eastAsia="es-DO"/>
              </w:rPr>
            </w:pPr>
            <w:r w:rsidRPr="00582880">
              <w:rPr>
                <w:rFonts w:eastAsia="Times New Roman"/>
                <w:spacing w:val="0"/>
                <w:lang w:eastAsia="es-DO"/>
              </w:rPr>
              <w:t>97.28%</w:t>
            </w:r>
          </w:p>
        </w:tc>
        <w:tc>
          <w:tcPr>
            <w:tcW w:w="2086" w:type="dxa"/>
            <w:tcBorders>
              <w:top w:val="nil"/>
              <w:left w:val="nil"/>
              <w:bottom w:val="single" w:sz="4" w:space="0" w:color="auto"/>
              <w:right w:val="single" w:sz="4" w:space="0" w:color="auto"/>
            </w:tcBorders>
            <w:vAlign w:val="center"/>
            <w:hideMark/>
          </w:tcPr>
          <w:p w14:paraId="4A6EA168"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1. Autoevaluación organizacional con el Modelo CAF.                                                      2. Plan de Mejora Modelo CAF.</w:t>
            </w:r>
          </w:p>
        </w:tc>
        <w:tc>
          <w:tcPr>
            <w:tcW w:w="2427" w:type="dxa"/>
            <w:tcBorders>
              <w:top w:val="nil"/>
              <w:left w:val="nil"/>
              <w:bottom w:val="single" w:sz="4" w:space="0" w:color="auto"/>
              <w:right w:val="single" w:sz="4" w:space="0" w:color="auto"/>
            </w:tcBorders>
            <w:vAlign w:val="center"/>
            <w:hideMark/>
          </w:tcPr>
          <w:p w14:paraId="1132E009"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Aplicación de nueva metodología para evaluación de índice de satisfacción ciudadana.</w:t>
            </w:r>
            <w:r w:rsidRPr="00582880">
              <w:rPr>
                <w:rFonts w:eastAsia="Times New Roman"/>
                <w:spacing w:val="0"/>
                <w:lang w:eastAsia="es-DO"/>
              </w:rPr>
              <w:br/>
              <w:t>Desvíos en la evaluación de carta compromiso respecto a los servicios de autorización de órdenes de pago y certificación de contratos.</w:t>
            </w:r>
          </w:p>
        </w:tc>
      </w:tr>
      <w:tr w:rsidR="00582880" w:rsidRPr="00582880" w14:paraId="170A39D4" w14:textId="77777777" w:rsidTr="006A4423">
        <w:trPr>
          <w:trHeight w:val="1308"/>
        </w:trPr>
        <w:tc>
          <w:tcPr>
            <w:tcW w:w="1713" w:type="dxa"/>
            <w:tcBorders>
              <w:top w:val="nil"/>
              <w:left w:val="single" w:sz="4" w:space="0" w:color="auto"/>
              <w:bottom w:val="single" w:sz="4" w:space="0" w:color="auto"/>
              <w:right w:val="single" w:sz="4" w:space="0" w:color="auto"/>
            </w:tcBorders>
            <w:shd w:val="clear" w:color="000000" w:fill="FFFFFF"/>
            <w:vAlign w:val="center"/>
            <w:hideMark/>
          </w:tcPr>
          <w:p w14:paraId="36ED3B15"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lastRenderedPageBreak/>
              <w:t>02.organización de la función de recursos humanos</w:t>
            </w:r>
          </w:p>
        </w:tc>
        <w:tc>
          <w:tcPr>
            <w:tcW w:w="1554" w:type="dxa"/>
            <w:tcBorders>
              <w:top w:val="nil"/>
              <w:left w:val="nil"/>
              <w:bottom w:val="single" w:sz="4" w:space="0" w:color="auto"/>
              <w:right w:val="single" w:sz="4" w:space="0" w:color="auto"/>
            </w:tcBorders>
            <w:shd w:val="clear" w:color="000000" w:fill="FFFFFF"/>
            <w:vAlign w:val="center"/>
            <w:hideMark/>
          </w:tcPr>
          <w:p w14:paraId="460070A4" w14:textId="77777777" w:rsidR="00456E61" w:rsidRPr="00582880" w:rsidRDefault="00456E61" w:rsidP="00456E61">
            <w:pPr>
              <w:spacing w:after="0" w:line="360" w:lineRule="auto"/>
              <w:jc w:val="center"/>
              <w:rPr>
                <w:rFonts w:eastAsia="Times New Roman"/>
                <w:spacing w:val="0"/>
                <w:lang w:eastAsia="es-DO"/>
              </w:rPr>
            </w:pPr>
            <w:r w:rsidRPr="00582880">
              <w:rPr>
                <w:rFonts w:eastAsia="Times New Roman"/>
                <w:spacing w:val="0"/>
                <w:lang w:eastAsia="es-DO"/>
              </w:rPr>
              <w:t>100%</w:t>
            </w:r>
          </w:p>
        </w:tc>
        <w:tc>
          <w:tcPr>
            <w:tcW w:w="2086" w:type="dxa"/>
            <w:tcBorders>
              <w:top w:val="nil"/>
              <w:left w:val="nil"/>
              <w:bottom w:val="single" w:sz="4" w:space="0" w:color="auto"/>
              <w:right w:val="single" w:sz="4" w:space="0" w:color="auto"/>
            </w:tcBorders>
            <w:shd w:val="clear" w:color="000000" w:fill="FFFFFF"/>
            <w:vAlign w:val="center"/>
            <w:hideMark/>
          </w:tcPr>
          <w:p w14:paraId="19EE1F85"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Reporte de movilidad de carrera avalado por el MAP.</w:t>
            </w:r>
          </w:p>
        </w:tc>
        <w:tc>
          <w:tcPr>
            <w:tcW w:w="2427" w:type="dxa"/>
            <w:tcBorders>
              <w:top w:val="nil"/>
              <w:left w:val="nil"/>
              <w:bottom w:val="single" w:sz="4" w:space="0" w:color="auto"/>
              <w:right w:val="single" w:sz="4" w:space="0" w:color="auto"/>
            </w:tcBorders>
            <w:shd w:val="clear" w:color="000000" w:fill="FFFFFF"/>
            <w:vAlign w:val="center"/>
            <w:hideMark/>
          </w:tcPr>
          <w:p w14:paraId="5F3BDFEC"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N/A</w:t>
            </w:r>
          </w:p>
        </w:tc>
      </w:tr>
      <w:tr w:rsidR="00582880" w:rsidRPr="00582880" w14:paraId="7209EFEB" w14:textId="77777777" w:rsidTr="006A4423">
        <w:trPr>
          <w:trHeight w:val="1284"/>
        </w:trPr>
        <w:tc>
          <w:tcPr>
            <w:tcW w:w="1713" w:type="dxa"/>
            <w:tcBorders>
              <w:top w:val="nil"/>
              <w:left w:val="single" w:sz="4" w:space="0" w:color="auto"/>
              <w:bottom w:val="single" w:sz="4" w:space="0" w:color="auto"/>
              <w:right w:val="single" w:sz="4" w:space="0" w:color="auto"/>
            </w:tcBorders>
            <w:shd w:val="clear" w:color="000000" w:fill="FFFFFF"/>
            <w:vAlign w:val="center"/>
            <w:hideMark/>
          </w:tcPr>
          <w:p w14:paraId="7E592C5D"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03. Planificación de recursos humanos</w:t>
            </w:r>
          </w:p>
        </w:tc>
        <w:tc>
          <w:tcPr>
            <w:tcW w:w="1554" w:type="dxa"/>
            <w:tcBorders>
              <w:top w:val="nil"/>
              <w:left w:val="nil"/>
              <w:bottom w:val="single" w:sz="4" w:space="0" w:color="auto"/>
              <w:right w:val="single" w:sz="4" w:space="0" w:color="auto"/>
            </w:tcBorders>
            <w:shd w:val="clear" w:color="000000" w:fill="FFFFFF"/>
            <w:vAlign w:val="center"/>
            <w:hideMark/>
          </w:tcPr>
          <w:p w14:paraId="3E07EE63" w14:textId="77777777" w:rsidR="00456E61" w:rsidRPr="00582880" w:rsidRDefault="00456E61" w:rsidP="00456E61">
            <w:pPr>
              <w:spacing w:after="0" w:line="360" w:lineRule="auto"/>
              <w:jc w:val="center"/>
              <w:rPr>
                <w:rFonts w:eastAsia="Times New Roman"/>
                <w:spacing w:val="0"/>
                <w:lang w:eastAsia="es-DO"/>
              </w:rPr>
            </w:pPr>
            <w:r w:rsidRPr="00582880">
              <w:rPr>
                <w:rFonts w:eastAsia="Times New Roman"/>
                <w:spacing w:val="0"/>
                <w:lang w:eastAsia="es-DO"/>
              </w:rPr>
              <w:t>100%</w:t>
            </w:r>
          </w:p>
        </w:tc>
        <w:tc>
          <w:tcPr>
            <w:tcW w:w="2086" w:type="dxa"/>
            <w:tcBorders>
              <w:top w:val="nil"/>
              <w:left w:val="nil"/>
              <w:bottom w:val="single" w:sz="4" w:space="0" w:color="auto"/>
              <w:right w:val="single" w:sz="4" w:space="0" w:color="auto"/>
            </w:tcBorders>
            <w:shd w:val="clear" w:color="000000" w:fill="FFFFFF"/>
            <w:vAlign w:val="center"/>
            <w:hideMark/>
          </w:tcPr>
          <w:p w14:paraId="51511685"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Planificación de Recursos Humanos validada por el MAP.</w:t>
            </w:r>
          </w:p>
        </w:tc>
        <w:tc>
          <w:tcPr>
            <w:tcW w:w="2427" w:type="dxa"/>
            <w:tcBorders>
              <w:top w:val="nil"/>
              <w:left w:val="nil"/>
              <w:bottom w:val="single" w:sz="4" w:space="0" w:color="auto"/>
              <w:right w:val="single" w:sz="4" w:space="0" w:color="auto"/>
            </w:tcBorders>
            <w:shd w:val="clear" w:color="000000" w:fill="FFFFFF"/>
            <w:vAlign w:val="center"/>
            <w:hideMark/>
          </w:tcPr>
          <w:p w14:paraId="2ED9BBE4"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N/A</w:t>
            </w:r>
          </w:p>
        </w:tc>
      </w:tr>
      <w:tr w:rsidR="00582880" w:rsidRPr="00582880" w14:paraId="2837854A" w14:textId="77777777" w:rsidTr="006A4423">
        <w:trPr>
          <w:trHeight w:val="1236"/>
        </w:trPr>
        <w:tc>
          <w:tcPr>
            <w:tcW w:w="1713" w:type="dxa"/>
            <w:tcBorders>
              <w:top w:val="nil"/>
              <w:left w:val="single" w:sz="4" w:space="0" w:color="auto"/>
              <w:bottom w:val="single" w:sz="4" w:space="0" w:color="auto"/>
              <w:right w:val="single" w:sz="4" w:space="0" w:color="auto"/>
            </w:tcBorders>
            <w:shd w:val="clear" w:color="000000" w:fill="FFFFFF"/>
            <w:vAlign w:val="center"/>
            <w:hideMark/>
          </w:tcPr>
          <w:p w14:paraId="0245FF43"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04.organización del trabajo</w:t>
            </w:r>
          </w:p>
        </w:tc>
        <w:tc>
          <w:tcPr>
            <w:tcW w:w="1554" w:type="dxa"/>
            <w:tcBorders>
              <w:top w:val="nil"/>
              <w:left w:val="nil"/>
              <w:bottom w:val="single" w:sz="4" w:space="0" w:color="auto"/>
              <w:right w:val="single" w:sz="4" w:space="0" w:color="auto"/>
            </w:tcBorders>
            <w:shd w:val="clear" w:color="000000" w:fill="FFFFFF"/>
            <w:vAlign w:val="center"/>
            <w:hideMark/>
          </w:tcPr>
          <w:p w14:paraId="525E6E9A" w14:textId="77777777" w:rsidR="00456E61" w:rsidRPr="00582880" w:rsidRDefault="00456E61" w:rsidP="00456E61">
            <w:pPr>
              <w:spacing w:after="0" w:line="360" w:lineRule="auto"/>
              <w:jc w:val="center"/>
              <w:rPr>
                <w:rFonts w:eastAsia="Times New Roman"/>
                <w:spacing w:val="0"/>
                <w:lang w:eastAsia="es-DO"/>
              </w:rPr>
            </w:pPr>
            <w:r w:rsidRPr="00582880">
              <w:rPr>
                <w:rFonts w:eastAsia="Times New Roman"/>
                <w:spacing w:val="0"/>
                <w:lang w:eastAsia="es-DO"/>
              </w:rPr>
              <w:t>90%</w:t>
            </w:r>
          </w:p>
        </w:tc>
        <w:tc>
          <w:tcPr>
            <w:tcW w:w="2086" w:type="dxa"/>
            <w:tcBorders>
              <w:top w:val="nil"/>
              <w:left w:val="nil"/>
              <w:bottom w:val="single" w:sz="4" w:space="0" w:color="auto"/>
              <w:right w:val="single" w:sz="4" w:space="0" w:color="auto"/>
            </w:tcBorders>
            <w:shd w:val="clear" w:color="000000" w:fill="FFFFFF"/>
            <w:vAlign w:val="center"/>
            <w:hideMark/>
          </w:tcPr>
          <w:p w14:paraId="0BC5EBCF"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1. Aprobación de Estructura Organizativa.                                   2. Manual de Organización y Funciones y Resolución Aprobatoria, refrendada por el MAP.</w:t>
            </w:r>
          </w:p>
        </w:tc>
        <w:tc>
          <w:tcPr>
            <w:tcW w:w="2427" w:type="dxa"/>
            <w:tcBorders>
              <w:top w:val="nil"/>
              <w:left w:val="nil"/>
              <w:bottom w:val="single" w:sz="4" w:space="0" w:color="auto"/>
              <w:right w:val="single" w:sz="4" w:space="0" w:color="auto"/>
            </w:tcBorders>
            <w:shd w:val="clear" w:color="000000" w:fill="FFFFFF"/>
            <w:vAlign w:val="center"/>
            <w:hideMark/>
          </w:tcPr>
          <w:p w14:paraId="42F410DB"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Debido a la implementación del manual de cargos.</w:t>
            </w:r>
          </w:p>
        </w:tc>
      </w:tr>
      <w:tr w:rsidR="00582880" w:rsidRPr="00582880" w14:paraId="5FAD03F9" w14:textId="77777777" w:rsidTr="006A4423">
        <w:trPr>
          <w:trHeight w:val="948"/>
        </w:trPr>
        <w:tc>
          <w:tcPr>
            <w:tcW w:w="1713" w:type="dxa"/>
            <w:tcBorders>
              <w:top w:val="nil"/>
              <w:left w:val="single" w:sz="4" w:space="0" w:color="auto"/>
              <w:bottom w:val="single" w:sz="4" w:space="0" w:color="auto"/>
              <w:right w:val="single" w:sz="4" w:space="0" w:color="auto"/>
            </w:tcBorders>
            <w:shd w:val="clear" w:color="000000" w:fill="FFFFFF"/>
            <w:vAlign w:val="center"/>
            <w:hideMark/>
          </w:tcPr>
          <w:p w14:paraId="750138A7"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05.gestión del empleo</w:t>
            </w:r>
          </w:p>
        </w:tc>
        <w:tc>
          <w:tcPr>
            <w:tcW w:w="1554" w:type="dxa"/>
            <w:tcBorders>
              <w:top w:val="nil"/>
              <w:left w:val="nil"/>
              <w:bottom w:val="single" w:sz="4" w:space="0" w:color="auto"/>
              <w:right w:val="single" w:sz="4" w:space="0" w:color="auto"/>
            </w:tcBorders>
            <w:shd w:val="clear" w:color="000000" w:fill="FFFFFF"/>
            <w:noWrap/>
            <w:vAlign w:val="center"/>
            <w:hideMark/>
          </w:tcPr>
          <w:p w14:paraId="4AE75787" w14:textId="77777777" w:rsidR="00456E61" w:rsidRPr="00582880" w:rsidRDefault="00456E61" w:rsidP="00456E61">
            <w:pPr>
              <w:spacing w:after="0" w:line="360" w:lineRule="auto"/>
              <w:jc w:val="center"/>
              <w:rPr>
                <w:rFonts w:eastAsia="Times New Roman"/>
                <w:spacing w:val="0"/>
                <w:lang w:eastAsia="es-DO"/>
              </w:rPr>
            </w:pPr>
            <w:r w:rsidRPr="00582880">
              <w:rPr>
                <w:rFonts w:eastAsia="Times New Roman"/>
                <w:spacing w:val="0"/>
                <w:lang w:eastAsia="es-DO"/>
              </w:rPr>
              <w:t>100%</w:t>
            </w:r>
          </w:p>
        </w:tc>
        <w:tc>
          <w:tcPr>
            <w:tcW w:w="2086" w:type="dxa"/>
            <w:tcBorders>
              <w:top w:val="nil"/>
              <w:left w:val="nil"/>
              <w:bottom w:val="single" w:sz="4" w:space="0" w:color="auto"/>
              <w:right w:val="single" w:sz="4" w:space="0" w:color="auto"/>
            </w:tcBorders>
            <w:shd w:val="clear" w:color="000000" w:fill="FFFFFF"/>
            <w:vAlign w:val="center"/>
            <w:hideMark/>
          </w:tcPr>
          <w:p w14:paraId="2815AF6F"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 xml:space="preserve">Acta de Concurso y/o Uso Registro de elegibles </w:t>
            </w:r>
          </w:p>
        </w:tc>
        <w:tc>
          <w:tcPr>
            <w:tcW w:w="2427" w:type="dxa"/>
            <w:tcBorders>
              <w:top w:val="nil"/>
              <w:left w:val="nil"/>
              <w:bottom w:val="single" w:sz="4" w:space="0" w:color="auto"/>
              <w:right w:val="single" w:sz="4" w:space="0" w:color="auto"/>
            </w:tcBorders>
            <w:shd w:val="clear" w:color="000000" w:fill="FFFFFF"/>
            <w:vAlign w:val="center"/>
            <w:hideMark/>
          </w:tcPr>
          <w:p w14:paraId="62F8038C"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N/A</w:t>
            </w:r>
          </w:p>
        </w:tc>
      </w:tr>
      <w:tr w:rsidR="00582880" w:rsidRPr="00582880" w14:paraId="35A04B68" w14:textId="77777777" w:rsidTr="006A4423">
        <w:trPr>
          <w:trHeight w:val="1668"/>
        </w:trPr>
        <w:tc>
          <w:tcPr>
            <w:tcW w:w="1713" w:type="dxa"/>
            <w:tcBorders>
              <w:top w:val="nil"/>
              <w:left w:val="single" w:sz="4" w:space="0" w:color="auto"/>
              <w:bottom w:val="single" w:sz="4" w:space="0" w:color="auto"/>
              <w:right w:val="single" w:sz="4" w:space="0" w:color="auto"/>
            </w:tcBorders>
            <w:shd w:val="clear" w:color="000000" w:fill="FFFFFF"/>
            <w:vAlign w:val="center"/>
            <w:hideMark/>
          </w:tcPr>
          <w:p w14:paraId="0B7E59CD"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06.gestión de las compensaciones y beneficios</w:t>
            </w:r>
          </w:p>
        </w:tc>
        <w:tc>
          <w:tcPr>
            <w:tcW w:w="1554" w:type="dxa"/>
            <w:tcBorders>
              <w:top w:val="nil"/>
              <w:left w:val="nil"/>
              <w:bottom w:val="single" w:sz="4" w:space="0" w:color="auto"/>
              <w:right w:val="single" w:sz="4" w:space="0" w:color="auto"/>
            </w:tcBorders>
            <w:shd w:val="clear" w:color="000000" w:fill="FFFFFF"/>
            <w:vAlign w:val="center"/>
            <w:hideMark/>
          </w:tcPr>
          <w:p w14:paraId="0947C7FF" w14:textId="77777777" w:rsidR="00456E61" w:rsidRPr="00582880" w:rsidRDefault="00456E61" w:rsidP="00456E61">
            <w:pPr>
              <w:spacing w:after="0" w:line="360" w:lineRule="auto"/>
              <w:jc w:val="center"/>
              <w:rPr>
                <w:rFonts w:eastAsia="Times New Roman"/>
                <w:spacing w:val="0"/>
                <w:lang w:eastAsia="es-DO"/>
              </w:rPr>
            </w:pPr>
            <w:r w:rsidRPr="00582880">
              <w:rPr>
                <w:rFonts w:eastAsia="Times New Roman"/>
                <w:spacing w:val="0"/>
                <w:lang w:eastAsia="es-DO"/>
              </w:rPr>
              <w:t>100%</w:t>
            </w:r>
          </w:p>
        </w:tc>
        <w:tc>
          <w:tcPr>
            <w:tcW w:w="2086" w:type="dxa"/>
            <w:tcBorders>
              <w:top w:val="nil"/>
              <w:left w:val="nil"/>
              <w:bottom w:val="single" w:sz="4" w:space="0" w:color="auto"/>
              <w:right w:val="single" w:sz="4" w:space="0" w:color="auto"/>
            </w:tcBorders>
            <w:shd w:val="clear" w:color="000000" w:fill="FFFFFF"/>
            <w:vAlign w:val="center"/>
            <w:hideMark/>
          </w:tcPr>
          <w:p w14:paraId="21D02FCB"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 xml:space="preserve">Escala salarial validada </w:t>
            </w:r>
          </w:p>
        </w:tc>
        <w:tc>
          <w:tcPr>
            <w:tcW w:w="2427" w:type="dxa"/>
            <w:tcBorders>
              <w:top w:val="nil"/>
              <w:left w:val="nil"/>
              <w:bottom w:val="single" w:sz="4" w:space="0" w:color="auto"/>
              <w:right w:val="single" w:sz="4" w:space="0" w:color="auto"/>
            </w:tcBorders>
            <w:shd w:val="clear" w:color="000000" w:fill="FFFFFF"/>
            <w:vAlign w:val="center"/>
            <w:hideMark/>
          </w:tcPr>
          <w:p w14:paraId="4AC65464"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N/A</w:t>
            </w:r>
          </w:p>
        </w:tc>
      </w:tr>
      <w:tr w:rsidR="00582880" w:rsidRPr="00582880" w14:paraId="428F8665" w14:textId="77777777" w:rsidTr="006A4423">
        <w:trPr>
          <w:trHeight w:val="1680"/>
        </w:trPr>
        <w:tc>
          <w:tcPr>
            <w:tcW w:w="1713" w:type="dxa"/>
            <w:tcBorders>
              <w:top w:val="nil"/>
              <w:left w:val="single" w:sz="4" w:space="0" w:color="auto"/>
              <w:bottom w:val="single" w:sz="4" w:space="0" w:color="auto"/>
              <w:right w:val="single" w:sz="4" w:space="0" w:color="auto"/>
            </w:tcBorders>
            <w:shd w:val="clear" w:color="000000" w:fill="FFFFFF"/>
            <w:vAlign w:val="center"/>
            <w:hideMark/>
          </w:tcPr>
          <w:p w14:paraId="6179AEC5"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lastRenderedPageBreak/>
              <w:t>07. Gestión del rendimiento</w:t>
            </w:r>
          </w:p>
        </w:tc>
        <w:tc>
          <w:tcPr>
            <w:tcW w:w="1554" w:type="dxa"/>
            <w:tcBorders>
              <w:top w:val="nil"/>
              <w:left w:val="nil"/>
              <w:bottom w:val="single" w:sz="4" w:space="0" w:color="auto"/>
              <w:right w:val="single" w:sz="4" w:space="0" w:color="auto"/>
            </w:tcBorders>
            <w:shd w:val="clear" w:color="000000" w:fill="FFFFFF"/>
            <w:vAlign w:val="center"/>
            <w:hideMark/>
          </w:tcPr>
          <w:p w14:paraId="14329B2E" w14:textId="77777777" w:rsidR="00456E61" w:rsidRPr="00582880" w:rsidRDefault="00456E61" w:rsidP="00456E61">
            <w:pPr>
              <w:spacing w:after="0" w:line="360" w:lineRule="auto"/>
              <w:jc w:val="center"/>
              <w:rPr>
                <w:rFonts w:eastAsia="Times New Roman"/>
                <w:spacing w:val="0"/>
                <w:lang w:eastAsia="es-DO"/>
              </w:rPr>
            </w:pPr>
            <w:r w:rsidRPr="00582880">
              <w:rPr>
                <w:rFonts w:eastAsia="Times New Roman"/>
                <w:spacing w:val="0"/>
                <w:lang w:eastAsia="es-DO"/>
              </w:rPr>
              <w:t>99%</w:t>
            </w:r>
          </w:p>
        </w:tc>
        <w:tc>
          <w:tcPr>
            <w:tcW w:w="2086" w:type="dxa"/>
            <w:tcBorders>
              <w:top w:val="nil"/>
              <w:left w:val="nil"/>
              <w:bottom w:val="single" w:sz="4" w:space="0" w:color="auto"/>
              <w:right w:val="single" w:sz="4" w:space="0" w:color="auto"/>
            </w:tcBorders>
            <w:shd w:val="clear" w:color="000000" w:fill="FFFFFF"/>
            <w:vAlign w:val="center"/>
            <w:hideMark/>
          </w:tcPr>
          <w:p w14:paraId="7477DE7E"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Acuerdos de Desempeño Monitoreados</w:t>
            </w:r>
          </w:p>
        </w:tc>
        <w:tc>
          <w:tcPr>
            <w:tcW w:w="2427" w:type="dxa"/>
            <w:tcBorders>
              <w:top w:val="nil"/>
              <w:left w:val="nil"/>
              <w:bottom w:val="single" w:sz="4" w:space="0" w:color="auto"/>
              <w:right w:val="single" w:sz="4" w:space="0" w:color="auto"/>
            </w:tcBorders>
            <w:shd w:val="clear" w:color="000000" w:fill="FFFFFF"/>
            <w:vAlign w:val="center"/>
            <w:hideMark/>
          </w:tcPr>
          <w:p w14:paraId="359F7D1D"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 xml:space="preserve">La calidad del contenido de las minutas.                      </w:t>
            </w:r>
            <w:r w:rsidRPr="00582880">
              <w:rPr>
                <w:rFonts w:eastAsia="Times New Roman"/>
                <w:spacing w:val="0"/>
                <w:lang w:eastAsia="es-DO"/>
              </w:rPr>
              <w:br/>
              <w:t>No se completó el desglose de los productos de las áreas seleccionada.</w:t>
            </w:r>
          </w:p>
        </w:tc>
      </w:tr>
      <w:tr w:rsidR="00582880" w:rsidRPr="00582880" w14:paraId="3DD01F14" w14:textId="77777777" w:rsidTr="006A4423">
        <w:trPr>
          <w:trHeight w:val="948"/>
        </w:trPr>
        <w:tc>
          <w:tcPr>
            <w:tcW w:w="1713" w:type="dxa"/>
            <w:tcBorders>
              <w:top w:val="nil"/>
              <w:left w:val="single" w:sz="4" w:space="0" w:color="auto"/>
              <w:bottom w:val="single" w:sz="4" w:space="0" w:color="auto"/>
              <w:right w:val="single" w:sz="4" w:space="0" w:color="auto"/>
            </w:tcBorders>
            <w:shd w:val="clear" w:color="000000" w:fill="FFFFFF"/>
            <w:vAlign w:val="center"/>
            <w:hideMark/>
          </w:tcPr>
          <w:p w14:paraId="1723A7C3"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08.Gestión del desarrollo</w:t>
            </w:r>
          </w:p>
        </w:tc>
        <w:tc>
          <w:tcPr>
            <w:tcW w:w="1554" w:type="dxa"/>
            <w:tcBorders>
              <w:top w:val="nil"/>
              <w:left w:val="nil"/>
              <w:bottom w:val="single" w:sz="4" w:space="0" w:color="auto"/>
              <w:right w:val="single" w:sz="4" w:space="0" w:color="auto"/>
            </w:tcBorders>
            <w:shd w:val="clear" w:color="000000" w:fill="FFFFFF"/>
            <w:vAlign w:val="center"/>
            <w:hideMark/>
          </w:tcPr>
          <w:p w14:paraId="4DE799DD" w14:textId="77777777" w:rsidR="00456E61" w:rsidRPr="00582880" w:rsidRDefault="00456E61" w:rsidP="00456E61">
            <w:pPr>
              <w:spacing w:after="0" w:line="360" w:lineRule="auto"/>
              <w:jc w:val="center"/>
              <w:rPr>
                <w:rFonts w:eastAsia="Times New Roman"/>
                <w:spacing w:val="0"/>
                <w:lang w:eastAsia="es-DO"/>
              </w:rPr>
            </w:pPr>
            <w:r w:rsidRPr="00582880">
              <w:rPr>
                <w:rFonts w:eastAsia="Times New Roman"/>
                <w:spacing w:val="0"/>
                <w:lang w:eastAsia="es-DO"/>
              </w:rPr>
              <w:t>100%</w:t>
            </w:r>
          </w:p>
        </w:tc>
        <w:tc>
          <w:tcPr>
            <w:tcW w:w="2086" w:type="dxa"/>
            <w:tcBorders>
              <w:top w:val="nil"/>
              <w:left w:val="nil"/>
              <w:bottom w:val="single" w:sz="4" w:space="0" w:color="auto"/>
              <w:right w:val="single" w:sz="4" w:space="0" w:color="auto"/>
            </w:tcBorders>
            <w:shd w:val="clear" w:color="000000" w:fill="FFFFFF"/>
            <w:vAlign w:val="center"/>
            <w:hideMark/>
          </w:tcPr>
          <w:p w14:paraId="49068BB3"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Informe y Ejecución del Plan de Capacitación</w:t>
            </w:r>
          </w:p>
        </w:tc>
        <w:tc>
          <w:tcPr>
            <w:tcW w:w="2427" w:type="dxa"/>
            <w:tcBorders>
              <w:top w:val="nil"/>
              <w:left w:val="nil"/>
              <w:bottom w:val="single" w:sz="4" w:space="0" w:color="auto"/>
              <w:right w:val="single" w:sz="4" w:space="0" w:color="auto"/>
            </w:tcBorders>
            <w:shd w:val="clear" w:color="000000" w:fill="FFFFFF"/>
            <w:vAlign w:val="center"/>
            <w:hideMark/>
          </w:tcPr>
          <w:p w14:paraId="1B2A38C2"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N/A</w:t>
            </w:r>
          </w:p>
        </w:tc>
      </w:tr>
      <w:tr w:rsidR="00582880" w:rsidRPr="00582880" w14:paraId="7ADCCBA3" w14:textId="77777777" w:rsidTr="006A4423">
        <w:trPr>
          <w:trHeight w:val="2484"/>
        </w:trPr>
        <w:tc>
          <w:tcPr>
            <w:tcW w:w="1713" w:type="dxa"/>
            <w:tcBorders>
              <w:top w:val="nil"/>
              <w:left w:val="single" w:sz="4" w:space="0" w:color="auto"/>
              <w:bottom w:val="single" w:sz="4" w:space="0" w:color="auto"/>
              <w:right w:val="single" w:sz="4" w:space="0" w:color="auto"/>
            </w:tcBorders>
            <w:shd w:val="clear" w:color="000000" w:fill="FFFFFF"/>
            <w:vAlign w:val="center"/>
            <w:hideMark/>
          </w:tcPr>
          <w:p w14:paraId="7445095F"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09.Gestión de las relaciones laborales y sociales</w:t>
            </w:r>
          </w:p>
        </w:tc>
        <w:tc>
          <w:tcPr>
            <w:tcW w:w="1554" w:type="dxa"/>
            <w:tcBorders>
              <w:top w:val="nil"/>
              <w:left w:val="nil"/>
              <w:bottom w:val="single" w:sz="4" w:space="0" w:color="auto"/>
              <w:right w:val="single" w:sz="4" w:space="0" w:color="auto"/>
            </w:tcBorders>
            <w:shd w:val="clear" w:color="000000" w:fill="FFFFFF"/>
            <w:vAlign w:val="center"/>
            <w:hideMark/>
          </w:tcPr>
          <w:p w14:paraId="178569D1" w14:textId="77777777" w:rsidR="00456E61" w:rsidRPr="00582880" w:rsidRDefault="00456E61" w:rsidP="00456E61">
            <w:pPr>
              <w:spacing w:after="0" w:line="360" w:lineRule="auto"/>
              <w:jc w:val="center"/>
              <w:rPr>
                <w:rFonts w:eastAsia="Times New Roman"/>
                <w:spacing w:val="0"/>
                <w:lang w:eastAsia="es-DO"/>
              </w:rPr>
            </w:pPr>
            <w:r w:rsidRPr="00582880">
              <w:rPr>
                <w:rFonts w:eastAsia="Times New Roman"/>
                <w:spacing w:val="0"/>
                <w:lang w:eastAsia="es-DO"/>
              </w:rPr>
              <w:t>84%</w:t>
            </w:r>
          </w:p>
        </w:tc>
        <w:tc>
          <w:tcPr>
            <w:tcW w:w="2086" w:type="dxa"/>
            <w:tcBorders>
              <w:top w:val="nil"/>
              <w:left w:val="nil"/>
              <w:bottom w:val="single" w:sz="4" w:space="0" w:color="auto"/>
              <w:right w:val="single" w:sz="4" w:space="0" w:color="auto"/>
            </w:tcBorders>
            <w:shd w:val="clear" w:color="000000" w:fill="FFFFFF"/>
            <w:vAlign w:val="center"/>
            <w:hideMark/>
          </w:tcPr>
          <w:p w14:paraId="74392468"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 xml:space="preserve">1. Certificación de no pagos pendientes a la fecha.             </w:t>
            </w:r>
            <w:r w:rsidRPr="00582880">
              <w:rPr>
                <w:rFonts w:eastAsia="Times New Roman"/>
                <w:spacing w:val="0"/>
                <w:lang w:eastAsia="es-DO"/>
              </w:rPr>
              <w:br/>
              <w:t>2.taller del Régimen Ético y Disciplinario de los Servidores Públicos.                                   3.Plan de Acción Clima Laboral</w:t>
            </w:r>
          </w:p>
        </w:tc>
        <w:tc>
          <w:tcPr>
            <w:tcW w:w="2427" w:type="dxa"/>
            <w:tcBorders>
              <w:top w:val="nil"/>
              <w:left w:val="nil"/>
              <w:bottom w:val="single" w:sz="4" w:space="0" w:color="auto"/>
              <w:right w:val="single" w:sz="4" w:space="0" w:color="auto"/>
            </w:tcBorders>
            <w:shd w:val="clear" w:color="000000" w:fill="FFFFFF"/>
            <w:vAlign w:val="center"/>
            <w:hideMark/>
          </w:tcPr>
          <w:p w14:paraId="4F368D6F" w14:textId="77777777" w:rsidR="00456E61" w:rsidRPr="00582880" w:rsidRDefault="00456E61" w:rsidP="00456E61">
            <w:pPr>
              <w:spacing w:after="0" w:line="360" w:lineRule="auto"/>
              <w:rPr>
                <w:rFonts w:eastAsia="Times New Roman"/>
                <w:spacing w:val="0"/>
                <w:lang w:eastAsia="es-DO"/>
              </w:rPr>
            </w:pPr>
            <w:r w:rsidRPr="00582880">
              <w:rPr>
                <w:rFonts w:eastAsia="Times New Roman"/>
                <w:spacing w:val="0"/>
                <w:lang w:eastAsia="es-DO"/>
              </w:rPr>
              <w:t>El nuevo indicador 09.6 no se toma en cuenta ya que se comenzó a implementar a mitad del año.</w:t>
            </w:r>
          </w:p>
        </w:tc>
      </w:tr>
    </w:tbl>
    <w:p w14:paraId="15AFA51C" w14:textId="44907B9B" w:rsidR="00963DD2" w:rsidRPr="006262A7" w:rsidRDefault="00DC3D43" w:rsidP="00963DD2">
      <w:pPr>
        <w:spacing w:line="360" w:lineRule="auto"/>
        <w:ind w:left="284"/>
        <w:jc w:val="center"/>
        <w:rPr>
          <w:i/>
          <w:iCs/>
          <w:sz w:val="18"/>
          <w:szCs w:val="18"/>
        </w:rPr>
      </w:pPr>
      <w:r w:rsidRPr="006262A7">
        <w:rPr>
          <w:i/>
          <w:iCs/>
          <w:sz w:val="18"/>
          <w:szCs w:val="18"/>
        </w:rPr>
        <w:t>Fuente</w:t>
      </w:r>
      <w:r w:rsidR="00963DD2" w:rsidRPr="006262A7">
        <w:rPr>
          <w:i/>
          <w:iCs/>
          <w:sz w:val="18"/>
          <w:szCs w:val="18"/>
        </w:rPr>
        <w:t>. SISMAP Gestión Pública</w:t>
      </w:r>
    </w:p>
    <w:p w14:paraId="285A001C" w14:textId="77777777" w:rsidR="00045BAD" w:rsidRPr="00582880" w:rsidRDefault="00045BAD" w:rsidP="00045BAD">
      <w:pPr>
        <w:spacing w:line="360" w:lineRule="auto"/>
        <w:jc w:val="both"/>
      </w:pPr>
    </w:p>
    <w:p w14:paraId="509DBB95" w14:textId="33A05141" w:rsidR="00045BAD" w:rsidRPr="00582880" w:rsidRDefault="00045BAD" w:rsidP="00045BAD">
      <w:pPr>
        <w:spacing w:line="360" w:lineRule="auto"/>
        <w:jc w:val="both"/>
      </w:pPr>
      <w:r w:rsidRPr="00582880">
        <w:br w:type="page"/>
      </w:r>
    </w:p>
    <w:p w14:paraId="2A475CAF" w14:textId="794D98A9" w:rsidR="00115C3D" w:rsidRPr="006262A7" w:rsidRDefault="00115C3D" w:rsidP="00903BC2">
      <w:pPr>
        <w:pStyle w:val="Ttulo2"/>
        <w:rPr>
          <w:rFonts w:cs="Times New Roman"/>
          <w:b/>
          <w:bCs/>
          <w:color w:val="767171"/>
          <w:szCs w:val="24"/>
        </w:rPr>
      </w:pPr>
      <w:bookmarkStart w:id="33" w:name="_Toc217997939"/>
      <w:r w:rsidRPr="006262A7">
        <w:rPr>
          <w:rFonts w:cs="Times New Roman"/>
          <w:b/>
          <w:bCs/>
          <w:color w:val="767171"/>
          <w:szCs w:val="24"/>
        </w:rPr>
        <w:lastRenderedPageBreak/>
        <w:t xml:space="preserve">4.3 Desempeño de los </w:t>
      </w:r>
      <w:r w:rsidR="00C01A62" w:rsidRPr="006262A7">
        <w:rPr>
          <w:rFonts w:cs="Times New Roman"/>
          <w:b/>
          <w:bCs/>
          <w:color w:val="767171"/>
          <w:szCs w:val="24"/>
        </w:rPr>
        <w:t>P</w:t>
      </w:r>
      <w:r w:rsidRPr="006262A7">
        <w:rPr>
          <w:rFonts w:cs="Times New Roman"/>
          <w:b/>
          <w:bCs/>
          <w:color w:val="767171"/>
          <w:szCs w:val="24"/>
        </w:rPr>
        <w:t xml:space="preserve">rocesos </w:t>
      </w:r>
      <w:r w:rsidR="00C01A62" w:rsidRPr="006262A7">
        <w:rPr>
          <w:rFonts w:cs="Times New Roman"/>
          <w:b/>
          <w:bCs/>
          <w:color w:val="767171"/>
          <w:szCs w:val="24"/>
        </w:rPr>
        <w:t>J</w:t>
      </w:r>
      <w:r w:rsidRPr="006262A7">
        <w:rPr>
          <w:rFonts w:cs="Times New Roman"/>
          <w:b/>
          <w:bCs/>
          <w:color w:val="767171"/>
          <w:szCs w:val="24"/>
        </w:rPr>
        <w:t>urídicos</w:t>
      </w:r>
      <w:bookmarkEnd w:id="33"/>
    </w:p>
    <w:p w14:paraId="1B9E3162" w14:textId="77777777" w:rsidR="00C01A62" w:rsidRPr="006262A7" w:rsidRDefault="00C01A62" w:rsidP="00C01A62"/>
    <w:p w14:paraId="0EBB7BE5" w14:textId="77777777" w:rsidR="00115C3D" w:rsidRPr="006262A7" w:rsidRDefault="00115C3D" w:rsidP="00C934DB">
      <w:pPr>
        <w:spacing w:line="360" w:lineRule="auto"/>
        <w:jc w:val="both"/>
        <w:rPr>
          <w:rFonts w:eastAsia="Calibri"/>
          <w:b/>
          <w:bCs/>
        </w:rPr>
      </w:pPr>
      <w:r w:rsidRPr="006262A7">
        <w:rPr>
          <w:rFonts w:eastAsia="Calibri"/>
          <w:b/>
          <w:bCs/>
        </w:rPr>
        <w:t>a. Métricas del área</w:t>
      </w:r>
    </w:p>
    <w:p w14:paraId="498CBD42" w14:textId="77777777" w:rsidR="00115C3D" w:rsidRPr="00465A16" w:rsidRDefault="00115C3D" w:rsidP="00C934DB">
      <w:pPr>
        <w:spacing w:line="360" w:lineRule="auto"/>
        <w:jc w:val="both"/>
        <w:rPr>
          <w:rFonts w:eastAsia="Calibri"/>
          <w:color w:val="4C4747"/>
        </w:rPr>
      </w:pPr>
      <w:r w:rsidRPr="006262A7">
        <w:rPr>
          <w:rFonts w:eastAsia="Calibri"/>
        </w:rPr>
        <w:t xml:space="preserve">La dirección jurídica emitió un total de 1,597 documentos de carácter jurídico en respuesta a requerimientos de apoyo de los diferentes procesos de la institución, como la emisión de 531 Certificación de No Objeción, análisis de 510 actos </w:t>
      </w:r>
      <w:r w:rsidRPr="00582880">
        <w:rPr>
          <w:rFonts w:eastAsia="Calibri"/>
        </w:rPr>
        <w:t xml:space="preserve">de alguacil, entre otros documentos. </w:t>
      </w:r>
    </w:p>
    <w:p w14:paraId="3745683D" w14:textId="2D8CFED2" w:rsidR="00115C3D" w:rsidRPr="00582880" w:rsidRDefault="00115C3D" w:rsidP="00115C3D">
      <w:pPr>
        <w:spacing w:line="360" w:lineRule="auto"/>
        <w:jc w:val="center"/>
        <w:rPr>
          <w:rFonts w:eastAsia="Calibri"/>
          <w:sz w:val="18"/>
          <w:szCs w:val="18"/>
        </w:rPr>
      </w:pPr>
      <w:r w:rsidRPr="00582880">
        <w:rPr>
          <w:rFonts w:eastAsia="Calibri"/>
          <w:sz w:val="18"/>
          <w:szCs w:val="18"/>
        </w:rPr>
        <w:t xml:space="preserve">Tabla </w:t>
      </w:r>
      <w:r w:rsidR="006A4423" w:rsidRPr="00582880">
        <w:rPr>
          <w:rFonts w:eastAsia="Calibri"/>
          <w:sz w:val="18"/>
          <w:szCs w:val="18"/>
        </w:rPr>
        <w:t>22</w:t>
      </w:r>
      <w:r w:rsidRPr="00582880">
        <w:rPr>
          <w:rFonts w:eastAsia="Calibri"/>
          <w:sz w:val="18"/>
          <w:szCs w:val="18"/>
        </w:rPr>
        <w:t xml:space="preserve">. </w:t>
      </w:r>
      <w:r w:rsidR="006B0459">
        <w:rPr>
          <w:rFonts w:eastAsia="Calibri"/>
          <w:sz w:val="18"/>
          <w:szCs w:val="18"/>
        </w:rPr>
        <w:t>Desempeño del área jurídica 2025</w:t>
      </w:r>
    </w:p>
    <w:tbl>
      <w:tblPr>
        <w:tblW w:w="7933" w:type="dxa"/>
        <w:tblCellMar>
          <w:left w:w="70" w:type="dxa"/>
          <w:right w:w="70" w:type="dxa"/>
        </w:tblCellMar>
        <w:tblLook w:val="04A0" w:firstRow="1" w:lastRow="0" w:firstColumn="1" w:lastColumn="0" w:noHBand="0" w:noVBand="1"/>
      </w:tblPr>
      <w:tblGrid>
        <w:gridCol w:w="6400"/>
        <w:gridCol w:w="1533"/>
      </w:tblGrid>
      <w:tr w:rsidR="00115C3D" w:rsidRPr="00465A16" w14:paraId="3B33D463" w14:textId="77777777" w:rsidTr="008E13FC">
        <w:trPr>
          <w:trHeight w:val="312"/>
        </w:trPr>
        <w:tc>
          <w:tcPr>
            <w:tcW w:w="6400"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40B508F3" w14:textId="77777777" w:rsidR="00115C3D" w:rsidRPr="00465A16" w:rsidRDefault="00115C3D" w:rsidP="008E13FC">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Nombre del Documento</w:t>
            </w:r>
          </w:p>
        </w:tc>
        <w:tc>
          <w:tcPr>
            <w:tcW w:w="1533" w:type="dxa"/>
            <w:tcBorders>
              <w:top w:val="single" w:sz="4" w:space="0" w:color="auto"/>
              <w:left w:val="nil"/>
              <w:bottom w:val="single" w:sz="4" w:space="0" w:color="auto"/>
              <w:right w:val="single" w:sz="4" w:space="0" w:color="auto"/>
            </w:tcBorders>
            <w:shd w:val="clear" w:color="auto" w:fill="011C50"/>
            <w:vAlign w:val="center"/>
            <w:hideMark/>
          </w:tcPr>
          <w:p w14:paraId="7C253A20" w14:textId="77777777" w:rsidR="00115C3D" w:rsidRPr="00465A16" w:rsidRDefault="00115C3D" w:rsidP="008E13FC">
            <w:pPr>
              <w:spacing w:after="0" w:line="240" w:lineRule="auto"/>
              <w:jc w:val="center"/>
              <w:rPr>
                <w:rFonts w:eastAsia="Times New Roman"/>
                <w:b/>
                <w:bCs/>
                <w:color w:val="auto"/>
                <w:spacing w:val="0"/>
                <w:lang w:eastAsia="es-DO"/>
              </w:rPr>
            </w:pPr>
            <w:r w:rsidRPr="00465A16">
              <w:rPr>
                <w:rFonts w:eastAsia="Times New Roman"/>
                <w:b/>
                <w:bCs/>
                <w:color w:val="auto"/>
                <w:spacing w:val="0"/>
                <w:lang w:eastAsia="es-DO"/>
              </w:rPr>
              <w:t>Cantidad</w:t>
            </w:r>
          </w:p>
        </w:tc>
      </w:tr>
      <w:tr w:rsidR="00115C3D" w:rsidRPr="00465A16" w14:paraId="17F12116" w14:textId="77777777" w:rsidTr="008E13FC">
        <w:trPr>
          <w:trHeight w:val="312"/>
        </w:trPr>
        <w:tc>
          <w:tcPr>
            <w:tcW w:w="6400" w:type="dxa"/>
            <w:tcBorders>
              <w:top w:val="nil"/>
              <w:left w:val="single" w:sz="4" w:space="0" w:color="auto"/>
              <w:bottom w:val="single" w:sz="4" w:space="0" w:color="auto"/>
              <w:right w:val="single" w:sz="4" w:space="0" w:color="auto"/>
            </w:tcBorders>
            <w:noWrap/>
            <w:vAlign w:val="center"/>
            <w:hideMark/>
          </w:tcPr>
          <w:p w14:paraId="4E67B00F" w14:textId="24923EEB" w:rsidR="00115C3D" w:rsidRPr="00582880" w:rsidRDefault="00115C3D" w:rsidP="008E13FC">
            <w:pPr>
              <w:spacing w:after="0" w:line="240" w:lineRule="auto"/>
              <w:rPr>
                <w:rFonts w:eastAsia="Times New Roman"/>
                <w:spacing w:val="0"/>
                <w:lang w:eastAsia="es-DO"/>
              </w:rPr>
            </w:pPr>
            <w:r w:rsidRPr="00582880">
              <w:rPr>
                <w:rFonts w:eastAsia="Times New Roman"/>
                <w:spacing w:val="0"/>
                <w:lang w:eastAsia="es-DO"/>
              </w:rPr>
              <w:t xml:space="preserve">Certificación de </w:t>
            </w:r>
            <w:r w:rsidR="00352C73">
              <w:rPr>
                <w:rFonts w:eastAsia="Times New Roman"/>
                <w:spacing w:val="0"/>
                <w:lang w:eastAsia="es-DO"/>
              </w:rPr>
              <w:t>n</w:t>
            </w:r>
            <w:r w:rsidRPr="00582880">
              <w:rPr>
                <w:rFonts w:eastAsia="Times New Roman"/>
                <w:spacing w:val="0"/>
                <w:lang w:eastAsia="es-DO"/>
              </w:rPr>
              <w:t xml:space="preserve">o </w:t>
            </w:r>
            <w:r w:rsidR="00352C73" w:rsidRPr="00582880">
              <w:rPr>
                <w:rFonts w:eastAsia="Times New Roman"/>
                <w:spacing w:val="0"/>
                <w:lang w:eastAsia="es-DO"/>
              </w:rPr>
              <w:t>objeción</w:t>
            </w:r>
            <w:r w:rsidRPr="00582880">
              <w:rPr>
                <w:rFonts w:eastAsia="Times New Roman"/>
                <w:spacing w:val="0"/>
                <w:lang w:eastAsia="es-DO"/>
              </w:rPr>
              <w:t>, emitidas</w:t>
            </w:r>
          </w:p>
        </w:tc>
        <w:tc>
          <w:tcPr>
            <w:tcW w:w="1533" w:type="dxa"/>
            <w:tcBorders>
              <w:top w:val="nil"/>
              <w:left w:val="nil"/>
              <w:bottom w:val="single" w:sz="4" w:space="0" w:color="auto"/>
              <w:right w:val="single" w:sz="4" w:space="0" w:color="auto"/>
            </w:tcBorders>
            <w:noWrap/>
            <w:vAlign w:val="center"/>
            <w:hideMark/>
          </w:tcPr>
          <w:p w14:paraId="7AD9FDF9" w14:textId="77777777" w:rsidR="00115C3D" w:rsidRPr="00582880" w:rsidRDefault="00115C3D" w:rsidP="008E13FC">
            <w:pPr>
              <w:spacing w:after="0" w:line="240" w:lineRule="auto"/>
              <w:jc w:val="center"/>
              <w:rPr>
                <w:rFonts w:eastAsia="Times New Roman"/>
                <w:spacing w:val="0"/>
                <w:lang w:eastAsia="es-DO"/>
              </w:rPr>
            </w:pPr>
            <w:r w:rsidRPr="00582880">
              <w:rPr>
                <w:rFonts w:eastAsia="Times New Roman"/>
                <w:spacing w:val="0"/>
                <w:lang w:eastAsia="es-DO"/>
              </w:rPr>
              <w:t>531</w:t>
            </w:r>
          </w:p>
        </w:tc>
      </w:tr>
      <w:tr w:rsidR="00115C3D" w:rsidRPr="00465A16" w14:paraId="69BA0B48" w14:textId="77777777" w:rsidTr="008E13FC">
        <w:trPr>
          <w:trHeight w:val="312"/>
        </w:trPr>
        <w:tc>
          <w:tcPr>
            <w:tcW w:w="6400" w:type="dxa"/>
            <w:tcBorders>
              <w:top w:val="nil"/>
              <w:left w:val="single" w:sz="4" w:space="0" w:color="auto"/>
              <w:bottom w:val="single" w:sz="4" w:space="0" w:color="auto"/>
              <w:right w:val="single" w:sz="4" w:space="0" w:color="auto"/>
            </w:tcBorders>
            <w:noWrap/>
            <w:vAlign w:val="center"/>
            <w:hideMark/>
          </w:tcPr>
          <w:p w14:paraId="188F0490" w14:textId="2B794F18" w:rsidR="00115C3D" w:rsidRPr="00582880" w:rsidRDefault="00115C3D" w:rsidP="008E13FC">
            <w:pPr>
              <w:spacing w:after="0" w:line="240" w:lineRule="auto"/>
              <w:rPr>
                <w:rFonts w:eastAsia="Times New Roman"/>
                <w:spacing w:val="0"/>
                <w:lang w:eastAsia="es-DO"/>
              </w:rPr>
            </w:pPr>
            <w:r w:rsidRPr="00582880">
              <w:rPr>
                <w:rFonts w:eastAsia="Times New Roman"/>
                <w:spacing w:val="0"/>
                <w:lang w:eastAsia="es-DO"/>
              </w:rPr>
              <w:t xml:space="preserve">Devolución de </w:t>
            </w:r>
            <w:r w:rsidR="00352C73">
              <w:rPr>
                <w:rFonts w:eastAsia="Times New Roman"/>
                <w:spacing w:val="0"/>
                <w:lang w:eastAsia="es-DO"/>
              </w:rPr>
              <w:t>f</w:t>
            </w:r>
            <w:r w:rsidRPr="00582880">
              <w:rPr>
                <w:rFonts w:eastAsia="Times New Roman"/>
                <w:spacing w:val="0"/>
                <w:lang w:eastAsia="es-DO"/>
              </w:rPr>
              <w:t>ondos</w:t>
            </w:r>
          </w:p>
        </w:tc>
        <w:tc>
          <w:tcPr>
            <w:tcW w:w="1533" w:type="dxa"/>
            <w:tcBorders>
              <w:top w:val="nil"/>
              <w:left w:val="nil"/>
              <w:bottom w:val="single" w:sz="4" w:space="0" w:color="auto"/>
              <w:right w:val="single" w:sz="4" w:space="0" w:color="auto"/>
            </w:tcBorders>
            <w:noWrap/>
            <w:vAlign w:val="center"/>
            <w:hideMark/>
          </w:tcPr>
          <w:p w14:paraId="41AECB4C" w14:textId="77777777" w:rsidR="00115C3D" w:rsidRPr="00582880" w:rsidRDefault="00115C3D" w:rsidP="008E13FC">
            <w:pPr>
              <w:spacing w:after="0" w:line="240" w:lineRule="auto"/>
              <w:jc w:val="center"/>
              <w:rPr>
                <w:rFonts w:eastAsia="Times New Roman"/>
                <w:spacing w:val="0"/>
                <w:lang w:eastAsia="es-DO"/>
              </w:rPr>
            </w:pPr>
            <w:r w:rsidRPr="00582880">
              <w:rPr>
                <w:rFonts w:eastAsia="Times New Roman"/>
                <w:spacing w:val="0"/>
                <w:lang w:eastAsia="es-DO"/>
              </w:rPr>
              <w:t>35</w:t>
            </w:r>
          </w:p>
        </w:tc>
      </w:tr>
      <w:tr w:rsidR="00115C3D" w:rsidRPr="00465A16" w14:paraId="37D809FF" w14:textId="77777777" w:rsidTr="008E13FC">
        <w:trPr>
          <w:trHeight w:val="312"/>
        </w:trPr>
        <w:tc>
          <w:tcPr>
            <w:tcW w:w="6400" w:type="dxa"/>
            <w:tcBorders>
              <w:top w:val="nil"/>
              <w:left w:val="single" w:sz="4" w:space="0" w:color="auto"/>
              <w:bottom w:val="single" w:sz="4" w:space="0" w:color="auto"/>
              <w:right w:val="single" w:sz="4" w:space="0" w:color="auto"/>
            </w:tcBorders>
            <w:noWrap/>
            <w:vAlign w:val="center"/>
            <w:hideMark/>
          </w:tcPr>
          <w:p w14:paraId="214FBFD8" w14:textId="77777777" w:rsidR="00115C3D" w:rsidRPr="00582880" w:rsidRDefault="00115C3D" w:rsidP="008E13FC">
            <w:pPr>
              <w:spacing w:after="0" w:line="240" w:lineRule="auto"/>
              <w:rPr>
                <w:rFonts w:eastAsia="Times New Roman"/>
                <w:spacing w:val="0"/>
                <w:lang w:eastAsia="es-DO"/>
              </w:rPr>
            </w:pPr>
            <w:r w:rsidRPr="00582880">
              <w:rPr>
                <w:rFonts w:eastAsia="Times New Roman"/>
                <w:spacing w:val="0"/>
                <w:lang w:eastAsia="es-DO"/>
              </w:rPr>
              <w:t>Opiniones legales</w:t>
            </w:r>
          </w:p>
        </w:tc>
        <w:tc>
          <w:tcPr>
            <w:tcW w:w="1533" w:type="dxa"/>
            <w:tcBorders>
              <w:top w:val="nil"/>
              <w:left w:val="nil"/>
              <w:bottom w:val="single" w:sz="4" w:space="0" w:color="auto"/>
              <w:right w:val="single" w:sz="4" w:space="0" w:color="auto"/>
            </w:tcBorders>
            <w:noWrap/>
            <w:vAlign w:val="center"/>
            <w:hideMark/>
          </w:tcPr>
          <w:p w14:paraId="0B7F9086" w14:textId="77777777" w:rsidR="00115C3D" w:rsidRPr="00582880" w:rsidRDefault="00115C3D" w:rsidP="008E13FC">
            <w:pPr>
              <w:spacing w:after="0" w:line="240" w:lineRule="auto"/>
              <w:jc w:val="center"/>
              <w:rPr>
                <w:rFonts w:eastAsia="Times New Roman"/>
                <w:spacing w:val="0"/>
                <w:lang w:eastAsia="es-DO"/>
              </w:rPr>
            </w:pPr>
            <w:r w:rsidRPr="00582880">
              <w:rPr>
                <w:rFonts w:eastAsia="Times New Roman"/>
                <w:spacing w:val="0"/>
                <w:lang w:eastAsia="es-DO"/>
              </w:rPr>
              <w:t>48</w:t>
            </w:r>
          </w:p>
        </w:tc>
      </w:tr>
      <w:tr w:rsidR="00115C3D" w:rsidRPr="00465A16" w14:paraId="19E5BE10" w14:textId="77777777" w:rsidTr="008E13FC">
        <w:trPr>
          <w:trHeight w:val="312"/>
        </w:trPr>
        <w:tc>
          <w:tcPr>
            <w:tcW w:w="6400" w:type="dxa"/>
            <w:tcBorders>
              <w:top w:val="nil"/>
              <w:left w:val="single" w:sz="4" w:space="0" w:color="auto"/>
              <w:bottom w:val="single" w:sz="4" w:space="0" w:color="auto"/>
              <w:right w:val="single" w:sz="4" w:space="0" w:color="auto"/>
            </w:tcBorders>
            <w:noWrap/>
            <w:vAlign w:val="center"/>
            <w:hideMark/>
          </w:tcPr>
          <w:p w14:paraId="760440A5" w14:textId="08EFDD40" w:rsidR="00115C3D" w:rsidRPr="00582880" w:rsidRDefault="00115C3D" w:rsidP="008E13FC">
            <w:pPr>
              <w:spacing w:after="0" w:line="240" w:lineRule="auto"/>
              <w:rPr>
                <w:rFonts w:eastAsia="Times New Roman"/>
                <w:spacing w:val="0"/>
                <w:lang w:eastAsia="es-DO"/>
              </w:rPr>
            </w:pPr>
            <w:r w:rsidRPr="00582880">
              <w:rPr>
                <w:rFonts w:eastAsia="Times New Roman"/>
                <w:spacing w:val="0"/>
                <w:lang w:eastAsia="es-DO"/>
              </w:rPr>
              <w:t xml:space="preserve">Elaboración de </w:t>
            </w:r>
            <w:r w:rsidR="00352C73">
              <w:rPr>
                <w:rFonts w:eastAsia="Times New Roman"/>
                <w:spacing w:val="0"/>
                <w:lang w:eastAsia="es-DO"/>
              </w:rPr>
              <w:t>c</w:t>
            </w:r>
            <w:r w:rsidRPr="00582880">
              <w:rPr>
                <w:rFonts w:eastAsia="Times New Roman"/>
                <w:spacing w:val="0"/>
                <w:lang w:eastAsia="es-DO"/>
              </w:rPr>
              <w:t xml:space="preserve">ontratos </w:t>
            </w:r>
          </w:p>
        </w:tc>
        <w:tc>
          <w:tcPr>
            <w:tcW w:w="1533" w:type="dxa"/>
            <w:tcBorders>
              <w:top w:val="nil"/>
              <w:left w:val="nil"/>
              <w:bottom w:val="single" w:sz="4" w:space="0" w:color="auto"/>
              <w:right w:val="single" w:sz="4" w:space="0" w:color="auto"/>
            </w:tcBorders>
            <w:noWrap/>
            <w:vAlign w:val="center"/>
            <w:hideMark/>
          </w:tcPr>
          <w:p w14:paraId="1C30DEF2" w14:textId="77777777" w:rsidR="00115C3D" w:rsidRPr="00582880" w:rsidRDefault="00115C3D" w:rsidP="008E13FC">
            <w:pPr>
              <w:spacing w:after="0" w:line="240" w:lineRule="auto"/>
              <w:jc w:val="center"/>
              <w:rPr>
                <w:rFonts w:eastAsia="Times New Roman"/>
                <w:spacing w:val="0"/>
                <w:lang w:eastAsia="es-DO"/>
              </w:rPr>
            </w:pPr>
            <w:r w:rsidRPr="00582880">
              <w:rPr>
                <w:rFonts w:eastAsia="Times New Roman"/>
                <w:spacing w:val="0"/>
                <w:lang w:eastAsia="es-DO"/>
              </w:rPr>
              <w:t>62</w:t>
            </w:r>
          </w:p>
        </w:tc>
      </w:tr>
      <w:tr w:rsidR="00115C3D" w:rsidRPr="00465A16" w14:paraId="420406F6" w14:textId="77777777" w:rsidTr="008E13FC">
        <w:trPr>
          <w:trHeight w:val="312"/>
        </w:trPr>
        <w:tc>
          <w:tcPr>
            <w:tcW w:w="6400" w:type="dxa"/>
            <w:tcBorders>
              <w:top w:val="nil"/>
              <w:left w:val="single" w:sz="4" w:space="0" w:color="auto"/>
              <w:bottom w:val="single" w:sz="4" w:space="0" w:color="auto"/>
              <w:right w:val="single" w:sz="4" w:space="0" w:color="auto"/>
            </w:tcBorders>
            <w:noWrap/>
            <w:vAlign w:val="center"/>
            <w:hideMark/>
          </w:tcPr>
          <w:p w14:paraId="1DB91E9E" w14:textId="100775DE" w:rsidR="00115C3D" w:rsidRPr="00582880" w:rsidRDefault="00115C3D" w:rsidP="008E13FC">
            <w:pPr>
              <w:spacing w:after="0" w:line="240" w:lineRule="auto"/>
              <w:rPr>
                <w:rFonts w:eastAsia="Times New Roman"/>
                <w:spacing w:val="0"/>
                <w:lang w:eastAsia="es-DO"/>
              </w:rPr>
            </w:pPr>
            <w:r w:rsidRPr="00582880">
              <w:rPr>
                <w:rFonts w:eastAsia="Times New Roman"/>
                <w:spacing w:val="0"/>
                <w:lang w:eastAsia="es-DO"/>
              </w:rPr>
              <w:t xml:space="preserve">Análisis </w:t>
            </w:r>
            <w:r w:rsidR="00352C73">
              <w:rPr>
                <w:rFonts w:eastAsia="Times New Roman"/>
                <w:spacing w:val="0"/>
                <w:lang w:eastAsia="es-DO"/>
              </w:rPr>
              <w:t>a</w:t>
            </w:r>
            <w:r w:rsidRPr="00582880">
              <w:rPr>
                <w:rFonts w:eastAsia="Times New Roman"/>
                <w:spacing w:val="0"/>
                <w:lang w:eastAsia="es-DO"/>
              </w:rPr>
              <w:t xml:space="preserve">ctos de </w:t>
            </w:r>
            <w:r w:rsidR="00352C73">
              <w:rPr>
                <w:rFonts w:eastAsia="Times New Roman"/>
                <w:spacing w:val="0"/>
                <w:lang w:eastAsia="es-DO"/>
              </w:rPr>
              <w:t>a</w:t>
            </w:r>
            <w:r w:rsidRPr="00582880">
              <w:rPr>
                <w:rFonts w:eastAsia="Times New Roman"/>
                <w:spacing w:val="0"/>
                <w:lang w:eastAsia="es-DO"/>
              </w:rPr>
              <w:t>lguacil</w:t>
            </w:r>
          </w:p>
        </w:tc>
        <w:tc>
          <w:tcPr>
            <w:tcW w:w="1533" w:type="dxa"/>
            <w:tcBorders>
              <w:top w:val="nil"/>
              <w:left w:val="nil"/>
              <w:bottom w:val="single" w:sz="4" w:space="0" w:color="auto"/>
              <w:right w:val="single" w:sz="4" w:space="0" w:color="auto"/>
            </w:tcBorders>
            <w:noWrap/>
            <w:vAlign w:val="center"/>
            <w:hideMark/>
          </w:tcPr>
          <w:p w14:paraId="61D84CB8" w14:textId="77777777" w:rsidR="00115C3D" w:rsidRPr="00582880" w:rsidRDefault="00115C3D" w:rsidP="008E13FC">
            <w:pPr>
              <w:spacing w:after="0" w:line="240" w:lineRule="auto"/>
              <w:jc w:val="center"/>
              <w:rPr>
                <w:rFonts w:eastAsia="Times New Roman"/>
                <w:spacing w:val="0"/>
                <w:lang w:eastAsia="es-DO"/>
              </w:rPr>
            </w:pPr>
            <w:r w:rsidRPr="00582880">
              <w:rPr>
                <w:rFonts w:eastAsia="Times New Roman"/>
                <w:spacing w:val="0"/>
                <w:lang w:eastAsia="es-DO"/>
              </w:rPr>
              <w:t>510</w:t>
            </w:r>
          </w:p>
        </w:tc>
      </w:tr>
      <w:tr w:rsidR="00115C3D" w:rsidRPr="00465A16" w14:paraId="576BEA5A" w14:textId="77777777" w:rsidTr="008E13FC">
        <w:trPr>
          <w:trHeight w:val="312"/>
        </w:trPr>
        <w:tc>
          <w:tcPr>
            <w:tcW w:w="6400" w:type="dxa"/>
            <w:tcBorders>
              <w:top w:val="nil"/>
              <w:left w:val="single" w:sz="4" w:space="0" w:color="auto"/>
              <w:bottom w:val="single" w:sz="4" w:space="0" w:color="auto"/>
              <w:right w:val="single" w:sz="4" w:space="0" w:color="auto"/>
            </w:tcBorders>
            <w:noWrap/>
            <w:vAlign w:val="center"/>
            <w:hideMark/>
          </w:tcPr>
          <w:p w14:paraId="2F8BD639" w14:textId="71A2DDE7" w:rsidR="00115C3D" w:rsidRPr="00582880" w:rsidRDefault="00115C3D" w:rsidP="008E13FC">
            <w:pPr>
              <w:spacing w:after="0" w:line="240" w:lineRule="auto"/>
              <w:rPr>
                <w:rFonts w:eastAsia="Times New Roman"/>
                <w:spacing w:val="0"/>
                <w:lang w:eastAsia="es-DO"/>
              </w:rPr>
            </w:pPr>
            <w:r w:rsidRPr="00582880">
              <w:rPr>
                <w:rFonts w:eastAsia="Times New Roman"/>
                <w:spacing w:val="0"/>
                <w:lang w:eastAsia="es-DO"/>
              </w:rPr>
              <w:t xml:space="preserve">Análisis de </w:t>
            </w:r>
            <w:r w:rsidR="00352C73">
              <w:rPr>
                <w:rFonts w:eastAsia="Times New Roman"/>
                <w:spacing w:val="0"/>
                <w:lang w:eastAsia="es-DO"/>
              </w:rPr>
              <w:t>r</w:t>
            </w:r>
            <w:r w:rsidRPr="00582880">
              <w:rPr>
                <w:rFonts w:eastAsia="Times New Roman"/>
                <w:spacing w:val="0"/>
                <w:lang w:eastAsia="es-DO"/>
              </w:rPr>
              <w:t>esoluciones</w:t>
            </w:r>
            <w:r w:rsidRPr="00582880">
              <w:t xml:space="preserve"> </w:t>
            </w:r>
            <w:r w:rsidR="00352C73">
              <w:t>i</w:t>
            </w:r>
            <w:r w:rsidRPr="00582880">
              <w:rPr>
                <w:rFonts w:eastAsia="Times New Roman"/>
                <w:spacing w:val="0"/>
                <w:lang w:eastAsia="es-DO"/>
              </w:rPr>
              <w:t xml:space="preserve">nhabilitación de </w:t>
            </w:r>
            <w:r w:rsidR="00352C73">
              <w:rPr>
                <w:rFonts w:eastAsia="Times New Roman"/>
                <w:spacing w:val="0"/>
                <w:lang w:eastAsia="es-DO"/>
              </w:rPr>
              <w:t>p</w:t>
            </w:r>
            <w:r w:rsidRPr="00582880">
              <w:rPr>
                <w:rFonts w:eastAsia="Times New Roman"/>
                <w:spacing w:val="0"/>
                <w:lang w:eastAsia="es-DO"/>
              </w:rPr>
              <w:t xml:space="preserve">roveedor y/o </w:t>
            </w:r>
            <w:r w:rsidR="00352C73">
              <w:rPr>
                <w:rFonts w:eastAsia="Times New Roman"/>
                <w:spacing w:val="0"/>
                <w:lang w:eastAsia="es-DO"/>
              </w:rPr>
              <w:t>r</w:t>
            </w:r>
            <w:r w:rsidRPr="00582880">
              <w:rPr>
                <w:rFonts w:eastAsia="Times New Roman"/>
                <w:spacing w:val="0"/>
                <w:lang w:eastAsia="es-DO"/>
              </w:rPr>
              <w:t xml:space="preserve">ecursos </w:t>
            </w:r>
            <w:r w:rsidR="00352C73">
              <w:rPr>
                <w:rFonts w:eastAsia="Times New Roman"/>
                <w:spacing w:val="0"/>
                <w:lang w:eastAsia="es-DO"/>
              </w:rPr>
              <w:t>j</w:t>
            </w:r>
            <w:r w:rsidRPr="00582880">
              <w:rPr>
                <w:rFonts w:eastAsia="Times New Roman"/>
                <w:spacing w:val="0"/>
                <w:lang w:eastAsia="es-DO"/>
              </w:rPr>
              <w:t>erárquicos</w:t>
            </w:r>
          </w:p>
        </w:tc>
        <w:tc>
          <w:tcPr>
            <w:tcW w:w="1533" w:type="dxa"/>
            <w:tcBorders>
              <w:top w:val="nil"/>
              <w:left w:val="nil"/>
              <w:bottom w:val="single" w:sz="4" w:space="0" w:color="auto"/>
              <w:right w:val="single" w:sz="4" w:space="0" w:color="auto"/>
            </w:tcBorders>
            <w:noWrap/>
            <w:vAlign w:val="center"/>
            <w:hideMark/>
          </w:tcPr>
          <w:p w14:paraId="22A60DCB" w14:textId="77777777" w:rsidR="00115C3D" w:rsidRPr="00582880" w:rsidRDefault="00115C3D" w:rsidP="008E13FC">
            <w:pPr>
              <w:spacing w:after="0" w:line="240" w:lineRule="auto"/>
              <w:jc w:val="center"/>
              <w:rPr>
                <w:rFonts w:eastAsia="Times New Roman"/>
                <w:spacing w:val="0"/>
                <w:lang w:eastAsia="es-DO"/>
              </w:rPr>
            </w:pPr>
            <w:r w:rsidRPr="00582880">
              <w:rPr>
                <w:rFonts w:eastAsia="Times New Roman"/>
                <w:spacing w:val="0"/>
                <w:lang w:eastAsia="es-DO"/>
              </w:rPr>
              <w:t>52</w:t>
            </w:r>
          </w:p>
        </w:tc>
      </w:tr>
      <w:tr w:rsidR="00115C3D" w:rsidRPr="00465A16" w14:paraId="4D53CDC8" w14:textId="77777777" w:rsidTr="008E13FC">
        <w:trPr>
          <w:trHeight w:val="312"/>
        </w:trPr>
        <w:tc>
          <w:tcPr>
            <w:tcW w:w="6400" w:type="dxa"/>
            <w:tcBorders>
              <w:top w:val="nil"/>
              <w:left w:val="single" w:sz="4" w:space="0" w:color="auto"/>
              <w:bottom w:val="single" w:sz="4" w:space="0" w:color="auto"/>
              <w:right w:val="single" w:sz="4" w:space="0" w:color="auto"/>
            </w:tcBorders>
            <w:noWrap/>
            <w:vAlign w:val="center"/>
            <w:hideMark/>
          </w:tcPr>
          <w:p w14:paraId="620A7515" w14:textId="66A398F4" w:rsidR="00115C3D" w:rsidRPr="00582880" w:rsidRDefault="00115C3D" w:rsidP="008E13FC">
            <w:pPr>
              <w:spacing w:after="0" w:line="240" w:lineRule="auto"/>
              <w:rPr>
                <w:rFonts w:eastAsia="Times New Roman"/>
                <w:spacing w:val="0"/>
                <w:lang w:eastAsia="es-DO"/>
              </w:rPr>
            </w:pPr>
            <w:r w:rsidRPr="00582880">
              <w:rPr>
                <w:rFonts w:eastAsia="Times New Roman"/>
                <w:spacing w:val="0"/>
                <w:lang w:eastAsia="es-DO"/>
              </w:rPr>
              <w:t xml:space="preserve">Cantidad de </w:t>
            </w:r>
            <w:r w:rsidR="00352C73" w:rsidRPr="00582880">
              <w:rPr>
                <w:rFonts w:eastAsia="Times New Roman"/>
                <w:spacing w:val="0"/>
                <w:lang w:eastAsia="es-DO"/>
              </w:rPr>
              <w:t>audiencias</w:t>
            </w:r>
          </w:p>
        </w:tc>
        <w:tc>
          <w:tcPr>
            <w:tcW w:w="1533" w:type="dxa"/>
            <w:tcBorders>
              <w:top w:val="nil"/>
              <w:left w:val="nil"/>
              <w:bottom w:val="single" w:sz="4" w:space="0" w:color="auto"/>
              <w:right w:val="single" w:sz="4" w:space="0" w:color="auto"/>
            </w:tcBorders>
            <w:noWrap/>
            <w:vAlign w:val="center"/>
            <w:hideMark/>
          </w:tcPr>
          <w:p w14:paraId="463A802B" w14:textId="77777777" w:rsidR="00115C3D" w:rsidRPr="00582880" w:rsidRDefault="00115C3D" w:rsidP="008E13FC">
            <w:pPr>
              <w:spacing w:after="0" w:line="240" w:lineRule="auto"/>
              <w:jc w:val="center"/>
              <w:rPr>
                <w:rFonts w:eastAsia="Times New Roman"/>
                <w:spacing w:val="0"/>
                <w:lang w:eastAsia="es-DO"/>
              </w:rPr>
            </w:pPr>
            <w:r w:rsidRPr="00582880">
              <w:rPr>
                <w:rFonts w:eastAsia="Times New Roman"/>
                <w:spacing w:val="0"/>
                <w:lang w:eastAsia="es-DO"/>
              </w:rPr>
              <w:t>53</w:t>
            </w:r>
          </w:p>
        </w:tc>
      </w:tr>
      <w:tr w:rsidR="00115C3D" w:rsidRPr="00465A16" w14:paraId="70441B30" w14:textId="77777777" w:rsidTr="008E13FC">
        <w:trPr>
          <w:trHeight w:val="312"/>
        </w:trPr>
        <w:tc>
          <w:tcPr>
            <w:tcW w:w="6400" w:type="dxa"/>
            <w:tcBorders>
              <w:top w:val="nil"/>
              <w:left w:val="single" w:sz="4" w:space="0" w:color="auto"/>
              <w:bottom w:val="single" w:sz="4" w:space="0" w:color="auto"/>
              <w:right w:val="single" w:sz="4" w:space="0" w:color="auto"/>
            </w:tcBorders>
            <w:noWrap/>
            <w:vAlign w:val="center"/>
          </w:tcPr>
          <w:p w14:paraId="230A5B88" w14:textId="1B364F4B" w:rsidR="00115C3D" w:rsidRPr="00582880" w:rsidRDefault="00352C73" w:rsidP="008E13FC">
            <w:pPr>
              <w:spacing w:after="0" w:line="240" w:lineRule="auto"/>
              <w:rPr>
                <w:rFonts w:eastAsia="Times New Roman"/>
                <w:spacing w:val="0"/>
                <w:lang w:eastAsia="es-DO"/>
              </w:rPr>
            </w:pPr>
            <w:r w:rsidRPr="00582880">
              <w:rPr>
                <w:rFonts w:eastAsia="Times New Roman"/>
                <w:spacing w:val="0"/>
                <w:lang w:eastAsia="es-DO"/>
              </w:rPr>
              <w:t>Procesos disciplinarios administrativos</w:t>
            </w:r>
          </w:p>
        </w:tc>
        <w:tc>
          <w:tcPr>
            <w:tcW w:w="1533" w:type="dxa"/>
            <w:tcBorders>
              <w:top w:val="nil"/>
              <w:left w:val="nil"/>
              <w:bottom w:val="single" w:sz="4" w:space="0" w:color="auto"/>
              <w:right w:val="single" w:sz="4" w:space="0" w:color="auto"/>
            </w:tcBorders>
            <w:noWrap/>
            <w:vAlign w:val="center"/>
          </w:tcPr>
          <w:p w14:paraId="5F663D22" w14:textId="77777777" w:rsidR="00115C3D" w:rsidRPr="00582880" w:rsidRDefault="00115C3D" w:rsidP="008E13FC">
            <w:pPr>
              <w:spacing w:after="0" w:line="240" w:lineRule="auto"/>
              <w:jc w:val="center"/>
              <w:rPr>
                <w:rFonts w:eastAsia="Times New Roman"/>
                <w:spacing w:val="0"/>
                <w:lang w:eastAsia="es-DO"/>
              </w:rPr>
            </w:pPr>
            <w:r w:rsidRPr="00582880">
              <w:rPr>
                <w:rFonts w:eastAsia="Times New Roman"/>
                <w:spacing w:val="0"/>
                <w:lang w:eastAsia="es-DO"/>
              </w:rPr>
              <w:t>9</w:t>
            </w:r>
          </w:p>
        </w:tc>
      </w:tr>
      <w:tr w:rsidR="00115C3D" w:rsidRPr="00465A16" w14:paraId="7228CB5F" w14:textId="77777777" w:rsidTr="008E13FC">
        <w:trPr>
          <w:trHeight w:val="312"/>
        </w:trPr>
        <w:tc>
          <w:tcPr>
            <w:tcW w:w="6400" w:type="dxa"/>
            <w:tcBorders>
              <w:top w:val="nil"/>
              <w:left w:val="single" w:sz="4" w:space="0" w:color="auto"/>
              <w:bottom w:val="single" w:sz="4" w:space="0" w:color="auto"/>
              <w:right w:val="single" w:sz="4" w:space="0" w:color="auto"/>
            </w:tcBorders>
            <w:noWrap/>
            <w:vAlign w:val="center"/>
          </w:tcPr>
          <w:p w14:paraId="7FD3F878" w14:textId="68B0D386" w:rsidR="00115C3D" w:rsidRPr="00582880" w:rsidRDefault="00115C3D" w:rsidP="008E13FC">
            <w:pPr>
              <w:spacing w:after="0" w:line="240" w:lineRule="auto"/>
              <w:rPr>
                <w:rFonts w:eastAsia="Times New Roman"/>
                <w:spacing w:val="0"/>
                <w:lang w:eastAsia="es-DO"/>
              </w:rPr>
            </w:pPr>
            <w:r w:rsidRPr="00582880">
              <w:rPr>
                <w:rFonts w:eastAsia="Times New Roman"/>
                <w:spacing w:val="0"/>
                <w:lang w:eastAsia="es-DO"/>
              </w:rPr>
              <w:t>Memorial de</w:t>
            </w:r>
            <w:r w:rsidR="00352C73" w:rsidRPr="00582880">
              <w:rPr>
                <w:rFonts w:eastAsia="Times New Roman"/>
                <w:spacing w:val="0"/>
                <w:lang w:eastAsia="es-DO"/>
              </w:rPr>
              <w:t xml:space="preserve"> defensa</w:t>
            </w:r>
          </w:p>
        </w:tc>
        <w:tc>
          <w:tcPr>
            <w:tcW w:w="1533" w:type="dxa"/>
            <w:tcBorders>
              <w:top w:val="nil"/>
              <w:left w:val="nil"/>
              <w:bottom w:val="single" w:sz="4" w:space="0" w:color="auto"/>
              <w:right w:val="single" w:sz="4" w:space="0" w:color="auto"/>
            </w:tcBorders>
            <w:noWrap/>
            <w:vAlign w:val="center"/>
          </w:tcPr>
          <w:p w14:paraId="01F01380" w14:textId="77777777" w:rsidR="00115C3D" w:rsidRPr="00582880" w:rsidRDefault="00115C3D" w:rsidP="008E13FC">
            <w:pPr>
              <w:spacing w:after="0" w:line="240" w:lineRule="auto"/>
              <w:jc w:val="center"/>
              <w:rPr>
                <w:rFonts w:eastAsia="Times New Roman"/>
                <w:spacing w:val="0"/>
                <w:lang w:eastAsia="es-DO"/>
              </w:rPr>
            </w:pPr>
            <w:r w:rsidRPr="00582880">
              <w:rPr>
                <w:rFonts w:eastAsia="Times New Roman"/>
                <w:spacing w:val="0"/>
                <w:lang w:eastAsia="es-DO"/>
              </w:rPr>
              <w:t>5</w:t>
            </w:r>
          </w:p>
        </w:tc>
      </w:tr>
      <w:tr w:rsidR="00115C3D" w:rsidRPr="00465A16" w14:paraId="3909D724" w14:textId="77777777" w:rsidTr="008E13FC">
        <w:trPr>
          <w:trHeight w:val="312"/>
        </w:trPr>
        <w:tc>
          <w:tcPr>
            <w:tcW w:w="6400" w:type="dxa"/>
            <w:tcBorders>
              <w:top w:val="nil"/>
              <w:left w:val="single" w:sz="4" w:space="0" w:color="auto"/>
              <w:bottom w:val="single" w:sz="4" w:space="0" w:color="auto"/>
              <w:right w:val="single" w:sz="4" w:space="0" w:color="auto"/>
            </w:tcBorders>
            <w:noWrap/>
            <w:vAlign w:val="center"/>
          </w:tcPr>
          <w:p w14:paraId="220EEC5C" w14:textId="0566BCB9" w:rsidR="00115C3D" w:rsidRPr="00582880" w:rsidRDefault="00115C3D" w:rsidP="008E13FC">
            <w:pPr>
              <w:spacing w:after="0" w:line="240" w:lineRule="auto"/>
              <w:rPr>
                <w:rFonts w:eastAsia="Times New Roman"/>
                <w:spacing w:val="0"/>
                <w:lang w:eastAsia="es-DO"/>
              </w:rPr>
            </w:pPr>
            <w:r w:rsidRPr="00582880">
              <w:rPr>
                <w:rFonts w:eastAsia="Times New Roman"/>
                <w:spacing w:val="0"/>
                <w:lang w:eastAsia="es-DO"/>
              </w:rPr>
              <w:t xml:space="preserve">Recurso de </w:t>
            </w:r>
            <w:r w:rsidR="00352C73" w:rsidRPr="00582880">
              <w:rPr>
                <w:rFonts w:eastAsia="Times New Roman"/>
                <w:spacing w:val="0"/>
                <w:lang w:eastAsia="es-DO"/>
              </w:rPr>
              <w:t xml:space="preserve">casación/ demanda en ejecución de sentencia  </w:t>
            </w:r>
          </w:p>
        </w:tc>
        <w:tc>
          <w:tcPr>
            <w:tcW w:w="1533" w:type="dxa"/>
            <w:tcBorders>
              <w:top w:val="nil"/>
              <w:left w:val="nil"/>
              <w:bottom w:val="single" w:sz="4" w:space="0" w:color="auto"/>
              <w:right w:val="single" w:sz="4" w:space="0" w:color="auto"/>
            </w:tcBorders>
            <w:noWrap/>
            <w:vAlign w:val="center"/>
          </w:tcPr>
          <w:p w14:paraId="318E3EBE" w14:textId="77777777" w:rsidR="00115C3D" w:rsidRPr="00582880" w:rsidRDefault="00115C3D" w:rsidP="008E13FC">
            <w:pPr>
              <w:spacing w:after="0" w:line="240" w:lineRule="auto"/>
              <w:jc w:val="center"/>
              <w:rPr>
                <w:rFonts w:eastAsia="Times New Roman"/>
                <w:spacing w:val="0"/>
                <w:lang w:eastAsia="es-DO"/>
              </w:rPr>
            </w:pPr>
            <w:r w:rsidRPr="00582880">
              <w:rPr>
                <w:rFonts w:eastAsia="Times New Roman"/>
                <w:spacing w:val="0"/>
                <w:lang w:eastAsia="es-DO"/>
              </w:rPr>
              <w:t>38</w:t>
            </w:r>
          </w:p>
        </w:tc>
      </w:tr>
      <w:tr w:rsidR="00115C3D" w:rsidRPr="00465A16" w14:paraId="7316EB40" w14:textId="77777777" w:rsidTr="008E13FC">
        <w:trPr>
          <w:trHeight w:val="312"/>
        </w:trPr>
        <w:tc>
          <w:tcPr>
            <w:tcW w:w="6400" w:type="dxa"/>
            <w:tcBorders>
              <w:top w:val="nil"/>
              <w:left w:val="single" w:sz="4" w:space="0" w:color="auto"/>
              <w:bottom w:val="single" w:sz="4" w:space="0" w:color="auto"/>
              <w:right w:val="single" w:sz="4" w:space="0" w:color="auto"/>
            </w:tcBorders>
            <w:noWrap/>
            <w:vAlign w:val="center"/>
            <w:hideMark/>
          </w:tcPr>
          <w:p w14:paraId="498F4AEE" w14:textId="77777777" w:rsidR="00115C3D" w:rsidRPr="00582880" w:rsidRDefault="00115C3D" w:rsidP="008E13FC">
            <w:pPr>
              <w:spacing w:after="0" w:line="240" w:lineRule="auto"/>
              <w:rPr>
                <w:rFonts w:eastAsia="Times New Roman"/>
                <w:spacing w:val="0"/>
                <w:lang w:eastAsia="es-DO"/>
              </w:rPr>
            </w:pPr>
            <w:r w:rsidRPr="00582880">
              <w:rPr>
                <w:rFonts w:eastAsia="Times New Roman"/>
                <w:spacing w:val="0"/>
                <w:lang w:eastAsia="es-DO"/>
              </w:rPr>
              <w:t>Escritos de defensa al TSA</w:t>
            </w:r>
          </w:p>
        </w:tc>
        <w:tc>
          <w:tcPr>
            <w:tcW w:w="1533" w:type="dxa"/>
            <w:tcBorders>
              <w:top w:val="nil"/>
              <w:left w:val="nil"/>
              <w:bottom w:val="single" w:sz="4" w:space="0" w:color="auto"/>
              <w:right w:val="single" w:sz="4" w:space="0" w:color="auto"/>
            </w:tcBorders>
            <w:noWrap/>
            <w:vAlign w:val="center"/>
            <w:hideMark/>
          </w:tcPr>
          <w:p w14:paraId="193A77E9" w14:textId="77777777" w:rsidR="00115C3D" w:rsidRPr="00582880" w:rsidRDefault="00115C3D" w:rsidP="008E13FC">
            <w:pPr>
              <w:spacing w:after="0" w:line="240" w:lineRule="auto"/>
              <w:jc w:val="center"/>
              <w:rPr>
                <w:rFonts w:eastAsia="Times New Roman"/>
                <w:spacing w:val="0"/>
                <w:lang w:eastAsia="es-DO"/>
              </w:rPr>
            </w:pPr>
            <w:r w:rsidRPr="00582880">
              <w:rPr>
                <w:rFonts w:eastAsia="Times New Roman"/>
                <w:spacing w:val="0"/>
                <w:lang w:eastAsia="es-DO"/>
              </w:rPr>
              <w:t>36</w:t>
            </w:r>
          </w:p>
        </w:tc>
      </w:tr>
      <w:tr w:rsidR="00115C3D" w:rsidRPr="00465A16" w14:paraId="75F08246" w14:textId="77777777" w:rsidTr="008E13FC">
        <w:trPr>
          <w:trHeight w:val="312"/>
        </w:trPr>
        <w:tc>
          <w:tcPr>
            <w:tcW w:w="6400" w:type="dxa"/>
            <w:tcBorders>
              <w:top w:val="nil"/>
              <w:left w:val="single" w:sz="4" w:space="0" w:color="auto"/>
              <w:bottom w:val="single" w:sz="4" w:space="0" w:color="auto"/>
              <w:right w:val="single" w:sz="4" w:space="0" w:color="auto"/>
            </w:tcBorders>
            <w:noWrap/>
            <w:vAlign w:val="center"/>
            <w:hideMark/>
          </w:tcPr>
          <w:p w14:paraId="514BECA3" w14:textId="55E065E3" w:rsidR="00115C3D" w:rsidRPr="00582880" w:rsidRDefault="00115C3D" w:rsidP="008E13FC">
            <w:pPr>
              <w:spacing w:after="0" w:line="240" w:lineRule="auto"/>
              <w:rPr>
                <w:rFonts w:eastAsia="Times New Roman"/>
                <w:spacing w:val="0"/>
                <w:lang w:eastAsia="es-DO"/>
              </w:rPr>
            </w:pPr>
            <w:r w:rsidRPr="00582880">
              <w:rPr>
                <w:rFonts w:eastAsia="Times New Roman"/>
                <w:spacing w:val="0"/>
                <w:lang w:eastAsia="es-DO"/>
              </w:rPr>
              <w:t>Sentencia</w:t>
            </w:r>
            <w:r w:rsidR="00352C73" w:rsidRPr="00582880">
              <w:rPr>
                <w:rFonts w:eastAsia="Times New Roman"/>
                <w:spacing w:val="0"/>
                <w:lang w:eastAsia="es-DO"/>
              </w:rPr>
              <w:t xml:space="preserve"> favorables</w:t>
            </w:r>
          </w:p>
        </w:tc>
        <w:tc>
          <w:tcPr>
            <w:tcW w:w="1533" w:type="dxa"/>
            <w:tcBorders>
              <w:top w:val="nil"/>
              <w:left w:val="nil"/>
              <w:bottom w:val="single" w:sz="4" w:space="0" w:color="auto"/>
              <w:right w:val="single" w:sz="4" w:space="0" w:color="auto"/>
            </w:tcBorders>
            <w:noWrap/>
            <w:vAlign w:val="center"/>
            <w:hideMark/>
          </w:tcPr>
          <w:p w14:paraId="68C202C1" w14:textId="77777777" w:rsidR="00115C3D" w:rsidRPr="00582880" w:rsidRDefault="00115C3D" w:rsidP="008E13FC">
            <w:pPr>
              <w:spacing w:after="0" w:line="240" w:lineRule="auto"/>
              <w:jc w:val="center"/>
              <w:rPr>
                <w:rFonts w:eastAsia="Times New Roman"/>
                <w:spacing w:val="0"/>
                <w:lang w:eastAsia="es-DO"/>
              </w:rPr>
            </w:pPr>
            <w:r w:rsidRPr="00582880">
              <w:rPr>
                <w:rFonts w:eastAsia="Times New Roman"/>
                <w:spacing w:val="0"/>
                <w:lang w:eastAsia="es-DO"/>
              </w:rPr>
              <w:t>15</w:t>
            </w:r>
          </w:p>
        </w:tc>
      </w:tr>
      <w:tr w:rsidR="00115C3D" w:rsidRPr="00465A16" w14:paraId="5432F185" w14:textId="77777777" w:rsidTr="008E13FC">
        <w:trPr>
          <w:trHeight w:val="312"/>
        </w:trPr>
        <w:tc>
          <w:tcPr>
            <w:tcW w:w="6400" w:type="dxa"/>
            <w:tcBorders>
              <w:top w:val="nil"/>
              <w:left w:val="single" w:sz="4" w:space="0" w:color="auto"/>
              <w:bottom w:val="single" w:sz="4" w:space="0" w:color="auto"/>
              <w:right w:val="single" w:sz="4" w:space="0" w:color="auto"/>
            </w:tcBorders>
            <w:noWrap/>
            <w:vAlign w:val="center"/>
            <w:hideMark/>
          </w:tcPr>
          <w:p w14:paraId="26C2A14E" w14:textId="664BAD0B" w:rsidR="00115C3D" w:rsidRPr="00582880" w:rsidRDefault="00115C3D" w:rsidP="008E13FC">
            <w:pPr>
              <w:spacing w:after="0" w:line="240" w:lineRule="auto"/>
              <w:rPr>
                <w:rFonts w:eastAsia="Times New Roman"/>
                <w:spacing w:val="0"/>
                <w:lang w:eastAsia="es-DO"/>
              </w:rPr>
            </w:pPr>
            <w:r w:rsidRPr="00582880">
              <w:rPr>
                <w:rFonts w:eastAsia="Times New Roman"/>
                <w:spacing w:val="0"/>
                <w:lang w:eastAsia="es-DO"/>
              </w:rPr>
              <w:t xml:space="preserve">Elaboración </w:t>
            </w:r>
            <w:r w:rsidR="00352C73" w:rsidRPr="00582880">
              <w:rPr>
                <w:rFonts w:eastAsia="Times New Roman"/>
                <w:spacing w:val="0"/>
                <w:lang w:eastAsia="es-DO"/>
              </w:rPr>
              <w:t>de actas de proceso de compras</w:t>
            </w:r>
          </w:p>
        </w:tc>
        <w:tc>
          <w:tcPr>
            <w:tcW w:w="1533" w:type="dxa"/>
            <w:tcBorders>
              <w:top w:val="nil"/>
              <w:left w:val="nil"/>
              <w:bottom w:val="single" w:sz="4" w:space="0" w:color="auto"/>
              <w:right w:val="single" w:sz="4" w:space="0" w:color="auto"/>
            </w:tcBorders>
            <w:noWrap/>
            <w:vAlign w:val="center"/>
            <w:hideMark/>
          </w:tcPr>
          <w:p w14:paraId="13B2FA24" w14:textId="77777777" w:rsidR="00115C3D" w:rsidRPr="00582880" w:rsidRDefault="00115C3D" w:rsidP="008E13FC">
            <w:pPr>
              <w:spacing w:after="0" w:line="240" w:lineRule="auto"/>
              <w:jc w:val="center"/>
              <w:rPr>
                <w:rFonts w:eastAsia="Times New Roman"/>
                <w:spacing w:val="0"/>
                <w:lang w:eastAsia="es-DO"/>
              </w:rPr>
            </w:pPr>
            <w:r w:rsidRPr="00582880">
              <w:rPr>
                <w:rFonts w:eastAsia="Times New Roman"/>
                <w:spacing w:val="0"/>
                <w:lang w:eastAsia="es-DO"/>
              </w:rPr>
              <w:t>39</w:t>
            </w:r>
          </w:p>
        </w:tc>
      </w:tr>
      <w:tr w:rsidR="00115C3D" w:rsidRPr="00465A16" w14:paraId="702DE33A" w14:textId="77777777" w:rsidTr="008E13FC">
        <w:trPr>
          <w:trHeight w:val="312"/>
        </w:trPr>
        <w:tc>
          <w:tcPr>
            <w:tcW w:w="6400" w:type="dxa"/>
            <w:tcBorders>
              <w:top w:val="nil"/>
              <w:left w:val="single" w:sz="4" w:space="0" w:color="auto"/>
              <w:bottom w:val="single" w:sz="4" w:space="0" w:color="auto"/>
              <w:right w:val="single" w:sz="4" w:space="0" w:color="auto"/>
            </w:tcBorders>
            <w:noWrap/>
            <w:vAlign w:val="center"/>
            <w:hideMark/>
          </w:tcPr>
          <w:p w14:paraId="41686F3B" w14:textId="77777777" w:rsidR="00115C3D" w:rsidRPr="00582880" w:rsidRDefault="00115C3D" w:rsidP="008E13FC">
            <w:pPr>
              <w:spacing w:after="0" w:line="240" w:lineRule="auto"/>
              <w:rPr>
                <w:rFonts w:eastAsia="Times New Roman"/>
                <w:spacing w:val="0"/>
                <w:lang w:eastAsia="es-DO"/>
              </w:rPr>
            </w:pPr>
            <w:r w:rsidRPr="00582880">
              <w:rPr>
                <w:rFonts w:eastAsia="Times New Roman"/>
                <w:spacing w:val="0"/>
                <w:lang w:eastAsia="es-DO"/>
              </w:rPr>
              <w:t>Acuerdo de confidencialidad</w:t>
            </w:r>
          </w:p>
        </w:tc>
        <w:tc>
          <w:tcPr>
            <w:tcW w:w="1533" w:type="dxa"/>
            <w:tcBorders>
              <w:top w:val="nil"/>
              <w:left w:val="nil"/>
              <w:bottom w:val="single" w:sz="4" w:space="0" w:color="auto"/>
              <w:right w:val="single" w:sz="4" w:space="0" w:color="auto"/>
            </w:tcBorders>
            <w:noWrap/>
            <w:vAlign w:val="center"/>
            <w:hideMark/>
          </w:tcPr>
          <w:p w14:paraId="5E800432" w14:textId="77777777" w:rsidR="00115C3D" w:rsidRPr="00582880" w:rsidRDefault="00115C3D" w:rsidP="008E13FC">
            <w:pPr>
              <w:spacing w:after="0" w:line="240" w:lineRule="auto"/>
              <w:jc w:val="center"/>
              <w:rPr>
                <w:rFonts w:eastAsia="Times New Roman"/>
                <w:spacing w:val="0"/>
                <w:lang w:eastAsia="es-DO"/>
              </w:rPr>
            </w:pPr>
            <w:r w:rsidRPr="00582880">
              <w:rPr>
                <w:rFonts w:eastAsia="Times New Roman"/>
                <w:spacing w:val="0"/>
                <w:lang w:eastAsia="es-DO"/>
              </w:rPr>
              <w:t>164</w:t>
            </w:r>
          </w:p>
        </w:tc>
      </w:tr>
      <w:tr w:rsidR="00115C3D" w:rsidRPr="00465A16" w14:paraId="7DAF1E79" w14:textId="77777777" w:rsidTr="008E13FC">
        <w:trPr>
          <w:trHeight w:val="312"/>
        </w:trPr>
        <w:tc>
          <w:tcPr>
            <w:tcW w:w="6400" w:type="dxa"/>
            <w:tcBorders>
              <w:top w:val="nil"/>
              <w:left w:val="single" w:sz="4" w:space="0" w:color="auto"/>
              <w:bottom w:val="single" w:sz="4" w:space="0" w:color="auto"/>
              <w:right w:val="single" w:sz="4" w:space="0" w:color="auto"/>
            </w:tcBorders>
            <w:shd w:val="clear" w:color="auto" w:fill="011C50"/>
            <w:noWrap/>
            <w:vAlign w:val="center"/>
            <w:hideMark/>
          </w:tcPr>
          <w:p w14:paraId="2B732BF2" w14:textId="77777777" w:rsidR="00115C3D" w:rsidRPr="00465A16" w:rsidRDefault="00115C3D" w:rsidP="008E13FC">
            <w:pPr>
              <w:spacing w:after="0" w:line="24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Total</w:t>
            </w:r>
          </w:p>
        </w:tc>
        <w:tc>
          <w:tcPr>
            <w:tcW w:w="1533" w:type="dxa"/>
            <w:tcBorders>
              <w:top w:val="nil"/>
              <w:left w:val="nil"/>
              <w:bottom w:val="single" w:sz="4" w:space="0" w:color="auto"/>
              <w:right w:val="single" w:sz="4" w:space="0" w:color="auto"/>
            </w:tcBorders>
            <w:shd w:val="clear" w:color="auto" w:fill="011C50"/>
            <w:noWrap/>
            <w:vAlign w:val="bottom"/>
            <w:hideMark/>
          </w:tcPr>
          <w:p w14:paraId="7C69B0C3" w14:textId="77777777" w:rsidR="00115C3D" w:rsidRPr="00465A16" w:rsidRDefault="00115C3D" w:rsidP="008E13FC">
            <w:pPr>
              <w:spacing w:after="0" w:line="24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1,597</w:t>
            </w:r>
          </w:p>
        </w:tc>
      </w:tr>
      <w:tr w:rsidR="00115C3D" w:rsidRPr="00465A16" w14:paraId="064227E1" w14:textId="77777777" w:rsidTr="008E13FC">
        <w:trPr>
          <w:trHeight w:val="288"/>
        </w:trPr>
        <w:tc>
          <w:tcPr>
            <w:tcW w:w="6400" w:type="dxa"/>
            <w:tcBorders>
              <w:top w:val="nil"/>
              <w:left w:val="nil"/>
              <w:bottom w:val="nil"/>
              <w:right w:val="nil"/>
            </w:tcBorders>
            <w:noWrap/>
            <w:vAlign w:val="bottom"/>
            <w:hideMark/>
          </w:tcPr>
          <w:p w14:paraId="42310F0E" w14:textId="77777777" w:rsidR="00115C3D" w:rsidRPr="00465A16" w:rsidRDefault="00115C3D" w:rsidP="008E13FC">
            <w:pPr>
              <w:spacing w:after="0" w:line="240" w:lineRule="auto"/>
              <w:jc w:val="center"/>
              <w:rPr>
                <w:rFonts w:eastAsia="Calibri"/>
                <w:color w:val="4C4747"/>
                <w:sz w:val="18"/>
                <w:szCs w:val="18"/>
              </w:rPr>
            </w:pPr>
          </w:p>
        </w:tc>
        <w:tc>
          <w:tcPr>
            <w:tcW w:w="1533" w:type="dxa"/>
            <w:tcBorders>
              <w:top w:val="nil"/>
              <w:left w:val="nil"/>
              <w:bottom w:val="nil"/>
              <w:right w:val="nil"/>
            </w:tcBorders>
            <w:noWrap/>
            <w:vAlign w:val="bottom"/>
            <w:hideMark/>
          </w:tcPr>
          <w:p w14:paraId="6F1B52BE" w14:textId="77777777" w:rsidR="00115C3D" w:rsidRPr="00465A16" w:rsidRDefault="00115C3D" w:rsidP="008E13FC">
            <w:pPr>
              <w:spacing w:after="0" w:line="240" w:lineRule="auto"/>
              <w:rPr>
                <w:rFonts w:eastAsia="Calibri"/>
                <w:color w:val="4C4747"/>
                <w:sz w:val="18"/>
                <w:szCs w:val="18"/>
              </w:rPr>
            </w:pPr>
          </w:p>
        </w:tc>
      </w:tr>
    </w:tbl>
    <w:p w14:paraId="20C77207" w14:textId="43972764" w:rsidR="00964CDA" w:rsidRPr="0077472F" w:rsidRDefault="00964CDA" w:rsidP="00964CDA">
      <w:pPr>
        <w:spacing w:line="360" w:lineRule="auto"/>
        <w:jc w:val="center"/>
        <w:rPr>
          <w:rFonts w:eastAsia="Calibri"/>
          <w:i/>
          <w:iCs/>
          <w:sz w:val="18"/>
          <w:szCs w:val="18"/>
        </w:rPr>
      </w:pPr>
      <w:r w:rsidRPr="0077472F">
        <w:rPr>
          <w:rFonts w:eastAsia="Calibri"/>
          <w:i/>
          <w:iCs/>
          <w:sz w:val="18"/>
          <w:szCs w:val="18"/>
        </w:rPr>
        <w:t>Fuente. Informe semestral Dirección Jurídica</w:t>
      </w:r>
    </w:p>
    <w:p w14:paraId="70D18EC4" w14:textId="74FE088E" w:rsidR="0027641B" w:rsidRPr="00465A16" w:rsidRDefault="00964CDA" w:rsidP="00115C3D">
      <w:r w:rsidRPr="00465A16">
        <w:br w:type="page"/>
      </w:r>
    </w:p>
    <w:p w14:paraId="5825AB89" w14:textId="77777777" w:rsidR="00115C3D" w:rsidRPr="00582880" w:rsidRDefault="00115C3D" w:rsidP="00C934DB">
      <w:pPr>
        <w:spacing w:line="360" w:lineRule="auto"/>
        <w:jc w:val="both"/>
        <w:rPr>
          <w:rFonts w:eastAsia="Calibri"/>
          <w:b/>
          <w:bCs/>
        </w:rPr>
      </w:pPr>
      <w:r w:rsidRPr="00582880">
        <w:rPr>
          <w:rFonts w:eastAsia="Calibri"/>
          <w:b/>
          <w:bCs/>
        </w:rPr>
        <w:lastRenderedPageBreak/>
        <w:t>b. Acuerdos interinstitucionales firmados</w:t>
      </w:r>
    </w:p>
    <w:p w14:paraId="38328867" w14:textId="4A6656D0" w:rsidR="00115C3D" w:rsidRPr="00582880" w:rsidRDefault="00115C3D" w:rsidP="00C934DB">
      <w:pPr>
        <w:spacing w:line="360" w:lineRule="auto"/>
        <w:jc w:val="both"/>
        <w:rPr>
          <w:rFonts w:eastAsia="Calibri"/>
        </w:rPr>
      </w:pPr>
      <w:r w:rsidRPr="00582880">
        <w:rPr>
          <w:rFonts w:eastAsia="Calibri"/>
        </w:rPr>
        <w:t xml:space="preserve">Dentro de los acuerdos interinstitucionales suscritos este año entre la Contraloría y otras instituciones, se destacan: </w:t>
      </w:r>
    </w:p>
    <w:p w14:paraId="05A7A4E6" w14:textId="1E82C060" w:rsidR="00115C3D" w:rsidRPr="00582880" w:rsidRDefault="00115C3D">
      <w:pPr>
        <w:pStyle w:val="Prrafodelista"/>
        <w:numPr>
          <w:ilvl w:val="0"/>
          <w:numId w:val="15"/>
        </w:numPr>
        <w:spacing w:line="360" w:lineRule="auto"/>
        <w:ind w:left="284" w:hanging="284"/>
        <w:jc w:val="both"/>
        <w:rPr>
          <w:rFonts w:eastAsia="Calibri"/>
        </w:rPr>
      </w:pPr>
      <w:r w:rsidRPr="00582880">
        <w:rPr>
          <w:rFonts w:eastAsia="Calibri"/>
        </w:rPr>
        <w:t>Acuerdo con la Superintendencia de Seguros, tiene como objetivo la creación de un equipo de trabajo técnico en aras de fortalecer los controles de supervisión, monitoreo y control de las fianzas que emiten las aseguradoras cuyo beneficiario es el Estado dominicano. Porcentaje de avance 100%.</w:t>
      </w:r>
    </w:p>
    <w:p w14:paraId="7C32EDA2" w14:textId="77777777" w:rsidR="00115C3D" w:rsidRPr="00582880" w:rsidRDefault="00115C3D" w:rsidP="00C934DB">
      <w:pPr>
        <w:pStyle w:val="Prrafodelista"/>
        <w:spacing w:line="360" w:lineRule="auto"/>
        <w:ind w:left="284"/>
        <w:jc w:val="both"/>
        <w:rPr>
          <w:rFonts w:eastAsia="Calibri"/>
        </w:rPr>
      </w:pPr>
    </w:p>
    <w:p w14:paraId="0B6DB7FE" w14:textId="0A73189D" w:rsidR="00115C3D" w:rsidRPr="00582880" w:rsidRDefault="00115C3D">
      <w:pPr>
        <w:pStyle w:val="Prrafodelista"/>
        <w:numPr>
          <w:ilvl w:val="0"/>
          <w:numId w:val="15"/>
        </w:numPr>
        <w:spacing w:line="360" w:lineRule="auto"/>
        <w:ind w:left="284" w:hanging="284"/>
        <w:jc w:val="both"/>
        <w:rPr>
          <w:rFonts w:eastAsia="Calibri"/>
        </w:rPr>
      </w:pPr>
      <w:r w:rsidRPr="00582880">
        <w:rPr>
          <w:rFonts w:eastAsia="Calibri"/>
        </w:rPr>
        <w:t>Acuerdo con el Departamento Nacional de Investigaciones (DN</w:t>
      </w:r>
      <w:r w:rsidR="00C40968">
        <w:rPr>
          <w:rFonts w:eastAsia="Calibri"/>
        </w:rPr>
        <w:t>I</w:t>
      </w:r>
      <w:r w:rsidR="00DE273D" w:rsidRPr="00582880">
        <w:rPr>
          <w:rFonts w:eastAsia="Calibri"/>
        </w:rPr>
        <w:t>)</w:t>
      </w:r>
      <w:r w:rsidRPr="00582880">
        <w:rPr>
          <w:rFonts w:eastAsia="Calibri"/>
        </w:rPr>
        <w:t>, tiene como objetivo la interconexión entre ambas entidades persiguiendo fortalecer los trabajos de inteligencia que realizan cotidianamente. Porcentaje de avance 100%.</w:t>
      </w:r>
    </w:p>
    <w:p w14:paraId="2C6241ED" w14:textId="77777777" w:rsidR="00115C3D" w:rsidRPr="00582880" w:rsidRDefault="00115C3D" w:rsidP="00C934DB">
      <w:pPr>
        <w:pStyle w:val="Prrafodelista"/>
        <w:spacing w:line="360" w:lineRule="auto"/>
        <w:ind w:left="284"/>
        <w:jc w:val="both"/>
        <w:rPr>
          <w:rFonts w:eastAsia="Calibri"/>
        </w:rPr>
      </w:pPr>
    </w:p>
    <w:p w14:paraId="0B3833BD" w14:textId="1B6526B0" w:rsidR="00115C3D" w:rsidRPr="00582880" w:rsidRDefault="00115C3D">
      <w:pPr>
        <w:pStyle w:val="Prrafodelista"/>
        <w:numPr>
          <w:ilvl w:val="0"/>
          <w:numId w:val="15"/>
        </w:numPr>
        <w:spacing w:line="360" w:lineRule="auto"/>
        <w:ind w:left="284" w:hanging="284"/>
        <w:jc w:val="both"/>
        <w:rPr>
          <w:rFonts w:eastAsia="Calibri"/>
        </w:rPr>
      </w:pPr>
      <w:r w:rsidRPr="00582880">
        <w:rPr>
          <w:rFonts w:eastAsia="Calibri"/>
        </w:rPr>
        <w:t>Acuerdo con el Instituto Geográfico Nacional “José Joaquín Hungría Morell” (IGN-JJHM), tiene como objeto la provisión de servicios de asesoría y acompañamiento para la implementación de un Geoportal, denominado Sistema de Fiscalización Georreferenciada de Obras (SIFGO), el cual se destinará a la disposición de información geoespacial y técnica necesaria para la fiscalización de obras de inversión en el territorio nacional además de la integración y puesta en marcha del sistema, la normalización de los conjuntos de datos geoespaciales, así como</w:t>
      </w:r>
      <w:r w:rsidR="00F008E1">
        <w:rPr>
          <w:rFonts w:eastAsia="Calibri"/>
        </w:rPr>
        <w:t xml:space="preserve"> </w:t>
      </w:r>
      <w:r w:rsidRPr="00582880">
        <w:rPr>
          <w:rFonts w:eastAsia="Calibri"/>
        </w:rPr>
        <w:t>el acompañamiento para su óptimo uso. Porcentaje de avance 100%.</w:t>
      </w:r>
    </w:p>
    <w:p w14:paraId="3A560931" w14:textId="77777777" w:rsidR="00115C3D" w:rsidRPr="00582880" w:rsidRDefault="00115C3D" w:rsidP="00115C3D">
      <w:pPr>
        <w:pStyle w:val="Prrafodelista"/>
        <w:rPr>
          <w:rFonts w:eastAsia="Calibri"/>
        </w:rPr>
      </w:pPr>
    </w:p>
    <w:p w14:paraId="777E10C3" w14:textId="77777777" w:rsidR="00115C3D" w:rsidRPr="00582880" w:rsidRDefault="00115C3D" w:rsidP="00115C3D">
      <w:pPr>
        <w:spacing w:line="360" w:lineRule="auto"/>
        <w:jc w:val="both"/>
        <w:rPr>
          <w:rFonts w:eastAsia="Calibri"/>
        </w:rPr>
      </w:pPr>
    </w:p>
    <w:p w14:paraId="0E63FB95" w14:textId="77777777" w:rsidR="00115C3D" w:rsidRPr="00582880" w:rsidRDefault="00115C3D" w:rsidP="00115C3D">
      <w:pPr>
        <w:spacing w:line="360" w:lineRule="auto"/>
        <w:jc w:val="both"/>
        <w:rPr>
          <w:rFonts w:eastAsia="Calibri"/>
        </w:rPr>
      </w:pPr>
    </w:p>
    <w:p w14:paraId="0C4C2342" w14:textId="77777777" w:rsidR="00115C3D" w:rsidRPr="00582880" w:rsidRDefault="00115C3D" w:rsidP="00115C3D">
      <w:pPr>
        <w:spacing w:line="360" w:lineRule="auto"/>
        <w:jc w:val="both"/>
        <w:rPr>
          <w:rFonts w:eastAsia="Calibri"/>
        </w:rPr>
      </w:pPr>
    </w:p>
    <w:p w14:paraId="62B2744B" w14:textId="77777777" w:rsidR="00115C3D" w:rsidRPr="00582880" w:rsidRDefault="00115C3D" w:rsidP="00115C3D">
      <w:pPr>
        <w:pStyle w:val="Prrafodelista"/>
        <w:rPr>
          <w:rFonts w:eastAsia="Calibri"/>
        </w:rPr>
      </w:pPr>
    </w:p>
    <w:p w14:paraId="06259070" w14:textId="3901E49F" w:rsidR="00115C3D" w:rsidRPr="00582880" w:rsidRDefault="00115C3D">
      <w:pPr>
        <w:pStyle w:val="Prrafodelista"/>
        <w:numPr>
          <w:ilvl w:val="0"/>
          <w:numId w:val="15"/>
        </w:numPr>
        <w:spacing w:line="360" w:lineRule="auto"/>
        <w:ind w:left="284" w:hanging="284"/>
        <w:jc w:val="both"/>
        <w:rPr>
          <w:rFonts w:eastAsia="Calibri"/>
        </w:rPr>
      </w:pPr>
      <w:r w:rsidRPr="00582880">
        <w:rPr>
          <w:rFonts w:eastAsia="Calibri"/>
        </w:rPr>
        <w:lastRenderedPageBreak/>
        <w:t>Acuerdo con Mercados Dominicanos de Abasto Agropecuario (MERCADOM), tiene como objetivo establecer un marco de colaboración interinstitucional con el propósito de formalizar la custodia y el archivo de los documentos propios de las labores que ejecuta  la Contraloría General de la República en el ejercicio de sus funciones de órgano rector del Sistema Nacional de Control Interno y componentes, asegurando el debido cuidado del ambiente, la integridad de la documentación física, el cumplimiento de las normativas vigentes que contemplan la obligatoriedad de archivar la documentación que es tildada de interés público para así mantener la confiabilidad de la información y finalmente facilitar la transparente rendición de cuentas de los servidores públicos mediante estas evidencias resguardadas. Porcentaje de avance 100%.</w:t>
      </w:r>
    </w:p>
    <w:p w14:paraId="5F32CE28" w14:textId="77777777" w:rsidR="00115C3D" w:rsidRPr="00582880" w:rsidRDefault="00115C3D" w:rsidP="00C934DB">
      <w:pPr>
        <w:pStyle w:val="Prrafodelista"/>
        <w:spacing w:line="360" w:lineRule="auto"/>
        <w:ind w:left="284"/>
        <w:jc w:val="both"/>
        <w:rPr>
          <w:rFonts w:eastAsia="Calibri"/>
        </w:rPr>
      </w:pPr>
    </w:p>
    <w:p w14:paraId="6A22C3B2" w14:textId="5E24A830" w:rsidR="00115C3D" w:rsidRPr="00582880" w:rsidRDefault="00115C3D">
      <w:pPr>
        <w:pStyle w:val="Prrafodelista"/>
        <w:numPr>
          <w:ilvl w:val="0"/>
          <w:numId w:val="15"/>
        </w:numPr>
        <w:spacing w:line="360" w:lineRule="auto"/>
        <w:ind w:left="284" w:hanging="284"/>
        <w:jc w:val="both"/>
        <w:rPr>
          <w:rFonts w:eastAsia="Calibri"/>
        </w:rPr>
      </w:pPr>
      <w:r w:rsidRPr="00582880">
        <w:rPr>
          <w:rFonts w:eastAsia="Calibri"/>
        </w:rPr>
        <w:t>Acuerdo con el Ministerio de Educación de la R.D (MINERD), tiene como objeto establecer un marco de Colaboración Interinstitucional con la finalidad de implementar el programa "Contralor Estudiantil" para fomentar el uso adecuado de los recursos y bienes públicos, promoviendo una cultura de transparencia y rendición de cuentas desde la comunidad estudiantil. Porcentaje de avance 100%.</w:t>
      </w:r>
    </w:p>
    <w:p w14:paraId="3483B011" w14:textId="77777777" w:rsidR="00115C3D" w:rsidRPr="00582880" w:rsidRDefault="00115C3D" w:rsidP="00C934DB">
      <w:pPr>
        <w:pStyle w:val="Prrafodelista"/>
        <w:spacing w:line="360" w:lineRule="auto"/>
        <w:ind w:left="284"/>
        <w:jc w:val="both"/>
        <w:rPr>
          <w:rFonts w:eastAsia="Calibri"/>
        </w:rPr>
      </w:pPr>
    </w:p>
    <w:p w14:paraId="52BA678B" w14:textId="008A0717" w:rsidR="00115C3D" w:rsidRPr="00582880" w:rsidRDefault="00115C3D">
      <w:pPr>
        <w:pStyle w:val="Prrafodelista"/>
        <w:numPr>
          <w:ilvl w:val="0"/>
          <w:numId w:val="15"/>
        </w:numPr>
        <w:spacing w:line="360" w:lineRule="auto"/>
        <w:ind w:left="284" w:hanging="284"/>
        <w:jc w:val="both"/>
        <w:rPr>
          <w:rFonts w:eastAsia="Calibri"/>
        </w:rPr>
      </w:pPr>
      <w:r w:rsidRPr="00582880">
        <w:rPr>
          <w:rFonts w:eastAsia="Calibri"/>
        </w:rPr>
        <w:t>Acuerdo con la Dirección General de Contabilidad Gubernamental (DIGECOG), tiene como objeto establecer un acuerdo interinstitucional entre la DIGECOG y la Contraloría General de la República, a fin de colaborarse en la consecución del cumplimiento de sus responsabilidades y atribuciones que sean de naturaleza afines y comunes a ambas instituciones, definidas en el referido acuerdo. Porcentaje de avance 100%.</w:t>
      </w:r>
    </w:p>
    <w:p w14:paraId="325EE569" w14:textId="1AAA1ACB" w:rsidR="00571675" w:rsidRPr="00582880" w:rsidRDefault="00571675" w:rsidP="00903BC2">
      <w:pPr>
        <w:pStyle w:val="Ttulo2"/>
        <w:rPr>
          <w:rFonts w:cs="Times New Roman"/>
          <w:b/>
          <w:bCs/>
          <w:color w:val="767171"/>
          <w:szCs w:val="24"/>
        </w:rPr>
      </w:pPr>
      <w:r w:rsidRPr="00582880">
        <w:rPr>
          <w:rFonts w:cs="Times New Roman"/>
          <w:b/>
          <w:bCs/>
          <w:color w:val="767171"/>
          <w:szCs w:val="24"/>
        </w:rPr>
        <w:lastRenderedPageBreak/>
        <w:t xml:space="preserve"> </w:t>
      </w:r>
      <w:bookmarkStart w:id="34" w:name="_Toc217997940"/>
      <w:r w:rsidR="0027641B" w:rsidRPr="00582880">
        <w:rPr>
          <w:rFonts w:cs="Times New Roman"/>
          <w:b/>
          <w:bCs/>
          <w:color w:val="767171"/>
          <w:szCs w:val="24"/>
        </w:rPr>
        <w:t xml:space="preserve">4.4 Desempeño de la </w:t>
      </w:r>
      <w:r w:rsidR="005158DC" w:rsidRPr="00582880">
        <w:rPr>
          <w:rFonts w:cs="Times New Roman"/>
          <w:b/>
          <w:bCs/>
          <w:color w:val="767171"/>
          <w:szCs w:val="24"/>
        </w:rPr>
        <w:t>T</w:t>
      </w:r>
      <w:r w:rsidR="0027641B" w:rsidRPr="00582880">
        <w:rPr>
          <w:rFonts w:cs="Times New Roman"/>
          <w:b/>
          <w:bCs/>
          <w:color w:val="767171"/>
          <w:szCs w:val="24"/>
        </w:rPr>
        <w:t>ecnología</w:t>
      </w:r>
      <w:bookmarkEnd w:id="34"/>
    </w:p>
    <w:p w14:paraId="6165DC9F" w14:textId="77777777" w:rsidR="00BE3F4D" w:rsidRPr="00582880" w:rsidRDefault="00BE3F4D" w:rsidP="00C934DB">
      <w:pPr>
        <w:spacing w:line="360" w:lineRule="auto"/>
        <w:rPr>
          <w:rFonts w:eastAsia="Calibri"/>
        </w:rPr>
      </w:pPr>
    </w:p>
    <w:p w14:paraId="69623AF0" w14:textId="25BFF42D" w:rsidR="00C4435E" w:rsidRPr="00582880" w:rsidRDefault="00C4435E" w:rsidP="00C934DB">
      <w:pPr>
        <w:spacing w:line="360" w:lineRule="auto"/>
        <w:jc w:val="both"/>
        <w:rPr>
          <w:rFonts w:eastAsia="Calibri"/>
          <w:b/>
          <w:bCs/>
        </w:rPr>
      </w:pPr>
      <w:r w:rsidRPr="00582880">
        <w:rPr>
          <w:rFonts w:eastAsia="Calibri"/>
          <w:b/>
          <w:bCs/>
        </w:rPr>
        <w:t xml:space="preserve">a. Detalle de los avances en materia de tecnología, innovaciones, implementaciones y desarrollos para la mejora de procesos y simplificación de trámites. </w:t>
      </w:r>
    </w:p>
    <w:p w14:paraId="069A90AA" w14:textId="4688EF02" w:rsidR="00115C3D" w:rsidRPr="00582880" w:rsidRDefault="00115C3D" w:rsidP="00C934DB">
      <w:pPr>
        <w:spacing w:line="360" w:lineRule="auto"/>
        <w:jc w:val="both"/>
        <w:rPr>
          <w:rFonts w:eastAsia="Calibri"/>
        </w:rPr>
      </w:pPr>
      <w:r w:rsidRPr="00582880">
        <w:rPr>
          <w:rFonts w:eastAsia="Calibri"/>
        </w:rPr>
        <w:t>Conforme al portafolio de proyectos TIC aprobado, la Contraloría General de la República ejecuta 1</w:t>
      </w:r>
      <w:r w:rsidR="00D72385" w:rsidRPr="00582880">
        <w:rPr>
          <w:rFonts w:eastAsia="Calibri"/>
        </w:rPr>
        <w:t>8</w:t>
      </w:r>
      <w:r w:rsidRPr="00582880">
        <w:rPr>
          <w:rFonts w:eastAsia="Calibri"/>
        </w:rPr>
        <w:t xml:space="preserve"> proyectos institucionales de alto impacto, orientados a fortalecer la eficiencia operativa, la digitalización de servicios, la simplificación de trámites y el impulso de la innovación pública. De estos proyectos </w:t>
      </w:r>
      <w:r w:rsidR="00D72385" w:rsidRPr="00582880">
        <w:rPr>
          <w:rFonts w:eastAsia="Calibri"/>
        </w:rPr>
        <w:t>6</w:t>
      </w:r>
      <w:r w:rsidRPr="00582880">
        <w:rPr>
          <w:rFonts w:eastAsia="Calibri"/>
        </w:rPr>
        <w:t xml:space="preserve"> forman parte del POA 2025 y 1</w:t>
      </w:r>
      <w:r w:rsidR="00D72385" w:rsidRPr="00582880">
        <w:rPr>
          <w:rFonts w:eastAsia="Calibri"/>
        </w:rPr>
        <w:t>2</w:t>
      </w:r>
      <w:r w:rsidRPr="00582880">
        <w:rPr>
          <w:rFonts w:eastAsia="Calibri"/>
        </w:rPr>
        <w:t xml:space="preserve"> fueron incorporados a solicitud de las áreas funcionales, conforme a necesidades institucionales emergentes y prioridades estratégicas.</w:t>
      </w:r>
    </w:p>
    <w:p w14:paraId="1DD3E7CA" w14:textId="2B703946" w:rsidR="00115C3D" w:rsidRPr="00582880" w:rsidRDefault="00115C3D" w:rsidP="00C934DB">
      <w:pPr>
        <w:spacing w:line="360" w:lineRule="auto"/>
        <w:jc w:val="both"/>
        <w:rPr>
          <w:rFonts w:eastAsia="Calibri"/>
        </w:rPr>
      </w:pPr>
      <w:r w:rsidRPr="00582880">
        <w:rPr>
          <w:rFonts w:eastAsia="Calibri"/>
        </w:rPr>
        <w:t>En sentido general, el portafolio presenta un avance global estimado de 9</w:t>
      </w:r>
      <w:r w:rsidR="00D72385" w:rsidRPr="00582880">
        <w:rPr>
          <w:rFonts w:eastAsia="Calibri"/>
        </w:rPr>
        <w:t>5</w:t>
      </w:r>
      <w:r w:rsidRPr="00582880">
        <w:rPr>
          <w:rFonts w:eastAsia="Calibri"/>
        </w:rPr>
        <w:t>% y se proyecta el cumplimiento del 100% de los desarrollos programados para diciembre de 2025, con excepción de aquellos cuya continuidad está prevista para 2026, como la Interfase SOL–TRE–Contratos para el componente de Autorización de Órdenes de Pago.</w:t>
      </w:r>
    </w:p>
    <w:p w14:paraId="49C6519C" w14:textId="656FE43B" w:rsidR="00115C3D" w:rsidRPr="00582880" w:rsidRDefault="00115C3D" w:rsidP="00C934DB">
      <w:pPr>
        <w:spacing w:line="360" w:lineRule="auto"/>
        <w:jc w:val="both"/>
        <w:rPr>
          <w:rFonts w:eastAsia="Calibri"/>
        </w:rPr>
      </w:pPr>
      <w:r w:rsidRPr="00582880">
        <w:rPr>
          <w:rFonts w:eastAsia="Calibri"/>
        </w:rPr>
        <w:t>A continuación, se presenta la síntesis consolidada del portafolio:</w:t>
      </w:r>
    </w:p>
    <w:p w14:paraId="4C211153" w14:textId="48E3F747" w:rsidR="00266BC9" w:rsidRPr="00582880" w:rsidRDefault="00266BC9" w:rsidP="00DB084C">
      <w:pPr>
        <w:spacing w:line="360" w:lineRule="auto"/>
        <w:jc w:val="center"/>
        <w:rPr>
          <w:rFonts w:eastAsia="Calibri"/>
          <w:sz w:val="18"/>
          <w:szCs w:val="18"/>
        </w:rPr>
      </w:pPr>
      <w:r w:rsidRPr="00582880">
        <w:rPr>
          <w:rFonts w:eastAsia="Calibri"/>
          <w:sz w:val="18"/>
          <w:szCs w:val="18"/>
        </w:rPr>
        <w:t xml:space="preserve">Tabla </w:t>
      </w:r>
      <w:r w:rsidR="006A4423" w:rsidRPr="00582880">
        <w:rPr>
          <w:rFonts w:eastAsia="Calibri"/>
          <w:sz w:val="18"/>
          <w:szCs w:val="18"/>
        </w:rPr>
        <w:t>23</w:t>
      </w:r>
      <w:r w:rsidRPr="00582880">
        <w:rPr>
          <w:rFonts w:eastAsia="Calibri"/>
          <w:sz w:val="18"/>
          <w:szCs w:val="18"/>
        </w:rPr>
        <w:t>. Estatus de desarrollos TIC 202</w:t>
      </w:r>
      <w:r w:rsidR="00C93B24" w:rsidRPr="00582880">
        <w:rPr>
          <w:rFonts w:eastAsia="Calibri"/>
          <w:sz w:val="18"/>
          <w:szCs w:val="18"/>
        </w:rPr>
        <w:t>5</w:t>
      </w:r>
    </w:p>
    <w:tbl>
      <w:tblPr>
        <w:tblW w:w="8222" w:type="dxa"/>
        <w:tblInd w:w="-147" w:type="dxa"/>
        <w:tblCellMar>
          <w:left w:w="70" w:type="dxa"/>
          <w:right w:w="70" w:type="dxa"/>
        </w:tblCellMar>
        <w:tblLook w:val="04A0" w:firstRow="1" w:lastRow="0" w:firstColumn="1" w:lastColumn="0" w:noHBand="0" w:noVBand="1"/>
      </w:tblPr>
      <w:tblGrid>
        <w:gridCol w:w="1913"/>
        <w:gridCol w:w="2311"/>
        <w:gridCol w:w="901"/>
        <w:gridCol w:w="916"/>
        <w:gridCol w:w="2181"/>
      </w:tblGrid>
      <w:tr w:rsidR="00A6126B" w:rsidRPr="00465A16" w14:paraId="69C8DE1C" w14:textId="3E748349" w:rsidTr="007C3396">
        <w:trPr>
          <w:trHeight w:val="301"/>
          <w:tblHeader/>
        </w:trPr>
        <w:tc>
          <w:tcPr>
            <w:tcW w:w="1914"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94F3BBC" w14:textId="77777777" w:rsidR="00A6126B" w:rsidRPr="00465A16" w:rsidRDefault="00A6126B" w:rsidP="00266BC9">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Proyecto</w:t>
            </w:r>
          </w:p>
        </w:tc>
        <w:tc>
          <w:tcPr>
            <w:tcW w:w="2339" w:type="dxa"/>
            <w:tcBorders>
              <w:top w:val="single" w:sz="4" w:space="0" w:color="auto"/>
              <w:left w:val="nil"/>
              <w:bottom w:val="single" w:sz="4" w:space="0" w:color="auto"/>
              <w:right w:val="single" w:sz="4" w:space="0" w:color="auto"/>
            </w:tcBorders>
            <w:shd w:val="clear" w:color="auto" w:fill="011C50"/>
            <w:vAlign w:val="center"/>
            <w:hideMark/>
          </w:tcPr>
          <w:p w14:paraId="1FB37B5B" w14:textId="77777777" w:rsidR="00A6126B" w:rsidRPr="00465A16" w:rsidRDefault="00A6126B" w:rsidP="00266BC9">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Descripción/uso</w:t>
            </w:r>
          </w:p>
        </w:tc>
        <w:tc>
          <w:tcPr>
            <w:tcW w:w="851" w:type="dxa"/>
            <w:tcBorders>
              <w:top w:val="single" w:sz="4" w:space="0" w:color="auto"/>
              <w:left w:val="nil"/>
              <w:bottom w:val="single" w:sz="4" w:space="0" w:color="auto"/>
              <w:right w:val="single" w:sz="4" w:space="0" w:color="auto"/>
            </w:tcBorders>
            <w:shd w:val="clear" w:color="auto" w:fill="011C50"/>
            <w:vAlign w:val="center"/>
            <w:hideMark/>
          </w:tcPr>
          <w:p w14:paraId="439026A7" w14:textId="77777777" w:rsidR="00A6126B" w:rsidRPr="00465A16" w:rsidRDefault="00A6126B" w:rsidP="00266BC9">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Estatus</w:t>
            </w:r>
          </w:p>
        </w:tc>
        <w:tc>
          <w:tcPr>
            <w:tcW w:w="916" w:type="dxa"/>
            <w:tcBorders>
              <w:top w:val="single" w:sz="4" w:space="0" w:color="auto"/>
              <w:left w:val="nil"/>
              <w:bottom w:val="single" w:sz="4" w:space="0" w:color="auto"/>
              <w:right w:val="single" w:sz="4" w:space="0" w:color="auto"/>
            </w:tcBorders>
            <w:shd w:val="clear" w:color="auto" w:fill="011C50"/>
            <w:vAlign w:val="center"/>
            <w:hideMark/>
          </w:tcPr>
          <w:p w14:paraId="0C27B148" w14:textId="26F4176B" w:rsidR="00A6126B" w:rsidRPr="00465A16" w:rsidRDefault="00A6126B" w:rsidP="00266BC9">
            <w:pPr>
              <w:spacing w:after="0" w:line="240" w:lineRule="auto"/>
              <w:jc w:val="center"/>
              <w:rPr>
                <w:rFonts w:eastAsia="Times New Roman"/>
                <w:b/>
                <w:bCs/>
                <w:color w:val="FFFFFF"/>
                <w:spacing w:val="0"/>
                <w:lang w:eastAsia="es-DO"/>
              </w:rPr>
            </w:pPr>
            <w:proofErr w:type="spellStart"/>
            <w:r>
              <w:rPr>
                <w:rFonts w:eastAsia="Times New Roman"/>
                <w:b/>
                <w:bCs/>
                <w:color w:val="FFFFFF"/>
                <w:spacing w:val="0"/>
                <w:lang w:eastAsia="es-DO"/>
              </w:rPr>
              <w:t>Proyec</w:t>
            </w:r>
            <w:proofErr w:type="spellEnd"/>
            <w:r>
              <w:rPr>
                <w:rFonts w:eastAsia="Times New Roman"/>
                <w:b/>
                <w:bCs/>
                <w:color w:val="FFFFFF"/>
                <w:spacing w:val="0"/>
                <w:lang w:eastAsia="es-DO"/>
              </w:rPr>
              <w:t>. Dic</w:t>
            </w:r>
          </w:p>
        </w:tc>
        <w:tc>
          <w:tcPr>
            <w:tcW w:w="2202" w:type="dxa"/>
            <w:tcBorders>
              <w:top w:val="single" w:sz="4" w:space="0" w:color="auto"/>
              <w:bottom w:val="single" w:sz="4" w:space="0" w:color="auto"/>
              <w:right w:val="single" w:sz="4" w:space="0" w:color="auto"/>
            </w:tcBorders>
            <w:shd w:val="clear" w:color="auto" w:fill="011C50"/>
            <w:vAlign w:val="center"/>
          </w:tcPr>
          <w:p w14:paraId="16DD5DC4" w14:textId="65778A5D" w:rsidR="00A6126B" w:rsidRDefault="00A6126B" w:rsidP="00A6126B">
            <w:pPr>
              <w:spacing w:after="0" w:line="240" w:lineRule="auto"/>
              <w:jc w:val="center"/>
              <w:rPr>
                <w:rFonts w:eastAsia="Times New Roman"/>
                <w:b/>
                <w:bCs/>
                <w:color w:val="FFFFFF"/>
                <w:spacing w:val="0"/>
                <w:lang w:eastAsia="es-DO"/>
              </w:rPr>
            </w:pPr>
            <w:r>
              <w:rPr>
                <w:rFonts w:eastAsia="Times New Roman"/>
                <w:b/>
                <w:bCs/>
                <w:color w:val="FFFFFF"/>
                <w:spacing w:val="0"/>
                <w:lang w:eastAsia="es-DO"/>
              </w:rPr>
              <w:t>Impacto</w:t>
            </w:r>
          </w:p>
        </w:tc>
      </w:tr>
      <w:tr w:rsidR="00A6126B" w:rsidRPr="00582880" w14:paraId="570A04CC" w14:textId="4562DE4D" w:rsidTr="007C3396">
        <w:trPr>
          <w:trHeight w:val="566"/>
        </w:trPr>
        <w:tc>
          <w:tcPr>
            <w:tcW w:w="1914" w:type="dxa"/>
            <w:tcBorders>
              <w:top w:val="single" w:sz="4" w:space="0" w:color="auto"/>
              <w:left w:val="single" w:sz="4" w:space="0" w:color="auto"/>
              <w:bottom w:val="single" w:sz="4" w:space="0" w:color="auto"/>
              <w:right w:val="single" w:sz="4" w:space="0" w:color="auto"/>
            </w:tcBorders>
            <w:vAlign w:val="center"/>
          </w:tcPr>
          <w:p w14:paraId="6045FA57" w14:textId="6DF9932D" w:rsidR="00A6126B" w:rsidRPr="00582880" w:rsidRDefault="00A6126B" w:rsidP="00C93B24">
            <w:pPr>
              <w:spacing w:after="0" w:line="360" w:lineRule="auto"/>
              <w:rPr>
                <w:rFonts w:eastAsia="Times New Roman"/>
                <w:b/>
                <w:bCs/>
                <w:spacing w:val="0"/>
                <w:lang w:eastAsia="es-DO"/>
              </w:rPr>
            </w:pPr>
            <w:r w:rsidRPr="00582880">
              <w:rPr>
                <w:rFonts w:eastAsia="Times New Roman"/>
                <w:b/>
                <w:bCs/>
                <w:spacing w:val="0"/>
                <w:lang w:eastAsia="es-DO"/>
              </w:rPr>
              <w:t>Portal para la Solicitud de Servicios Internos DAF: Fase II Módulo Reserva Salón</w:t>
            </w:r>
          </w:p>
        </w:tc>
        <w:tc>
          <w:tcPr>
            <w:tcW w:w="2339" w:type="dxa"/>
            <w:tcBorders>
              <w:top w:val="single" w:sz="4" w:space="0" w:color="auto"/>
              <w:left w:val="nil"/>
              <w:bottom w:val="single" w:sz="4" w:space="0" w:color="auto"/>
              <w:right w:val="single" w:sz="4" w:space="0" w:color="auto"/>
            </w:tcBorders>
            <w:vAlign w:val="center"/>
          </w:tcPr>
          <w:p w14:paraId="77A1C686" w14:textId="1A9005C8" w:rsidR="00A6126B" w:rsidRPr="00582880" w:rsidRDefault="00A6126B" w:rsidP="00C93B24">
            <w:pPr>
              <w:spacing w:after="0" w:line="360" w:lineRule="auto"/>
              <w:rPr>
                <w:rFonts w:eastAsia="Times New Roman"/>
                <w:b/>
                <w:bCs/>
                <w:spacing w:val="0"/>
                <w:lang w:eastAsia="es-DO"/>
              </w:rPr>
            </w:pPr>
            <w:r w:rsidRPr="00582880">
              <w:rPr>
                <w:rFonts w:eastAsia="Times New Roman"/>
                <w:spacing w:val="0"/>
                <w:lang w:eastAsia="es-DO"/>
              </w:rPr>
              <w:t xml:space="preserve">Sistema para gestionar digitalmente la reserva del salón de reuniones, automatizando solicitudes, notificaciones, </w:t>
            </w:r>
            <w:r w:rsidRPr="00582880">
              <w:rPr>
                <w:rFonts w:eastAsia="Times New Roman"/>
                <w:spacing w:val="0"/>
                <w:lang w:eastAsia="es-DO"/>
              </w:rPr>
              <w:lastRenderedPageBreak/>
              <w:t>trazabilidad y control del uso del espacio institucional.</w:t>
            </w:r>
          </w:p>
        </w:tc>
        <w:tc>
          <w:tcPr>
            <w:tcW w:w="851" w:type="dxa"/>
            <w:tcBorders>
              <w:top w:val="single" w:sz="4" w:space="0" w:color="auto"/>
              <w:left w:val="nil"/>
              <w:bottom w:val="single" w:sz="4" w:space="0" w:color="auto"/>
              <w:right w:val="single" w:sz="4" w:space="0" w:color="auto"/>
            </w:tcBorders>
            <w:vAlign w:val="center"/>
          </w:tcPr>
          <w:p w14:paraId="144A0A9A" w14:textId="7F6CB345" w:rsidR="00A6126B" w:rsidRPr="00582880" w:rsidRDefault="00A6126B" w:rsidP="00C93B24">
            <w:pPr>
              <w:spacing w:after="0" w:line="360" w:lineRule="auto"/>
              <w:jc w:val="center"/>
              <w:rPr>
                <w:rFonts w:eastAsia="Times New Roman"/>
                <w:b/>
                <w:bCs/>
                <w:spacing w:val="0"/>
                <w:lang w:eastAsia="es-DO"/>
              </w:rPr>
            </w:pPr>
            <w:r w:rsidRPr="00582880">
              <w:rPr>
                <w:rFonts w:eastAsia="Times New Roman"/>
                <w:spacing w:val="0"/>
                <w:lang w:eastAsia="es-DO"/>
              </w:rPr>
              <w:lastRenderedPageBreak/>
              <w:t>100%</w:t>
            </w:r>
          </w:p>
        </w:tc>
        <w:tc>
          <w:tcPr>
            <w:tcW w:w="916" w:type="dxa"/>
            <w:tcBorders>
              <w:top w:val="single" w:sz="4" w:space="0" w:color="auto"/>
              <w:left w:val="nil"/>
              <w:bottom w:val="single" w:sz="4" w:space="0" w:color="auto"/>
              <w:right w:val="single" w:sz="4" w:space="0" w:color="auto"/>
            </w:tcBorders>
            <w:vAlign w:val="center"/>
          </w:tcPr>
          <w:p w14:paraId="77857C9A" w14:textId="2EB2446F" w:rsidR="00A6126B" w:rsidRPr="00582880" w:rsidRDefault="00A6126B" w:rsidP="00C93B24">
            <w:pPr>
              <w:spacing w:after="0" w:line="360" w:lineRule="auto"/>
              <w:jc w:val="center"/>
              <w:rPr>
                <w:rFonts w:eastAsia="Times New Roman"/>
                <w:b/>
                <w:bCs/>
                <w:spacing w:val="0"/>
                <w:lang w:eastAsia="es-DO"/>
              </w:rPr>
            </w:pPr>
            <w:r w:rsidRPr="00582880">
              <w:rPr>
                <w:rFonts w:eastAsia="Times New Roman"/>
                <w:spacing w:val="0"/>
                <w:lang w:eastAsia="es-DO"/>
              </w:rPr>
              <w:t>N/A</w:t>
            </w:r>
          </w:p>
        </w:tc>
        <w:tc>
          <w:tcPr>
            <w:tcW w:w="2202" w:type="dxa"/>
            <w:tcBorders>
              <w:top w:val="single" w:sz="4" w:space="0" w:color="auto"/>
              <w:bottom w:val="single" w:sz="4" w:space="0" w:color="auto"/>
              <w:right w:val="single" w:sz="4" w:space="0" w:color="auto"/>
            </w:tcBorders>
          </w:tcPr>
          <w:p w14:paraId="7CF70F5A" w14:textId="4299C4BC" w:rsidR="00A6126B" w:rsidRPr="00582880" w:rsidRDefault="00A6126B" w:rsidP="00A6126B">
            <w:pPr>
              <w:spacing w:after="0" w:line="360" w:lineRule="auto"/>
              <w:rPr>
                <w:lang w:eastAsia="es-DO"/>
              </w:rPr>
            </w:pPr>
            <w:r>
              <w:rPr>
                <w:rFonts w:eastAsia="Times New Roman"/>
                <w:spacing w:val="0"/>
                <w:lang w:eastAsia="es-DO"/>
              </w:rPr>
              <w:t>R</w:t>
            </w:r>
            <w:r w:rsidRPr="00A6126B">
              <w:rPr>
                <w:rFonts w:eastAsia="Times New Roman"/>
                <w:spacing w:val="0"/>
                <w:lang w:eastAsia="es-DO"/>
              </w:rPr>
              <w:t xml:space="preserve">educe errores administrativos, centraliza la información y facilita la planificación de </w:t>
            </w:r>
            <w:r w:rsidRPr="00A6126B">
              <w:rPr>
                <w:rFonts w:eastAsia="Times New Roman"/>
                <w:spacing w:val="0"/>
                <w:lang w:eastAsia="es-DO"/>
              </w:rPr>
              <w:lastRenderedPageBreak/>
              <w:t>actividades institucionales.</w:t>
            </w:r>
          </w:p>
        </w:tc>
      </w:tr>
      <w:tr w:rsidR="00A6126B" w:rsidRPr="00582880" w14:paraId="3D0F9253" w14:textId="2D14F8AA" w:rsidTr="007C3396">
        <w:trPr>
          <w:trHeight w:val="1757"/>
        </w:trPr>
        <w:tc>
          <w:tcPr>
            <w:tcW w:w="1914" w:type="dxa"/>
            <w:tcBorders>
              <w:top w:val="single" w:sz="4" w:space="0" w:color="auto"/>
              <w:left w:val="single" w:sz="4" w:space="0" w:color="auto"/>
              <w:bottom w:val="single" w:sz="4" w:space="0" w:color="auto"/>
              <w:right w:val="single" w:sz="4" w:space="0" w:color="auto"/>
            </w:tcBorders>
            <w:vAlign w:val="center"/>
          </w:tcPr>
          <w:p w14:paraId="095F459F" w14:textId="2394FFE5" w:rsidR="00A6126B" w:rsidRPr="00582880" w:rsidRDefault="00A6126B" w:rsidP="00A6126B">
            <w:pPr>
              <w:spacing w:after="0" w:line="360" w:lineRule="auto"/>
              <w:rPr>
                <w:rFonts w:eastAsia="Times New Roman"/>
                <w:b/>
                <w:bCs/>
                <w:spacing w:val="0"/>
                <w:lang w:eastAsia="es-DO"/>
              </w:rPr>
            </w:pPr>
            <w:r w:rsidRPr="00582880">
              <w:rPr>
                <w:rFonts w:eastAsia="Times New Roman"/>
                <w:b/>
                <w:bCs/>
                <w:spacing w:val="0"/>
                <w:lang w:eastAsia="es-DO"/>
              </w:rPr>
              <w:lastRenderedPageBreak/>
              <w:t>Proyecto de Implementación de la Interfase con SOL: Fase I</w:t>
            </w:r>
          </w:p>
        </w:tc>
        <w:tc>
          <w:tcPr>
            <w:tcW w:w="2339" w:type="dxa"/>
            <w:tcBorders>
              <w:top w:val="single" w:sz="4" w:space="0" w:color="auto"/>
              <w:left w:val="nil"/>
              <w:bottom w:val="single" w:sz="4" w:space="0" w:color="auto"/>
              <w:right w:val="single" w:sz="4" w:space="0" w:color="auto"/>
            </w:tcBorders>
            <w:vAlign w:val="center"/>
          </w:tcPr>
          <w:p w14:paraId="26FEAC05" w14:textId="2629BC93" w:rsidR="00A6126B" w:rsidRPr="00582880" w:rsidRDefault="00A6126B" w:rsidP="00A6126B">
            <w:pPr>
              <w:spacing w:after="0" w:line="360" w:lineRule="auto"/>
              <w:rPr>
                <w:rFonts w:eastAsia="Times New Roman"/>
                <w:spacing w:val="0"/>
                <w:lang w:eastAsia="es-DO"/>
              </w:rPr>
            </w:pPr>
            <w:r w:rsidRPr="00582880">
              <w:rPr>
                <w:rFonts w:eastAsia="Times New Roman"/>
                <w:spacing w:val="0"/>
                <w:lang w:eastAsia="es-DO"/>
              </w:rPr>
              <w:t>Integración entre SOL y los sistemas internos de la CGR para el registro y seguimiento de contratos, permitiendo futura transición a servicios 100% digitales.</w:t>
            </w:r>
          </w:p>
        </w:tc>
        <w:tc>
          <w:tcPr>
            <w:tcW w:w="851" w:type="dxa"/>
            <w:tcBorders>
              <w:top w:val="single" w:sz="4" w:space="0" w:color="auto"/>
              <w:left w:val="nil"/>
              <w:bottom w:val="single" w:sz="4" w:space="0" w:color="auto"/>
              <w:right w:val="single" w:sz="4" w:space="0" w:color="auto"/>
            </w:tcBorders>
            <w:vAlign w:val="center"/>
          </w:tcPr>
          <w:p w14:paraId="131A0BB1" w14:textId="2A3418B6" w:rsidR="00A6126B" w:rsidRPr="00582880" w:rsidRDefault="00A6126B" w:rsidP="00A6126B">
            <w:pPr>
              <w:spacing w:after="0" w:line="360" w:lineRule="auto"/>
              <w:jc w:val="center"/>
              <w:rPr>
                <w:rFonts w:eastAsia="Times New Roman"/>
                <w:spacing w:val="0"/>
                <w:lang w:eastAsia="es-DO"/>
              </w:rPr>
            </w:pPr>
            <w:r w:rsidRPr="00582880">
              <w:rPr>
                <w:rFonts w:eastAsia="Times New Roman"/>
                <w:spacing w:val="0"/>
                <w:lang w:eastAsia="es-DO"/>
              </w:rPr>
              <w:t>96%</w:t>
            </w:r>
          </w:p>
        </w:tc>
        <w:tc>
          <w:tcPr>
            <w:tcW w:w="916" w:type="dxa"/>
            <w:tcBorders>
              <w:top w:val="single" w:sz="4" w:space="0" w:color="auto"/>
              <w:left w:val="nil"/>
              <w:bottom w:val="single" w:sz="4" w:space="0" w:color="auto"/>
              <w:right w:val="single" w:sz="4" w:space="0" w:color="auto"/>
            </w:tcBorders>
            <w:vAlign w:val="center"/>
          </w:tcPr>
          <w:p w14:paraId="693F50E7" w14:textId="2BA4D8A2" w:rsidR="00A6126B" w:rsidRPr="00582880" w:rsidRDefault="00A6126B" w:rsidP="00A6126B">
            <w:pPr>
              <w:spacing w:after="0" w:line="360" w:lineRule="auto"/>
              <w:jc w:val="center"/>
              <w:rPr>
                <w:rFonts w:eastAsia="Times New Roman"/>
                <w:spacing w:val="0"/>
                <w:lang w:eastAsia="es-DO"/>
              </w:rPr>
            </w:pPr>
            <w:r w:rsidRPr="00582880">
              <w:rPr>
                <w:rFonts w:eastAsia="Times New Roman"/>
                <w:spacing w:val="0"/>
                <w:lang w:eastAsia="es-DO"/>
              </w:rPr>
              <w:t>N/A</w:t>
            </w:r>
          </w:p>
        </w:tc>
        <w:tc>
          <w:tcPr>
            <w:tcW w:w="2202" w:type="dxa"/>
            <w:tcBorders>
              <w:top w:val="single" w:sz="4" w:space="0" w:color="auto"/>
              <w:bottom w:val="single" w:sz="4" w:space="0" w:color="auto"/>
              <w:right w:val="single" w:sz="4" w:space="0" w:color="auto"/>
            </w:tcBorders>
          </w:tcPr>
          <w:p w14:paraId="18946D19" w14:textId="300B3C89" w:rsidR="00A6126B" w:rsidRPr="00582880" w:rsidRDefault="00A6126B" w:rsidP="00A6126B">
            <w:pPr>
              <w:spacing w:after="0" w:line="360" w:lineRule="auto"/>
              <w:rPr>
                <w:rFonts w:eastAsia="Times New Roman"/>
                <w:spacing w:val="0"/>
                <w:lang w:eastAsia="es-DO"/>
              </w:rPr>
            </w:pPr>
            <w:r w:rsidRPr="00A6126B">
              <w:rPr>
                <w:rFonts w:eastAsia="Times New Roman"/>
                <w:spacing w:val="0"/>
                <w:lang w:eastAsia="es-DO"/>
              </w:rPr>
              <w:t>Optimiza el flujo de trabajo entre las instituciones, reduce tiempos de procesamiento y sienta las bases para la digitalización del registro de contratos.</w:t>
            </w:r>
          </w:p>
        </w:tc>
      </w:tr>
      <w:tr w:rsidR="00A6126B" w:rsidRPr="00582880" w14:paraId="06572547" w14:textId="112A1BAC" w:rsidTr="007C3396">
        <w:trPr>
          <w:trHeight w:val="1757"/>
        </w:trPr>
        <w:tc>
          <w:tcPr>
            <w:tcW w:w="1914" w:type="dxa"/>
            <w:tcBorders>
              <w:top w:val="single" w:sz="4" w:space="0" w:color="auto"/>
              <w:left w:val="single" w:sz="4" w:space="0" w:color="auto"/>
              <w:bottom w:val="single" w:sz="4" w:space="0" w:color="auto"/>
              <w:right w:val="single" w:sz="4" w:space="0" w:color="auto"/>
            </w:tcBorders>
            <w:vAlign w:val="center"/>
          </w:tcPr>
          <w:p w14:paraId="2ADCBFF9" w14:textId="6E178282" w:rsidR="00A6126B" w:rsidRPr="00582880" w:rsidRDefault="00A6126B" w:rsidP="00A6126B">
            <w:pPr>
              <w:spacing w:after="0" w:line="360" w:lineRule="auto"/>
              <w:rPr>
                <w:rFonts w:eastAsia="Times New Roman"/>
                <w:b/>
                <w:bCs/>
                <w:spacing w:val="0"/>
                <w:lang w:eastAsia="es-DO"/>
              </w:rPr>
            </w:pPr>
            <w:r w:rsidRPr="00582880">
              <w:rPr>
                <w:rFonts w:eastAsia="Times New Roman"/>
                <w:b/>
                <w:bCs/>
                <w:spacing w:val="0"/>
                <w:lang w:eastAsia="es-DO"/>
              </w:rPr>
              <w:t>Proyecto Intranet de Información y Servicios Internos de la CGR: Comunicaciones</w:t>
            </w:r>
          </w:p>
        </w:tc>
        <w:tc>
          <w:tcPr>
            <w:tcW w:w="2339" w:type="dxa"/>
            <w:tcBorders>
              <w:top w:val="single" w:sz="4" w:space="0" w:color="auto"/>
              <w:left w:val="nil"/>
              <w:bottom w:val="single" w:sz="4" w:space="0" w:color="auto"/>
              <w:right w:val="single" w:sz="4" w:space="0" w:color="auto"/>
            </w:tcBorders>
            <w:vAlign w:val="center"/>
          </w:tcPr>
          <w:p w14:paraId="71BD6C7A" w14:textId="16F6B642" w:rsidR="00A6126B" w:rsidRPr="00582880" w:rsidRDefault="00A6126B" w:rsidP="00A6126B">
            <w:pPr>
              <w:spacing w:after="0" w:line="360" w:lineRule="auto"/>
              <w:rPr>
                <w:rFonts w:eastAsia="Times New Roman"/>
                <w:spacing w:val="0"/>
                <w:lang w:eastAsia="es-DO"/>
              </w:rPr>
            </w:pPr>
            <w:r w:rsidRPr="00582880">
              <w:rPr>
                <w:rFonts w:eastAsia="Times New Roman"/>
                <w:spacing w:val="0"/>
                <w:lang w:eastAsia="es-DO"/>
              </w:rPr>
              <w:t xml:space="preserve">Desarrollo de una plataforma centralizada para la gestión de contenidos estratégicos, comunicación interna, acceso a servicios institucionales, directorios y herramientas de interacción colaborativa. Incluye panel de configuración, módulos de noticias, directorio de colaboradores, </w:t>
            </w:r>
            <w:r w:rsidRPr="00582880">
              <w:rPr>
                <w:rFonts w:eastAsia="Times New Roman"/>
                <w:spacing w:val="0"/>
                <w:lang w:eastAsia="es-DO"/>
              </w:rPr>
              <w:lastRenderedPageBreak/>
              <w:t>sistema de solicitudes, gestión de contenido, encuestas, buzón de sugerencias y autenticación con roles.</w:t>
            </w:r>
          </w:p>
        </w:tc>
        <w:tc>
          <w:tcPr>
            <w:tcW w:w="851" w:type="dxa"/>
            <w:tcBorders>
              <w:top w:val="single" w:sz="4" w:space="0" w:color="auto"/>
              <w:left w:val="nil"/>
              <w:bottom w:val="single" w:sz="4" w:space="0" w:color="auto"/>
              <w:right w:val="single" w:sz="4" w:space="0" w:color="auto"/>
            </w:tcBorders>
            <w:vAlign w:val="center"/>
          </w:tcPr>
          <w:p w14:paraId="0AF766EE" w14:textId="11BAAD5D" w:rsidR="00A6126B" w:rsidRPr="00582880" w:rsidRDefault="00A6126B" w:rsidP="00A6126B">
            <w:pPr>
              <w:spacing w:after="0" w:line="360" w:lineRule="auto"/>
              <w:jc w:val="center"/>
              <w:rPr>
                <w:rFonts w:eastAsia="Times New Roman"/>
                <w:spacing w:val="0"/>
                <w:lang w:eastAsia="es-DO"/>
              </w:rPr>
            </w:pPr>
            <w:r w:rsidRPr="00582880">
              <w:rPr>
                <w:rFonts w:eastAsia="Times New Roman"/>
                <w:spacing w:val="0"/>
                <w:lang w:eastAsia="es-DO"/>
              </w:rPr>
              <w:lastRenderedPageBreak/>
              <w:t>80%</w:t>
            </w:r>
          </w:p>
        </w:tc>
        <w:tc>
          <w:tcPr>
            <w:tcW w:w="916" w:type="dxa"/>
            <w:tcBorders>
              <w:top w:val="single" w:sz="4" w:space="0" w:color="auto"/>
              <w:left w:val="nil"/>
              <w:bottom w:val="single" w:sz="4" w:space="0" w:color="auto"/>
              <w:right w:val="single" w:sz="4" w:space="0" w:color="auto"/>
            </w:tcBorders>
            <w:vAlign w:val="center"/>
          </w:tcPr>
          <w:p w14:paraId="50346D6F" w14:textId="419982C8" w:rsidR="00A6126B" w:rsidRPr="00582880" w:rsidRDefault="00A6126B" w:rsidP="00A6126B">
            <w:pPr>
              <w:spacing w:after="0" w:line="360" w:lineRule="auto"/>
              <w:jc w:val="center"/>
              <w:rPr>
                <w:rFonts w:eastAsia="Times New Roman"/>
                <w:spacing w:val="0"/>
                <w:lang w:eastAsia="es-DO"/>
              </w:rPr>
            </w:pPr>
            <w:r w:rsidRPr="00582880">
              <w:rPr>
                <w:rFonts w:eastAsia="Times New Roman"/>
                <w:spacing w:val="0"/>
                <w:lang w:eastAsia="es-DO"/>
              </w:rPr>
              <w:t>100%</w:t>
            </w:r>
          </w:p>
        </w:tc>
        <w:tc>
          <w:tcPr>
            <w:tcW w:w="2202" w:type="dxa"/>
            <w:tcBorders>
              <w:top w:val="single" w:sz="4" w:space="0" w:color="auto"/>
              <w:bottom w:val="single" w:sz="4" w:space="0" w:color="auto"/>
              <w:right w:val="single" w:sz="4" w:space="0" w:color="auto"/>
            </w:tcBorders>
          </w:tcPr>
          <w:p w14:paraId="177442D2" w14:textId="0F1E485A" w:rsidR="00A6126B" w:rsidRPr="00582880" w:rsidRDefault="00A6126B" w:rsidP="00A6126B">
            <w:pPr>
              <w:spacing w:after="0" w:line="360" w:lineRule="auto"/>
              <w:rPr>
                <w:rFonts w:eastAsia="Times New Roman"/>
                <w:spacing w:val="0"/>
                <w:lang w:eastAsia="es-DO"/>
              </w:rPr>
            </w:pPr>
            <w:r w:rsidRPr="00A6126B">
              <w:rPr>
                <w:rFonts w:eastAsia="Times New Roman"/>
                <w:spacing w:val="0"/>
                <w:lang w:eastAsia="es-DO"/>
              </w:rPr>
              <w:t>Moderniza la comunicación interna, centraliza la información institucional, mejora la colaboración entre áreas, habilita la trazabilidad de solicitudes internas y fortalece la eficiencia operativa mediante procesos digitales integrad</w:t>
            </w:r>
            <w:r>
              <w:rPr>
                <w:rFonts w:eastAsia="Times New Roman"/>
                <w:spacing w:val="0"/>
                <w:lang w:eastAsia="es-DO"/>
              </w:rPr>
              <w:t>os.</w:t>
            </w:r>
          </w:p>
        </w:tc>
      </w:tr>
      <w:tr w:rsidR="00A6126B" w:rsidRPr="00582880" w14:paraId="3B1B5466" w14:textId="623421A4" w:rsidTr="007C3396">
        <w:trPr>
          <w:trHeight w:val="707"/>
        </w:trPr>
        <w:tc>
          <w:tcPr>
            <w:tcW w:w="1914" w:type="dxa"/>
            <w:tcBorders>
              <w:top w:val="single" w:sz="4" w:space="0" w:color="auto"/>
              <w:left w:val="single" w:sz="4" w:space="0" w:color="auto"/>
              <w:bottom w:val="single" w:sz="4" w:space="0" w:color="auto"/>
              <w:right w:val="single" w:sz="4" w:space="0" w:color="auto"/>
            </w:tcBorders>
            <w:vAlign w:val="center"/>
          </w:tcPr>
          <w:p w14:paraId="09F395C7" w14:textId="22D4147B" w:rsidR="00A6126B" w:rsidRPr="00A6126B" w:rsidRDefault="00A6126B" w:rsidP="00A6126B">
            <w:pPr>
              <w:spacing w:before="240" w:after="0" w:line="360" w:lineRule="auto"/>
              <w:rPr>
                <w:rFonts w:eastAsia="Times New Roman"/>
                <w:b/>
                <w:bCs/>
                <w:spacing w:val="0"/>
                <w:lang w:eastAsia="es-DO"/>
              </w:rPr>
            </w:pPr>
            <w:r w:rsidRPr="00A6126B">
              <w:rPr>
                <w:rFonts w:eastAsia="Times New Roman"/>
                <w:b/>
                <w:bCs/>
                <w:spacing w:val="0"/>
                <w:lang w:eastAsia="es-DO"/>
              </w:rPr>
              <w:t>Desarrollo e Implementación del Sistema para el Registro de Firmas Privadas Auditoras</w:t>
            </w:r>
          </w:p>
        </w:tc>
        <w:tc>
          <w:tcPr>
            <w:tcW w:w="2339" w:type="dxa"/>
            <w:tcBorders>
              <w:top w:val="single" w:sz="4" w:space="0" w:color="auto"/>
              <w:left w:val="nil"/>
              <w:bottom w:val="single" w:sz="4" w:space="0" w:color="auto"/>
              <w:right w:val="single" w:sz="4" w:space="0" w:color="auto"/>
            </w:tcBorders>
            <w:vAlign w:val="center"/>
          </w:tcPr>
          <w:p w14:paraId="60C59A8E" w14:textId="3954CC46" w:rsidR="00A6126B" w:rsidRPr="00582880" w:rsidRDefault="00A6126B" w:rsidP="00A6126B">
            <w:pPr>
              <w:spacing w:before="240" w:line="360" w:lineRule="auto"/>
              <w:rPr>
                <w:rFonts w:eastAsia="Times New Roman"/>
                <w:spacing w:val="0"/>
                <w:lang w:eastAsia="es-DO"/>
              </w:rPr>
            </w:pPr>
            <w:r w:rsidRPr="00A6126B">
              <w:rPr>
                <w:rFonts w:eastAsia="Times New Roman"/>
                <w:spacing w:val="0"/>
                <w:lang w:eastAsia="es-DO"/>
              </w:rPr>
              <w:t xml:space="preserve">Sistema desarrollado para que la CGR, pueda gestionar las firmas Auditoras autorizadas, conforme a la Circular IN-CGR-CIR-2025-0002. El aplicativo digitaliza expedientes, automatiza validaciones con plataformas externas, permite emitir certificaciones digitales, almacena adjudicaciones remitidas por las instituciones y gestiona el ciclo completo de </w:t>
            </w:r>
            <w:r w:rsidRPr="00A6126B">
              <w:rPr>
                <w:rFonts w:eastAsia="Times New Roman"/>
                <w:spacing w:val="0"/>
                <w:lang w:eastAsia="es-DO"/>
              </w:rPr>
              <w:lastRenderedPageBreak/>
              <w:t>monitoreo y supervisión.</w:t>
            </w:r>
          </w:p>
        </w:tc>
        <w:tc>
          <w:tcPr>
            <w:tcW w:w="851" w:type="dxa"/>
            <w:tcBorders>
              <w:top w:val="single" w:sz="4" w:space="0" w:color="auto"/>
              <w:left w:val="nil"/>
              <w:bottom w:val="single" w:sz="4" w:space="0" w:color="auto"/>
              <w:right w:val="single" w:sz="4" w:space="0" w:color="auto"/>
            </w:tcBorders>
            <w:vAlign w:val="center"/>
          </w:tcPr>
          <w:p w14:paraId="17C71A52" w14:textId="03B1A8D6" w:rsidR="00A6126B" w:rsidRPr="00A6126B" w:rsidRDefault="00A6126B" w:rsidP="00A6126B">
            <w:pPr>
              <w:spacing w:before="240" w:after="0" w:line="360" w:lineRule="auto"/>
              <w:jc w:val="center"/>
              <w:rPr>
                <w:rFonts w:eastAsia="Times New Roman"/>
                <w:spacing w:val="0"/>
                <w:lang w:eastAsia="es-DO"/>
              </w:rPr>
            </w:pPr>
            <w:r w:rsidRPr="00A6126B">
              <w:rPr>
                <w:rFonts w:eastAsia="Times New Roman"/>
                <w:spacing w:val="0"/>
                <w:lang w:eastAsia="es-DO"/>
              </w:rPr>
              <w:lastRenderedPageBreak/>
              <w:t>85%</w:t>
            </w:r>
          </w:p>
        </w:tc>
        <w:tc>
          <w:tcPr>
            <w:tcW w:w="916" w:type="dxa"/>
            <w:tcBorders>
              <w:top w:val="single" w:sz="4" w:space="0" w:color="auto"/>
              <w:left w:val="nil"/>
              <w:bottom w:val="single" w:sz="4" w:space="0" w:color="auto"/>
              <w:right w:val="single" w:sz="4" w:space="0" w:color="auto"/>
            </w:tcBorders>
            <w:vAlign w:val="center"/>
          </w:tcPr>
          <w:p w14:paraId="782A6898" w14:textId="77777777" w:rsidR="00A6126B" w:rsidRPr="00A6126B" w:rsidRDefault="00A6126B" w:rsidP="00A6126B">
            <w:pPr>
              <w:spacing w:before="240" w:after="0" w:line="360" w:lineRule="auto"/>
              <w:jc w:val="center"/>
              <w:rPr>
                <w:rFonts w:eastAsia="Times New Roman"/>
                <w:spacing w:val="0"/>
                <w:lang w:eastAsia="es-DO"/>
              </w:rPr>
            </w:pPr>
            <w:r w:rsidRPr="00A6126B">
              <w:rPr>
                <w:rFonts w:eastAsia="Times New Roman"/>
                <w:spacing w:val="0"/>
                <w:lang w:eastAsia="es-DO"/>
              </w:rPr>
              <w:t>100%</w:t>
            </w:r>
          </w:p>
          <w:p w14:paraId="4C49825F" w14:textId="0DFB8DDA" w:rsidR="00A6126B" w:rsidRPr="00582880" w:rsidRDefault="00A6126B" w:rsidP="00A6126B">
            <w:pPr>
              <w:spacing w:before="240" w:after="0" w:line="360" w:lineRule="auto"/>
              <w:jc w:val="center"/>
              <w:rPr>
                <w:rFonts w:eastAsia="Times New Roman"/>
                <w:spacing w:val="0"/>
                <w:lang w:eastAsia="es-DO"/>
              </w:rPr>
            </w:pPr>
            <w:r w:rsidRPr="00A6126B">
              <w:rPr>
                <w:rFonts w:eastAsia="Times New Roman"/>
                <w:spacing w:val="0"/>
                <w:lang w:eastAsia="es-DO"/>
              </w:rPr>
              <w:t>Dic. 2025</w:t>
            </w:r>
          </w:p>
        </w:tc>
        <w:tc>
          <w:tcPr>
            <w:tcW w:w="2202" w:type="dxa"/>
            <w:tcBorders>
              <w:top w:val="single" w:sz="4" w:space="0" w:color="auto"/>
              <w:bottom w:val="single" w:sz="4" w:space="0" w:color="auto"/>
              <w:right w:val="single" w:sz="4" w:space="0" w:color="auto"/>
            </w:tcBorders>
          </w:tcPr>
          <w:p w14:paraId="04FB88FE" w14:textId="27BCA9FD" w:rsidR="00A6126B" w:rsidRPr="00582880" w:rsidRDefault="00A6126B" w:rsidP="00A6126B">
            <w:pPr>
              <w:spacing w:before="240" w:after="0" w:line="360" w:lineRule="auto"/>
              <w:rPr>
                <w:rFonts w:eastAsia="Times New Roman"/>
                <w:spacing w:val="0"/>
                <w:lang w:eastAsia="es-DO"/>
              </w:rPr>
            </w:pPr>
            <w:r w:rsidRPr="00A6126B">
              <w:rPr>
                <w:rFonts w:eastAsia="Times New Roman"/>
                <w:spacing w:val="0"/>
                <w:lang w:eastAsia="es-DO"/>
              </w:rPr>
              <w:t>Fortalece la transparencia y la eficiencia operativa, al eliminar procesos manuales, agilizar validaciones, reducir tiempos de respuesta. Contribuye directamente al control interno, cumplimiento normativo y modernización institucional.</w:t>
            </w:r>
          </w:p>
        </w:tc>
      </w:tr>
      <w:tr w:rsidR="00A6126B" w:rsidRPr="00582880" w14:paraId="1DD249F1" w14:textId="40C327C7" w:rsidTr="007C3396">
        <w:trPr>
          <w:trHeight w:val="534"/>
        </w:trPr>
        <w:tc>
          <w:tcPr>
            <w:tcW w:w="1914" w:type="dxa"/>
            <w:tcBorders>
              <w:top w:val="single" w:sz="4" w:space="0" w:color="auto"/>
              <w:left w:val="single" w:sz="4" w:space="0" w:color="auto"/>
              <w:bottom w:val="single" w:sz="4" w:space="0" w:color="auto"/>
              <w:right w:val="single" w:sz="4" w:space="0" w:color="auto"/>
            </w:tcBorders>
            <w:vAlign w:val="center"/>
          </w:tcPr>
          <w:p w14:paraId="61658D59" w14:textId="39B49CDC" w:rsidR="00A6126B" w:rsidRPr="00582880" w:rsidRDefault="00A6126B" w:rsidP="00A6126B">
            <w:pPr>
              <w:spacing w:after="0" w:line="360" w:lineRule="auto"/>
              <w:rPr>
                <w:rFonts w:eastAsia="Times New Roman"/>
                <w:b/>
                <w:bCs/>
                <w:spacing w:val="0"/>
                <w:lang w:eastAsia="es-DO"/>
              </w:rPr>
            </w:pPr>
            <w:r w:rsidRPr="00A6126B">
              <w:rPr>
                <w:rFonts w:eastAsia="Times New Roman"/>
                <w:b/>
                <w:bCs/>
                <w:spacing w:val="0"/>
                <w:lang w:eastAsia="es-DO"/>
              </w:rPr>
              <w:t>Implementación del Quiosco Digital y Correspondencia Electrónica para TRANSDOC</w:t>
            </w:r>
          </w:p>
        </w:tc>
        <w:tc>
          <w:tcPr>
            <w:tcW w:w="2339" w:type="dxa"/>
            <w:tcBorders>
              <w:top w:val="single" w:sz="4" w:space="0" w:color="auto"/>
              <w:left w:val="nil"/>
              <w:bottom w:val="single" w:sz="4" w:space="0" w:color="auto"/>
              <w:right w:val="single" w:sz="4" w:space="0" w:color="auto"/>
            </w:tcBorders>
            <w:vAlign w:val="center"/>
          </w:tcPr>
          <w:p w14:paraId="0FEC6953" w14:textId="06E77BA1" w:rsidR="00A6126B" w:rsidRPr="00582880" w:rsidRDefault="00A6126B" w:rsidP="00A6126B">
            <w:pPr>
              <w:spacing w:after="0" w:line="360" w:lineRule="auto"/>
              <w:rPr>
                <w:rFonts w:eastAsia="Times New Roman"/>
                <w:spacing w:val="0"/>
                <w:lang w:eastAsia="es-DO"/>
              </w:rPr>
            </w:pPr>
            <w:r w:rsidRPr="00A6126B">
              <w:rPr>
                <w:rFonts w:eastAsia="Times New Roman"/>
                <w:spacing w:val="0"/>
                <w:lang w:eastAsia="es-DO"/>
              </w:rPr>
              <w:t>Habilitación de servicios digitales para el envío y consulta de correspondencia institucional, incluyendo acceso a través del portal web</w:t>
            </w:r>
            <w:r>
              <w:rPr>
                <w:rFonts w:eastAsia="Times New Roman"/>
                <w:spacing w:val="0"/>
                <w:lang w:eastAsia="es-DO"/>
              </w:rPr>
              <w:t>.</w:t>
            </w:r>
          </w:p>
        </w:tc>
        <w:tc>
          <w:tcPr>
            <w:tcW w:w="851" w:type="dxa"/>
            <w:tcBorders>
              <w:top w:val="single" w:sz="4" w:space="0" w:color="auto"/>
              <w:left w:val="nil"/>
              <w:bottom w:val="single" w:sz="4" w:space="0" w:color="auto"/>
              <w:right w:val="single" w:sz="4" w:space="0" w:color="auto"/>
            </w:tcBorders>
            <w:vAlign w:val="center"/>
          </w:tcPr>
          <w:p w14:paraId="7B914E65" w14:textId="42ACEE32" w:rsidR="00A6126B" w:rsidRPr="00582880" w:rsidRDefault="00A6126B" w:rsidP="00A6126B">
            <w:pPr>
              <w:spacing w:after="0" w:line="360" w:lineRule="auto"/>
              <w:jc w:val="center"/>
              <w:rPr>
                <w:rFonts w:eastAsia="Times New Roman"/>
                <w:spacing w:val="0"/>
                <w:lang w:eastAsia="es-DO"/>
              </w:rPr>
            </w:pPr>
            <w:r w:rsidRPr="00582880">
              <w:rPr>
                <w:rFonts w:eastAsia="Times New Roman"/>
                <w:spacing w:val="0"/>
                <w:lang w:eastAsia="es-DO"/>
              </w:rPr>
              <w:t>80%</w:t>
            </w:r>
          </w:p>
        </w:tc>
        <w:tc>
          <w:tcPr>
            <w:tcW w:w="916" w:type="dxa"/>
            <w:tcBorders>
              <w:top w:val="single" w:sz="4" w:space="0" w:color="auto"/>
              <w:left w:val="nil"/>
              <w:bottom w:val="single" w:sz="4" w:space="0" w:color="auto"/>
              <w:right w:val="single" w:sz="4" w:space="0" w:color="auto"/>
            </w:tcBorders>
            <w:vAlign w:val="center"/>
          </w:tcPr>
          <w:p w14:paraId="10797035" w14:textId="6F13CFE4" w:rsidR="00A6126B" w:rsidRPr="00582880" w:rsidRDefault="00A6126B" w:rsidP="00A6126B">
            <w:pPr>
              <w:spacing w:after="0" w:line="360" w:lineRule="auto"/>
              <w:jc w:val="center"/>
              <w:rPr>
                <w:rFonts w:eastAsia="Times New Roman"/>
                <w:spacing w:val="0"/>
                <w:lang w:eastAsia="es-DO"/>
              </w:rPr>
            </w:pPr>
            <w:r>
              <w:rPr>
                <w:rFonts w:eastAsia="Times New Roman"/>
                <w:spacing w:val="0"/>
                <w:lang w:eastAsia="es-DO"/>
              </w:rPr>
              <w:t>N/A</w:t>
            </w:r>
          </w:p>
        </w:tc>
        <w:tc>
          <w:tcPr>
            <w:tcW w:w="2202" w:type="dxa"/>
            <w:tcBorders>
              <w:top w:val="single" w:sz="4" w:space="0" w:color="auto"/>
              <w:bottom w:val="single" w:sz="4" w:space="0" w:color="auto"/>
              <w:right w:val="single" w:sz="4" w:space="0" w:color="auto"/>
            </w:tcBorders>
          </w:tcPr>
          <w:p w14:paraId="19D9DD47" w14:textId="137DC4E1" w:rsidR="00A6126B" w:rsidRPr="00582880" w:rsidRDefault="00A6126B" w:rsidP="00A6126B">
            <w:pPr>
              <w:spacing w:after="0" w:line="360" w:lineRule="auto"/>
              <w:rPr>
                <w:rFonts w:eastAsia="Times New Roman"/>
                <w:spacing w:val="0"/>
                <w:lang w:eastAsia="es-DO"/>
              </w:rPr>
            </w:pPr>
            <w:r w:rsidRPr="00A6126B">
              <w:rPr>
                <w:rFonts w:eastAsia="Times New Roman"/>
                <w:spacing w:val="0"/>
                <w:lang w:eastAsia="es-DO"/>
              </w:rPr>
              <w:t>Digitaliza el servicio de correspondencia, moderniza la comunicación institucional, aumenta la transparencia, reduce tiempos de tramitación y facilita el acceso para las instituciones usuarias.</w:t>
            </w:r>
          </w:p>
        </w:tc>
      </w:tr>
      <w:tr w:rsidR="00A6126B" w:rsidRPr="00582880" w14:paraId="18CD2E68" w14:textId="51E845A0" w:rsidTr="007C3396">
        <w:trPr>
          <w:trHeight w:val="1757"/>
        </w:trPr>
        <w:tc>
          <w:tcPr>
            <w:tcW w:w="1914" w:type="dxa"/>
            <w:tcBorders>
              <w:top w:val="single" w:sz="4" w:space="0" w:color="auto"/>
              <w:left w:val="single" w:sz="4" w:space="0" w:color="auto"/>
              <w:bottom w:val="single" w:sz="4" w:space="0" w:color="auto"/>
              <w:right w:val="single" w:sz="4" w:space="0" w:color="auto"/>
            </w:tcBorders>
            <w:vAlign w:val="center"/>
          </w:tcPr>
          <w:p w14:paraId="25E06B06" w14:textId="4C61A560" w:rsidR="00A6126B" w:rsidRPr="00582880" w:rsidRDefault="00A6126B" w:rsidP="00A6126B">
            <w:pPr>
              <w:spacing w:after="0" w:line="360" w:lineRule="auto"/>
              <w:rPr>
                <w:rFonts w:eastAsia="Times New Roman"/>
                <w:b/>
                <w:bCs/>
                <w:spacing w:val="0"/>
                <w:lang w:eastAsia="es-DO"/>
              </w:rPr>
            </w:pPr>
            <w:r w:rsidRPr="00582880">
              <w:rPr>
                <w:rFonts w:eastAsia="Times New Roman"/>
                <w:b/>
                <w:bCs/>
                <w:spacing w:val="0"/>
                <w:lang w:eastAsia="es-DO"/>
              </w:rPr>
              <w:t>NOBACI Salud</w:t>
            </w:r>
          </w:p>
        </w:tc>
        <w:tc>
          <w:tcPr>
            <w:tcW w:w="2339" w:type="dxa"/>
            <w:tcBorders>
              <w:top w:val="single" w:sz="4" w:space="0" w:color="auto"/>
              <w:left w:val="nil"/>
              <w:bottom w:val="single" w:sz="4" w:space="0" w:color="auto"/>
              <w:right w:val="single" w:sz="4" w:space="0" w:color="auto"/>
            </w:tcBorders>
            <w:vAlign w:val="center"/>
          </w:tcPr>
          <w:p w14:paraId="2D768159" w14:textId="59122F36" w:rsidR="00A6126B" w:rsidRPr="00582880" w:rsidRDefault="00A6126B" w:rsidP="00A6126B">
            <w:pPr>
              <w:spacing w:after="0" w:line="360" w:lineRule="auto"/>
              <w:rPr>
                <w:rFonts w:eastAsia="Times New Roman"/>
                <w:spacing w:val="0"/>
                <w:lang w:eastAsia="es-DO"/>
              </w:rPr>
            </w:pPr>
            <w:r w:rsidRPr="00582880">
              <w:rPr>
                <w:rFonts w:eastAsia="Times New Roman"/>
                <w:spacing w:val="0"/>
                <w:lang w:eastAsia="es-DO"/>
              </w:rPr>
              <w:t>Sistema basado en las Normas Básicas de Control Interno para el sector Salud, orientado a estandarizar, monitorear y fortalecer los procesos de control interno de los centros hospitalarios y entidades del sistema público de salud.</w:t>
            </w:r>
          </w:p>
        </w:tc>
        <w:tc>
          <w:tcPr>
            <w:tcW w:w="851" w:type="dxa"/>
            <w:tcBorders>
              <w:top w:val="single" w:sz="4" w:space="0" w:color="auto"/>
              <w:left w:val="nil"/>
              <w:bottom w:val="single" w:sz="4" w:space="0" w:color="auto"/>
              <w:right w:val="single" w:sz="4" w:space="0" w:color="auto"/>
            </w:tcBorders>
            <w:vAlign w:val="center"/>
          </w:tcPr>
          <w:p w14:paraId="364D07B4" w14:textId="29AA1491" w:rsidR="00A6126B" w:rsidRPr="00582880" w:rsidRDefault="00A6126B" w:rsidP="00A6126B">
            <w:pPr>
              <w:spacing w:after="0" w:line="360" w:lineRule="auto"/>
              <w:jc w:val="center"/>
              <w:rPr>
                <w:rFonts w:eastAsia="Times New Roman"/>
                <w:spacing w:val="0"/>
                <w:lang w:eastAsia="es-DO"/>
              </w:rPr>
            </w:pPr>
            <w:r w:rsidRPr="00582880">
              <w:rPr>
                <w:rFonts w:eastAsia="Times New Roman"/>
                <w:spacing w:val="0"/>
                <w:lang w:eastAsia="es-DO"/>
              </w:rPr>
              <w:t>90%</w:t>
            </w:r>
          </w:p>
        </w:tc>
        <w:tc>
          <w:tcPr>
            <w:tcW w:w="916" w:type="dxa"/>
            <w:tcBorders>
              <w:top w:val="single" w:sz="4" w:space="0" w:color="auto"/>
              <w:left w:val="nil"/>
              <w:bottom w:val="single" w:sz="4" w:space="0" w:color="auto"/>
              <w:right w:val="single" w:sz="4" w:space="0" w:color="auto"/>
            </w:tcBorders>
            <w:vAlign w:val="center"/>
          </w:tcPr>
          <w:p w14:paraId="442D4C19" w14:textId="29DC6186" w:rsidR="00A6126B" w:rsidRPr="00582880" w:rsidRDefault="00A6126B" w:rsidP="00A6126B">
            <w:pPr>
              <w:spacing w:line="360" w:lineRule="auto"/>
              <w:jc w:val="center"/>
              <w:rPr>
                <w:rFonts w:eastAsia="Times New Roman"/>
                <w:spacing w:val="0"/>
                <w:lang w:eastAsia="es-DO"/>
              </w:rPr>
            </w:pPr>
            <w:r w:rsidRPr="00582880">
              <w:rPr>
                <w:rFonts w:eastAsia="Times New Roman"/>
                <w:spacing w:val="0"/>
                <w:lang w:eastAsia="es-DO"/>
              </w:rPr>
              <w:t>100%</w:t>
            </w:r>
          </w:p>
        </w:tc>
        <w:tc>
          <w:tcPr>
            <w:tcW w:w="2202" w:type="dxa"/>
            <w:tcBorders>
              <w:top w:val="single" w:sz="4" w:space="0" w:color="auto"/>
              <w:bottom w:val="single" w:sz="4" w:space="0" w:color="auto"/>
              <w:right w:val="single" w:sz="4" w:space="0" w:color="auto"/>
            </w:tcBorders>
          </w:tcPr>
          <w:p w14:paraId="56C3EAE2" w14:textId="053935E7" w:rsidR="00A6126B" w:rsidRPr="00582880" w:rsidRDefault="007C3396" w:rsidP="007C3396">
            <w:pPr>
              <w:spacing w:line="360" w:lineRule="auto"/>
              <w:rPr>
                <w:rFonts w:eastAsia="Times New Roman"/>
                <w:spacing w:val="0"/>
                <w:lang w:eastAsia="es-DO"/>
              </w:rPr>
            </w:pPr>
            <w:r w:rsidRPr="007C3396">
              <w:rPr>
                <w:rFonts w:eastAsia="Times New Roman"/>
                <w:spacing w:val="0"/>
                <w:lang w:eastAsia="es-DO"/>
              </w:rPr>
              <w:t>Alto impacto nacional, ya que abarcará todo el sector salud del Gobierno Central, mejorando el control, la transparencia y la eficiencia operativa.</w:t>
            </w:r>
          </w:p>
        </w:tc>
      </w:tr>
      <w:tr w:rsidR="00A6126B" w:rsidRPr="00582880" w14:paraId="3D9AD146" w14:textId="3516BF30" w:rsidTr="007C3396">
        <w:trPr>
          <w:trHeight w:val="1757"/>
        </w:trPr>
        <w:tc>
          <w:tcPr>
            <w:tcW w:w="1914" w:type="dxa"/>
            <w:tcBorders>
              <w:top w:val="single" w:sz="4" w:space="0" w:color="auto"/>
              <w:left w:val="single" w:sz="4" w:space="0" w:color="auto"/>
              <w:bottom w:val="single" w:sz="4" w:space="0" w:color="auto"/>
              <w:right w:val="single" w:sz="4" w:space="0" w:color="auto"/>
            </w:tcBorders>
            <w:vAlign w:val="center"/>
          </w:tcPr>
          <w:p w14:paraId="4FDD6680" w14:textId="3864B9B4" w:rsidR="00A6126B" w:rsidRPr="00582880" w:rsidRDefault="00A6126B" w:rsidP="00A6126B">
            <w:pPr>
              <w:spacing w:after="0" w:line="360" w:lineRule="auto"/>
              <w:rPr>
                <w:rFonts w:eastAsia="Times New Roman"/>
                <w:b/>
                <w:bCs/>
                <w:spacing w:val="0"/>
                <w:lang w:eastAsia="es-DO"/>
              </w:rPr>
            </w:pPr>
            <w:r w:rsidRPr="00582880">
              <w:rPr>
                <w:rFonts w:eastAsia="Times New Roman"/>
                <w:b/>
                <w:bCs/>
                <w:spacing w:val="0"/>
                <w:lang w:eastAsia="es-DO"/>
              </w:rPr>
              <w:lastRenderedPageBreak/>
              <w:t>Consulta Verifica CGR</w:t>
            </w:r>
          </w:p>
        </w:tc>
        <w:tc>
          <w:tcPr>
            <w:tcW w:w="2339" w:type="dxa"/>
            <w:tcBorders>
              <w:top w:val="single" w:sz="4" w:space="0" w:color="auto"/>
              <w:left w:val="nil"/>
              <w:bottom w:val="single" w:sz="4" w:space="0" w:color="auto"/>
              <w:right w:val="single" w:sz="4" w:space="0" w:color="auto"/>
            </w:tcBorders>
            <w:vAlign w:val="center"/>
          </w:tcPr>
          <w:p w14:paraId="7BB20FBE" w14:textId="0B34F9C6" w:rsidR="00A6126B" w:rsidRPr="00582880" w:rsidRDefault="00A6126B" w:rsidP="00A6126B">
            <w:pPr>
              <w:spacing w:after="0" w:line="360" w:lineRule="auto"/>
              <w:rPr>
                <w:rFonts w:eastAsia="Times New Roman"/>
                <w:spacing w:val="0"/>
                <w:lang w:eastAsia="es-DO"/>
              </w:rPr>
            </w:pPr>
            <w:r w:rsidRPr="00582880">
              <w:rPr>
                <w:rFonts w:eastAsia="Times New Roman"/>
                <w:spacing w:val="0"/>
                <w:lang w:eastAsia="es-DO"/>
              </w:rPr>
              <w:t>Plataforma pública para la consulta de libramientos, contratos y pagos directos en proceso, sin necesidad de registro previo.</w:t>
            </w:r>
          </w:p>
        </w:tc>
        <w:tc>
          <w:tcPr>
            <w:tcW w:w="851" w:type="dxa"/>
            <w:tcBorders>
              <w:top w:val="single" w:sz="4" w:space="0" w:color="auto"/>
              <w:left w:val="nil"/>
              <w:bottom w:val="single" w:sz="4" w:space="0" w:color="auto"/>
              <w:right w:val="single" w:sz="4" w:space="0" w:color="auto"/>
            </w:tcBorders>
            <w:vAlign w:val="center"/>
          </w:tcPr>
          <w:p w14:paraId="7912E4A8" w14:textId="0A5ECA12" w:rsidR="00A6126B" w:rsidRPr="00582880" w:rsidRDefault="00A6126B" w:rsidP="00A6126B">
            <w:pPr>
              <w:spacing w:after="0" w:line="360" w:lineRule="auto"/>
              <w:jc w:val="center"/>
              <w:rPr>
                <w:rFonts w:eastAsia="Times New Roman"/>
                <w:spacing w:val="0"/>
                <w:lang w:eastAsia="es-DO"/>
              </w:rPr>
            </w:pPr>
            <w:r w:rsidRPr="00582880">
              <w:rPr>
                <w:rFonts w:eastAsia="Times New Roman"/>
                <w:spacing w:val="0"/>
                <w:lang w:eastAsia="es-DO"/>
              </w:rPr>
              <w:t>100%</w:t>
            </w:r>
          </w:p>
        </w:tc>
        <w:tc>
          <w:tcPr>
            <w:tcW w:w="916" w:type="dxa"/>
            <w:tcBorders>
              <w:top w:val="single" w:sz="4" w:space="0" w:color="auto"/>
              <w:left w:val="nil"/>
              <w:bottom w:val="single" w:sz="4" w:space="0" w:color="auto"/>
              <w:right w:val="single" w:sz="4" w:space="0" w:color="auto"/>
            </w:tcBorders>
            <w:vAlign w:val="center"/>
          </w:tcPr>
          <w:p w14:paraId="64DAEBF4" w14:textId="4A2D1DB2" w:rsidR="00A6126B" w:rsidRPr="00582880" w:rsidRDefault="00A6126B" w:rsidP="00A6126B">
            <w:pPr>
              <w:spacing w:line="360" w:lineRule="auto"/>
              <w:jc w:val="center"/>
              <w:rPr>
                <w:rFonts w:eastAsia="Times New Roman"/>
                <w:spacing w:val="0"/>
                <w:lang w:eastAsia="es-DO"/>
              </w:rPr>
            </w:pPr>
            <w:r w:rsidRPr="00582880">
              <w:rPr>
                <w:rFonts w:eastAsia="Times New Roman"/>
                <w:spacing w:val="0"/>
                <w:lang w:eastAsia="es-DO"/>
              </w:rPr>
              <w:t>100%</w:t>
            </w:r>
          </w:p>
        </w:tc>
        <w:tc>
          <w:tcPr>
            <w:tcW w:w="2202" w:type="dxa"/>
            <w:tcBorders>
              <w:top w:val="single" w:sz="4" w:space="0" w:color="auto"/>
              <w:bottom w:val="single" w:sz="4" w:space="0" w:color="auto"/>
              <w:right w:val="single" w:sz="4" w:space="0" w:color="auto"/>
            </w:tcBorders>
          </w:tcPr>
          <w:p w14:paraId="44B15B2B" w14:textId="7FAEA633" w:rsidR="00A6126B" w:rsidRPr="00582880" w:rsidRDefault="007C3396" w:rsidP="007C3396">
            <w:pPr>
              <w:spacing w:line="360" w:lineRule="auto"/>
              <w:rPr>
                <w:rFonts w:eastAsia="Times New Roman"/>
                <w:spacing w:val="0"/>
                <w:lang w:eastAsia="es-DO"/>
              </w:rPr>
            </w:pPr>
            <w:r w:rsidRPr="007C3396">
              <w:rPr>
                <w:rFonts w:eastAsia="Times New Roman"/>
                <w:spacing w:val="0"/>
                <w:lang w:eastAsia="es-DO"/>
              </w:rPr>
              <w:t>Aumenta la transparencia y facilita el acceso ciudadano a información financiera en tiempo real.</w:t>
            </w:r>
          </w:p>
        </w:tc>
      </w:tr>
      <w:tr w:rsidR="00A6126B" w:rsidRPr="00582880" w14:paraId="1953DA94" w14:textId="63036C71" w:rsidTr="007C3396">
        <w:trPr>
          <w:trHeight w:val="1552"/>
        </w:trPr>
        <w:tc>
          <w:tcPr>
            <w:tcW w:w="1914" w:type="dxa"/>
            <w:tcBorders>
              <w:top w:val="single" w:sz="4" w:space="0" w:color="auto"/>
              <w:left w:val="single" w:sz="4" w:space="0" w:color="auto"/>
              <w:bottom w:val="single" w:sz="4" w:space="0" w:color="auto"/>
              <w:right w:val="single" w:sz="4" w:space="0" w:color="auto"/>
            </w:tcBorders>
            <w:vAlign w:val="center"/>
          </w:tcPr>
          <w:p w14:paraId="160A738A" w14:textId="2D84568E" w:rsidR="00A6126B" w:rsidRPr="00582880" w:rsidRDefault="00A6126B" w:rsidP="00A6126B">
            <w:pPr>
              <w:spacing w:before="240" w:after="0" w:line="360" w:lineRule="auto"/>
              <w:rPr>
                <w:rFonts w:eastAsia="Times New Roman"/>
                <w:b/>
                <w:bCs/>
                <w:spacing w:val="0"/>
                <w:lang w:eastAsia="es-DO"/>
              </w:rPr>
            </w:pPr>
            <w:r w:rsidRPr="00582880">
              <w:rPr>
                <w:rFonts w:eastAsia="Times New Roman"/>
                <w:b/>
                <w:bCs/>
                <w:spacing w:val="0"/>
                <w:lang w:eastAsia="es-DO"/>
              </w:rPr>
              <w:t>Sistema de Litigios (SILEG 2.0)</w:t>
            </w:r>
          </w:p>
        </w:tc>
        <w:tc>
          <w:tcPr>
            <w:tcW w:w="2339" w:type="dxa"/>
            <w:tcBorders>
              <w:top w:val="single" w:sz="4" w:space="0" w:color="auto"/>
              <w:left w:val="nil"/>
              <w:bottom w:val="single" w:sz="4" w:space="0" w:color="auto"/>
              <w:right w:val="single" w:sz="4" w:space="0" w:color="auto"/>
            </w:tcBorders>
            <w:vAlign w:val="center"/>
          </w:tcPr>
          <w:p w14:paraId="29FF41B6" w14:textId="48F95216" w:rsidR="00A6126B" w:rsidRPr="00582880" w:rsidRDefault="00A6126B" w:rsidP="00A6126B">
            <w:pPr>
              <w:spacing w:before="240" w:after="0" w:line="360" w:lineRule="auto"/>
              <w:rPr>
                <w:rFonts w:eastAsia="Times New Roman"/>
                <w:spacing w:val="0"/>
                <w:lang w:eastAsia="es-DO"/>
              </w:rPr>
            </w:pPr>
            <w:r w:rsidRPr="00582880">
              <w:rPr>
                <w:rFonts w:eastAsia="Times New Roman"/>
                <w:spacing w:val="0"/>
                <w:lang w:eastAsia="es-DO"/>
              </w:rPr>
              <w:t>Sistema para el registro, seguimiento y gestión de casos de litigios en los que la CGR participa.</w:t>
            </w:r>
          </w:p>
        </w:tc>
        <w:tc>
          <w:tcPr>
            <w:tcW w:w="851" w:type="dxa"/>
            <w:tcBorders>
              <w:top w:val="single" w:sz="4" w:space="0" w:color="auto"/>
              <w:left w:val="nil"/>
              <w:bottom w:val="single" w:sz="4" w:space="0" w:color="auto"/>
              <w:right w:val="single" w:sz="4" w:space="0" w:color="auto"/>
            </w:tcBorders>
            <w:vAlign w:val="center"/>
          </w:tcPr>
          <w:p w14:paraId="4088AF05" w14:textId="1FCF014B" w:rsidR="00A6126B" w:rsidRPr="00582880" w:rsidRDefault="00A6126B" w:rsidP="00A6126B">
            <w:pPr>
              <w:spacing w:before="240" w:after="0" w:line="360" w:lineRule="auto"/>
              <w:jc w:val="center"/>
              <w:rPr>
                <w:rFonts w:eastAsia="Times New Roman"/>
                <w:spacing w:val="0"/>
                <w:lang w:eastAsia="es-DO"/>
              </w:rPr>
            </w:pPr>
            <w:r w:rsidRPr="00582880">
              <w:rPr>
                <w:rFonts w:eastAsia="Times New Roman"/>
                <w:spacing w:val="0"/>
                <w:lang w:eastAsia="es-DO"/>
              </w:rPr>
              <w:t>95%</w:t>
            </w:r>
          </w:p>
        </w:tc>
        <w:tc>
          <w:tcPr>
            <w:tcW w:w="916" w:type="dxa"/>
            <w:tcBorders>
              <w:top w:val="single" w:sz="4" w:space="0" w:color="auto"/>
              <w:left w:val="nil"/>
              <w:bottom w:val="single" w:sz="4" w:space="0" w:color="auto"/>
              <w:right w:val="single" w:sz="4" w:space="0" w:color="auto"/>
            </w:tcBorders>
            <w:vAlign w:val="center"/>
          </w:tcPr>
          <w:p w14:paraId="56AF2CBB" w14:textId="04B61F3B" w:rsidR="00A6126B" w:rsidRPr="00582880" w:rsidRDefault="00A6126B" w:rsidP="00A6126B">
            <w:pPr>
              <w:spacing w:before="240" w:line="360" w:lineRule="auto"/>
              <w:jc w:val="center"/>
              <w:rPr>
                <w:rFonts w:eastAsia="Times New Roman"/>
                <w:spacing w:val="0"/>
                <w:lang w:eastAsia="es-DO"/>
              </w:rPr>
            </w:pPr>
            <w:r w:rsidRPr="00582880">
              <w:rPr>
                <w:rFonts w:eastAsia="Times New Roman"/>
                <w:spacing w:val="0"/>
                <w:lang w:eastAsia="es-DO"/>
              </w:rPr>
              <w:t>100%</w:t>
            </w:r>
          </w:p>
        </w:tc>
        <w:tc>
          <w:tcPr>
            <w:tcW w:w="2202" w:type="dxa"/>
            <w:tcBorders>
              <w:top w:val="single" w:sz="4" w:space="0" w:color="auto"/>
              <w:bottom w:val="single" w:sz="4" w:space="0" w:color="auto"/>
              <w:right w:val="single" w:sz="4" w:space="0" w:color="auto"/>
            </w:tcBorders>
          </w:tcPr>
          <w:p w14:paraId="15641381" w14:textId="04451F5B" w:rsidR="00A6126B" w:rsidRPr="00582880" w:rsidRDefault="007C3396" w:rsidP="007C3396">
            <w:pPr>
              <w:spacing w:before="240" w:line="360" w:lineRule="auto"/>
              <w:rPr>
                <w:rFonts w:eastAsia="Times New Roman"/>
                <w:spacing w:val="0"/>
                <w:lang w:eastAsia="es-DO"/>
              </w:rPr>
            </w:pPr>
            <w:r w:rsidRPr="007C3396">
              <w:rPr>
                <w:rFonts w:eastAsia="Times New Roman"/>
                <w:spacing w:val="0"/>
                <w:lang w:eastAsia="es-DO"/>
              </w:rPr>
              <w:t>Mejora la gestión jurídica institucional, centralizando la información y agilizando los tiempos de respuesta.</w:t>
            </w:r>
          </w:p>
        </w:tc>
      </w:tr>
      <w:tr w:rsidR="00A6126B" w:rsidRPr="00582880" w14:paraId="74D36CBF" w14:textId="3B4CF748" w:rsidTr="007C3396">
        <w:trPr>
          <w:trHeight w:val="1757"/>
        </w:trPr>
        <w:tc>
          <w:tcPr>
            <w:tcW w:w="1914" w:type="dxa"/>
            <w:tcBorders>
              <w:top w:val="single" w:sz="4" w:space="0" w:color="auto"/>
              <w:left w:val="single" w:sz="4" w:space="0" w:color="auto"/>
              <w:bottom w:val="single" w:sz="4" w:space="0" w:color="auto"/>
              <w:right w:val="single" w:sz="4" w:space="0" w:color="auto"/>
            </w:tcBorders>
            <w:vAlign w:val="center"/>
          </w:tcPr>
          <w:p w14:paraId="0593A4CF" w14:textId="31E5888C" w:rsidR="00A6126B" w:rsidRPr="00582880" w:rsidRDefault="00A6126B" w:rsidP="00A6126B">
            <w:pPr>
              <w:spacing w:before="240" w:after="0" w:line="360" w:lineRule="auto"/>
              <w:rPr>
                <w:rFonts w:eastAsia="Times New Roman"/>
                <w:b/>
                <w:bCs/>
                <w:spacing w:val="0"/>
                <w:lang w:eastAsia="es-DO"/>
              </w:rPr>
            </w:pPr>
            <w:r w:rsidRPr="00582880">
              <w:rPr>
                <w:rFonts w:eastAsia="Times New Roman"/>
                <w:b/>
                <w:bCs/>
                <w:spacing w:val="0"/>
                <w:lang w:eastAsia="es-DO"/>
              </w:rPr>
              <w:t>Subsidio Escolar</w:t>
            </w:r>
          </w:p>
        </w:tc>
        <w:tc>
          <w:tcPr>
            <w:tcW w:w="2339" w:type="dxa"/>
            <w:tcBorders>
              <w:top w:val="single" w:sz="4" w:space="0" w:color="auto"/>
              <w:left w:val="nil"/>
              <w:bottom w:val="single" w:sz="4" w:space="0" w:color="auto"/>
              <w:right w:val="single" w:sz="4" w:space="0" w:color="auto"/>
            </w:tcBorders>
            <w:vAlign w:val="center"/>
          </w:tcPr>
          <w:p w14:paraId="0C265C1D" w14:textId="4DB420D3" w:rsidR="00A6126B" w:rsidRPr="00582880" w:rsidRDefault="00A6126B" w:rsidP="00A6126B">
            <w:pPr>
              <w:spacing w:before="240" w:after="0" w:line="360" w:lineRule="auto"/>
              <w:rPr>
                <w:rFonts w:eastAsia="Times New Roman"/>
                <w:spacing w:val="0"/>
                <w:lang w:eastAsia="es-DO"/>
              </w:rPr>
            </w:pPr>
            <w:r w:rsidRPr="00582880">
              <w:rPr>
                <w:rFonts w:eastAsia="Times New Roman"/>
                <w:spacing w:val="0"/>
                <w:lang w:eastAsia="es-DO"/>
              </w:rPr>
              <w:t>Módulo para el registro, control y consulta del subsidio escolar otorgado a colaboradores.</w:t>
            </w:r>
          </w:p>
        </w:tc>
        <w:tc>
          <w:tcPr>
            <w:tcW w:w="851" w:type="dxa"/>
            <w:tcBorders>
              <w:top w:val="single" w:sz="4" w:space="0" w:color="auto"/>
              <w:left w:val="nil"/>
              <w:bottom w:val="single" w:sz="4" w:space="0" w:color="auto"/>
              <w:right w:val="single" w:sz="4" w:space="0" w:color="auto"/>
            </w:tcBorders>
            <w:vAlign w:val="center"/>
          </w:tcPr>
          <w:p w14:paraId="36A87FE1" w14:textId="125C20D0" w:rsidR="00A6126B" w:rsidRPr="00582880" w:rsidRDefault="00A6126B" w:rsidP="00A6126B">
            <w:pPr>
              <w:spacing w:before="240" w:after="0" w:line="360" w:lineRule="auto"/>
              <w:jc w:val="center"/>
              <w:rPr>
                <w:rFonts w:eastAsia="Times New Roman"/>
                <w:spacing w:val="0"/>
                <w:lang w:eastAsia="es-DO"/>
              </w:rPr>
            </w:pPr>
            <w:r w:rsidRPr="00582880">
              <w:rPr>
                <w:rFonts w:eastAsia="Times New Roman"/>
                <w:spacing w:val="0"/>
                <w:lang w:eastAsia="es-DO"/>
              </w:rPr>
              <w:t>100%</w:t>
            </w:r>
          </w:p>
        </w:tc>
        <w:tc>
          <w:tcPr>
            <w:tcW w:w="916" w:type="dxa"/>
            <w:tcBorders>
              <w:top w:val="single" w:sz="4" w:space="0" w:color="auto"/>
              <w:left w:val="nil"/>
              <w:bottom w:val="single" w:sz="4" w:space="0" w:color="auto"/>
              <w:right w:val="single" w:sz="4" w:space="0" w:color="auto"/>
            </w:tcBorders>
            <w:vAlign w:val="center"/>
          </w:tcPr>
          <w:p w14:paraId="793EAF2E" w14:textId="4AC2B7AB" w:rsidR="00A6126B" w:rsidRPr="00582880" w:rsidRDefault="00A6126B" w:rsidP="00A6126B">
            <w:pPr>
              <w:spacing w:before="240" w:after="0" w:line="360" w:lineRule="auto"/>
              <w:jc w:val="center"/>
              <w:rPr>
                <w:rFonts w:eastAsia="Times New Roman"/>
                <w:spacing w:val="0"/>
                <w:lang w:eastAsia="es-DO"/>
              </w:rPr>
            </w:pPr>
            <w:r w:rsidRPr="00582880">
              <w:rPr>
                <w:rFonts w:eastAsia="Times New Roman"/>
                <w:spacing w:val="0"/>
                <w:lang w:eastAsia="es-DO"/>
              </w:rPr>
              <w:t>N/A</w:t>
            </w:r>
          </w:p>
        </w:tc>
        <w:tc>
          <w:tcPr>
            <w:tcW w:w="2202" w:type="dxa"/>
            <w:tcBorders>
              <w:top w:val="single" w:sz="4" w:space="0" w:color="auto"/>
              <w:bottom w:val="single" w:sz="4" w:space="0" w:color="auto"/>
              <w:right w:val="single" w:sz="4" w:space="0" w:color="auto"/>
            </w:tcBorders>
          </w:tcPr>
          <w:p w14:paraId="12B76092" w14:textId="51024ACC" w:rsidR="00A6126B" w:rsidRPr="00582880" w:rsidRDefault="007C3396" w:rsidP="007C3396">
            <w:pPr>
              <w:spacing w:before="240" w:after="0" w:line="360" w:lineRule="auto"/>
              <w:rPr>
                <w:rFonts w:eastAsia="Times New Roman"/>
                <w:spacing w:val="0"/>
                <w:lang w:eastAsia="es-DO"/>
              </w:rPr>
            </w:pPr>
            <w:r w:rsidRPr="007C3396">
              <w:rPr>
                <w:rFonts w:eastAsia="Times New Roman"/>
                <w:spacing w:val="0"/>
                <w:lang w:eastAsia="es-DO"/>
              </w:rPr>
              <w:t>Optimiza el proceso, mejora la trazabilidad y elimina gestiones manuales.</w:t>
            </w:r>
          </w:p>
        </w:tc>
      </w:tr>
      <w:tr w:rsidR="00A6126B" w:rsidRPr="00582880" w14:paraId="111107C6" w14:textId="20008B98" w:rsidTr="007C3396">
        <w:trPr>
          <w:trHeight w:val="1757"/>
        </w:trPr>
        <w:tc>
          <w:tcPr>
            <w:tcW w:w="1914" w:type="dxa"/>
            <w:tcBorders>
              <w:top w:val="single" w:sz="4" w:space="0" w:color="auto"/>
              <w:left w:val="single" w:sz="4" w:space="0" w:color="auto"/>
              <w:bottom w:val="single" w:sz="4" w:space="0" w:color="auto"/>
              <w:right w:val="single" w:sz="4" w:space="0" w:color="auto"/>
            </w:tcBorders>
            <w:vAlign w:val="center"/>
          </w:tcPr>
          <w:p w14:paraId="178D4869" w14:textId="061F4440" w:rsidR="00A6126B" w:rsidRPr="00582880" w:rsidRDefault="00A6126B" w:rsidP="00A6126B">
            <w:pPr>
              <w:spacing w:before="240" w:after="0" w:line="360" w:lineRule="auto"/>
              <w:rPr>
                <w:rFonts w:eastAsia="Times New Roman"/>
                <w:b/>
                <w:bCs/>
                <w:spacing w:val="0"/>
                <w:lang w:eastAsia="es-DO"/>
              </w:rPr>
            </w:pPr>
            <w:r w:rsidRPr="00582880">
              <w:rPr>
                <w:rFonts w:eastAsia="Times New Roman"/>
                <w:b/>
                <w:bCs/>
                <w:spacing w:val="0"/>
                <w:lang w:eastAsia="es-DO"/>
              </w:rPr>
              <w:t>Digitalización de la Ficha Técnica</w:t>
            </w:r>
          </w:p>
        </w:tc>
        <w:tc>
          <w:tcPr>
            <w:tcW w:w="2339" w:type="dxa"/>
            <w:tcBorders>
              <w:top w:val="single" w:sz="4" w:space="0" w:color="auto"/>
              <w:left w:val="nil"/>
              <w:bottom w:val="single" w:sz="4" w:space="0" w:color="auto"/>
              <w:right w:val="single" w:sz="4" w:space="0" w:color="auto"/>
            </w:tcBorders>
            <w:vAlign w:val="center"/>
          </w:tcPr>
          <w:p w14:paraId="221FB478" w14:textId="788A083D" w:rsidR="00A6126B" w:rsidRPr="00582880" w:rsidRDefault="00A6126B" w:rsidP="00A6126B">
            <w:pPr>
              <w:spacing w:before="240" w:after="0" w:line="360" w:lineRule="auto"/>
              <w:rPr>
                <w:rFonts w:eastAsia="Times New Roman"/>
                <w:spacing w:val="0"/>
                <w:lang w:eastAsia="es-DO"/>
              </w:rPr>
            </w:pPr>
            <w:r w:rsidRPr="00582880">
              <w:rPr>
                <w:rFonts w:eastAsia="Times New Roman"/>
                <w:spacing w:val="0"/>
                <w:lang w:eastAsia="es-DO"/>
              </w:rPr>
              <w:t>Digitalización completa del proceso de revisión del auditor técnico para contratos de obras.</w:t>
            </w:r>
          </w:p>
        </w:tc>
        <w:tc>
          <w:tcPr>
            <w:tcW w:w="851" w:type="dxa"/>
            <w:tcBorders>
              <w:top w:val="single" w:sz="4" w:space="0" w:color="auto"/>
              <w:left w:val="nil"/>
              <w:bottom w:val="single" w:sz="4" w:space="0" w:color="auto"/>
              <w:right w:val="single" w:sz="4" w:space="0" w:color="auto"/>
            </w:tcBorders>
            <w:vAlign w:val="center"/>
          </w:tcPr>
          <w:p w14:paraId="355B2EA5" w14:textId="626B06D1" w:rsidR="00A6126B" w:rsidRPr="00582880" w:rsidRDefault="00A6126B" w:rsidP="00A6126B">
            <w:pPr>
              <w:spacing w:before="240" w:after="0" w:line="360" w:lineRule="auto"/>
              <w:jc w:val="center"/>
              <w:rPr>
                <w:rFonts w:eastAsia="Times New Roman"/>
                <w:spacing w:val="0"/>
                <w:lang w:eastAsia="es-DO"/>
              </w:rPr>
            </w:pPr>
            <w:r w:rsidRPr="00582880">
              <w:rPr>
                <w:rFonts w:eastAsia="Times New Roman"/>
                <w:spacing w:val="0"/>
                <w:lang w:eastAsia="es-DO"/>
              </w:rPr>
              <w:t>100%</w:t>
            </w:r>
          </w:p>
        </w:tc>
        <w:tc>
          <w:tcPr>
            <w:tcW w:w="916" w:type="dxa"/>
            <w:tcBorders>
              <w:top w:val="single" w:sz="4" w:space="0" w:color="auto"/>
              <w:left w:val="nil"/>
              <w:bottom w:val="single" w:sz="4" w:space="0" w:color="auto"/>
              <w:right w:val="single" w:sz="4" w:space="0" w:color="auto"/>
            </w:tcBorders>
            <w:vAlign w:val="center"/>
          </w:tcPr>
          <w:p w14:paraId="3EF1671A" w14:textId="77777777" w:rsidR="00A6126B" w:rsidRPr="00582880" w:rsidRDefault="00A6126B" w:rsidP="00A6126B">
            <w:pPr>
              <w:spacing w:before="240" w:line="360" w:lineRule="auto"/>
              <w:jc w:val="center"/>
              <w:rPr>
                <w:rFonts w:eastAsia="Times New Roman"/>
                <w:spacing w:val="0"/>
                <w:lang w:eastAsia="es-DO"/>
              </w:rPr>
            </w:pPr>
          </w:p>
          <w:p w14:paraId="06193B9F" w14:textId="4E0D2EDB" w:rsidR="00A6126B" w:rsidRPr="00582880" w:rsidRDefault="00A6126B" w:rsidP="00A6126B">
            <w:pPr>
              <w:spacing w:before="240" w:after="0" w:line="360" w:lineRule="auto"/>
              <w:jc w:val="center"/>
              <w:rPr>
                <w:rFonts w:eastAsia="Times New Roman"/>
                <w:spacing w:val="0"/>
                <w:lang w:eastAsia="es-DO"/>
              </w:rPr>
            </w:pPr>
            <w:r w:rsidRPr="00582880">
              <w:rPr>
                <w:rFonts w:eastAsia="Times New Roman"/>
                <w:spacing w:val="0"/>
                <w:lang w:eastAsia="es-DO"/>
              </w:rPr>
              <w:t>N/A</w:t>
            </w:r>
          </w:p>
        </w:tc>
        <w:tc>
          <w:tcPr>
            <w:tcW w:w="2202" w:type="dxa"/>
            <w:tcBorders>
              <w:top w:val="single" w:sz="4" w:space="0" w:color="auto"/>
              <w:bottom w:val="single" w:sz="4" w:space="0" w:color="auto"/>
              <w:right w:val="single" w:sz="4" w:space="0" w:color="auto"/>
            </w:tcBorders>
          </w:tcPr>
          <w:p w14:paraId="4FF815CB" w14:textId="01DC3770" w:rsidR="00A6126B" w:rsidRPr="00582880" w:rsidRDefault="007C3396" w:rsidP="007C3396">
            <w:pPr>
              <w:spacing w:before="240" w:line="360" w:lineRule="auto"/>
              <w:rPr>
                <w:rFonts w:eastAsia="Times New Roman"/>
                <w:spacing w:val="0"/>
                <w:lang w:eastAsia="es-DO"/>
              </w:rPr>
            </w:pPr>
            <w:r w:rsidRPr="007C3396">
              <w:rPr>
                <w:rFonts w:eastAsia="Times New Roman"/>
                <w:spacing w:val="0"/>
                <w:lang w:eastAsia="es-DO"/>
              </w:rPr>
              <w:t>Reduce tiempos, estandariza revisiones y fortalece el control técnico de obras.</w:t>
            </w:r>
          </w:p>
        </w:tc>
      </w:tr>
      <w:tr w:rsidR="00A6126B" w:rsidRPr="00582880" w14:paraId="44AF3586" w14:textId="7B68E2D6" w:rsidTr="007C3396">
        <w:trPr>
          <w:trHeight w:val="1526"/>
        </w:trPr>
        <w:tc>
          <w:tcPr>
            <w:tcW w:w="1914" w:type="dxa"/>
            <w:tcBorders>
              <w:top w:val="single" w:sz="4" w:space="0" w:color="auto"/>
              <w:left w:val="single" w:sz="4" w:space="0" w:color="auto"/>
              <w:bottom w:val="single" w:sz="4" w:space="0" w:color="auto"/>
              <w:right w:val="single" w:sz="4" w:space="0" w:color="auto"/>
            </w:tcBorders>
            <w:vAlign w:val="center"/>
          </w:tcPr>
          <w:p w14:paraId="26D99F54" w14:textId="6ACB5C4D" w:rsidR="00A6126B" w:rsidRPr="00582880" w:rsidRDefault="00A6126B" w:rsidP="00A6126B">
            <w:pPr>
              <w:spacing w:before="240" w:after="0" w:line="360" w:lineRule="auto"/>
              <w:rPr>
                <w:rFonts w:eastAsia="Times New Roman"/>
                <w:b/>
                <w:bCs/>
                <w:spacing w:val="0"/>
                <w:lang w:eastAsia="es-DO"/>
              </w:rPr>
            </w:pPr>
            <w:r w:rsidRPr="00582880">
              <w:rPr>
                <w:rFonts w:eastAsia="Times New Roman"/>
                <w:b/>
                <w:bCs/>
                <w:spacing w:val="0"/>
                <w:lang w:eastAsia="es-DO"/>
              </w:rPr>
              <w:lastRenderedPageBreak/>
              <w:t>Consulta de Documentos que Sustentan el Gasto en SUGEP</w:t>
            </w:r>
          </w:p>
        </w:tc>
        <w:tc>
          <w:tcPr>
            <w:tcW w:w="2339" w:type="dxa"/>
            <w:tcBorders>
              <w:top w:val="single" w:sz="4" w:space="0" w:color="auto"/>
              <w:left w:val="nil"/>
              <w:bottom w:val="single" w:sz="4" w:space="0" w:color="auto"/>
              <w:right w:val="single" w:sz="4" w:space="0" w:color="auto"/>
            </w:tcBorders>
            <w:vAlign w:val="center"/>
          </w:tcPr>
          <w:p w14:paraId="05C21C21" w14:textId="1BCE5034" w:rsidR="00A6126B" w:rsidRPr="00582880" w:rsidRDefault="00A6126B" w:rsidP="00A6126B">
            <w:pPr>
              <w:spacing w:before="240" w:after="0" w:line="360" w:lineRule="auto"/>
              <w:rPr>
                <w:rFonts w:eastAsia="Times New Roman"/>
                <w:spacing w:val="0"/>
                <w:lang w:eastAsia="es-DO"/>
              </w:rPr>
            </w:pPr>
            <w:r w:rsidRPr="00582880">
              <w:rPr>
                <w:rFonts w:eastAsia="Times New Roman"/>
                <w:spacing w:val="0"/>
                <w:lang w:eastAsia="es-DO"/>
              </w:rPr>
              <w:t>API integrado a SIGEF que permite visualizar documentos soporte de libramientos procesados por la CGR.</w:t>
            </w:r>
          </w:p>
        </w:tc>
        <w:tc>
          <w:tcPr>
            <w:tcW w:w="851" w:type="dxa"/>
            <w:tcBorders>
              <w:top w:val="single" w:sz="4" w:space="0" w:color="auto"/>
              <w:left w:val="nil"/>
              <w:bottom w:val="single" w:sz="4" w:space="0" w:color="auto"/>
              <w:right w:val="single" w:sz="4" w:space="0" w:color="auto"/>
            </w:tcBorders>
            <w:vAlign w:val="center"/>
          </w:tcPr>
          <w:p w14:paraId="02BDE3D3" w14:textId="34D2338C" w:rsidR="00A6126B" w:rsidRPr="00582880" w:rsidRDefault="00A6126B" w:rsidP="00A6126B">
            <w:pPr>
              <w:spacing w:before="240" w:after="0" w:line="360" w:lineRule="auto"/>
              <w:jc w:val="center"/>
              <w:rPr>
                <w:rFonts w:eastAsia="Times New Roman"/>
                <w:spacing w:val="0"/>
                <w:lang w:eastAsia="es-DO"/>
              </w:rPr>
            </w:pPr>
            <w:r w:rsidRPr="00582880">
              <w:rPr>
                <w:rFonts w:eastAsia="Times New Roman"/>
                <w:spacing w:val="0"/>
                <w:lang w:eastAsia="es-DO"/>
              </w:rPr>
              <w:t>100%</w:t>
            </w:r>
          </w:p>
        </w:tc>
        <w:tc>
          <w:tcPr>
            <w:tcW w:w="916" w:type="dxa"/>
            <w:tcBorders>
              <w:top w:val="single" w:sz="4" w:space="0" w:color="auto"/>
              <w:left w:val="nil"/>
              <w:bottom w:val="single" w:sz="4" w:space="0" w:color="auto"/>
              <w:right w:val="single" w:sz="4" w:space="0" w:color="auto"/>
            </w:tcBorders>
            <w:vAlign w:val="center"/>
          </w:tcPr>
          <w:p w14:paraId="7F10448B" w14:textId="77777777" w:rsidR="00A6126B" w:rsidRPr="00582880" w:rsidRDefault="00A6126B" w:rsidP="00A6126B">
            <w:pPr>
              <w:spacing w:before="240" w:line="360" w:lineRule="auto"/>
              <w:jc w:val="center"/>
              <w:rPr>
                <w:rFonts w:eastAsia="Times New Roman"/>
                <w:spacing w:val="0"/>
                <w:lang w:eastAsia="es-DO"/>
              </w:rPr>
            </w:pPr>
          </w:p>
          <w:p w14:paraId="49D9D438" w14:textId="7BEEE346" w:rsidR="00A6126B" w:rsidRPr="00582880" w:rsidRDefault="00A6126B" w:rsidP="00A6126B">
            <w:pPr>
              <w:spacing w:before="240" w:after="0" w:line="360" w:lineRule="auto"/>
              <w:jc w:val="center"/>
              <w:rPr>
                <w:rFonts w:eastAsia="Times New Roman"/>
                <w:spacing w:val="0"/>
                <w:lang w:eastAsia="es-DO"/>
              </w:rPr>
            </w:pPr>
            <w:r w:rsidRPr="00582880">
              <w:rPr>
                <w:rFonts w:eastAsia="Times New Roman"/>
                <w:spacing w:val="0"/>
                <w:lang w:eastAsia="es-DO"/>
              </w:rPr>
              <w:t>N/A</w:t>
            </w:r>
          </w:p>
        </w:tc>
        <w:tc>
          <w:tcPr>
            <w:tcW w:w="2202" w:type="dxa"/>
            <w:tcBorders>
              <w:top w:val="single" w:sz="4" w:space="0" w:color="auto"/>
              <w:bottom w:val="single" w:sz="4" w:space="0" w:color="auto"/>
              <w:right w:val="single" w:sz="4" w:space="0" w:color="auto"/>
            </w:tcBorders>
          </w:tcPr>
          <w:p w14:paraId="01D320A2" w14:textId="1B419418" w:rsidR="00A6126B" w:rsidRPr="00582880" w:rsidRDefault="007C3396" w:rsidP="007C3396">
            <w:pPr>
              <w:spacing w:before="240" w:line="360" w:lineRule="auto"/>
              <w:rPr>
                <w:rFonts w:eastAsia="Times New Roman"/>
                <w:spacing w:val="0"/>
                <w:lang w:eastAsia="es-DO"/>
              </w:rPr>
            </w:pPr>
            <w:r w:rsidRPr="007C3396">
              <w:rPr>
                <w:rFonts w:eastAsia="Times New Roman"/>
                <w:spacing w:val="0"/>
                <w:lang w:eastAsia="es-DO"/>
              </w:rPr>
              <w:t>Conecta procesos entre instituciones y mejora la trazabilidad del gasto público.</w:t>
            </w:r>
          </w:p>
        </w:tc>
      </w:tr>
      <w:tr w:rsidR="00A6126B" w:rsidRPr="00582880" w14:paraId="761EFEE4" w14:textId="1B97A81E" w:rsidTr="007C3396">
        <w:trPr>
          <w:trHeight w:val="1757"/>
        </w:trPr>
        <w:tc>
          <w:tcPr>
            <w:tcW w:w="1914" w:type="dxa"/>
            <w:tcBorders>
              <w:top w:val="single" w:sz="4" w:space="0" w:color="auto"/>
              <w:left w:val="single" w:sz="4" w:space="0" w:color="auto"/>
              <w:bottom w:val="single" w:sz="4" w:space="0" w:color="auto"/>
              <w:right w:val="single" w:sz="4" w:space="0" w:color="auto"/>
            </w:tcBorders>
            <w:vAlign w:val="center"/>
          </w:tcPr>
          <w:p w14:paraId="66DCCD9F" w14:textId="717B38FB" w:rsidR="00A6126B" w:rsidRPr="00582880" w:rsidRDefault="00A6126B" w:rsidP="00A6126B">
            <w:pPr>
              <w:spacing w:before="240" w:after="0" w:line="360" w:lineRule="auto"/>
              <w:rPr>
                <w:rFonts w:eastAsia="Times New Roman"/>
                <w:b/>
                <w:bCs/>
                <w:spacing w:val="0"/>
                <w:lang w:eastAsia="es-DO"/>
              </w:rPr>
            </w:pPr>
            <w:r w:rsidRPr="00582880">
              <w:rPr>
                <w:rFonts w:eastAsia="Times New Roman"/>
                <w:b/>
                <w:bCs/>
                <w:spacing w:val="0"/>
                <w:lang w:eastAsia="es-DO"/>
              </w:rPr>
              <w:t>Implementación de Firma Digital en SIGEF como Unidad Ejecutora</w:t>
            </w:r>
          </w:p>
        </w:tc>
        <w:tc>
          <w:tcPr>
            <w:tcW w:w="2339" w:type="dxa"/>
            <w:tcBorders>
              <w:top w:val="single" w:sz="4" w:space="0" w:color="auto"/>
              <w:left w:val="nil"/>
              <w:bottom w:val="single" w:sz="4" w:space="0" w:color="auto"/>
              <w:right w:val="single" w:sz="4" w:space="0" w:color="auto"/>
            </w:tcBorders>
            <w:vAlign w:val="center"/>
          </w:tcPr>
          <w:p w14:paraId="3FC9392F" w14:textId="1F45EAC0" w:rsidR="00A6126B" w:rsidRPr="00582880" w:rsidRDefault="00A6126B" w:rsidP="00A6126B">
            <w:pPr>
              <w:spacing w:before="240" w:after="0" w:line="360" w:lineRule="auto"/>
              <w:rPr>
                <w:rFonts w:eastAsia="Times New Roman"/>
                <w:spacing w:val="0"/>
                <w:lang w:eastAsia="es-DO"/>
              </w:rPr>
            </w:pPr>
            <w:r w:rsidRPr="00582880">
              <w:rPr>
                <w:rFonts w:eastAsia="Times New Roman"/>
                <w:spacing w:val="0"/>
                <w:lang w:eastAsia="es-DO"/>
              </w:rPr>
              <w:t>Integración de la firma digital de la MAE para procesos en SIGEF.</w:t>
            </w:r>
          </w:p>
        </w:tc>
        <w:tc>
          <w:tcPr>
            <w:tcW w:w="851" w:type="dxa"/>
            <w:tcBorders>
              <w:top w:val="single" w:sz="4" w:space="0" w:color="auto"/>
              <w:left w:val="nil"/>
              <w:bottom w:val="single" w:sz="4" w:space="0" w:color="auto"/>
              <w:right w:val="single" w:sz="4" w:space="0" w:color="auto"/>
            </w:tcBorders>
            <w:vAlign w:val="center"/>
          </w:tcPr>
          <w:p w14:paraId="25A3938C" w14:textId="584B7B13" w:rsidR="00A6126B" w:rsidRPr="00582880" w:rsidRDefault="00A6126B" w:rsidP="00A6126B">
            <w:pPr>
              <w:spacing w:before="240" w:after="0" w:line="360" w:lineRule="auto"/>
              <w:jc w:val="center"/>
              <w:rPr>
                <w:rFonts w:eastAsia="Times New Roman"/>
                <w:spacing w:val="0"/>
                <w:lang w:eastAsia="es-DO"/>
              </w:rPr>
            </w:pPr>
            <w:r w:rsidRPr="00582880">
              <w:rPr>
                <w:rFonts w:eastAsia="Times New Roman"/>
                <w:spacing w:val="0"/>
                <w:lang w:eastAsia="es-DO"/>
              </w:rPr>
              <w:t>100%</w:t>
            </w:r>
          </w:p>
        </w:tc>
        <w:tc>
          <w:tcPr>
            <w:tcW w:w="916" w:type="dxa"/>
            <w:tcBorders>
              <w:top w:val="single" w:sz="4" w:space="0" w:color="auto"/>
              <w:left w:val="nil"/>
              <w:bottom w:val="single" w:sz="4" w:space="0" w:color="auto"/>
              <w:right w:val="single" w:sz="4" w:space="0" w:color="auto"/>
            </w:tcBorders>
            <w:vAlign w:val="center"/>
          </w:tcPr>
          <w:p w14:paraId="62BD7200" w14:textId="77777777" w:rsidR="00A6126B" w:rsidRPr="00582880" w:rsidRDefault="00A6126B" w:rsidP="00A6126B">
            <w:pPr>
              <w:spacing w:before="240" w:line="360" w:lineRule="auto"/>
              <w:jc w:val="center"/>
              <w:rPr>
                <w:rFonts w:eastAsia="Times New Roman"/>
                <w:spacing w:val="0"/>
                <w:lang w:eastAsia="es-DO"/>
              </w:rPr>
            </w:pPr>
          </w:p>
          <w:p w14:paraId="0F6022AD" w14:textId="4A215354" w:rsidR="00A6126B" w:rsidRPr="00582880" w:rsidRDefault="00A6126B" w:rsidP="00A6126B">
            <w:pPr>
              <w:spacing w:before="240" w:line="360" w:lineRule="auto"/>
              <w:jc w:val="center"/>
              <w:rPr>
                <w:rFonts w:eastAsia="Times New Roman"/>
                <w:spacing w:val="0"/>
                <w:lang w:eastAsia="es-DO"/>
              </w:rPr>
            </w:pPr>
            <w:r w:rsidRPr="00582880">
              <w:rPr>
                <w:rFonts w:eastAsia="Times New Roman"/>
                <w:spacing w:val="0"/>
                <w:lang w:eastAsia="es-DO"/>
              </w:rPr>
              <w:t>N/A</w:t>
            </w:r>
          </w:p>
        </w:tc>
        <w:tc>
          <w:tcPr>
            <w:tcW w:w="2202" w:type="dxa"/>
            <w:tcBorders>
              <w:top w:val="single" w:sz="4" w:space="0" w:color="auto"/>
              <w:bottom w:val="single" w:sz="4" w:space="0" w:color="auto"/>
              <w:right w:val="single" w:sz="4" w:space="0" w:color="auto"/>
            </w:tcBorders>
          </w:tcPr>
          <w:p w14:paraId="24194265" w14:textId="35C47B1E" w:rsidR="00A6126B" w:rsidRPr="00582880" w:rsidRDefault="007C3396" w:rsidP="007C3396">
            <w:pPr>
              <w:spacing w:before="240" w:line="360" w:lineRule="auto"/>
              <w:rPr>
                <w:rFonts w:eastAsia="Times New Roman"/>
                <w:spacing w:val="0"/>
                <w:lang w:eastAsia="es-DO"/>
              </w:rPr>
            </w:pPr>
            <w:r w:rsidRPr="007C3396">
              <w:rPr>
                <w:rFonts w:eastAsia="Times New Roman"/>
                <w:spacing w:val="0"/>
                <w:lang w:eastAsia="es-DO"/>
              </w:rPr>
              <w:t>Garantiza autenticidad, seguridad y agilización de los procesos de ejecución presupuestaria.</w:t>
            </w:r>
          </w:p>
        </w:tc>
      </w:tr>
      <w:tr w:rsidR="00A6126B" w:rsidRPr="00582880" w14:paraId="7F6986E2" w14:textId="7814EFB5" w:rsidTr="007C3396">
        <w:trPr>
          <w:trHeight w:val="1757"/>
        </w:trPr>
        <w:tc>
          <w:tcPr>
            <w:tcW w:w="1914" w:type="dxa"/>
            <w:tcBorders>
              <w:top w:val="single" w:sz="4" w:space="0" w:color="auto"/>
              <w:left w:val="single" w:sz="4" w:space="0" w:color="auto"/>
              <w:bottom w:val="single" w:sz="4" w:space="0" w:color="auto"/>
              <w:right w:val="single" w:sz="4" w:space="0" w:color="auto"/>
            </w:tcBorders>
            <w:vAlign w:val="center"/>
          </w:tcPr>
          <w:p w14:paraId="72F2E956" w14:textId="7B86904F" w:rsidR="00A6126B" w:rsidRPr="00582880" w:rsidRDefault="00A6126B" w:rsidP="00A6126B">
            <w:pPr>
              <w:spacing w:before="240" w:after="0" w:line="360" w:lineRule="auto"/>
              <w:rPr>
                <w:rFonts w:eastAsia="Times New Roman"/>
                <w:b/>
                <w:bCs/>
                <w:spacing w:val="0"/>
                <w:lang w:eastAsia="es-DO"/>
              </w:rPr>
            </w:pPr>
            <w:r w:rsidRPr="00582880">
              <w:rPr>
                <w:rFonts w:eastAsia="Times New Roman"/>
                <w:b/>
                <w:bCs/>
                <w:spacing w:val="0"/>
                <w:lang w:eastAsia="es-DO"/>
              </w:rPr>
              <w:t>Indicador 3 del Sistema ICI</w:t>
            </w:r>
          </w:p>
        </w:tc>
        <w:tc>
          <w:tcPr>
            <w:tcW w:w="2339" w:type="dxa"/>
            <w:tcBorders>
              <w:top w:val="single" w:sz="4" w:space="0" w:color="auto"/>
              <w:left w:val="nil"/>
              <w:bottom w:val="single" w:sz="4" w:space="0" w:color="auto"/>
              <w:right w:val="single" w:sz="4" w:space="0" w:color="auto"/>
            </w:tcBorders>
            <w:vAlign w:val="center"/>
          </w:tcPr>
          <w:p w14:paraId="6BEE8B24" w14:textId="745B1BE2" w:rsidR="00A6126B" w:rsidRPr="00582880" w:rsidRDefault="00A6126B" w:rsidP="00A6126B">
            <w:pPr>
              <w:spacing w:before="240" w:after="0" w:line="360" w:lineRule="auto"/>
              <w:rPr>
                <w:rFonts w:eastAsia="Times New Roman"/>
                <w:spacing w:val="0"/>
                <w:lang w:eastAsia="es-DO"/>
              </w:rPr>
            </w:pPr>
            <w:r w:rsidRPr="00582880">
              <w:rPr>
                <w:rFonts w:eastAsia="Times New Roman"/>
                <w:spacing w:val="0"/>
                <w:lang w:eastAsia="es-DO"/>
              </w:rPr>
              <w:t>Módulo para la realización y seguimiento de auditorías a instituciones públicas.</w:t>
            </w:r>
          </w:p>
        </w:tc>
        <w:tc>
          <w:tcPr>
            <w:tcW w:w="851" w:type="dxa"/>
            <w:tcBorders>
              <w:top w:val="single" w:sz="4" w:space="0" w:color="auto"/>
              <w:left w:val="nil"/>
              <w:bottom w:val="single" w:sz="4" w:space="0" w:color="auto"/>
              <w:right w:val="single" w:sz="4" w:space="0" w:color="auto"/>
            </w:tcBorders>
            <w:vAlign w:val="center"/>
          </w:tcPr>
          <w:p w14:paraId="395CCA81" w14:textId="6649B099" w:rsidR="00A6126B" w:rsidRPr="00582880" w:rsidRDefault="00A6126B" w:rsidP="00A6126B">
            <w:pPr>
              <w:spacing w:before="240" w:after="0" w:line="360" w:lineRule="auto"/>
              <w:jc w:val="center"/>
              <w:rPr>
                <w:rFonts w:eastAsia="Times New Roman"/>
                <w:spacing w:val="0"/>
                <w:lang w:eastAsia="es-DO"/>
              </w:rPr>
            </w:pPr>
            <w:r w:rsidRPr="00582880">
              <w:rPr>
                <w:rFonts w:eastAsia="Times New Roman"/>
                <w:spacing w:val="0"/>
                <w:lang w:eastAsia="es-DO"/>
              </w:rPr>
              <w:t>100%</w:t>
            </w:r>
          </w:p>
        </w:tc>
        <w:tc>
          <w:tcPr>
            <w:tcW w:w="916" w:type="dxa"/>
            <w:tcBorders>
              <w:top w:val="single" w:sz="4" w:space="0" w:color="auto"/>
              <w:left w:val="nil"/>
              <w:bottom w:val="single" w:sz="4" w:space="0" w:color="auto"/>
              <w:right w:val="single" w:sz="4" w:space="0" w:color="auto"/>
            </w:tcBorders>
            <w:vAlign w:val="center"/>
          </w:tcPr>
          <w:p w14:paraId="3408D565" w14:textId="77777777" w:rsidR="00A6126B" w:rsidRPr="00582880" w:rsidRDefault="00A6126B" w:rsidP="00A6126B">
            <w:pPr>
              <w:spacing w:before="240" w:line="360" w:lineRule="auto"/>
              <w:jc w:val="center"/>
              <w:rPr>
                <w:rFonts w:eastAsia="Times New Roman"/>
                <w:spacing w:val="0"/>
                <w:lang w:eastAsia="es-DO"/>
              </w:rPr>
            </w:pPr>
          </w:p>
          <w:p w14:paraId="37D19C64" w14:textId="51EF482D" w:rsidR="00A6126B" w:rsidRPr="00582880" w:rsidRDefault="00A6126B" w:rsidP="00A6126B">
            <w:pPr>
              <w:spacing w:before="240" w:line="360" w:lineRule="auto"/>
              <w:jc w:val="center"/>
              <w:rPr>
                <w:rFonts w:eastAsia="Times New Roman"/>
                <w:spacing w:val="0"/>
                <w:lang w:eastAsia="es-DO"/>
              </w:rPr>
            </w:pPr>
            <w:r w:rsidRPr="00582880">
              <w:rPr>
                <w:rFonts w:eastAsia="Times New Roman"/>
                <w:spacing w:val="0"/>
                <w:lang w:eastAsia="es-DO"/>
              </w:rPr>
              <w:t>N/A</w:t>
            </w:r>
          </w:p>
        </w:tc>
        <w:tc>
          <w:tcPr>
            <w:tcW w:w="2202" w:type="dxa"/>
            <w:tcBorders>
              <w:top w:val="single" w:sz="4" w:space="0" w:color="auto"/>
              <w:bottom w:val="single" w:sz="4" w:space="0" w:color="auto"/>
              <w:right w:val="single" w:sz="4" w:space="0" w:color="auto"/>
            </w:tcBorders>
          </w:tcPr>
          <w:p w14:paraId="563CFCD9" w14:textId="31E27836" w:rsidR="00A6126B" w:rsidRPr="00582880" w:rsidRDefault="007C3396" w:rsidP="007C3396">
            <w:pPr>
              <w:spacing w:before="240" w:line="360" w:lineRule="auto"/>
              <w:rPr>
                <w:rFonts w:eastAsia="Times New Roman"/>
                <w:spacing w:val="0"/>
                <w:lang w:eastAsia="es-DO"/>
              </w:rPr>
            </w:pPr>
            <w:r w:rsidRPr="007C3396">
              <w:rPr>
                <w:rFonts w:eastAsia="Times New Roman"/>
                <w:spacing w:val="0"/>
                <w:lang w:eastAsia="es-DO"/>
              </w:rPr>
              <w:t>Mejora el monitoreo del cumplimiento de las NOBACI y estandariza el proceso auditor.</w:t>
            </w:r>
          </w:p>
        </w:tc>
      </w:tr>
      <w:tr w:rsidR="00A6126B" w:rsidRPr="00582880" w14:paraId="732C6A8B" w14:textId="7CBCE1AD" w:rsidTr="007C3396">
        <w:trPr>
          <w:trHeight w:val="676"/>
        </w:trPr>
        <w:tc>
          <w:tcPr>
            <w:tcW w:w="1914" w:type="dxa"/>
            <w:tcBorders>
              <w:top w:val="single" w:sz="4" w:space="0" w:color="auto"/>
              <w:left w:val="single" w:sz="4" w:space="0" w:color="auto"/>
              <w:bottom w:val="single" w:sz="4" w:space="0" w:color="auto"/>
              <w:right w:val="single" w:sz="4" w:space="0" w:color="auto"/>
            </w:tcBorders>
            <w:vAlign w:val="center"/>
          </w:tcPr>
          <w:p w14:paraId="0651D220" w14:textId="63B0C0EF" w:rsidR="00A6126B" w:rsidRPr="00582880" w:rsidRDefault="00A6126B" w:rsidP="00A6126B">
            <w:pPr>
              <w:spacing w:before="240" w:after="0" w:line="360" w:lineRule="auto"/>
              <w:rPr>
                <w:rFonts w:eastAsia="Times New Roman"/>
                <w:b/>
                <w:bCs/>
                <w:spacing w:val="0"/>
                <w:lang w:eastAsia="es-DO"/>
              </w:rPr>
            </w:pPr>
            <w:r w:rsidRPr="00582880">
              <w:rPr>
                <w:rFonts w:eastAsia="Times New Roman"/>
                <w:b/>
                <w:bCs/>
                <w:spacing w:val="0"/>
                <w:lang w:eastAsia="es-DO"/>
              </w:rPr>
              <w:t>Landing Page SIFGO</w:t>
            </w:r>
          </w:p>
        </w:tc>
        <w:tc>
          <w:tcPr>
            <w:tcW w:w="2339" w:type="dxa"/>
            <w:tcBorders>
              <w:top w:val="single" w:sz="4" w:space="0" w:color="auto"/>
              <w:left w:val="nil"/>
              <w:bottom w:val="single" w:sz="4" w:space="0" w:color="auto"/>
              <w:right w:val="single" w:sz="4" w:space="0" w:color="auto"/>
            </w:tcBorders>
            <w:vAlign w:val="center"/>
          </w:tcPr>
          <w:p w14:paraId="0BF6CF8C" w14:textId="0EE681D2" w:rsidR="00A6126B" w:rsidRPr="00582880" w:rsidRDefault="00A6126B" w:rsidP="00A6126B">
            <w:pPr>
              <w:spacing w:before="240" w:after="0" w:line="360" w:lineRule="auto"/>
              <w:rPr>
                <w:rFonts w:eastAsia="Times New Roman"/>
                <w:spacing w:val="0"/>
                <w:lang w:eastAsia="es-DO"/>
              </w:rPr>
            </w:pPr>
            <w:r w:rsidRPr="00582880">
              <w:rPr>
                <w:rFonts w:eastAsia="Times New Roman"/>
                <w:spacing w:val="0"/>
                <w:lang w:eastAsia="es-DO"/>
              </w:rPr>
              <w:t xml:space="preserve">Página de acceso y redirección para la visualización de obras públicas, alineada al Sistema de Información </w:t>
            </w:r>
            <w:r w:rsidRPr="00582880">
              <w:rPr>
                <w:rFonts w:eastAsia="Times New Roman"/>
                <w:spacing w:val="0"/>
                <w:lang w:eastAsia="es-DO"/>
              </w:rPr>
              <w:lastRenderedPageBreak/>
              <w:t>Financiera y de Gestión de Obras.</w:t>
            </w:r>
          </w:p>
        </w:tc>
        <w:tc>
          <w:tcPr>
            <w:tcW w:w="851" w:type="dxa"/>
            <w:tcBorders>
              <w:top w:val="single" w:sz="4" w:space="0" w:color="auto"/>
              <w:left w:val="nil"/>
              <w:bottom w:val="single" w:sz="4" w:space="0" w:color="auto"/>
              <w:right w:val="single" w:sz="4" w:space="0" w:color="auto"/>
            </w:tcBorders>
            <w:vAlign w:val="center"/>
          </w:tcPr>
          <w:p w14:paraId="1684F0FF" w14:textId="3C0F0578" w:rsidR="00A6126B" w:rsidRPr="00582880" w:rsidRDefault="00A6126B" w:rsidP="00A6126B">
            <w:pPr>
              <w:spacing w:before="240" w:after="0" w:line="360" w:lineRule="auto"/>
              <w:jc w:val="center"/>
              <w:rPr>
                <w:rFonts w:eastAsia="Times New Roman"/>
                <w:spacing w:val="0"/>
                <w:lang w:eastAsia="es-DO"/>
              </w:rPr>
            </w:pPr>
            <w:r w:rsidRPr="00582880">
              <w:rPr>
                <w:rFonts w:eastAsia="Times New Roman"/>
                <w:spacing w:val="0"/>
                <w:lang w:eastAsia="es-DO"/>
              </w:rPr>
              <w:lastRenderedPageBreak/>
              <w:t>100%</w:t>
            </w:r>
          </w:p>
        </w:tc>
        <w:tc>
          <w:tcPr>
            <w:tcW w:w="916" w:type="dxa"/>
            <w:tcBorders>
              <w:top w:val="single" w:sz="4" w:space="0" w:color="auto"/>
              <w:left w:val="nil"/>
              <w:bottom w:val="single" w:sz="4" w:space="0" w:color="auto"/>
              <w:right w:val="single" w:sz="4" w:space="0" w:color="auto"/>
            </w:tcBorders>
            <w:vAlign w:val="center"/>
          </w:tcPr>
          <w:p w14:paraId="27519E91" w14:textId="77777777" w:rsidR="00A6126B" w:rsidRPr="00582880" w:rsidRDefault="00A6126B" w:rsidP="00A6126B">
            <w:pPr>
              <w:spacing w:before="240" w:line="360" w:lineRule="auto"/>
              <w:jc w:val="center"/>
              <w:rPr>
                <w:rFonts w:eastAsia="Times New Roman"/>
                <w:spacing w:val="0"/>
                <w:lang w:eastAsia="es-DO"/>
              </w:rPr>
            </w:pPr>
          </w:p>
          <w:p w14:paraId="051E36E4" w14:textId="19BFBE82" w:rsidR="00A6126B" w:rsidRPr="00582880" w:rsidRDefault="00A6126B" w:rsidP="00A6126B">
            <w:pPr>
              <w:spacing w:before="240" w:line="360" w:lineRule="auto"/>
              <w:jc w:val="center"/>
              <w:rPr>
                <w:rFonts w:eastAsia="Times New Roman"/>
                <w:spacing w:val="0"/>
                <w:lang w:eastAsia="es-DO"/>
              </w:rPr>
            </w:pPr>
            <w:r w:rsidRPr="00582880">
              <w:rPr>
                <w:rFonts w:eastAsia="Times New Roman"/>
                <w:spacing w:val="0"/>
                <w:lang w:eastAsia="es-DO"/>
              </w:rPr>
              <w:t>N/A</w:t>
            </w:r>
          </w:p>
        </w:tc>
        <w:tc>
          <w:tcPr>
            <w:tcW w:w="2202" w:type="dxa"/>
            <w:tcBorders>
              <w:top w:val="single" w:sz="4" w:space="0" w:color="auto"/>
              <w:bottom w:val="single" w:sz="4" w:space="0" w:color="auto"/>
              <w:right w:val="single" w:sz="4" w:space="0" w:color="auto"/>
            </w:tcBorders>
          </w:tcPr>
          <w:p w14:paraId="752AA9AC" w14:textId="5AB0D8C0" w:rsidR="00A6126B" w:rsidRPr="00582880" w:rsidRDefault="007C3396" w:rsidP="007C3396">
            <w:pPr>
              <w:spacing w:before="240" w:line="360" w:lineRule="auto"/>
              <w:rPr>
                <w:rFonts w:eastAsia="Times New Roman"/>
                <w:spacing w:val="0"/>
                <w:lang w:eastAsia="es-DO"/>
              </w:rPr>
            </w:pPr>
            <w:r w:rsidRPr="007C3396">
              <w:rPr>
                <w:rFonts w:eastAsia="Times New Roman"/>
                <w:spacing w:val="0"/>
                <w:lang w:eastAsia="es-DO"/>
              </w:rPr>
              <w:t>Facilita la consulta pública y fortalece la transparencia sobre el gasto en infraestructura.</w:t>
            </w:r>
          </w:p>
        </w:tc>
      </w:tr>
      <w:tr w:rsidR="00A6126B" w:rsidRPr="00582880" w14:paraId="4B5920E7" w14:textId="00BC2732" w:rsidTr="007C3396">
        <w:trPr>
          <w:trHeight w:val="1757"/>
        </w:trPr>
        <w:tc>
          <w:tcPr>
            <w:tcW w:w="1914" w:type="dxa"/>
            <w:tcBorders>
              <w:top w:val="single" w:sz="4" w:space="0" w:color="auto"/>
              <w:left w:val="single" w:sz="4" w:space="0" w:color="auto"/>
              <w:bottom w:val="single" w:sz="4" w:space="0" w:color="auto"/>
              <w:right w:val="single" w:sz="4" w:space="0" w:color="auto"/>
            </w:tcBorders>
            <w:vAlign w:val="center"/>
          </w:tcPr>
          <w:p w14:paraId="7078B097" w14:textId="6BFC4E7A" w:rsidR="00A6126B" w:rsidRPr="00582880" w:rsidRDefault="00A6126B" w:rsidP="00A6126B">
            <w:pPr>
              <w:spacing w:before="240" w:after="0" w:line="360" w:lineRule="auto"/>
              <w:rPr>
                <w:rFonts w:eastAsia="Times New Roman"/>
                <w:b/>
                <w:bCs/>
                <w:spacing w:val="0"/>
                <w:lang w:eastAsia="es-DO"/>
              </w:rPr>
            </w:pPr>
            <w:r w:rsidRPr="00582880">
              <w:rPr>
                <w:rFonts w:eastAsia="Times New Roman"/>
                <w:b/>
                <w:bCs/>
                <w:spacing w:val="0"/>
                <w:lang w:eastAsia="es-DO"/>
              </w:rPr>
              <w:t>Histórico de Base de Datos</w:t>
            </w:r>
          </w:p>
        </w:tc>
        <w:tc>
          <w:tcPr>
            <w:tcW w:w="2339" w:type="dxa"/>
            <w:tcBorders>
              <w:top w:val="single" w:sz="4" w:space="0" w:color="auto"/>
              <w:left w:val="nil"/>
              <w:bottom w:val="single" w:sz="4" w:space="0" w:color="auto"/>
              <w:right w:val="single" w:sz="4" w:space="0" w:color="auto"/>
            </w:tcBorders>
            <w:vAlign w:val="center"/>
          </w:tcPr>
          <w:p w14:paraId="611B7EA0" w14:textId="495B8E13" w:rsidR="00A6126B" w:rsidRPr="00582880" w:rsidRDefault="00A6126B" w:rsidP="00A6126B">
            <w:pPr>
              <w:spacing w:before="240" w:after="0" w:line="360" w:lineRule="auto"/>
              <w:rPr>
                <w:rFonts w:eastAsia="Times New Roman"/>
                <w:spacing w:val="0"/>
                <w:lang w:eastAsia="es-DO"/>
              </w:rPr>
            </w:pPr>
            <w:r w:rsidRPr="00582880">
              <w:rPr>
                <w:rFonts w:eastAsia="Times New Roman"/>
                <w:spacing w:val="0"/>
                <w:lang w:eastAsia="es-DO"/>
              </w:rPr>
              <w:t>Proyecto para asegurar que el acceso y la integridad de los datos históricos de las bases de datos se mantengan después de una migración o actualización.</w:t>
            </w:r>
          </w:p>
        </w:tc>
        <w:tc>
          <w:tcPr>
            <w:tcW w:w="851" w:type="dxa"/>
            <w:tcBorders>
              <w:top w:val="single" w:sz="4" w:space="0" w:color="auto"/>
              <w:left w:val="nil"/>
              <w:bottom w:val="single" w:sz="4" w:space="0" w:color="auto"/>
              <w:right w:val="single" w:sz="4" w:space="0" w:color="auto"/>
            </w:tcBorders>
            <w:vAlign w:val="center"/>
          </w:tcPr>
          <w:p w14:paraId="586658C6" w14:textId="77777777" w:rsidR="00A6126B" w:rsidRPr="00582880" w:rsidRDefault="00A6126B" w:rsidP="00A6126B">
            <w:pPr>
              <w:spacing w:before="240" w:line="360" w:lineRule="auto"/>
              <w:jc w:val="center"/>
              <w:rPr>
                <w:rFonts w:eastAsia="Times New Roman"/>
                <w:spacing w:val="0"/>
                <w:lang w:eastAsia="es-DO"/>
              </w:rPr>
            </w:pPr>
          </w:p>
          <w:p w14:paraId="76D59E02" w14:textId="6C7674A7" w:rsidR="00A6126B" w:rsidRPr="00582880" w:rsidRDefault="00A6126B" w:rsidP="00A6126B">
            <w:pPr>
              <w:spacing w:before="240" w:after="0" w:line="360" w:lineRule="auto"/>
              <w:jc w:val="center"/>
              <w:rPr>
                <w:rFonts w:eastAsia="Times New Roman"/>
                <w:spacing w:val="0"/>
                <w:lang w:eastAsia="es-DO"/>
              </w:rPr>
            </w:pPr>
            <w:r w:rsidRPr="00582880">
              <w:rPr>
                <w:rFonts w:eastAsia="Times New Roman"/>
                <w:spacing w:val="0"/>
                <w:lang w:eastAsia="es-DO"/>
              </w:rPr>
              <w:t>100%</w:t>
            </w:r>
          </w:p>
        </w:tc>
        <w:tc>
          <w:tcPr>
            <w:tcW w:w="916" w:type="dxa"/>
            <w:tcBorders>
              <w:top w:val="single" w:sz="4" w:space="0" w:color="auto"/>
              <w:left w:val="nil"/>
              <w:bottom w:val="single" w:sz="4" w:space="0" w:color="auto"/>
              <w:right w:val="single" w:sz="4" w:space="0" w:color="auto"/>
            </w:tcBorders>
            <w:vAlign w:val="center"/>
          </w:tcPr>
          <w:p w14:paraId="176622B5" w14:textId="77777777" w:rsidR="00A6126B" w:rsidRPr="00582880" w:rsidRDefault="00A6126B" w:rsidP="00A6126B">
            <w:pPr>
              <w:spacing w:before="240" w:line="360" w:lineRule="auto"/>
              <w:jc w:val="center"/>
              <w:rPr>
                <w:rFonts w:eastAsia="Times New Roman"/>
                <w:spacing w:val="0"/>
                <w:lang w:eastAsia="es-DO"/>
              </w:rPr>
            </w:pPr>
          </w:p>
          <w:p w14:paraId="7C1BA36A" w14:textId="061E82A0" w:rsidR="00A6126B" w:rsidRPr="00582880" w:rsidRDefault="00A6126B" w:rsidP="00A6126B">
            <w:pPr>
              <w:spacing w:before="240" w:line="360" w:lineRule="auto"/>
              <w:jc w:val="center"/>
              <w:rPr>
                <w:rFonts w:eastAsia="Times New Roman"/>
                <w:spacing w:val="0"/>
                <w:lang w:eastAsia="es-DO"/>
              </w:rPr>
            </w:pPr>
            <w:r w:rsidRPr="00582880">
              <w:rPr>
                <w:rFonts w:eastAsia="Times New Roman"/>
                <w:spacing w:val="0"/>
                <w:lang w:eastAsia="es-DO"/>
              </w:rPr>
              <w:t>N/A</w:t>
            </w:r>
          </w:p>
        </w:tc>
        <w:tc>
          <w:tcPr>
            <w:tcW w:w="2202" w:type="dxa"/>
            <w:tcBorders>
              <w:top w:val="single" w:sz="4" w:space="0" w:color="auto"/>
              <w:bottom w:val="single" w:sz="4" w:space="0" w:color="auto"/>
              <w:right w:val="single" w:sz="4" w:space="0" w:color="auto"/>
            </w:tcBorders>
          </w:tcPr>
          <w:p w14:paraId="4D385871" w14:textId="0E6F3E21" w:rsidR="00A6126B" w:rsidRPr="00582880" w:rsidRDefault="007C3396" w:rsidP="007C3396">
            <w:pPr>
              <w:spacing w:before="240" w:line="360" w:lineRule="auto"/>
              <w:rPr>
                <w:rFonts w:eastAsia="Times New Roman"/>
                <w:spacing w:val="0"/>
                <w:lang w:eastAsia="es-DO"/>
              </w:rPr>
            </w:pPr>
            <w:r w:rsidRPr="007C3396">
              <w:rPr>
                <w:rFonts w:eastAsia="Times New Roman"/>
                <w:spacing w:val="0"/>
                <w:lang w:eastAsia="es-DO"/>
              </w:rPr>
              <w:t>Crítico. Preservación de la información vital para auditorías, reportes y análisis históricos.</w:t>
            </w:r>
          </w:p>
        </w:tc>
      </w:tr>
      <w:tr w:rsidR="00A6126B" w:rsidRPr="00582880" w14:paraId="53FF85FB" w14:textId="05A5D87F" w:rsidTr="007C3396">
        <w:trPr>
          <w:trHeight w:val="1279"/>
        </w:trPr>
        <w:tc>
          <w:tcPr>
            <w:tcW w:w="1914" w:type="dxa"/>
            <w:tcBorders>
              <w:top w:val="single" w:sz="4" w:space="0" w:color="auto"/>
              <w:left w:val="single" w:sz="4" w:space="0" w:color="auto"/>
              <w:bottom w:val="single" w:sz="4" w:space="0" w:color="auto"/>
              <w:right w:val="single" w:sz="4" w:space="0" w:color="auto"/>
            </w:tcBorders>
            <w:vAlign w:val="center"/>
          </w:tcPr>
          <w:p w14:paraId="6A6858E2" w14:textId="5B85F7A2" w:rsidR="00A6126B" w:rsidRPr="00582880" w:rsidRDefault="00A6126B" w:rsidP="00A6126B">
            <w:pPr>
              <w:spacing w:after="0" w:line="360" w:lineRule="auto"/>
              <w:rPr>
                <w:rFonts w:eastAsia="Times New Roman"/>
                <w:b/>
                <w:bCs/>
                <w:spacing w:val="0"/>
                <w:lang w:eastAsia="es-DO"/>
              </w:rPr>
            </w:pPr>
            <w:r w:rsidRPr="00582880">
              <w:rPr>
                <w:rFonts w:eastAsia="Times New Roman"/>
                <w:b/>
                <w:bCs/>
                <w:spacing w:val="0"/>
                <w:lang w:eastAsia="es-DO"/>
              </w:rPr>
              <w:t>Sorteo Electrónico CGR 2025</w:t>
            </w:r>
          </w:p>
        </w:tc>
        <w:tc>
          <w:tcPr>
            <w:tcW w:w="2339" w:type="dxa"/>
            <w:tcBorders>
              <w:top w:val="single" w:sz="4" w:space="0" w:color="auto"/>
              <w:left w:val="nil"/>
              <w:bottom w:val="single" w:sz="4" w:space="0" w:color="auto"/>
              <w:right w:val="single" w:sz="4" w:space="0" w:color="auto"/>
            </w:tcBorders>
            <w:vAlign w:val="center"/>
          </w:tcPr>
          <w:p w14:paraId="4026BCC1" w14:textId="3D79F4F1" w:rsidR="00A6126B" w:rsidRPr="00582880" w:rsidRDefault="00A6126B" w:rsidP="00A6126B">
            <w:pPr>
              <w:spacing w:after="0" w:line="360" w:lineRule="auto"/>
              <w:rPr>
                <w:rFonts w:eastAsia="Times New Roman"/>
                <w:spacing w:val="0"/>
                <w:lang w:eastAsia="es-DO"/>
              </w:rPr>
            </w:pPr>
            <w:r w:rsidRPr="00582880">
              <w:rPr>
                <w:rFonts w:eastAsia="Times New Roman"/>
                <w:spacing w:val="0"/>
                <w:lang w:eastAsia="es-DO"/>
              </w:rPr>
              <w:t>Sistema interno para la gestión y ejecución de sorteos electrónicos dentro de la institución.</w:t>
            </w:r>
          </w:p>
        </w:tc>
        <w:tc>
          <w:tcPr>
            <w:tcW w:w="851" w:type="dxa"/>
            <w:tcBorders>
              <w:top w:val="single" w:sz="4" w:space="0" w:color="auto"/>
              <w:left w:val="nil"/>
              <w:bottom w:val="single" w:sz="4" w:space="0" w:color="auto"/>
              <w:right w:val="single" w:sz="4" w:space="0" w:color="auto"/>
            </w:tcBorders>
            <w:vAlign w:val="center"/>
          </w:tcPr>
          <w:p w14:paraId="0AB69B65" w14:textId="77777777" w:rsidR="00A6126B" w:rsidRPr="00582880" w:rsidRDefault="00A6126B" w:rsidP="00A6126B">
            <w:pPr>
              <w:spacing w:line="360" w:lineRule="auto"/>
              <w:jc w:val="center"/>
              <w:rPr>
                <w:rFonts w:eastAsia="Times New Roman"/>
                <w:spacing w:val="0"/>
                <w:lang w:eastAsia="es-DO"/>
              </w:rPr>
            </w:pPr>
          </w:p>
          <w:p w14:paraId="29240C1C" w14:textId="1A741D01" w:rsidR="00A6126B" w:rsidRPr="00582880" w:rsidRDefault="00A6126B" w:rsidP="00A6126B">
            <w:pPr>
              <w:spacing w:after="0" w:line="360" w:lineRule="auto"/>
              <w:jc w:val="center"/>
              <w:rPr>
                <w:rFonts w:eastAsia="Times New Roman"/>
                <w:spacing w:val="0"/>
                <w:lang w:eastAsia="es-DO"/>
              </w:rPr>
            </w:pPr>
            <w:r w:rsidRPr="00582880">
              <w:rPr>
                <w:rFonts w:eastAsia="Times New Roman"/>
                <w:spacing w:val="0"/>
                <w:lang w:eastAsia="es-DO"/>
              </w:rPr>
              <w:t>100%</w:t>
            </w:r>
          </w:p>
        </w:tc>
        <w:tc>
          <w:tcPr>
            <w:tcW w:w="916" w:type="dxa"/>
            <w:tcBorders>
              <w:top w:val="single" w:sz="4" w:space="0" w:color="auto"/>
              <w:left w:val="nil"/>
              <w:bottom w:val="single" w:sz="4" w:space="0" w:color="auto"/>
              <w:right w:val="single" w:sz="4" w:space="0" w:color="auto"/>
            </w:tcBorders>
            <w:vAlign w:val="center"/>
          </w:tcPr>
          <w:p w14:paraId="73896263" w14:textId="77777777" w:rsidR="00A6126B" w:rsidRPr="00582880" w:rsidRDefault="00A6126B" w:rsidP="00A6126B">
            <w:pPr>
              <w:spacing w:line="360" w:lineRule="auto"/>
              <w:jc w:val="center"/>
              <w:rPr>
                <w:rFonts w:eastAsia="Times New Roman"/>
                <w:spacing w:val="0"/>
                <w:lang w:eastAsia="es-DO"/>
              </w:rPr>
            </w:pPr>
          </w:p>
          <w:p w14:paraId="66F15966" w14:textId="7890648D" w:rsidR="00A6126B" w:rsidRPr="00582880" w:rsidRDefault="00A6126B" w:rsidP="00A6126B">
            <w:pPr>
              <w:spacing w:line="360" w:lineRule="auto"/>
              <w:jc w:val="center"/>
              <w:rPr>
                <w:rFonts w:eastAsia="Times New Roman"/>
                <w:spacing w:val="0"/>
                <w:lang w:eastAsia="es-DO"/>
              </w:rPr>
            </w:pPr>
            <w:r w:rsidRPr="00582880">
              <w:rPr>
                <w:rFonts w:eastAsia="Times New Roman"/>
                <w:spacing w:val="0"/>
                <w:lang w:eastAsia="es-DO"/>
              </w:rPr>
              <w:t>N/A</w:t>
            </w:r>
          </w:p>
        </w:tc>
        <w:tc>
          <w:tcPr>
            <w:tcW w:w="2202" w:type="dxa"/>
            <w:tcBorders>
              <w:top w:val="single" w:sz="4" w:space="0" w:color="auto"/>
              <w:bottom w:val="single" w:sz="4" w:space="0" w:color="auto"/>
              <w:right w:val="single" w:sz="4" w:space="0" w:color="auto"/>
            </w:tcBorders>
          </w:tcPr>
          <w:p w14:paraId="466F3F3A" w14:textId="41E8ED8E" w:rsidR="00A6126B" w:rsidRPr="00582880" w:rsidRDefault="007C3396" w:rsidP="007C3396">
            <w:pPr>
              <w:spacing w:line="360" w:lineRule="auto"/>
              <w:rPr>
                <w:rFonts w:eastAsia="Times New Roman"/>
                <w:spacing w:val="0"/>
                <w:lang w:eastAsia="es-DO"/>
              </w:rPr>
            </w:pPr>
            <w:r w:rsidRPr="007C3396">
              <w:rPr>
                <w:rFonts w:eastAsia="Times New Roman"/>
                <w:spacing w:val="0"/>
                <w:lang w:eastAsia="es-DO"/>
              </w:rPr>
              <w:t>Moderniza procesos internos y mejora la equidad y transparencia en actividades institucionales.</w:t>
            </w:r>
          </w:p>
        </w:tc>
      </w:tr>
      <w:tr w:rsidR="00A6126B" w:rsidRPr="00582880" w14:paraId="460D00DF" w14:textId="34D96BAA" w:rsidTr="007C3396">
        <w:trPr>
          <w:trHeight w:val="1757"/>
        </w:trPr>
        <w:tc>
          <w:tcPr>
            <w:tcW w:w="1914" w:type="dxa"/>
            <w:tcBorders>
              <w:top w:val="single" w:sz="4" w:space="0" w:color="auto"/>
              <w:left w:val="single" w:sz="4" w:space="0" w:color="auto"/>
              <w:bottom w:val="single" w:sz="4" w:space="0" w:color="auto"/>
              <w:right w:val="single" w:sz="4" w:space="0" w:color="auto"/>
            </w:tcBorders>
            <w:vAlign w:val="center"/>
          </w:tcPr>
          <w:p w14:paraId="0AA9426C" w14:textId="566E6756" w:rsidR="00A6126B" w:rsidRPr="00582880" w:rsidRDefault="00A6126B" w:rsidP="00A6126B">
            <w:pPr>
              <w:spacing w:after="0" w:line="360" w:lineRule="auto"/>
              <w:rPr>
                <w:rFonts w:eastAsia="Times New Roman"/>
                <w:b/>
                <w:bCs/>
                <w:spacing w:val="0"/>
                <w:lang w:eastAsia="es-DO"/>
              </w:rPr>
            </w:pPr>
            <w:r w:rsidRPr="00582880">
              <w:rPr>
                <w:rFonts w:eastAsia="Times New Roman"/>
                <w:b/>
                <w:bCs/>
                <w:spacing w:val="0"/>
                <w:lang w:eastAsia="es-DO"/>
              </w:rPr>
              <w:t>Restructuración del Cableado Centro de Datos</w:t>
            </w:r>
          </w:p>
        </w:tc>
        <w:tc>
          <w:tcPr>
            <w:tcW w:w="2339" w:type="dxa"/>
            <w:tcBorders>
              <w:top w:val="single" w:sz="4" w:space="0" w:color="auto"/>
              <w:left w:val="nil"/>
              <w:bottom w:val="single" w:sz="4" w:space="0" w:color="auto"/>
              <w:right w:val="single" w:sz="4" w:space="0" w:color="auto"/>
            </w:tcBorders>
            <w:vAlign w:val="center"/>
          </w:tcPr>
          <w:p w14:paraId="1A65EAA6" w14:textId="647F40A8" w:rsidR="00A6126B" w:rsidRPr="00582880" w:rsidRDefault="00A6126B" w:rsidP="00A6126B">
            <w:pPr>
              <w:spacing w:after="0" w:line="360" w:lineRule="auto"/>
              <w:rPr>
                <w:rFonts w:eastAsia="Times New Roman"/>
                <w:spacing w:val="0"/>
                <w:lang w:eastAsia="es-DO"/>
              </w:rPr>
            </w:pPr>
            <w:r w:rsidRPr="00582880">
              <w:rPr>
                <w:rFonts w:eastAsia="Times New Roman"/>
                <w:spacing w:val="0"/>
                <w:lang w:eastAsia="es-DO"/>
              </w:rPr>
              <w:t>Reorganización y estandarización del cableado estructurado dentro del datacenter para mejorar la gestión, la ventilación y la fiabilidad.</w:t>
            </w:r>
          </w:p>
        </w:tc>
        <w:tc>
          <w:tcPr>
            <w:tcW w:w="851" w:type="dxa"/>
            <w:tcBorders>
              <w:top w:val="single" w:sz="4" w:space="0" w:color="auto"/>
              <w:left w:val="nil"/>
              <w:bottom w:val="single" w:sz="4" w:space="0" w:color="auto"/>
              <w:right w:val="single" w:sz="4" w:space="0" w:color="auto"/>
            </w:tcBorders>
            <w:vAlign w:val="center"/>
          </w:tcPr>
          <w:p w14:paraId="52E7ABBC" w14:textId="630F2E84" w:rsidR="00A6126B" w:rsidRPr="00582880" w:rsidRDefault="00A6126B" w:rsidP="00A6126B">
            <w:pPr>
              <w:spacing w:after="0" w:line="360" w:lineRule="auto"/>
              <w:jc w:val="center"/>
              <w:rPr>
                <w:rFonts w:eastAsia="Times New Roman"/>
                <w:spacing w:val="0"/>
                <w:lang w:eastAsia="es-DO"/>
              </w:rPr>
            </w:pPr>
            <w:r w:rsidRPr="00582880">
              <w:rPr>
                <w:rFonts w:eastAsia="Times New Roman"/>
                <w:spacing w:val="0"/>
                <w:lang w:eastAsia="es-DO"/>
              </w:rPr>
              <w:t>100%</w:t>
            </w:r>
          </w:p>
        </w:tc>
        <w:tc>
          <w:tcPr>
            <w:tcW w:w="916" w:type="dxa"/>
            <w:tcBorders>
              <w:top w:val="single" w:sz="4" w:space="0" w:color="auto"/>
              <w:left w:val="nil"/>
              <w:bottom w:val="single" w:sz="4" w:space="0" w:color="auto"/>
              <w:right w:val="single" w:sz="4" w:space="0" w:color="auto"/>
            </w:tcBorders>
            <w:vAlign w:val="center"/>
          </w:tcPr>
          <w:p w14:paraId="1CB42570" w14:textId="76637E3A" w:rsidR="00A6126B" w:rsidRPr="00582880" w:rsidRDefault="00A6126B" w:rsidP="00A6126B">
            <w:pPr>
              <w:spacing w:line="360" w:lineRule="auto"/>
              <w:jc w:val="center"/>
              <w:rPr>
                <w:rFonts w:eastAsia="Times New Roman"/>
                <w:spacing w:val="0"/>
                <w:lang w:eastAsia="es-DO"/>
              </w:rPr>
            </w:pPr>
            <w:r w:rsidRPr="00582880">
              <w:rPr>
                <w:rFonts w:eastAsia="Times New Roman"/>
                <w:spacing w:val="0"/>
                <w:lang w:eastAsia="es-DO"/>
              </w:rPr>
              <w:t>N/A</w:t>
            </w:r>
          </w:p>
        </w:tc>
        <w:tc>
          <w:tcPr>
            <w:tcW w:w="2202" w:type="dxa"/>
            <w:tcBorders>
              <w:top w:val="single" w:sz="4" w:space="0" w:color="auto"/>
              <w:bottom w:val="single" w:sz="4" w:space="0" w:color="auto"/>
              <w:right w:val="single" w:sz="4" w:space="0" w:color="auto"/>
            </w:tcBorders>
          </w:tcPr>
          <w:p w14:paraId="14041933" w14:textId="351CC0D6" w:rsidR="00A6126B" w:rsidRPr="00582880" w:rsidRDefault="007C3396" w:rsidP="007C3396">
            <w:pPr>
              <w:spacing w:line="360" w:lineRule="auto"/>
              <w:rPr>
                <w:rFonts w:eastAsia="Times New Roman"/>
                <w:spacing w:val="0"/>
                <w:lang w:eastAsia="es-DO"/>
              </w:rPr>
            </w:pPr>
            <w:r w:rsidRPr="007C3396">
              <w:rPr>
                <w:rFonts w:eastAsia="Times New Roman"/>
                <w:spacing w:val="0"/>
                <w:lang w:eastAsia="es-DO"/>
              </w:rPr>
              <w:t>Medio/Alto. Facilita el mantenimiento, reduce errores y optimiza el flujo de aire.</w:t>
            </w:r>
          </w:p>
        </w:tc>
      </w:tr>
    </w:tbl>
    <w:p w14:paraId="0E5D1E11" w14:textId="24CF6E26" w:rsidR="00D72385" w:rsidRPr="004549AC" w:rsidRDefault="00D72385" w:rsidP="00D72385">
      <w:pPr>
        <w:spacing w:after="0" w:line="360" w:lineRule="auto"/>
        <w:jc w:val="center"/>
        <w:rPr>
          <w:i/>
          <w:iCs/>
          <w:sz w:val="18"/>
          <w:szCs w:val="18"/>
          <w:lang w:eastAsia="es-DO"/>
        </w:rPr>
      </w:pPr>
      <w:r w:rsidRPr="004549AC">
        <w:rPr>
          <w:i/>
          <w:iCs/>
          <w:sz w:val="18"/>
          <w:szCs w:val="18"/>
          <w:lang w:eastAsia="es-DO"/>
        </w:rPr>
        <w:t>Fuente. Portafolio proyectos TIC 2025</w:t>
      </w:r>
    </w:p>
    <w:p w14:paraId="454A681F" w14:textId="6F802CEA" w:rsidR="00B23DFB" w:rsidRPr="00582880" w:rsidRDefault="00B23DFB" w:rsidP="00B23DFB">
      <w:pPr>
        <w:spacing w:line="360" w:lineRule="auto"/>
        <w:jc w:val="both"/>
        <w:rPr>
          <w:rFonts w:eastAsia="Times New Roman"/>
          <w:spacing w:val="0"/>
          <w:lang w:eastAsia="es-DO"/>
        </w:rPr>
      </w:pPr>
      <w:r w:rsidRPr="00582880">
        <w:rPr>
          <w:rFonts w:eastAsia="Times New Roman"/>
          <w:spacing w:val="0"/>
          <w:lang w:eastAsia="es-DO"/>
        </w:rPr>
        <w:t>El portafolio TIC de la Contraloría refleja un avance sólido, consistente y alineado a la estrategia institucional, evidenciando la capacidad técnica de la DTIC para responder a la demanda de digitalización, interconectividad y eficiencia de los procesos públicos.</w:t>
      </w:r>
    </w:p>
    <w:p w14:paraId="528939FD" w14:textId="77777777" w:rsidR="00B23DFB" w:rsidRPr="00582880" w:rsidRDefault="00B23DFB" w:rsidP="00B23DFB">
      <w:pPr>
        <w:spacing w:line="360" w:lineRule="auto"/>
        <w:jc w:val="both"/>
        <w:rPr>
          <w:rFonts w:eastAsia="Times New Roman"/>
          <w:spacing w:val="0"/>
          <w:lang w:eastAsia="es-DO"/>
        </w:rPr>
      </w:pPr>
      <w:r w:rsidRPr="00582880">
        <w:rPr>
          <w:rFonts w:eastAsia="Times New Roman"/>
          <w:spacing w:val="0"/>
          <w:lang w:eastAsia="es-DO"/>
        </w:rPr>
        <w:lastRenderedPageBreak/>
        <w:t>Los proyectos implementados fortalecen directamente:</w:t>
      </w:r>
    </w:p>
    <w:p w14:paraId="758278BF" w14:textId="77777777" w:rsidR="00B23DFB" w:rsidRPr="00582880" w:rsidRDefault="00B23DFB">
      <w:pPr>
        <w:pStyle w:val="Prrafodelista"/>
        <w:numPr>
          <w:ilvl w:val="0"/>
          <w:numId w:val="16"/>
        </w:numPr>
        <w:spacing w:after="0" w:line="360" w:lineRule="auto"/>
        <w:jc w:val="both"/>
        <w:rPr>
          <w:rFonts w:eastAsia="Times New Roman"/>
          <w:spacing w:val="0"/>
          <w:lang w:eastAsia="es-DO"/>
        </w:rPr>
      </w:pPr>
      <w:r w:rsidRPr="00582880">
        <w:rPr>
          <w:rFonts w:eastAsia="Times New Roman"/>
          <w:spacing w:val="0"/>
          <w:lang w:eastAsia="es-DO"/>
        </w:rPr>
        <w:t>La transparencia del gasto público,</w:t>
      </w:r>
    </w:p>
    <w:p w14:paraId="295F2F6C" w14:textId="77777777" w:rsidR="00B23DFB" w:rsidRPr="00582880" w:rsidRDefault="00B23DFB">
      <w:pPr>
        <w:pStyle w:val="Prrafodelista"/>
        <w:numPr>
          <w:ilvl w:val="0"/>
          <w:numId w:val="16"/>
        </w:numPr>
        <w:spacing w:after="0" w:line="360" w:lineRule="auto"/>
        <w:jc w:val="both"/>
        <w:rPr>
          <w:rFonts w:eastAsia="Times New Roman"/>
          <w:spacing w:val="0"/>
          <w:lang w:eastAsia="es-DO"/>
        </w:rPr>
      </w:pPr>
      <w:r w:rsidRPr="00582880">
        <w:rPr>
          <w:rFonts w:eastAsia="Times New Roman"/>
          <w:spacing w:val="0"/>
          <w:lang w:eastAsia="es-DO"/>
        </w:rPr>
        <w:t>La eficiencia operativa,</w:t>
      </w:r>
    </w:p>
    <w:p w14:paraId="43AB1BC6" w14:textId="77777777" w:rsidR="00B23DFB" w:rsidRPr="00582880" w:rsidRDefault="00B23DFB">
      <w:pPr>
        <w:pStyle w:val="Prrafodelista"/>
        <w:numPr>
          <w:ilvl w:val="0"/>
          <w:numId w:val="16"/>
        </w:numPr>
        <w:spacing w:after="0" w:line="360" w:lineRule="auto"/>
        <w:jc w:val="both"/>
        <w:rPr>
          <w:rFonts w:eastAsia="Times New Roman"/>
          <w:spacing w:val="0"/>
          <w:lang w:eastAsia="es-DO"/>
        </w:rPr>
      </w:pPr>
      <w:r w:rsidRPr="00582880">
        <w:rPr>
          <w:rFonts w:eastAsia="Times New Roman"/>
          <w:spacing w:val="0"/>
          <w:lang w:eastAsia="es-DO"/>
        </w:rPr>
        <w:t>La modernización de servicios,</w:t>
      </w:r>
    </w:p>
    <w:p w14:paraId="16555718" w14:textId="77777777" w:rsidR="00B23DFB" w:rsidRPr="00582880" w:rsidRDefault="00B23DFB">
      <w:pPr>
        <w:pStyle w:val="Prrafodelista"/>
        <w:numPr>
          <w:ilvl w:val="0"/>
          <w:numId w:val="16"/>
        </w:numPr>
        <w:spacing w:after="0" w:line="360" w:lineRule="auto"/>
        <w:jc w:val="both"/>
        <w:rPr>
          <w:rFonts w:eastAsia="Times New Roman"/>
          <w:spacing w:val="0"/>
          <w:lang w:eastAsia="es-DO"/>
        </w:rPr>
      </w:pPr>
      <w:r w:rsidRPr="00582880">
        <w:rPr>
          <w:rFonts w:eastAsia="Times New Roman"/>
          <w:spacing w:val="0"/>
          <w:lang w:eastAsia="es-DO"/>
        </w:rPr>
        <w:t>La estandarización del control interno,</w:t>
      </w:r>
    </w:p>
    <w:p w14:paraId="62FAF73A" w14:textId="77777777" w:rsidR="00B23DFB" w:rsidRPr="00582880" w:rsidRDefault="00B23DFB">
      <w:pPr>
        <w:pStyle w:val="Prrafodelista"/>
        <w:numPr>
          <w:ilvl w:val="0"/>
          <w:numId w:val="16"/>
        </w:numPr>
        <w:spacing w:after="0" w:line="360" w:lineRule="auto"/>
        <w:jc w:val="both"/>
        <w:rPr>
          <w:rFonts w:eastAsia="Times New Roman"/>
          <w:spacing w:val="0"/>
          <w:lang w:eastAsia="es-DO"/>
        </w:rPr>
      </w:pPr>
      <w:r w:rsidRPr="00582880">
        <w:rPr>
          <w:rFonts w:eastAsia="Times New Roman"/>
          <w:spacing w:val="0"/>
          <w:lang w:eastAsia="es-DO"/>
        </w:rPr>
        <w:t>El acceso ciudadano a información en tiempo real, y</w:t>
      </w:r>
    </w:p>
    <w:p w14:paraId="50EB5F29" w14:textId="77777777" w:rsidR="00B23DFB" w:rsidRPr="00582880" w:rsidRDefault="00B23DFB">
      <w:pPr>
        <w:pStyle w:val="Prrafodelista"/>
        <w:numPr>
          <w:ilvl w:val="0"/>
          <w:numId w:val="16"/>
        </w:numPr>
        <w:spacing w:after="0" w:line="360" w:lineRule="auto"/>
        <w:jc w:val="both"/>
      </w:pPr>
      <w:r w:rsidRPr="00582880">
        <w:rPr>
          <w:rFonts w:eastAsia="Times New Roman"/>
          <w:spacing w:val="0"/>
          <w:lang w:eastAsia="es-DO"/>
        </w:rPr>
        <w:t>La transformación digital institucional.</w:t>
      </w:r>
    </w:p>
    <w:p w14:paraId="29323317" w14:textId="77777777" w:rsidR="00B23DFB" w:rsidRPr="00582880" w:rsidRDefault="00B23DFB" w:rsidP="00B23DFB">
      <w:pPr>
        <w:spacing w:after="0" w:line="360" w:lineRule="auto"/>
        <w:jc w:val="both"/>
        <w:rPr>
          <w:rFonts w:eastAsia="Times New Roman"/>
          <w:b/>
          <w:bCs/>
          <w:spacing w:val="0"/>
          <w:lang w:eastAsia="es-DO"/>
        </w:rPr>
      </w:pPr>
    </w:p>
    <w:p w14:paraId="70AE81BB" w14:textId="5B27AD33" w:rsidR="00B23DFB" w:rsidRPr="00582880" w:rsidRDefault="00D72385" w:rsidP="00D72385">
      <w:pPr>
        <w:spacing w:after="0" w:line="360" w:lineRule="auto"/>
        <w:jc w:val="center"/>
        <w:rPr>
          <w:sz w:val="18"/>
          <w:szCs w:val="18"/>
          <w:lang w:eastAsia="es-DO"/>
        </w:rPr>
      </w:pPr>
      <w:r w:rsidRPr="00582880">
        <w:rPr>
          <w:sz w:val="18"/>
          <w:szCs w:val="18"/>
          <w:lang w:eastAsia="es-DO"/>
        </w:rPr>
        <w:t xml:space="preserve">Tabla </w:t>
      </w:r>
      <w:r w:rsidR="006A4423" w:rsidRPr="00582880">
        <w:rPr>
          <w:sz w:val="18"/>
          <w:szCs w:val="18"/>
          <w:lang w:eastAsia="es-DO"/>
        </w:rPr>
        <w:t>24</w:t>
      </w:r>
      <w:r w:rsidRPr="00582880">
        <w:rPr>
          <w:sz w:val="18"/>
          <w:szCs w:val="18"/>
          <w:lang w:eastAsia="es-DO"/>
        </w:rPr>
        <w:t xml:space="preserve">. </w:t>
      </w:r>
      <w:r w:rsidR="00B23DFB" w:rsidRPr="00582880">
        <w:rPr>
          <w:sz w:val="18"/>
          <w:szCs w:val="18"/>
          <w:lang w:eastAsia="es-DO"/>
        </w:rPr>
        <w:t>Proyección global del portafolio a diciembre 2025</w:t>
      </w:r>
    </w:p>
    <w:tbl>
      <w:tblPr>
        <w:tblStyle w:val="Tablaconcuadrcula"/>
        <w:tblW w:w="0" w:type="auto"/>
        <w:tblLook w:val="04A0" w:firstRow="1" w:lastRow="0" w:firstColumn="1" w:lastColumn="0" w:noHBand="0" w:noVBand="1"/>
      </w:tblPr>
      <w:tblGrid>
        <w:gridCol w:w="3809"/>
        <w:gridCol w:w="4134"/>
      </w:tblGrid>
      <w:tr w:rsidR="00582880" w:rsidRPr="00582880" w14:paraId="1CEA6417" w14:textId="77777777" w:rsidTr="00BA1804">
        <w:tc>
          <w:tcPr>
            <w:tcW w:w="0" w:type="auto"/>
            <w:shd w:val="clear" w:color="auto" w:fill="011C50"/>
            <w:hideMark/>
          </w:tcPr>
          <w:p w14:paraId="71B3DAF7" w14:textId="77777777" w:rsidR="00B23DFB" w:rsidRPr="00582880" w:rsidRDefault="00B23DFB" w:rsidP="008E13FC">
            <w:pPr>
              <w:jc w:val="center"/>
              <w:rPr>
                <w:rFonts w:eastAsia="Times New Roman"/>
                <w:b/>
                <w:bCs/>
                <w:color w:val="FFFFFF" w:themeColor="background1"/>
                <w:sz w:val="22"/>
                <w:szCs w:val="22"/>
                <w:lang w:eastAsia="es-ES"/>
              </w:rPr>
            </w:pPr>
            <w:r w:rsidRPr="00582880">
              <w:rPr>
                <w:rFonts w:eastAsia="Times New Roman"/>
                <w:b/>
                <w:bCs/>
                <w:color w:val="FFFFFF" w:themeColor="background1"/>
                <w:sz w:val="22"/>
                <w:szCs w:val="22"/>
                <w:lang w:eastAsia="es-ES"/>
              </w:rPr>
              <w:t>Línea de Análisis</w:t>
            </w:r>
          </w:p>
        </w:tc>
        <w:tc>
          <w:tcPr>
            <w:tcW w:w="0" w:type="auto"/>
            <w:shd w:val="clear" w:color="auto" w:fill="011C50"/>
            <w:hideMark/>
          </w:tcPr>
          <w:p w14:paraId="1BE435A3" w14:textId="77777777" w:rsidR="00B23DFB" w:rsidRPr="00582880" w:rsidRDefault="00B23DFB" w:rsidP="008E13FC">
            <w:pPr>
              <w:jc w:val="center"/>
              <w:rPr>
                <w:rFonts w:eastAsia="Times New Roman"/>
                <w:b/>
                <w:bCs/>
                <w:color w:val="FFFFFF" w:themeColor="background1"/>
                <w:sz w:val="22"/>
                <w:szCs w:val="22"/>
                <w:lang w:eastAsia="es-ES"/>
              </w:rPr>
            </w:pPr>
            <w:r w:rsidRPr="00582880">
              <w:rPr>
                <w:rFonts w:eastAsia="Times New Roman"/>
                <w:b/>
                <w:bCs/>
                <w:color w:val="FFFFFF" w:themeColor="background1"/>
                <w:sz w:val="22"/>
                <w:szCs w:val="22"/>
                <w:lang w:eastAsia="es-ES"/>
              </w:rPr>
              <w:t>Resultado</w:t>
            </w:r>
          </w:p>
        </w:tc>
      </w:tr>
      <w:tr w:rsidR="00582880" w:rsidRPr="00582880" w14:paraId="3D80728C" w14:textId="77777777" w:rsidTr="00B23DFB">
        <w:trPr>
          <w:trHeight w:val="581"/>
        </w:trPr>
        <w:tc>
          <w:tcPr>
            <w:tcW w:w="0" w:type="auto"/>
            <w:vAlign w:val="center"/>
            <w:hideMark/>
          </w:tcPr>
          <w:p w14:paraId="670E90D5" w14:textId="77777777" w:rsidR="00B23DFB" w:rsidRPr="00582880" w:rsidRDefault="00B23DFB" w:rsidP="00B23DFB">
            <w:pPr>
              <w:spacing w:line="360" w:lineRule="auto"/>
              <w:rPr>
                <w:rFonts w:eastAsia="Times New Roman"/>
                <w:lang w:eastAsia="es-ES"/>
              </w:rPr>
            </w:pPr>
            <w:r w:rsidRPr="00582880">
              <w:rPr>
                <w:rFonts w:eastAsia="Times New Roman"/>
                <w:lang w:eastAsia="es-ES"/>
              </w:rPr>
              <w:t>Progreso acumulado actual</w:t>
            </w:r>
          </w:p>
        </w:tc>
        <w:tc>
          <w:tcPr>
            <w:tcW w:w="0" w:type="auto"/>
            <w:vAlign w:val="center"/>
            <w:hideMark/>
          </w:tcPr>
          <w:p w14:paraId="34D72A59" w14:textId="77777777" w:rsidR="00B23DFB" w:rsidRPr="00582880" w:rsidRDefault="00B23DFB" w:rsidP="00B23DFB">
            <w:pPr>
              <w:spacing w:line="360" w:lineRule="auto"/>
              <w:rPr>
                <w:rFonts w:eastAsia="Times New Roman"/>
                <w:lang w:eastAsia="es-ES"/>
              </w:rPr>
            </w:pPr>
            <w:r w:rsidRPr="00582880">
              <w:rPr>
                <w:rFonts w:eastAsia="Times New Roman"/>
                <w:lang w:eastAsia="es-ES"/>
              </w:rPr>
              <w:t>95%</w:t>
            </w:r>
          </w:p>
        </w:tc>
      </w:tr>
      <w:tr w:rsidR="00582880" w:rsidRPr="00582880" w14:paraId="1DA3677A" w14:textId="77777777" w:rsidTr="008E13FC">
        <w:tc>
          <w:tcPr>
            <w:tcW w:w="0" w:type="auto"/>
            <w:hideMark/>
          </w:tcPr>
          <w:p w14:paraId="03B73303" w14:textId="2362E7AD" w:rsidR="00B23DFB" w:rsidRPr="00582880" w:rsidRDefault="00B23DFB" w:rsidP="00B23DFB">
            <w:pPr>
              <w:spacing w:line="360" w:lineRule="auto"/>
              <w:rPr>
                <w:rFonts w:eastAsia="Times New Roman"/>
                <w:lang w:eastAsia="es-ES"/>
              </w:rPr>
            </w:pPr>
            <w:r w:rsidRPr="00582880">
              <w:rPr>
                <w:rFonts w:eastAsia="Times New Roman"/>
                <w:lang w:eastAsia="es-ES"/>
              </w:rPr>
              <w:t>Proyección del cumplimiento total dic. 2025</w:t>
            </w:r>
          </w:p>
        </w:tc>
        <w:tc>
          <w:tcPr>
            <w:tcW w:w="0" w:type="auto"/>
            <w:hideMark/>
          </w:tcPr>
          <w:p w14:paraId="262CBEE0" w14:textId="77777777" w:rsidR="00B23DFB" w:rsidRPr="00582880" w:rsidRDefault="00B23DFB" w:rsidP="00B23DFB">
            <w:pPr>
              <w:spacing w:line="360" w:lineRule="auto"/>
              <w:rPr>
                <w:rFonts w:eastAsia="Times New Roman"/>
                <w:lang w:eastAsia="es-ES"/>
              </w:rPr>
            </w:pPr>
            <w:r w:rsidRPr="00582880">
              <w:rPr>
                <w:rFonts w:eastAsia="Times New Roman"/>
                <w:lang w:eastAsia="es-ES"/>
              </w:rPr>
              <w:t>100% de los componentes planificados para 2025</w:t>
            </w:r>
          </w:p>
        </w:tc>
      </w:tr>
      <w:tr w:rsidR="00582880" w:rsidRPr="00582880" w14:paraId="5265AF50" w14:textId="77777777" w:rsidTr="008E13FC">
        <w:tc>
          <w:tcPr>
            <w:tcW w:w="0" w:type="auto"/>
            <w:hideMark/>
          </w:tcPr>
          <w:p w14:paraId="20C56D78" w14:textId="77777777" w:rsidR="00B23DFB" w:rsidRPr="00582880" w:rsidRDefault="00B23DFB" w:rsidP="00B23DFB">
            <w:pPr>
              <w:spacing w:before="240" w:line="360" w:lineRule="auto"/>
              <w:rPr>
                <w:rFonts w:eastAsia="Times New Roman"/>
                <w:lang w:eastAsia="es-ES"/>
              </w:rPr>
            </w:pPr>
            <w:r w:rsidRPr="00582880">
              <w:rPr>
                <w:rFonts w:eastAsia="Times New Roman"/>
                <w:lang w:eastAsia="es-ES"/>
              </w:rPr>
              <w:t>Proyectos con continuidad 2026</w:t>
            </w:r>
          </w:p>
        </w:tc>
        <w:tc>
          <w:tcPr>
            <w:tcW w:w="0" w:type="auto"/>
            <w:hideMark/>
          </w:tcPr>
          <w:p w14:paraId="51054645" w14:textId="77777777" w:rsidR="00B23DFB" w:rsidRPr="00582880" w:rsidRDefault="00B23DFB" w:rsidP="00B23DFB">
            <w:pPr>
              <w:spacing w:line="360" w:lineRule="auto"/>
              <w:rPr>
                <w:rFonts w:eastAsia="Times New Roman"/>
                <w:lang w:eastAsia="es-ES"/>
              </w:rPr>
            </w:pPr>
            <w:r w:rsidRPr="00582880">
              <w:rPr>
                <w:rFonts w:eastAsia="Times New Roman"/>
                <w:lang w:eastAsia="es-ES"/>
              </w:rPr>
              <w:t>Interfase SOL – Autorización de Órdenes de Pago</w:t>
            </w:r>
          </w:p>
        </w:tc>
      </w:tr>
    </w:tbl>
    <w:p w14:paraId="74F9CC2C" w14:textId="4E388CE1" w:rsidR="00B23DFB" w:rsidRPr="0077472F" w:rsidRDefault="00D72385" w:rsidP="00D72385">
      <w:pPr>
        <w:jc w:val="center"/>
        <w:rPr>
          <w:i/>
          <w:iCs/>
          <w:sz w:val="18"/>
          <w:szCs w:val="18"/>
          <w:lang w:eastAsia="es-DO"/>
        </w:rPr>
      </w:pPr>
      <w:r w:rsidRPr="0077472F">
        <w:rPr>
          <w:i/>
          <w:iCs/>
          <w:sz w:val="18"/>
          <w:szCs w:val="18"/>
          <w:lang w:eastAsia="es-DO"/>
        </w:rPr>
        <w:t>Fuente. Portafolio proyectos TIC 2025</w:t>
      </w:r>
    </w:p>
    <w:p w14:paraId="05665523" w14:textId="77777777" w:rsidR="00D72385" w:rsidRDefault="00D72385" w:rsidP="00D72385">
      <w:pPr>
        <w:jc w:val="center"/>
        <w:rPr>
          <w:b/>
          <w:bCs/>
          <w:i/>
          <w:iCs/>
          <w:lang w:eastAsia="es-DO"/>
        </w:rPr>
      </w:pPr>
    </w:p>
    <w:p w14:paraId="0EF7D41F" w14:textId="77777777" w:rsidR="00DC2108" w:rsidRDefault="00DC2108" w:rsidP="00D72385">
      <w:pPr>
        <w:jc w:val="center"/>
        <w:rPr>
          <w:b/>
          <w:bCs/>
          <w:i/>
          <w:iCs/>
          <w:lang w:eastAsia="es-DO"/>
        </w:rPr>
      </w:pPr>
    </w:p>
    <w:p w14:paraId="66E7989B" w14:textId="5DD66D44" w:rsidR="00DC2108" w:rsidRDefault="00DC2108">
      <w:pPr>
        <w:rPr>
          <w:b/>
          <w:bCs/>
          <w:i/>
          <w:iCs/>
          <w:lang w:eastAsia="es-DO"/>
        </w:rPr>
      </w:pPr>
      <w:r>
        <w:rPr>
          <w:b/>
          <w:bCs/>
          <w:i/>
          <w:iCs/>
          <w:lang w:eastAsia="es-DO"/>
        </w:rPr>
        <w:br w:type="page"/>
      </w:r>
    </w:p>
    <w:p w14:paraId="0A162925" w14:textId="4B4A1AFA" w:rsidR="00265A9E" w:rsidRPr="00582880" w:rsidRDefault="000A0028" w:rsidP="004F7A5F">
      <w:pPr>
        <w:spacing w:line="360" w:lineRule="auto"/>
        <w:jc w:val="both"/>
        <w:rPr>
          <w:b/>
          <w:bCs/>
        </w:rPr>
      </w:pPr>
      <w:r w:rsidRPr="00582880">
        <w:rPr>
          <w:b/>
          <w:bCs/>
          <w:lang w:eastAsia="es-DO"/>
        </w:rPr>
        <w:lastRenderedPageBreak/>
        <w:t>b. Certificaciones en las normas sobre tecnologías de la información y comunicación (Nortic)</w:t>
      </w:r>
      <w:r w:rsidRPr="00582880">
        <w:rPr>
          <w:b/>
          <w:bCs/>
        </w:rPr>
        <w:t xml:space="preserve"> </w:t>
      </w:r>
    </w:p>
    <w:p w14:paraId="5E64528D" w14:textId="3589273D" w:rsidR="00265A9E" w:rsidRPr="006A4423" w:rsidRDefault="006A4423" w:rsidP="00265A9E">
      <w:pPr>
        <w:spacing w:line="360" w:lineRule="auto"/>
        <w:jc w:val="center"/>
        <w:rPr>
          <w:color w:val="4C4747"/>
          <w:sz w:val="18"/>
          <w:szCs w:val="18"/>
        </w:rPr>
      </w:pPr>
      <w:r w:rsidRPr="00582880">
        <w:rPr>
          <w:noProof/>
        </w:rPr>
        <w:drawing>
          <wp:anchor distT="0" distB="0" distL="114300" distR="114300" simplePos="0" relativeHeight="251761664" behindDoc="1" locked="0" layoutInCell="1" allowOverlap="1" wp14:anchorId="2550B026" wp14:editId="69B314FE">
            <wp:simplePos x="0" y="0"/>
            <wp:positionH relativeFrom="column">
              <wp:posOffset>167640</wp:posOffset>
            </wp:positionH>
            <wp:positionV relativeFrom="paragraph">
              <wp:posOffset>213995</wp:posOffset>
            </wp:positionV>
            <wp:extent cx="4701540" cy="4017097"/>
            <wp:effectExtent l="0" t="0" r="3810" b="2540"/>
            <wp:wrapTight wrapText="bothSides">
              <wp:wrapPolygon edited="0">
                <wp:start x="0" y="0"/>
                <wp:lineTo x="0" y="21511"/>
                <wp:lineTo x="21530" y="21511"/>
                <wp:lineTo x="21530" y="0"/>
                <wp:lineTo x="0" y="0"/>
              </wp:wrapPolygon>
            </wp:wrapTight>
            <wp:docPr id="1832963719" name="Imagen 2"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63719" name="Imagen 2" descr="Interfaz de usuario gráfica, Texto, Aplicación&#10;&#10;El contenido generado por IA puede ser incorrecto."/>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4701540" cy="4017097"/>
                    </a:xfrm>
                    <a:prstGeom prst="rect">
                      <a:avLst/>
                    </a:prstGeom>
                    <a:noFill/>
                    <a:ln>
                      <a:noFill/>
                    </a:ln>
                  </pic:spPr>
                </pic:pic>
              </a:graphicData>
            </a:graphic>
          </wp:anchor>
        </w:drawing>
      </w:r>
      <w:r w:rsidR="00265A9E" w:rsidRPr="00582880">
        <w:rPr>
          <w:sz w:val="18"/>
          <w:szCs w:val="18"/>
        </w:rPr>
        <w:t xml:space="preserve"> Imagen </w:t>
      </w:r>
      <w:r w:rsidRPr="00582880">
        <w:rPr>
          <w:sz w:val="18"/>
          <w:szCs w:val="18"/>
        </w:rPr>
        <w:t>2</w:t>
      </w:r>
      <w:r w:rsidR="00265A9E" w:rsidRPr="00582880">
        <w:rPr>
          <w:sz w:val="18"/>
          <w:szCs w:val="18"/>
        </w:rPr>
        <w:t>. Certificaciones obtenidas</w:t>
      </w:r>
    </w:p>
    <w:p w14:paraId="18187718" w14:textId="328035C3" w:rsidR="006A4423" w:rsidRPr="0077472F" w:rsidRDefault="006A4423" w:rsidP="006A4423">
      <w:pPr>
        <w:spacing w:line="360" w:lineRule="auto"/>
        <w:jc w:val="center"/>
        <w:rPr>
          <w:i/>
          <w:iCs/>
          <w:sz w:val="18"/>
          <w:szCs w:val="18"/>
        </w:rPr>
      </w:pPr>
      <w:r w:rsidRPr="0077472F">
        <w:rPr>
          <w:i/>
          <w:iCs/>
          <w:sz w:val="18"/>
          <w:szCs w:val="18"/>
        </w:rPr>
        <w:t xml:space="preserve"> Fuente. Portal Web CGR</w:t>
      </w:r>
    </w:p>
    <w:p w14:paraId="1D23C244" w14:textId="6C50146F" w:rsidR="00265A9E" w:rsidRPr="00582880" w:rsidRDefault="00265A9E" w:rsidP="004F7A5F">
      <w:pPr>
        <w:spacing w:after="0" w:line="360" w:lineRule="auto"/>
        <w:jc w:val="both"/>
      </w:pPr>
      <w:r w:rsidRPr="00582880">
        <w:t>En proceso de certificación:</w:t>
      </w:r>
    </w:p>
    <w:p w14:paraId="7DFDA001" w14:textId="77777777" w:rsidR="006A4423" w:rsidRPr="00582880" w:rsidRDefault="006A4423" w:rsidP="004F7A5F">
      <w:pPr>
        <w:spacing w:after="0" w:line="360" w:lineRule="auto"/>
        <w:jc w:val="both"/>
        <w:rPr>
          <w:sz w:val="18"/>
          <w:szCs w:val="18"/>
        </w:rPr>
      </w:pPr>
    </w:p>
    <w:p w14:paraId="391D6276" w14:textId="40BB2CC0" w:rsidR="006A4423" w:rsidRPr="00582880" w:rsidRDefault="006A4423" w:rsidP="006A4423">
      <w:pPr>
        <w:spacing w:after="0" w:line="360" w:lineRule="auto"/>
        <w:jc w:val="center"/>
      </w:pPr>
      <w:r w:rsidRPr="00582880">
        <w:rPr>
          <w:sz w:val="18"/>
          <w:szCs w:val="18"/>
        </w:rPr>
        <w:t>Imagen 3. Certificaciones en proceso</w:t>
      </w:r>
    </w:p>
    <w:p w14:paraId="56A54107" w14:textId="3E1E3719" w:rsidR="002E4479" w:rsidRPr="00582880" w:rsidRDefault="002E4479" w:rsidP="004F7A5F">
      <w:pPr>
        <w:spacing w:after="0" w:line="360" w:lineRule="auto"/>
        <w:jc w:val="both"/>
      </w:pPr>
    </w:p>
    <w:p w14:paraId="6176B354" w14:textId="77777777" w:rsidR="004F7A5F" w:rsidRPr="00582880" w:rsidRDefault="004F7A5F" w:rsidP="004F7A5F">
      <w:pPr>
        <w:spacing w:after="0" w:line="360" w:lineRule="auto"/>
        <w:jc w:val="both"/>
      </w:pPr>
      <w:r w:rsidRPr="00582880">
        <w:rPr>
          <w:noProof/>
        </w:rPr>
        <w:drawing>
          <wp:anchor distT="0" distB="0" distL="114300" distR="114300" simplePos="0" relativeHeight="251750400" behindDoc="1" locked="0" layoutInCell="1" allowOverlap="1" wp14:anchorId="0B6F5F98" wp14:editId="4AB30689">
            <wp:simplePos x="0" y="0"/>
            <wp:positionH relativeFrom="column">
              <wp:posOffset>146685</wp:posOffset>
            </wp:positionH>
            <wp:positionV relativeFrom="paragraph">
              <wp:posOffset>9525</wp:posOffset>
            </wp:positionV>
            <wp:extent cx="585470" cy="609600"/>
            <wp:effectExtent l="0" t="0" r="5080" b="0"/>
            <wp:wrapTight wrapText="bothSides">
              <wp:wrapPolygon edited="0">
                <wp:start x="0" y="0"/>
                <wp:lineTo x="0" y="20925"/>
                <wp:lineTo x="21085" y="20925"/>
                <wp:lineTo x="21085" y="0"/>
                <wp:lineTo x="0" y="0"/>
              </wp:wrapPolygon>
            </wp:wrapTight>
            <wp:docPr id="530239247" name="Imagen 3"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239247" name="Imagen 3" descr="Interfaz de usuario gráfica, Texto, Aplicación&#10;&#10;El contenido generado por IA puede ser incorrecto."/>
                    <pic:cNvPicPr>
                      <a:picLocks noChangeAspect="1" noChangeArrowheads="1"/>
                    </pic:cNvPicPr>
                  </pic:nvPicPr>
                  <pic:blipFill rotWithShape="1">
                    <a:blip r:embed="rId31" r:link="rId32">
                      <a:extLst>
                        <a:ext uri="{28A0092B-C50C-407E-A947-70E740481C1C}">
                          <a14:useLocalDpi xmlns:a14="http://schemas.microsoft.com/office/drawing/2010/main" val="0"/>
                        </a:ext>
                      </a:extLst>
                    </a:blip>
                    <a:srcRect l="847" t="10386" r="86453" b="8418"/>
                    <a:stretch>
                      <a:fillRect/>
                    </a:stretch>
                  </pic:blipFill>
                  <pic:spPr bwMode="auto">
                    <a:xfrm>
                      <a:off x="0" y="0"/>
                      <a:ext cx="58547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82880">
        <w:t>Esta NORTIC trata sobre la accesibilidad web del Estado Dominicano.</w:t>
      </w:r>
    </w:p>
    <w:p w14:paraId="21CA9A20" w14:textId="77777777" w:rsidR="004F7A5F" w:rsidRPr="00582880" w:rsidRDefault="004F7A5F" w:rsidP="004F7A5F">
      <w:pPr>
        <w:spacing w:after="0" w:line="360" w:lineRule="auto"/>
        <w:jc w:val="both"/>
        <w:rPr>
          <w:b/>
          <w:bCs/>
        </w:rPr>
      </w:pPr>
    </w:p>
    <w:p w14:paraId="748773B8" w14:textId="77777777" w:rsidR="004F7A5F" w:rsidRPr="00582880" w:rsidRDefault="004F7A5F" w:rsidP="004F7A5F">
      <w:pPr>
        <w:spacing w:after="0" w:line="360" w:lineRule="auto"/>
        <w:jc w:val="both"/>
      </w:pPr>
      <w:r w:rsidRPr="00582880">
        <w:rPr>
          <w:noProof/>
        </w:rPr>
        <w:drawing>
          <wp:anchor distT="0" distB="0" distL="114300" distR="114300" simplePos="0" relativeHeight="251749376" behindDoc="1" locked="0" layoutInCell="1" allowOverlap="1" wp14:anchorId="510E9813" wp14:editId="65B1F69C">
            <wp:simplePos x="0" y="0"/>
            <wp:positionH relativeFrom="margin">
              <wp:posOffset>129540</wp:posOffset>
            </wp:positionH>
            <wp:positionV relativeFrom="paragraph">
              <wp:posOffset>19050</wp:posOffset>
            </wp:positionV>
            <wp:extent cx="567690" cy="617220"/>
            <wp:effectExtent l="0" t="0" r="3810" b="0"/>
            <wp:wrapTight wrapText="bothSides">
              <wp:wrapPolygon edited="0">
                <wp:start x="0" y="0"/>
                <wp:lineTo x="0" y="20667"/>
                <wp:lineTo x="21020" y="20667"/>
                <wp:lineTo x="21020" y="0"/>
                <wp:lineTo x="0" y="0"/>
              </wp:wrapPolygon>
            </wp:wrapTight>
            <wp:docPr id="640964601"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964601" name="Imagen 1" descr="Interfaz de usuario gráfica, Texto, Aplicación&#10;&#10;Descripción generada automáticamente"/>
                    <pic:cNvPicPr/>
                  </pic:nvPicPr>
                  <pic:blipFill rotWithShape="1">
                    <a:blip r:embed="rId33" cstate="print">
                      <a:extLst>
                        <a:ext uri="{28A0092B-C50C-407E-A947-70E740481C1C}">
                          <a14:useLocalDpi xmlns:a14="http://schemas.microsoft.com/office/drawing/2010/main" val="0"/>
                        </a:ext>
                      </a:extLst>
                    </a:blip>
                    <a:srcRect l="10606" t="47048" r="80202" b="35174"/>
                    <a:stretch/>
                  </pic:blipFill>
                  <pic:spPr bwMode="auto">
                    <a:xfrm>
                      <a:off x="0" y="0"/>
                      <a:ext cx="567690" cy="617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2880">
        <w:t>Norma para la Seguridad de las Tecnologías de las Información y Comunicación en el Estado Dominicano.</w:t>
      </w:r>
    </w:p>
    <w:p w14:paraId="70D25A11" w14:textId="77777777" w:rsidR="006A4423" w:rsidRPr="00582880" w:rsidRDefault="006A4423" w:rsidP="004F7A5F">
      <w:pPr>
        <w:spacing w:after="0" w:line="360" w:lineRule="auto"/>
        <w:jc w:val="both"/>
      </w:pPr>
    </w:p>
    <w:p w14:paraId="3CC39D95" w14:textId="74593AA8" w:rsidR="006A4423" w:rsidRPr="0077472F" w:rsidRDefault="006A4423" w:rsidP="006A4423">
      <w:pPr>
        <w:spacing w:after="0" w:line="360" w:lineRule="auto"/>
        <w:jc w:val="center"/>
        <w:rPr>
          <w:i/>
          <w:iCs/>
        </w:rPr>
      </w:pPr>
      <w:r w:rsidRPr="0077472F">
        <w:rPr>
          <w:i/>
          <w:iCs/>
          <w:sz w:val="18"/>
          <w:szCs w:val="18"/>
        </w:rPr>
        <w:t>Fuente. Portal OGTIC</w:t>
      </w:r>
    </w:p>
    <w:p w14:paraId="3185A3BD" w14:textId="6F4AD745" w:rsidR="00265A9E" w:rsidRPr="00582880" w:rsidRDefault="00265A9E" w:rsidP="004F7A5F">
      <w:pPr>
        <w:spacing w:after="0" w:line="360" w:lineRule="auto"/>
        <w:jc w:val="both"/>
      </w:pPr>
    </w:p>
    <w:p w14:paraId="01B4F6C1" w14:textId="77777777" w:rsidR="004F7A5F" w:rsidRPr="00582880" w:rsidRDefault="004F7A5F">
      <w:pPr>
        <w:pStyle w:val="Prrafodelista"/>
        <w:numPr>
          <w:ilvl w:val="0"/>
          <w:numId w:val="5"/>
        </w:numPr>
        <w:tabs>
          <w:tab w:val="left" w:pos="426"/>
        </w:tabs>
        <w:spacing w:line="360" w:lineRule="auto"/>
        <w:ind w:left="284"/>
        <w:rPr>
          <w:b/>
          <w:bCs/>
        </w:rPr>
      </w:pPr>
      <w:r w:rsidRPr="00582880">
        <w:rPr>
          <w:b/>
          <w:bCs/>
          <w:lang w:eastAsia="es-DO"/>
        </w:rPr>
        <w:lastRenderedPageBreak/>
        <w:t xml:space="preserve">Desempeño de la mesa de servicio </w:t>
      </w:r>
    </w:p>
    <w:p w14:paraId="6D368291" w14:textId="77777777" w:rsidR="004F7A5F" w:rsidRPr="00582880" w:rsidRDefault="004F7A5F" w:rsidP="00C934DB">
      <w:pPr>
        <w:spacing w:line="360" w:lineRule="auto"/>
        <w:jc w:val="both"/>
      </w:pPr>
      <w:r w:rsidRPr="00582880">
        <w:t>Durante el período reportado, la Dirección de Tecnología de la Información, a través de la Mesa de Ayuda, Soporte Técnico, Operaciones TIC y Desarrollo de Sistemas, logró avances significativos en la atención a usuarios y en la gestión de servicios tecnológicos institucionales, de acuerdo con los siguientes resultados:</w:t>
      </w:r>
    </w:p>
    <w:p w14:paraId="22F98B3D" w14:textId="4EECCB0D" w:rsidR="004F7A5F" w:rsidRPr="00582880" w:rsidRDefault="004F7A5F" w:rsidP="00C934DB">
      <w:pPr>
        <w:spacing w:line="360" w:lineRule="auto"/>
        <w:jc w:val="both"/>
      </w:pPr>
      <w:r w:rsidRPr="00582880">
        <w:rPr>
          <w:rFonts w:eastAsia="Times New Roman"/>
          <w:b/>
          <w:bCs/>
          <w:lang w:eastAsia="es-ES"/>
        </w:rPr>
        <w:t>Atención de llamadas y gestión de incidencias</w:t>
      </w:r>
    </w:p>
    <w:p w14:paraId="5A5F58A8" w14:textId="02D6FFDA" w:rsidR="004F7A5F" w:rsidRPr="00844A69" w:rsidRDefault="004F7A5F">
      <w:pPr>
        <w:pStyle w:val="Sinespaciado"/>
        <w:numPr>
          <w:ilvl w:val="0"/>
          <w:numId w:val="19"/>
        </w:numPr>
        <w:spacing w:line="360" w:lineRule="auto"/>
        <w:jc w:val="both"/>
        <w:rPr>
          <w:color w:val="767171"/>
          <w:lang w:val="es-DO" w:eastAsia="es-ES"/>
        </w:rPr>
      </w:pPr>
      <w:r w:rsidRPr="00844A69">
        <w:rPr>
          <w:color w:val="767171"/>
          <w:lang w:val="es-DO" w:eastAsia="es-ES"/>
        </w:rPr>
        <w:t>Se recibieron 39,082 llamadas en total.</w:t>
      </w:r>
      <w:r w:rsidR="00DC2108">
        <w:rPr>
          <w:color w:val="767171"/>
          <w:lang w:val="es-DO" w:eastAsia="es-ES"/>
        </w:rPr>
        <w:t xml:space="preserve"> Se proyecta para el cierre de año la atención de </w:t>
      </w:r>
      <w:r w:rsidR="00DC2108" w:rsidRPr="00DC2108">
        <w:rPr>
          <w:color w:val="767171"/>
          <w:lang w:val="es-DO" w:eastAsia="es-ES"/>
        </w:rPr>
        <w:t>2,476</w:t>
      </w:r>
      <w:r w:rsidR="00DC2108">
        <w:rPr>
          <w:color w:val="767171"/>
          <w:lang w:val="es-DO" w:eastAsia="es-ES"/>
        </w:rPr>
        <w:t xml:space="preserve"> llamadas más, para un total estimado de </w:t>
      </w:r>
      <w:r w:rsidR="00DC2108" w:rsidRPr="00DC2108">
        <w:rPr>
          <w:color w:val="767171"/>
          <w:lang w:val="es-DO" w:eastAsia="es-ES"/>
        </w:rPr>
        <w:t>41,558</w:t>
      </w:r>
      <w:r w:rsidR="00DC2108">
        <w:rPr>
          <w:color w:val="767171"/>
          <w:lang w:val="es-DO" w:eastAsia="es-ES"/>
        </w:rPr>
        <w:t>.</w:t>
      </w:r>
    </w:p>
    <w:p w14:paraId="16D91966" w14:textId="77777777" w:rsidR="004F7A5F" w:rsidRPr="00844A69" w:rsidRDefault="004F7A5F">
      <w:pPr>
        <w:pStyle w:val="Sinespaciado"/>
        <w:numPr>
          <w:ilvl w:val="0"/>
          <w:numId w:val="20"/>
        </w:numPr>
        <w:spacing w:line="360" w:lineRule="auto"/>
        <w:jc w:val="both"/>
        <w:rPr>
          <w:color w:val="767171"/>
          <w:lang w:val="es-DO" w:eastAsia="es-ES"/>
        </w:rPr>
      </w:pPr>
      <w:r w:rsidRPr="00844A69">
        <w:rPr>
          <w:color w:val="767171"/>
          <w:lang w:val="es-DO" w:eastAsia="es-ES"/>
        </w:rPr>
        <w:t>80% fueron atendidas y solucionadas directamente por el personal de Mesa de Ayuda.</w:t>
      </w:r>
    </w:p>
    <w:p w14:paraId="6300F38B" w14:textId="5E6540F0" w:rsidR="004F7A5F" w:rsidRPr="00844A69" w:rsidRDefault="004F7A5F">
      <w:pPr>
        <w:pStyle w:val="Sinespaciado"/>
        <w:numPr>
          <w:ilvl w:val="0"/>
          <w:numId w:val="20"/>
        </w:numPr>
        <w:spacing w:line="360" w:lineRule="auto"/>
        <w:jc w:val="both"/>
        <w:rPr>
          <w:color w:val="767171"/>
          <w:lang w:val="es-DO" w:eastAsia="es-ES"/>
        </w:rPr>
      </w:pPr>
      <w:r w:rsidRPr="00844A69">
        <w:rPr>
          <w:color w:val="767171"/>
          <w:lang w:val="es-DO" w:eastAsia="es-ES"/>
        </w:rPr>
        <w:t>20% fueron escaladas a las distintas divisiones de la DTIC según la naturaleza del incidente.</w:t>
      </w:r>
    </w:p>
    <w:p w14:paraId="73D1EC87" w14:textId="53FAAF8D" w:rsidR="004F7A5F" w:rsidRPr="00844A69" w:rsidRDefault="004F7A5F" w:rsidP="00DC2108">
      <w:pPr>
        <w:pStyle w:val="Sinespaciado"/>
        <w:numPr>
          <w:ilvl w:val="0"/>
          <w:numId w:val="19"/>
        </w:numPr>
        <w:spacing w:line="360" w:lineRule="auto"/>
        <w:jc w:val="both"/>
        <w:rPr>
          <w:color w:val="767171"/>
          <w:lang w:val="es-DO" w:eastAsia="es-ES"/>
        </w:rPr>
      </w:pPr>
      <w:r w:rsidRPr="00844A69">
        <w:rPr>
          <w:color w:val="767171"/>
          <w:lang w:val="es-DO" w:eastAsia="es-ES"/>
        </w:rPr>
        <w:t>Se generaron 2,977 ti</w:t>
      </w:r>
      <w:r w:rsidR="00DE273D" w:rsidRPr="00844A69">
        <w:rPr>
          <w:color w:val="767171"/>
          <w:lang w:val="es-DO" w:eastAsia="es-ES"/>
        </w:rPr>
        <w:t>ckets</w:t>
      </w:r>
      <w:r w:rsidR="00F008E1" w:rsidRPr="00844A69">
        <w:rPr>
          <w:color w:val="767171"/>
          <w:lang w:val="es-DO" w:eastAsia="es-ES"/>
        </w:rPr>
        <w:t xml:space="preserve">. </w:t>
      </w:r>
      <w:r w:rsidRPr="00844A69">
        <w:rPr>
          <w:color w:val="767171"/>
          <w:lang w:val="es-DO" w:eastAsia="es-ES"/>
        </w:rPr>
        <w:t>Una parte fue escalada a las áreas correspondientes</w:t>
      </w:r>
      <w:r w:rsidR="00F008E1" w:rsidRPr="00844A69">
        <w:rPr>
          <w:color w:val="767171"/>
          <w:lang w:val="es-DO" w:eastAsia="es-ES"/>
        </w:rPr>
        <w:t>, e</w:t>
      </w:r>
      <w:r w:rsidRPr="00844A69">
        <w:rPr>
          <w:color w:val="767171"/>
          <w:lang w:val="es-DO" w:eastAsia="es-ES"/>
        </w:rPr>
        <w:t xml:space="preserve">l resto fue creado, atendido y cerrado por la </w:t>
      </w:r>
      <w:r w:rsidR="00F008E1" w:rsidRPr="00844A69">
        <w:rPr>
          <w:color w:val="767171"/>
          <w:lang w:val="es-DO" w:eastAsia="es-ES"/>
        </w:rPr>
        <w:t>m</w:t>
      </w:r>
      <w:r w:rsidRPr="00844A69">
        <w:rPr>
          <w:color w:val="767171"/>
          <w:lang w:val="es-DO" w:eastAsia="es-ES"/>
        </w:rPr>
        <w:t xml:space="preserve">esa de </w:t>
      </w:r>
      <w:r w:rsidR="00F008E1" w:rsidRPr="00844A69">
        <w:rPr>
          <w:color w:val="767171"/>
          <w:lang w:val="es-DO" w:eastAsia="es-ES"/>
        </w:rPr>
        <w:t>a</w:t>
      </w:r>
      <w:r w:rsidRPr="00844A69">
        <w:rPr>
          <w:color w:val="767171"/>
          <w:lang w:val="es-DO" w:eastAsia="es-ES"/>
        </w:rPr>
        <w:t>yuda.</w:t>
      </w:r>
      <w:r w:rsidR="00DC2108">
        <w:rPr>
          <w:color w:val="767171"/>
          <w:lang w:val="es-DO" w:eastAsia="es-ES"/>
        </w:rPr>
        <w:t xml:space="preserve"> Se proyecta para diciembre la atención de al menos 270 tickets más, para un total de </w:t>
      </w:r>
      <w:r w:rsidR="00DC2108" w:rsidRPr="00DC2108">
        <w:rPr>
          <w:color w:val="767171"/>
          <w:lang w:val="es-DO" w:eastAsia="es-ES"/>
        </w:rPr>
        <w:t>3,247</w:t>
      </w:r>
      <w:r w:rsidR="00DC2108">
        <w:rPr>
          <w:color w:val="767171"/>
          <w:lang w:val="es-DO" w:eastAsia="es-ES"/>
        </w:rPr>
        <w:t>.</w:t>
      </w:r>
    </w:p>
    <w:p w14:paraId="1E212763" w14:textId="375F9C56" w:rsidR="004F7A5F" w:rsidRPr="00582880" w:rsidRDefault="004F7A5F" w:rsidP="00C934DB">
      <w:pPr>
        <w:spacing w:before="100" w:beforeAutospacing="1" w:after="100" w:afterAutospacing="1" w:line="360" w:lineRule="auto"/>
        <w:jc w:val="both"/>
        <w:outlineLvl w:val="3"/>
        <w:rPr>
          <w:rFonts w:eastAsia="Times New Roman"/>
          <w:b/>
          <w:bCs/>
          <w:lang w:eastAsia="es-ES"/>
        </w:rPr>
      </w:pPr>
      <w:r w:rsidRPr="00582880">
        <w:rPr>
          <w:rFonts w:eastAsia="Times New Roman"/>
          <w:b/>
          <w:bCs/>
          <w:lang w:eastAsia="es-ES"/>
        </w:rPr>
        <w:t>Solicitudes atendidas por áreas técnicas</w:t>
      </w:r>
    </w:p>
    <w:p w14:paraId="66BB0ECC" w14:textId="51E5FE4E" w:rsidR="004F7A5F" w:rsidRPr="00844A69" w:rsidRDefault="004F7A5F" w:rsidP="0035406C">
      <w:pPr>
        <w:pStyle w:val="Sinespaciado"/>
        <w:numPr>
          <w:ilvl w:val="0"/>
          <w:numId w:val="17"/>
        </w:numPr>
        <w:spacing w:line="360" w:lineRule="auto"/>
        <w:jc w:val="both"/>
        <w:rPr>
          <w:color w:val="767171"/>
          <w:lang w:val="es-DO" w:eastAsia="es-ES"/>
        </w:rPr>
      </w:pPr>
      <w:r w:rsidRPr="00844A69">
        <w:rPr>
          <w:color w:val="767171"/>
          <w:lang w:val="es-DO" w:eastAsia="es-ES"/>
        </w:rPr>
        <w:t>1,600 tiques fueron solicitudes de servicio asignadas al área de Soporte Técnico.</w:t>
      </w:r>
      <w:r w:rsidR="0035406C" w:rsidRPr="00844A69">
        <w:rPr>
          <w:color w:val="767171"/>
          <w:lang w:val="es-DO" w:eastAsia="es-ES"/>
        </w:rPr>
        <w:t xml:space="preserve"> </w:t>
      </w:r>
      <w:r w:rsidRPr="00844A69">
        <w:rPr>
          <w:color w:val="767171"/>
          <w:lang w:val="es-DO" w:eastAsia="es-ES"/>
        </w:rPr>
        <w:t>90% de estas solicitudes se completaron dentro del tiempo establecido en el Acuerdo de Nivel de Servicio (SLA).</w:t>
      </w:r>
    </w:p>
    <w:p w14:paraId="6C8746C5" w14:textId="102F5DCD" w:rsidR="00E750A8" w:rsidRPr="00844A69" w:rsidRDefault="004F7A5F" w:rsidP="008E2024">
      <w:pPr>
        <w:pStyle w:val="Sinespaciado"/>
        <w:numPr>
          <w:ilvl w:val="0"/>
          <w:numId w:val="17"/>
        </w:numPr>
        <w:spacing w:line="360" w:lineRule="auto"/>
        <w:jc w:val="both"/>
        <w:rPr>
          <w:color w:val="767171"/>
          <w:lang w:val="es-DO" w:eastAsia="es-ES"/>
        </w:rPr>
      </w:pPr>
      <w:r w:rsidRPr="00844A69">
        <w:rPr>
          <w:color w:val="767171"/>
          <w:lang w:val="es-DO" w:eastAsia="es-ES"/>
        </w:rPr>
        <w:t>235 solicitudes fueron gestionadas por la División de Operaciones TIC.</w:t>
      </w:r>
      <w:r w:rsidR="008E2024" w:rsidRPr="00844A69">
        <w:rPr>
          <w:color w:val="767171"/>
          <w:lang w:val="es-DO" w:eastAsia="es-ES"/>
        </w:rPr>
        <w:t xml:space="preserve"> </w:t>
      </w:r>
      <w:r w:rsidRPr="00844A69">
        <w:rPr>
          <w:color w:val="767171"/>
          <w:lang w:val="es-DO" w:eastAsia="es-ES"/>
        </w:rPr>
        <w:t>95% de ellas se cerraron dentro del tiempo comprometido según el SLA institucional.</w:t>
      </w:r>
    </w:p>
    <w:p w14:paraId="518B3218" w14:textId="77777777" w:rsidR="00E750A8" w:rsidRPr="00844A69" w:rsidRDefault="00E750A8" w:rsidP="00C934DB">
      <w:pPr>
        <w:pStyle w:val="Sinespaciado"/>
        <w:spacing w:line="360" w:lineRule="auto"/>
        <w:ind w:left="720"/>
        <w:jc w:val="both"/>
        <w:rPr>
          <w:color w:val="767171"/>
          <w:lang w:val="es-DO" w:eastAsia="es-ES"/>
        </w:rPr>
      </w:pPr>
    </w:p>
    <w:p w14:paraId="393888E2" w14:textId="77777777" w:rsidR="00CB4D71" w:rsidRPr="00844A69" w:rsidRDefault="00E750A8">
      <w:pPr>
        <w:pStyle w:val="Sinespaciado"/>
        <w:numPr>
          <w:ilvl w:val="0"/>
          <w:numId w:val="17"/>
        </w:numPr>
        <w:spacing w:line="360" w:lineRule="auto"/>
        <w:jc w:val="both"/>
        <w:rPr>
          <w:color w:val="767171"/>
          <w:lang w:val="es-DO" w:eastAsia="es-ES"/>
        </w:rPr>
      </w:pPr>
      <w:r w:rsidRPr="00844A69">
        <w:rPr>
          <w:color w:val="767171"/>
          <w:lang w:val="es-DO" w:eastAsia="es-ES"/>
        </w:rPr>
        <w:lastRenderedPageBreak/>
        <w:t>240 solicitudes de mejoras fueron requeridas por los usuarios y desarrolladas por la División de Desarrollo e Implementación de Sistemas.</w:t>
      </w:r>
    </w:p>
    <w:p w14:paraId="1E3E8964" w14:textId="77777777" w:rsidR="00CB4D71" w:rsidRPr="00582880" w:rsidRDefault="00CB4D71" w:rsidP="00CB4D71">
      <w:pPr>
        <w:pStyle w:val="Sinespaciado"/>
        <w:spacing w:line="360" w:lineRule="auto"/>
        <w:jc w:val="both"/>
        <w:rPr>
          <w:b/>
          <w:bCs/>
          <w:color w:val="767171"/>
          <w:lang w:val="es-DO" w:eastAsia="es-ES"/>
        </w:rPr>
      </w:pPr>
    </w:p>
    <w:p w14:paraId="3785F982" w14:textId="69B9F6D0" w:rsidR="00CB4D71" w:rsidRPr="00582880" w:rsidRDefault="00CB4D71" w:rsidP="00C934DB">
      <w:pPr>
        <w:pStyle w:val="Sinespaciado"/>
        <w:spacing w:line="360" w:lineRule="auto"/>
        <w:jc w:val="both"/>
        <w:rPr>
          <w:color w:val="767171"/>
          <w:lang w:val="es-DO" w:eastAsia="es-ES"/>
        </w:rPr>
      </w:pPr>
      <w:r w:rsidRPr="00582880">
        <w:rPr>
          <w:rFonts w:eastAsia="Times New Roman"/>
          <w:b/>
          <w:bCs/>
          <w:color w:val="767171"/>
          <w:lang w:val="es-DO" w:eastAsia="es-ES"/>
        </w:rPr>
        <w:t>Creación y gestión de usuarios en sistemas institucionales</w:t>
      </w:r>
    </w:p>
    <w:p w14:paraId="29C1AF2B" w14:textId="77777777" w:rsidR="00CB4D71" w:rsidRPr="00844A69" w:rsidRDefault="00CB4D71" w:rsidP="00C934DB">
      <w:pPr>
        <w:spacing w:before="100" w:beforeAutospacing="1" w:after="100" w:afterAutospacing="1" w:line="360" w:lineRule="auto"/>
        <w:jc w:val="both"/>
        <w:rPr>
          <w:rFonts w:eastAsia="Times New Roman"/>
          <w:lang w:eastAsia="es-ES"/>
        </w:rPr>
      </w:pPr>
      <w:r w:rsidRPr="00582880">
        <w:rPr>
          <w:rFonts w:eastAsia="Times New Roman"/>
          <w:lang w:eastAsia="es-ES"/>
        </w:rPr>
        <w:t xml:space="preserve">Durante el período se crearon </w:t>
      </w:r>
      <w:r w:rsidRPr="00582880">
        <w:rPr>
          <w:rFonts w:eastAsia="Times New Roman"/>
          <w:b/>
          <w:bCs/>
          <w:lang w:eastAsia="es-ES"/>
        </w:rPr>
        <w:t>810 nuevos usuarios</w:t>
      </w:r>
      <w:r w:rsidRPr="00582880">
        <w:rPr>
          <w:rFonts w:eastAsia="Times New Roman"/>
          <w:lang w:eastAsia="es-ES"/>
        </w:rPr>
        <w:t xml:space="preserve">, distribuidos de la </w:t>
      </w:r>
      <w:r w:rsidRPr="00844A69">
        <w:rPr>
          <w:rFonts w:eastAsia="Times New Roman"/>
          <w:lang w:eastAsia="es-ES"/>
        </w:rPr>
        <w:t>siguiente manera:</w:t>
      </w:r>
    </w:p>
    <w:p w14:paraId="0669CE48" w14:textId="77777777" w:rsidR="00CB4D71" w:rsidRPr="00844A69" w:rsidRDefault="00CB4D71">
      <w:pPr>
        <w:numPr>
          <w:ilvl w:val="0"/>
          <w:numId w:val="22"/>
        </w:numPr>
        <w:spacing w:before="100" w:beforeAutospacing="1" w:after="100" w:afterAutospacing="1" w:line="360" w:lineRule="auto"/>
        <w:jc w:val="both"/>
        <w:rPr>
          <w:rFonts w:eastAsia="Times New Roman"/>
          <w:lang w:eastAsia="es-ES"/>
        </w:rPr>
      </w:pPr>
      <w:r w:rsidRPr="00844A69">
        <w:rPr>
          <w:rFonts w:eastAsia="Times New Roman"/>
          <w:lang w:eastAsia="es-ES"/>
        </w:rPr>
        <w:t>144 usuarios externos de diferentes instituciones para el uso de los sistemas NOBACI y NOBACI Municipalidades.</w:t>
      </w:r>
    </w:p>
    <w:p w14:paraId="241B427A" w14:textId="77777777" w:rsidR="00CB4D71" w:rsidRPr="00844A69" w:rsidRDefault="00CB4D71">
      <w:pPr>
        <w:numPr>
          <w:ilvl w:val="0"/>
          <w:numId w:val="22"/>
        </w:numPr>
        <w:spacing w:before="100" w:beforeAutospacing="1" w:after="100" w:afterAutospacing="1" w:line="360" w:lineRule="auto"/>
        <w:jc w:val="both"/>
        <w:rPr>
          <w:rFonts w:eastAsia="Times New Roman"/>
          <w:lang w:eastAsia="es-ES"/>
        </w:rPr>
      </w:pPr>
      <w:r w:rsidRPr="00844A69">
        <w:rPr>
          <w:rFonts w:eastAsia="Times New Roman"/>
          <w:lang w:eastAsia="es-ES"/>
        </w:rPr>
        <w:t>302 usuarios para acceso a la consulta de libramientos y pagos a proveedores desde la página de la CGR, acumulando un total de 10,984 proveedores habilitados para consultar el estatus de sus libramientos.</w:t>
      </w:r>
    </w:p>
    <w:p w14:paraId="44D1FD24" w14:textId="77777777" w:rsidR="00CB4D71" w:rsidRPr="00844A69" w:rsidRDefault="00CB4D71">
      <w:pPr>
        <w:numPr>
          <w:ilvl w:val="0"/>
          <w:numId w:val="22"/>
        </w:numPr>
        <w:spacing w:before="100" w:beforeAutospacing="1" w:after="100" w:afterAutospacing="1" w:line="360" w:lineRule="auto"/>
        <w:jc w:val="both"/>
        <w:rPr>
          <w:rFonts w:eastAsia="Times New Roman"/>
          <w:lang w:eastAsia="es-ES"/>
        </w:rPr>
      </w:pPr>
      <w:r w:rsidRPr="00844A69">
        <w:rPr>
          <w:rFonts w:eastAsia="Times New Roman"/>
          <w:lang w:eastAsia="es-ES"/>
        </w:rPr>
        <w:t>05 usuarios creados para el sistema de suministro de materiales gastables (SOFTLAND).</w:t>
      </w:r>
    </w:p>
    <w:p w14:paraId="46E9181B" w14:textId="77777777" w:rsidR="00CB4D71" w:rsidRPr="00844A69" w:rsidRDefault="00CB4D71">
      <w:pPr>
        <w:numPr>
          <w:ilvl w:val="0"/>
          <w:numId w:val="22"/>
        </w:numPr>
        <w:spacing w:before="100" w:beforeAutospacing="1" w:after="100" w:afterAutospacing="1" w:line="360" w:lineRule="auto"/>
        <w:jc w:val="both"/>
        <w:rPr>
          <w:rFonts w:eastAsia="Times New Roman"/>
          <w:lang w:eastAsia="es-ES"/>
        </w:rPr>
      </w:pPr>
      <w:r w:rsidRPr="00844A69">
        <w:rPr>
          <w:rFonts w:eastAsia="Times New Roman"/>
          <w:lang w:eastAsia="es-ES"/>
        </w:rPr>
        <w:t>331 usuarios, tanto internos como externos, para los sistemas SUGEP y Contratos.</w:t>
      </w:r>
    </w:p>
    <w:p w14:paraId="14180EE4" w14:textId="77777777" w:rsidR="00CB4D71" w:rsidRDefault="00CB4D71">
      <w:pPr>
        <w:numPr>
          <w:ilvl w:val="0"/>
          <w:numId w:val="22"/>
        </w:numPr>
        <w:spacing w:before="100" w:beforeAutospacing="1" w:after="100" w:afterAutospacing="1" w:line="360" w:lineRule="auto"/>
        <w:jc w:val="both"/>
        <w:rPr>
          <w:rFonts w:eastAsia="Times New Roman"/>
          <w:lang w:eastAsia="es-ES"/>
        </w:rPr>
      </w:pPr>
      <w:r w:rsidRPr="00844A69">
        <w:rPr>
          <w:rFonts w:eastAsia="Times New Roman"/>
          <w:lang w:eastAsia="es-ES"/>
        </w:rPr>
        <w:t>10 usuarios internos habilitados para el uso del Sistema de Correspondencia TRANSDOC.</w:t>
      </w:r>
    </w:p>
    <w:p w14:paraId="15930EC8" w14:textId="65325E53" w:rsidR="00DC2108" w:rsidRPr="00844A69" w:rsidRDefault="00DC2108" w:rsidP="00DC2108">
      <w:pPr>
        <w:spacing w:before="100" w:beforeAutospacing="1" w:after="100" w:afterAutospacing="1" w:line="360" w:lineRule="auto"/>
        <w:ind w:left="360"/>
        <w:jc w:val="both"/>
        <w:rPr>
          <w:rFonts w:eastAsia="Times New Roman"/>
          <w:lang w:eastAsia="es-ES"/>
        </w:rPr>
      </w:pPr>
      <w:r>
        <w:rPr>
          <w:rFonts w:eastAsia="Times New Roman"/>
          <w:lang w:eastAsia="es-ES"/>
        </w:rPr>
        <w:t>Se proyecta mantener estas cifras al 31 de diciembre 2025.</w:t>
      </w:r>
    </w:p>
    <w:p w14:paraId="34A0169A" w14:textId="72BB3CCA" w:rsidR="00CB4D71" w:rsidRPr="00582880" w:rsidRDefault="00CB4D71" w:rsidP="00C934DB">
      <w:pPr>
        <w:spacing w:before="100" w:beforeAutospacing="1" w:after="100" w:afterAutospacing="1" w:line="360" w:lineRule="auto"/>
        <w:jc w:val="both"/>
        <w:rPr>
          <w:rFonts w:eastAsia="Times New Roman"/>
          <w:lang w:eastAsia="es-ES"/>
        </w:rPr>
      </w:pPr>
      <w:r w:rsidRPr="00582880">
        <w:rPr>
          <w:rFonts w:eastAsia="Times New Roman"/>
          <w:b/>
          <w:bCs/>
          <w:lang w:eastAsia="es-ES"/>
        </w:rPr>
        <w:t>Actividades de capacitación</w:t>
      </w:r>
    </w:p>
    <w:p w14:paraId="7C8FD72D" w14:textId="77777777" w:rsidR="00CB4D71" w:rsidRPr="00582880" w:rsidRDefault="00CB4D71" w:rsidP="00C934DB">
      <w:pPr>
        <w:spacing w:before="100" w:beforeAutospacing="1" w:after="100" w:afterAutospacing="1" w:line="360" w:lineRule="auto"/>
        <w:jc w:val="both"/>
        <w:rPr>
          <w:rFonts w:eastAsia="Times New Roman"/>
          <w:lang w:eastAsia="es-ES"/>
        </w:rPr>
      </w:pPr>
      <w:r w:rsidRPr="00582880">
        <w:rPr>
          <w:rFonts w:eastAsia="Times New Roman"/>
          <w:lang w:eastAsia="es-ES"/>
        </w:rPr>
        <w:t>Se realizaron diversas jornadas de formación para fortalecer las competencias tecnológicas del personal interno y externo:</w:t>
      </w:r>
    </w:p>
    <w:p w14:paraId="353ED342" w14:textId="77777777" w:rsidR="00CB4D71" w:rsidRPr="00844A69" w:rsidRDefault="00CB4D71">
      <w:pPr>
        <w:numPr>
          <w:ilvl w:val="0"/>
          <w:numId w:val="23"/>
        </w:numPr>
        <w:tabs>
          <w:tab w:val="clear" w:pos="720"/>
          <w:tab w:val="left" w:pos="851"/>
        </w:tabs>
        <w:spacing w:before="100" w:beforeAutospacing="1" w:after="100" w:afterAutospacing="1" w:line="360" w:lineRule="auto"/>
        <w:ind w:left="709" w:hanging="283"/>
        <w:jc w:val="both"/>
        <w:rPr>
          <w:rFonts w:eastAsia="Times New Roman"/>
          <w:lang w:eastAsia="es-ES"/>
        </w:rPr>
      </w:pPr>
      <w:r w:rsidRPr="00844A69">
        <w:rPr>
          <w:rFonts w:eastAsia="Times New Roman"/>
          <w:lang w:eastAsia="es-ES"/>
        </w:rPr>
        <w:t>79 colaboradores internos capacitados en el sistema TRE-TRANSDOC.</w:t>
      </w:r>
    </w:p>
    <w:p w14:paraId="463B52D5" w14:textId="0907BFB9" w:rsidR="00CB4D71" w:rsidRPr="00844A69" w:rsidRDefault="00CB4D71">
      <w:pPr>
        <w:numPr>
          <w:ilvl w:val="0"/>
          <w:numId w:val="23"/>
        </w:numPr>
        <w:tabs>
          <w:tab w:val="clear" w:pos="720"/>
          <w:tab w:val="left" w:pos="851"/>
        </w:tabs>
        <w:spacing w:before="100" w:beforeAutospacing="1" w:after="100" w:afterAutospacing="1" w:line="360" w:lineRule="auto"/>
        <w:ind w:left="709" w:hanging="283"/>
        <w:jc w:val="both"/>
        <w:rPr>
          <w:rFonts w:eastAsia="Times New Roman"/>
          <w:lang w:eastAsia="es-ES"/>
        </w:rPr>
      </w:pPr>
      <w:r w:rsidRPr="00844A69">
        <w:rPr>
          <w:rFonts w:eastAsia="Times New Roman"/>
          <w:lang w:eastAsia="es-ES"/>
        </w:rPr>
        <w:lastRenderedPageBreak/>
        <w:t>Capacitación sobre el Sistema de Registro de Contratos a 03 instituciones externas:</w:t>
      </w:r>
    </w:p>
    <w:p w14:paraId="6CE596A2" w14:textId="57D03A53" w:rsidR="00CB4D71" w:rsidRPr="00844A69" w:rsidRDefault="00CB4D71">
      <w:pPr>
        <w:numPr>
          <w:ilvl w:val="1"/>
          <w:numId w:val="23"/>
        </w:numPr>
        <w:tabs>
          <w:tab w:val="clear" w:pos="1440"/>
          <w:tab w:val="num" w:pos="1276"/>
        </w:tabs>
        <w:spacing w:before="100" w:beforeAutospacing="1" w:after="100" w:afterAutospacing="1" w:line="360" w:lineRule="auto"/>
        <w:ind w:left="1276" w:hanging="426"/>
        <w:jc w:val="both"/>
        <w:rPr>
          <w:rFonts w:eastAsia="Times New Roman"/>
          <w:lang w:eastAsia="es-ES"/>
        </w:rPr>
      </w:pPr>
      <w:r w:rsidRPr="00844A69">
        <w:rPr>
          <w:rFonts w:eastAsia="Times New Roman"/>
          <w:lang w:eastAsia="es-ES"/>
        </w:rPr>
        <w:t>Consejo Nacional para el Cambio Climático</w:t>
      </w:r>
    </w:p>
    <w:p w14:paraId="3ED0BC36" w14:textId="3C38561B" w:rsidR="00CB4D71" w:rsidRPr="00844A69" w:rsidRDefault="00CB4D71">
      <w:pPr>
        <w:numPr>
          <w:ilvl w:val="1"/>
          <w:numId w:val="23"/>
        </w:numPr>
        <w:tabs>
          <w:tab w:val="clear" w:pos="1440"/>
          <w:tab w:val="num" w:pos="1276"/>
        </w:tabs>
        <w:spacing w:before="100" w:beforeAutospacing="1" w:after="100" w:afterAutospacing="1" w:line="360" w:lineRule="auto"/>
        <w:ind w:left="1276" w:hanging="426"/>
        <w:jc w:val="both"/>
        <w:rPr>
          <w:rFonts w:eastAsia="Times New Roman"/>
          <w:lang w:eastAsia="es-ES"/>
        </w:rPr>
      </w:pPr>
      <w:r w:rsidRPr="00844A69">
        <w:rPr>
          <w:rFonts w:eastAsia="Times New Roman"/>
          <w:lang w:eastAsia="es-ES"/>
        </w:rPr>
        <w:t>Ministerio de Trabajo</w:t>
      </w:r>
    </w:p>
    <w:p w14:paraId="68D14B17" w14:textId="0119BE0D" w:rsidR="00CB4D71" w:rsidRPr="00844A69" w:rsidRDefault="00CB4D71">
      <w:pPr>
        <w:numPr>
          <w:ilvl w:val="1"/>
          <w:numId w:val="23"/>
        </w:numPr>
        <w:tabs>
          <w:tab w:val="clear" w:pos="1440"/>
          <w:tab w:val="num" w:pos="1276"/>
        </w:tabs>
        <w:spacing w:before="100" w:beforeAutospacing="1" w:after="100" w:afterAutospacing="1" w:line="360" w:lineRule="auto"/>
        <w:ind w:left="1276" w:hanging="426"/>
        <w:jc w:val="both"/>
        <w:rPr>
          <w:rFonts w:eastAsia="Times New Roman"/>
          <w:lang w:eastAsia="es-ES"/>
        </w:rPr>
      </w:pPr>
      <w:r w:rsidRPr="00844A69">
        <w:rPr>
          <w:rFonts w:eastAsia="Times New Roman"/>
          <w:lang w:eastAsia="es-ES"/>
        </w:rPr>
        <w:t>Universidad Tecnológica del Cibao Oriental</w:t>
      </w:r>
    </w:p>
    <w:p w14:paraId="0A19774C" w14:textId="268163D7" w:rsidR="00CB4D71" w:rsidRPr="00844A69" w:rsidRDefault="00CB4D71">
      <w:pPr>
        <w:pStyle w:val="Prrafodelista"/>
        <w:numPr>
          <w:ilvl w:val="1"/>
          <w:numId w:val="23"/>
        </w:numPr>
        <w:tabs>
          <w:tab w:val="clear" w:pos="1440"/>
          <w:tab w:val="num" w:pos="1276"/>
        </w:tabs>
        <w:spacing w:line="360" w:lineRule="auto"/>
        <w:ind w:left="1276" w:hanging="426"/>
        <w:jc w:val="both"/>
        <w:rPr>
          <w:rFonts w:eastAsia="Times New Roman"/>
          <w:lang w:eastAsia="es-ES"/>
        </w:rPr>
      </w:pPr>
      <w:r w:rsidRPr="00844A69">
        <w:rPr>
          <w:rFonts w:eastAsia="Times New Roman"/>
          <w:lang w:eastAsia="es-ES"/>
        </w:rPr>
        <w:t>Capacitación a instituciones que iniciarán el proceso de firma digital en la CGR, orientada a fortalecer la seguridad documental y la eficiencia en los flujos de aprobación.</w:t>
      </w:r>
    </w:p>
    <w:p w14:paraId="42E5D121" w14:textId="6C958F6E" w:rsidR="00CB4D71" w:rsidRPr="009144F2" w:rsidRDefault="009144F2" w:rsidP="009144F2">
      <w:pPr>
        <w:spacing w:line="360" w:lineRule="auto"/>
        <w:jc w:val="both"/>
        <w:rPr>
          <w:rFonts w:eastAsia="Times New Roman"/>
          <w:lang w:eastAsia="es-ES"/>
        </w:rPr>
      </w:pPr>
      <w:r w:rsidRPr="009144F2">
        <w:rPr>
          <w:rFonts w:eastAsia="Times New Roman"/>
          <w:lang w:eastAsia="es-ES"/>
        </w:rPr>
        <w:t>Se proyecta mantener estas cifras hasta el 31 de diciembre.</w:t>
      </w:r>
    </w:p>
    <w:p w14:paraId="589C3C9E" w14:textId="56F38AD7" w:rsidR="00B06E06" w:rsidRPr="00582880" w:rsidRDefault="00B06E06">
      <w:pPr>
        <w:pStyle w:val="Prrafodelista"/>
        <w:numPr>
          <w:ilvl w:val="0"/>
          <w:numId w:val="5"/>
        </w:numPr>
        <w:tabs>
          <w:tab w:val="left" w:pos="426"/>
        </w:tabs>
        <w:spacing w:line="360" w:lineRule="auto"/>
        <w:ind w:left="284"/>
        <w:rPr>
          <w:b/>
          <w:bCs/>
        </w:rPr>
      </w:pPr>
      <w:r w:rsidRPr="00582880">
        <w:rPr>
          <w:b/>
          <w:bCs/>
        </w:rPr>
        <w:t xml:space="preserve">Participación de mujeres en TIC </w:t>
      </w:r>
    </w:p>
    <w:p w14:paraId="4590A9C0" w14:textId="6FCDBDA0" w:rsidR="006A4423" w:rsidRPr="00582880" w:rsidRDefault="00CB4D71" w:rsidP="006A4423">
      <w:pPr>
        <w:spacing w:line="360" w:lineRule="auto"/>
        <w:jc w:val="both"/>
      </w:pPr>
      <w:r w:rsidRPr="00582880">
        <w:t>En la Dirección de tecnología de la información y comunicación de la Contraloría General de la República (CGR), la participación de mujeres es un pilar fundamental para el desarrollo y la innovación. Actualmente, contamos con la valiosa contribución de 11 mujeres que desempeñan roles clave en distintas áreas de la DTIC, promoviendo la igualdad de género y fortaleciendo nuestra misión y objetivos institucional.</w:t>
      </w:r>
    </w:p>
    <w:p w14:paraId="2FD9F01B" w14:textId="77777777" w:rsidR="0035224C" w:rsidRPr="008378E4" w:rsidRDefault="0035224C" w:rsidP="0035224C">
      <w:pPr>
        <w:jc w:val="center"/>
        <w:rPr>
          <w:sz w:val="18"/>
          <w:szCs w:val="18"/>
        </w:rPr>
      </w:pPr>
      <w:r w:rsidRPr="008378E4">
        <w:rPr>
          <w:sz w:val="18"/>
          <w:szCs w:val="18"/>
        </w:rPr>
        <w:t>Gráfico 13. Participación Mujeres en TIC por División</w:t>
      </w:r>
    </w:p>
    <w:p w14:paraId="15583F2B" w14:textId="16EFF718" w:rsidR="005D6077" w:rsidRPr="0077472F" w:rsidRDefault="0035224C" w:rsidP="0035224C">
      <w:pPr>
        <w:spacing w:line="360" w:lineRule="auto"/>
        <w:jc w:val="center"/>
        <w:rPr>
          <w:i/>
          <w:iCs/>
          <w:sz w:val="18"/>
          <w:szCs w:val="18"/>
        </w:rPr>
      </w:pPr>
      <w:r w:rsidRPr="008378E4">
        <w:rPr>
          <w:noProof/>
        </w:rPr>
        <w:drawing>
          <wp:anchor distT="0" distB="0" distL="114300" distR="114300" simplePos="0" relativeHeight="251752448" behindDoc="0" locked="0" layoutInCell="1" allowOverlap="1" wp14:anchorId="7062C794" wp14:editId="2F2F0AB6">
            <wp:simplePos x="0" y="0"/>
            <wp:positionH relativeFrom="margin">
              <wp:align>right</wp:align>
            </wp:positionH>
            <wp:positionV relativeFrom="margin">
              <wp:posOffset>5032375</wp:posOffset>
            </wp:positionV>
            <wp:extent cx="4815840" cy="2026920"/>
            <wp:effectExtent l="0" t="0" r="3810" b="0"/>
            <wp:wrapSquare wrapText="bothSides"/>
            <wp:docPr id="1952759674" name="Gráfico 1">
              <a:extLst xmlns:a="http://schemas.openxmlformats.org/drawingml/2006/main">
                <a:ext uri="{FF2B5EF4-FFF2-40B4-BE49-F238E27FC236}">
                  <a16:creationId xmlns:a16="http://schemas.microsoft.com/office/drawing/2014/main" id="{32A2B2CA-32AA-D72A-05A9-7947B78BA0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5D6077" w:rsidRPr="0077472F">
        <w:rPr>
          <w:i/>
          <w:iCs/>
          <w:sz w:val="18"/>
          <w:szCs w:val="18"/>
        </w:rPr>
        <w:t>Fuente. Fuente: Sistema Informático de Gestión Humana</w:t>
      </w:r>
    </w:p>
    <w:p w14:paraId="366009F0" w14:textId="03F5BC86" w:rsidR="005D6077" w:rsidRDefault="005D6077" w:rsidP="005D6077">
      <w:pPr>
        <w:jc w:val="center"/>
        <w:rPr>
          <w:b/>
          <w:bCs/>
          <w:color w:val="4C4747"/>
          <w:sz w:val="18"/>
          <w:szCs w:val="18"/>
        </w:rPr>
      </w:pPr>
    </w:p>
    <w:p w14:paraId="296CAA1A" w14:textId="7C84F7B8" w:rsidR="008378E4" w:rsidRDefault="008378E4" w:rsidP="005D6077">
      <w:pPr>
        <w:jc w:val="center"/>
        <w:rPr>
          <w:b/>
          <w:bCs/>
          <w:color w:val="4C4747"/>
          <w:sz w:val="18"/>
          <w:szCs w:val="18"/>
        </w:rPr>
      </w:pPr>
    </w:p>
    <w:p w14:paraId="4A19E23F" w14:textId="77777777" w:rsidR="0035224C" w:rsidRDefault="0035224C" w:rsidP="005D6077">
      <w:pPr>
        <w:jc w:val="center"/>
        <w:rPr>
          <w:b/>
          <w:bCs/>
          <w:color w:val="4C4747"/>
          <w:sz w:val="18"/>
          <w:szCs w:val="18"/>
        </w:rPr>
      </w:pPr>
    </w:p>
    <w:p w14:paraId="6B50DC7D" w14:textId="3FBB78CE" w:rsidR="0035224C" w:rsidRPr="008378E4" w:rsidRDefault="0035224C" w:rsidP="0035224C">
      <w:pPr>
        <w:jc w:val="center"/>
        <w:rPr>
          <w:sz w:val="18"/>
          <w:szCs w:val="18"/>
        </w:rPr>
      </w:pPr>
      <w:r w:rsidRPr="008378E4">
        <w:rPr>
          <w:sz w:val="18"/>
          <w:szCs w:val="18"/>
        </w:rPr>
        <w:lastRenderedPageBreak/>
        <w:t>Gráfico 1</w:t>
      </w:r>
      <w:r>
        <w:rPr>
          <w:sz w:val="18"/>
          <w:szCs w:val="18"/>
        </w:rPr>
        <w:t>4</w:t>
      </w:r>
      <w:r w:rsidRPr="008378E4">
        <w:rPr>
          <w:sz w:val="18"/>
          <w:szCs w:val="18"/>
        </w:rPr>
        <w:t>. Participación Mujeres en TIC por División</w:t>
      </w:r>
    </w:p>
    <w:p w14:paraId="584C07C3" w14:textId="3EC25834" w:rsidR="005D6077" w:rsidRPr="00465A16" w:rsidRDefault="00CB4D71" w:rsidP="0093533E">
      <w:pPr>
        <w:spacing w:line="360" w:lineRule="auto"/>
        <w:ind w:left="-142"/>
        <w:rPr>
          <w:color w:val="4C4747"/>
        </w:rPr>
      </w:pPr>
      <w:r w:rsidRPr="00465A16">
        <w:rPr>
          <w:noProof/>
        </w:rPr>
        <w:drawing>
          <wp:inline distT="0" distB="0" distL="0" distR="0" wp14:anchorId="40BE8BB9" wp14:editId="01BBB5A3">
            <wp:extent cx="5649686" cy="2383790"/>
            <wp:effectExtent l="0" t="0" r="8255" b="0"/>
            <wp:docPr id="224151363" name="Gráfico 1">
              <a:extLst xmlns:a="http://schemas.openxmlformats.org/drawingml/2006/main">
                <a:ext uri="{FF2B5EF4-FFF2-40B4-BE49-F238E27FC236}">
                  <a16:creationId xmlns:a16="http://schemas.microsoft.com/office/drawing/2014/main" id="{8798F225-25F6-A8FB-FD0F-5583821642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7D2A41F" w14:textId="77777777" w:rsidR="005D6077" w:rsidRPr="008378E4" w:rsidRDefault="005D6077" w:rsidP="005D6077">
      <w:pPr>
        <w:jc w:val="center"/>
        <w:rPr>
          <w:i/>
          <w:iCs/>
          <w:sz w:val="18"/>
          <w:szCs w:val="18"/>
        </w:rPr>
      </w:pPr>
      <w:r w:rsidRPr="008378E4">
        <w:rPr>
          <w:i/>
          <w:iCs/>
          <w:sz w:val="18"/>
          <w:szCs w:val="18"/>
        </w:rPr>
        <w:t>Fuente. Fuente: Sistema Informático de Gestión Humana</w:t>
      </w:r>
    </w:p>
    <w:p w14:paraId="70D91A5C" w14:textId="5CD546DA" w:rsidR="00836F9B" w:rsidRPr="00582880" w:rsidRDefault="00506279" w:rsidP="00C934DB">
      <w:pPr>
        <w:spacing w:line="360" w:lineRule="auto"/>
        <w:jc w:val="both"/>
        <w:rPr>
          <w:b/>
          <w:bCs/>
        </w:rPr>
      </w:pPr>
      <w:r w:rsidRPr="008378E4">
        <w:br w:type="page"/>
      </w:r>
      <w:r w:rsidR="00BE3F4D" w:rsidRPr="00582880">
        <w:rPr>
          <w:b/>
          <w:bCs/>
        </w:rPr>
        <w:lastRenderedPageBreak/>
        <w:t xml:space="preserve">e. </w:t>
      </w:r>
      <w:r w:rsidR="00836F9B" w:rsidRPr="00582880">
        <w:rPr>
          <w:b/>
          <w:bCs/>
        </w:rPr>
        <w:t>Índice Uso TIC e Implementación Gobierno Electrónico</w:t>
      </w:r>
    </w:p>
    <w:p w14:paraId="53D52BAA" w14:textId="5F0568B1" w:rsidR="00836F9B" w:rsidRPr="00582880" w:rsidRDefault="00836F9B" w:rsidP="00C934DB">
      <w:pPr>
        <w:spacing w:line="360" w:lineRule="auto"/>
        <w:jc w:val="both"/>
      </w:pPr>
      <w:r w:rsidRPr="00582880">
        <w:t>El Gobierno Dominicano a través de la Oficina Gubernamental de Tecnologías de la Información y Comunicación (OGTIC), ha creado el Índice de Uso de TIC e Implementación de Gobierno Electrónico en el Estado Dominicano (iTICge), con el objetivo de evaluar de manera sistemática los esfuerzos realizados y en proceso</w:t>
      </w:r>
      <w:r w:rsidR="007F419A">
        <w:t>.</w:t>
      </w:r>
      <w:r w:rsidRPr="00582880">
        <w:t xml:space="preserve"> </w:t>
      </w:r>
      <w:r w:rsidR="007F419A">
        <w:t>R</w:t>
      </w:r>
      <w:r w:rsidRPr="00582880">
        <w:t>eferente a la implementación de soluciones de TIC y de e -Gobierno enfocados principalmente en los servicios ciudadanos, la eficiencia interna y la transparencia en las instituciones públicas de la República Dominicana.</w:t>
      </w:r>
    </w:p>
    <w:p w14:paraId="154BB310" w14:textId="6F05AD39" w:rsidR="00836F9B" w:rsidRPr="00582880" w:rsidRDefault="00836F9B" w:rsidP="00C934DB">
      <w:pPr>
        <w:spacing w:line="360" w:lineRule="auto"/>
        <w:jc w:val="both"/>
      </w:pPr>
      <w:r w:rsidRPr="00582880">
        <w:t>La institución ocupa la posición No. 5 en la cobertura del ranking con una puntuación 8</w:t>
      </w:r>
      <w:r w:rsidR="00190466" w:rsidRPr="00582880">
        <w:t>0.49</w:t>
      </w:r>
      <w:r w:rsidRPr="00582880">
        <w:t xml:space="preserve">% de avance en el índice de TIC. </w:t>
      </w:r>
      <w:r w:rsidR="00425D74">
        <w:t>Se proyecta mantener este estatus hasta cierre de año.</w:t>
      </w:r>
    </w:p>
    <w:p w14:paraId="30FF3BBB" w14:textId="33581A9A" w:rsidR="00836F9B" w:rsidRPr="00582880" w:rsidRDefault="00190466" w:rsidP="00190466">
      <w:pPr>
        <w:jc w:val="center"/>
        <w:rPr>
          <w:sz w:val="20"/>
          <w:szCs w:val="20"/>
        </w:rPr>
      </w:pPr>
      <w:r w:rsidRPr="00582880">
        <w:rPr>
          <w:sz w:val="20"/>
          <w:szCs w:val="20"/>
        </w:rPr>
        <w:t xml:space="preserve">Gráfico </w:t>
      </w:r>
      <w:r w:rsidR="00970267" w:rsidRPr="00582880">
        <w:rPr>
          <w:sz w:val="20"/>
          <w:szCs w:val="20"/>
        </w:rPr>
        <w:t>1</w:t>
      </w:r>
      <w:r w:rsidR="0093533E">
        <w:rPr>
          <w:sz w:val="20"/>
          <w:szCs w:val="20"/>
        </w:rPr>
        <w:t>5</w:t>
      </w:r>
      <w:r w:rsidR="00836F9B" w:rsidRPr="00582880">
        <w:rPr>
          <w:sz w:val="20"/>
          <w:szCs w:val="20"/>
        </w:rPr>
        <w:t>. Estatus de la CGR en uso de las Tics</w:t>
      </w:r>
      <w:r w:rsidRPr="00582880">
        <w:rPr>
          <w:sz w:val="20"/>
          <w:szCs w:val="20"/>
        </w:rPr>
        <w:t xml:space="preserve"> al</w:t>
      </w:r>
      <w:r w:rsidR="00836F9B" w:rsidRPr="00582880">
        <w:rPr>
          <w:sz w:val="20"/>
          <w:szCs w:val="20"/>
        </w:rPr>
        <w:t xml:space="preserve"> 202</w:t>
      </w:r>
      <w:r w:rsidRPr="00582880">
        <w:rPr>
          <w:sz w:val="20"/>
          <w:szCs w:val="20"/>
        </w:rPr>
        <w:t>5</w:t>
      </w:r>
    </w:p>
    <w:p w14:paraId="46F8BAA9" w14:textId="77777777" w:rsidR="00190466" w:rsidRPr="00465A16" w:rsidRDefault="00190466" w:rsidP="00190466">
      <w:pPr>
        <w:jc w:val="center"/>
      </w:pPr>
    </w:p>
    <w:p w14:paraId="02AC3945" w14:textId="5C7671CD" w:rsidR="00190466" w:rsidRPr="00465A16" w:rsidRDefault="00190466" w:rsidP="00190466">
      <w:pPr>
        <w:jc w:val="center"/>
        <w:rPr>
          <w:color w:val="4C4747"/>
          <w:sz w:val="20"/>
          <w:szCs w:val="20"/>
        </w:rPr>
      </w:pPr>
      <w:r w:rsidRPr="00465A16">
        <w:rPr>
          <w:noProof/>
        </w:rPr>
        <w:drawing>
          <wp:inline distT="0" distB="0" distL="0" distR="0" wp14:anchorId="36D83D7C" wp14:editId="5947D1DA">
            <wp:extent cx="4682274" cy="2926080"/>
            <wp:effectExtent l="0" t="0" r="4445" b="7620"/>
            <wp:docPr id="120910169"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0169" name="Imagen 1" descr="Interfaz de usuario gráfica, Aplicación&#10;&#10;El contenido generado por IA puede ser incorrecto."/>
                    <pic:cNvPicPr/>
                  </pic:nvPicPr>
                  <pic:blipFill rotWithShape="1">
                    <a:blip r:embed="rId36"/>
                    <a:srcRect l="8590" t="10777" r="54331" b="6853"/>
                    <a:stretch>
                      <a:fillRect/>
                    </a:stretch>
                  </pic:blipFill>
                  <pic:spPr bwMode="auto">
                    <a:xfrm>
                      <a:off x="0" y="0"/>
                      <a:ext cx="4716060" cy="2947194"/>
                    </a:xfrm>
                    <a:prstGeom prst="rect">
                      <a:avLst/>
                    </a:prstGeom>
                    <a:ln>
                      <a:noFill/>
                    </a:ln>
                    <a:extLst>
                      <a:ext uri="{53640926-AAD7-44D8-BBD7-CCE9431645EC}">
                        <a14:shadowObscured xmlns:a14="http://schemas.microsoft.com/office/drawing/2010/main"/>
                      </a:ext>
                    </a:extLst>
                  </pic:spPr>
                </pic:pic>
              </a:graphicData>
            </a:graphic>
          </wp:inline>
        </w:drawing>
      </w:r>
    </w:p>
    <w:p w14:paraId="22526FED" w14:textId="77777777" w:rsidR="00836F9B" w:rsidRPr="0077472F" w:rsidRDefault="00836F9B" w:rsidP="00970267">
      <w:pPr>
        <w:spacing w:after="0" w:line="240" w:lineRule="auto"/>
        <w:ind w:left="680"/>
        <w:jc w:val="center"/>
        <w:rPr>
          <w:i/>
          <w:iCs/>
          <w:sz w:val="20"/>
          <w:szCs w:val="20"/>
        </w:rPr>
      </w:pPr>
      <w:r w:rsidRPr="0077472F">
        <w:rPr>
          <w:i/>
          <w:iCs/>
          <w:sz w:val="20"/>
          <w:szCs w:val="20"/>
        </w:rPr>
        <w:t>Fuente: https://iticge.gob.do/results.php</w:t>
      </w:r>
    </w:p>
    <w:p w14:paraId="4F9CA1F3" w14:textId="50AD30A3" w:rsidR="002B659C" w:rsidRPr="0077472F" w:rsidRDefault="002B659C">
      <w:pPr>
        <w:rPr>
          <w:i/>
          <w:iCs/>
          <w:lang w:eastAsia="es-DO"/>
        </w:rPr>
      </w:pPr>
      <w:r w:rsidRPr="0077472F">
        <w:rPr>
          <w:i/>
          <w:iCs/>
          <w:lang w:eastAsia="es-DO"/>
        </w:rPr>
        <w:br w:type="page"/>
      </w:r>
    </w:p>
    <w:p w14:paraId="0D95266F" w14:textId="3928F65E" w:rsidR="002B659C" w:rsidRPr="00582880" w:rsidRDefault="002B659C" w:rsidP="002B659C">
      <w:pPr>
        <w:rPr>
          <w:b/>
          <w:bCs/>
        </w:rPr>
      </w:pPr>
      <w:r w:rsidRPr="00582880">
        <w:rPr>
          <w:b/>
          <w:bCs/>
        </w:rPr>
        <w:lastRenderedPageBreak/>
        <w:t>Otras ejecutorias TIC</w:t>
      </w:r>
    </w:p>
    <w:p w14:paraId="0CB7E348" w14:textId="7EAA8A29" w:rsidR="00970267" w:rsidRPr="00582880" w:rsidRDefault="00970267" w:rsidP="00970267">
      <w:pPr>
        <w:jc w:val="center"/>
        <w:rPr>
          <w:sz w:val="20"/>
          <w:szCs w:val="20"/>
        </w:rPr>
      </w:pPr>
      <w:r w:rsidRPr="00582880">
        <w:rPr>
          <w:sz w:val="20"/>
          <w:szCs w:val="20"/>
        </w:rPr>
        <w:t>Tabla 25. Otras implementaciones tecnológicas TIC 2025</w:t>
      </w:r>
    </w:p>
    <w:tbl>
      <w:tblPr>
        <w:tblStyle w:val="Tablaconcuadrcula"/>
        <w:tblW w:w="0" w:type="auto"/>
        <w:tblLook w:val="04A0" w:firstRow="1" w:lastRow="0" w:firstColumn="1" w:lastColumn="0" w:noHBand="0" w:noVBand="1"/>
      </w:tblPr>
      <w:tblGrid>
        <w:gridCol w:w="1703"/>
        <w:gridCol w:w="2188"/>
        <w:gridCol w:w="1575"/>
        <w:gridCol w:w="2444"/>
      </w:tblGrid>
      <w:tr w:rsidR="002B659C" w:rsidRPr="00465A16" w14:paraId="2694658F" w14:textId="77777777" w:rsidTr="00970267">
        <w:trPr>
          <w:trHeight w:val="288"/>
          <w:tblHeader/>
        </w:trPr>
        <w:tc>
          <w:tcPr>
            <w:tcW w:w="1703" w:type="dxa"/>
            <w:shd w:val="clear" w:color="auto" w:fill="002060"/>
            <w:hideMark/>
          </w:tcPr>
          <w:p w14:paraId="2DF01C02" w14:textId="77777777" w:rsidR="002B659C" w:rsidRPr="00465A16" w:rsidRDefault="002B659C" w:rsidP="002B659C">
            <w:pPr>
              <w:jc w:val="center"/>
              <w:rPr>
                <w:rFonts w:eastAsia="Times New Roman"/>
                <w:b/>
                <w:bCs/>
                <w:color w:val="FFFFFF" w:themeColor="background1"/>
                <w:spacing w:val="0"/>
                <w:sz w:val="22"/>
                <w:szCs w:val="22"/>
                <w:lang w:eastAsia="es-DO"/>
              </w:rPr>
            </w:pPr>
            <w:r w:rsidRPr="00465A16">
              <w:rPr>
                <w:rFonts w:eastAsia="Times New Roman"/>
                <w:b/>
                <w:bCs/>
                <w:color w:val="FFFFFF" w:themeColor="background1"/>
                <w:spacing w:val="0"/>
                <w:sz w:val="22"/>
                <w:szCs w:val="22"/>
                <w:lang w:eastAsia="es-DO"/>
              </w:rPr>
              <w:t>Proyecto</w:t>
            </w:r>
          </w:p>
        </w:tc>
        <w:tc>
          <w:tcPr>
            <w:tcW w:w="2188" w:type="dxa"/>
            <w:shd w:val="clear" w:color="auto" w:fill="002060"/>
            <w:hideMark/>
          </w:tcPr>
          <w:p w14:paraId="6F6F4E98" w14:textId="77777777" w:rsidR="002B659C" w:rsidRPr="00465A16" w:rsidRDefault="002B659C" w:rsidP="002B659C">
            <w:pPr>
              <w:jc w:val="center"/>
              <w:rPr>
                <w:rFonts w:eastAsia="Times New Roman"/>
                <w:b/>
                <w:bCs/>
                <w:color w:val="FFFFFF" w:themeColor="background1"/>
                <w:spacing w:val="0"/>
                <w:sz w:val="22"/>
                <w:szCs w:val="22"/>
                <w:lang w:eastAsia="es-DO"/>
              </w:rPr>
            </w:pPr>
            <w:r w:rsidRPr="00465A16">
              <w:rPr>
                <w:rFonts w:eastAsia="Times New Roman"/>
                <w:b/>
                <w:bCs/>
                <w:color w:val="FFFFFF" w:themeColor="background1"/>
                <w:spacing w:val="0"/>
                <w:sz w:val="22"/>
                <w:szCs w:val="22"/>
                <w:lang w:eastAsia="es-DO"/>
              </w:rPr>
              <w:t>Descripción/uso</w:t>
            </w:r>
          </w:p>
        </w:tc>
        <w:tc>
          <w:tcPr>
            <w:tcW w:w="1575" w:type="dxa"/>
            <w:shd w:val="clear" w:color="auto" w:fill="002060"/>
            <w:hideMark/>
          </w:tcPr>
          <w:p w14:paraId="1C26FD34" w14:textId="77777777" w:rsidR="002B659C" w:rsidRPr="00465A16" w:rsidRDefault="002B659C" w:rsidP="002B659C">
            <w:pPr>
              <w:jc w:val="center"/>
              <w:rPr>
                <w:rFonts w:eastAsia="Times New Roman"/>
                <w:b/>
                <w:bCs/>
                <w:color w:val="FFFFFF" w:themeColor="background1"/>
                <w:spacing w:val="0"/>
                <w:sz w:val="22"/>
                <w:szCs w:val="22"/>
                <w:lang w:eastAsia="es-DO"/>
              </w:rPr>
            </w:pPr>
            <w:r w:rsidRPr="00465A16">
              <w:rPr>
                <w:rFonts w:eastAsia="Times New Roman"/>
                <w:b/>
                <w:bCs/>
                <w:color w:val="FFFFFF" w:themeColor="background1"/>
                <w:spacing w:val="0"/>
                <w:sz w:val="22"/>
                <w:szCs w:val="22"/>
                <w:lang w:eastAsia="es-DO"/>
              </w:rPr>
              <w:t>Estatus</w:t>
            </w:r>
          </w:p>
        </w:tc>
        <w:tc>
          <w:tcPr>
            <w:tcW w:w="2444" w:type="dxa"/>
            <w:shd w:val="clear" w:color="auto" w:fill="002060"/>
            <w:hideMark/>
          </w:tcPr>
          <w:p w14:paraId="1ECC8198" w14:textId="77777777" w:rsidR="002B659C" w:rsidRPr="00465A16" w:rsidRDefault="002B659C" w:rsidP="002B659C">
            <w:pPr>
              <w:jc w:val="center"/>
              <w:rPr>
                <w:rFonts w:eastAsia="Times New Roman"/>
                <w:b/>
                <w:bCs/>
                <w:color w:val="FFFFFF" w:themeColor="background1"/>
                <w:spacing w:val="0"/>
                <w:sz w:val="22"/>
                <w:szCs w:val="22"/>
                <w:lang w:eastAsia="es-DO"/>
              </w:rPr>
            </w:pPr>
            <w:r w:rsidRPr="00465A16">
              <w:rPr>
                <w:rFonts w:eastAsia="Times New Roman"/>
                <w:b/>
                <w:bCs/>
                <w:color w:val="FFFFFF" w:themeColor="background1"/>
                <w:spacing w:val="0"/>
                <w:sz w:val="22"/>
                <w:szCs w:val="22"/>
                <w:lang w:eastAsia="es-DO"/>
              </w:rPr>
              <w:t>Impacto</w:t>
            </w:r>
          </w:p>
        </w:tc>
      </w:tr>
      <w:tr w:rsidR="00582880" w:rsidRPr="00582880" w14:paraId="23FA367D" w14:textId="77777777" w:rsidTr="00970267">
        <w:trPr>
          <w:trHeight w:val="1032"/>
        </w:trPr>
        <w:tc>
          <w:tcPr>
            <w:tcW w:w="1703" w:type="dxa"/>
            <w:vAlign w:val="center"/>
            <w:hideMark/>
          </w:tcPr>
          <w:p w14:paraId="2608E16A"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Implementación FortiNAC</w:t>
            </w:r>
          </w:p>
        </w:tc>
        <w:tc>
          <w:tcPr>
            <w:tcW w:w="2188" w:type="dxa"/>
            <w:vAlign w:val="center"/>
            <w:hideMark/>
          </w:tcPr>
          <w:p w14:paraId="3DBC5768"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Sistema de Control de Acceso a la Red (NAC) para asegurar y gestionar los dispositivos que se conectan a la red corporativa.</w:t>
            </w:r>
          </w:p>
        </w:tc>
        <w:tc>
          <w:tcPr>
            <w:tcW w:w="1575" w:type="dxa"/>
            <w:vAlign w:val="center"/>
            <w:hideMark/>
          </w:tcPr>
          <w:p w14:paraId="7D71F796"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Implementado</w:t>
            </w:r>
          </w:p>
        </w:tc>
        <w:tc>
          <w:tcPr>
            <w:tcW w:w="2444" w:type="dxa"/>
            <w:vAlign w:val="center"/>
            <w:hideMark/>
          </w:tcPr>
          <w:p w14:paraId="18342849"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Alto. Mejora de la postura de seguridad y cumplimiento normativo.</w:t>
            </w:r>
          </w:p>
        </w:tc>
      </w:tr>
      <w:tr w:rsidR="00582880" w:rsidRPr="00582880" w14:paraId="22848AFC" w14:textId="77777777" w:rsidTr="00970267">
        <w:trPr>
          <w:trHeight w:val="1408"/>
        </w:trPr>
        <w:tc>
          <w:tcPr>
            <w:tcW w:w="1703" w:type="dxa"/>
            <w:vAlign w:val="center"/>
            <w:hideMark/>
          </w:tcPr>
          <w:p w14:paraId="51091534"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Implementación Netbackup</w:t>
            </w:r>
          </w:p>
        </w:tc>
        <w:tc>
          <w:tcPr>
            <w:tcW w:w="2188" w:type="dxa"/>
            <w:vAlign w:val="center"/>
            <w:hideMark/>
          </w:tcPr>
          <w:p w14:paraId="647F43C8"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Establecimiento de una solución centralizada de respaldo y recuperación de datos para proteger la información crítica.</w:t>
            </w:r>
          </w:p>
        </w:tc>
        <w:tc>
          <w:tcPr>
            <w:tcW w:w="1575" w:type="dxa"/>
            <w:vAlign w:val="center"/>
            <w:hideMark/>
          </w:tcPr>
          <w:p w14:paraId="01582BF9"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Implementado</w:t>
            </w:r>
          </w:p>
        </w:tc>
        <w:tc>
          <w:tcPr>
            <w:tcW w:w="2444" w:type="dxa"/>
            <w:vAlign w:val="center"/>
            <w:hideMark/>
          </w:tcPr>
          <w:p w14:paraId="2E9B9A8B"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Alto. Asegura la continuidad del negocio y minimiza la pérdida de datos ante fallos.</w:t>
            </w:r>
          </w:p>
        </w:tc>
      </w:tr>
      <w:tr w:rsidR="00582880" w:rsidRPr="00582880" w14:paraId="30CCFE7C" w14:textId="77777777" w:rsidTr="00970267">
        <w:trPr>
          <w:trHeight w:val="1032"/>
        </w:trPr>
        <w:tc>
          <w:tcPr>
            <w:tcW w:w="1703" w:type="dxa"/>
            <w:vAlign w:val="center"/>
            <w:hideMark/>
          </w:tcPr>
          <w:p w14:paraId="51D4A546"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Sustitución de Core</w:t>
            </w:r>
          </w:p>
        </w:tc>
        <w:tc>
          <w:tcPr>
            <w:tcW w:w="2188" w:type="dxa"/>
            <w:vAlign w:val="center"/>
            <w:hideMark/>
          </w:tcPr>
          <w:p w14:paraId="65D547B4"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Reemplazo o actualización de los equipos de red del núcleo (core) para aumentar el ancho de banda, la velocidad y la redundancia.</w:t>
            </w:r>
          </w:p>
        </w:tc>
        <w:tc>
          <w:tcPr>
            <w:tcW w:w="1575" w:type="dxa"/>
            <w:vAlign w:val="center"/>
            <w:hideMark/>
          </w:tcPr>
          <w:p w14:paraId="422CC1AC"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Implementado</w:t>
            </w:r>
          </w:p>
        </w:tc>
        <w:tc>
          <w:tcPr>
            <w:tcW w:w="2444" w:type="dxa"/>
            <w:vAlign w:val="center"/>
            <w:hideMark/>
          </w:tcPr>
          <w:p w14:paraId="4A0EB1EF"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Crítico/Alto. Mejora el rendimiento general de la red y la fiabilidad de las comunicaciones.</w:t>
            </w:r>
          </w:p>
        </w:tc>
      </w:tr>
      <w:tr w:rsidR="00582880" w:rsidRPr="00582880" w14:paraId="4CE3DDE0" w14:textId="77777777" w:rsidTr="00970267">
        <w:trPr>
          <w:trHeight w:val="1032"/>
        </w:trPr>
        <w:tc>
          <w:tcPr>
            <w:tcW w:w="1703" w:type="dxa"/>
            <w:vAlign w:val="center"/>
            <w:hideMark/>
          </w:tcPr>
          <w:p w14:paraId="434B9AA9" w14:textId="3E80E0D8"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 xml:space="preserve">Implementación </w:t>
            </w:r>
            <w:r w:rsidR="00D72385" w:rsidRPr="00582880">
              <w:rPr>
                <w:rFonts w:eastAsia="Times New Roman"/>
                <w:spacing w:val="0"/>
                <w:sz w:val="22"/>
                <w:szCs w:val="22"/>
                <w:lang w:eastAsia="es-DO"/>
              </w:rPr>
              <w:t>Clúster</w:t>
            </w:r>
            <w:r w:rsidRPr="00582880">
              <w:rPr>
                <w:rFonts w:eastAsia="Times New Roman"/>
                <w:spacing w:val="0"/>
                <w:sz w:val="22"/>
                <w:szCs w:val="22"/>
                <w:lang w:eastAsia="es-DO"/>
              </w:rPr>
              <w:t xml:space="preserve"> Nutanix</w:t>
            </w:r>
          </w:p>
        </w:tc>
        <w:tc>
          <w:tcPr>
            <w:tcW w:w="2188" w:type="dxa"/>
            <w:vAlign w:val="center"/>
            <w:hideMark/>
          </w:tcPr>
          <w:p w14:paraId="46792767" w14:textId="2C790B58"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 xml:space="preserve">Despliegue de una infraestructura hiperconvergente (HCI) para virtualización, consolidación de servidores y </w:t>
            </w:r>
            <w:r w:rsidRPr="00582880">
              <w:rPr>
                <w:rFonts w:eastAsia="Times New Roman"/>
                <w:spacing w:val="0"/>
                <w:sz w:val="22"/>
                <w:szCs w:val="22"/>
                <w:lang w:eastAsia="es-DO"/>
              </w:rPr>
              <w:lastRenderedPageBreak/>
              <w:t>simplificación de la gestión de TI.</w:t>
            </w:r>
          </w:p>
        </w:tc>
        <w:tc>
          <w:tcPr>
            <w:tcW w:w="1575" w:type="dxa"/>
            <w:vAlign w:val="center"/>
            <w:hideMark/>
          </w:tcPr>
          <w:p w14:paraId="30E96460"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lastRenderedPageBreak/>
              <w:t>Implementado</w:t>
            </w:r>
          </w:p>
        </w:tc>
        <w:tc>
          <w:tcPr>
            <w:tcW w:w="2444" w:type="dxa"/>
            <w:vAlign w:val="center"/>
            <w:hideMark/>
          </w:tcPr>
          <w:p w14:paraId="04BC7512"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Alto. Reducción de costos operativos, mayor agilidad en el despliegue de servicios y escalabilidad.</w:t>
            </w:r>
          </w:p>
        </w:tc>
      </w:tr>
      <w:tr w:rsidR="00582880" w:rsidRPr="00582880" w14:paraId="71FBE11F" w14:textId="77777777" w:rsidTr="00970267">
        <w:trPr>
          <w:trHeight w:val="3098"/>
        </w:trPr>
        <w:tc>
          <w:tcPr>
            <w:tcW w:w="1703" w:type="dxa"/>
            <w:vAlign w:val="center"/>
            <w:hideMark/>
          </w:tcPr>
          <w:p w14:paraId="5CC3A5E7"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Implementación de Nuevo NAS para Backup Base de Datos</w:t>
            </w:r>
          </w:p>
        </w:tc>
        <w:tc>
          <w:tcPr>
            <w:tcW w:w="2188" w:type="dxa"/>
            <w:vAlign w:val="center"/>
            <w:hideMark/>
          </w:tcPr>
          <w:p w14:paraId="58C06C5A"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Adquisición e instalación de un nuevo dispositivo de almacenamiento conectado a red (NAS) dedicado exclusivamente para el respaldo de bases de datos.</w:t>
            </w:r>
          </w:p>
        </w:tc>
        <w:tc>
          <w:tcPr>
            <w:tcW w:w="1575" w:type="dxa"/>
            <w:vAlign w:val="center"/>
            <w:hideMark/>
          </w:tcPr>
          <w:p w14:paraId="6909A5F0"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Implementado</w:t>
            </w:r>
          </w:p>
        </w:tc>
        <w:tc>
          <w:tcPr>
            <w:tcW w:w="2444" w:type="dxa"/>
            <w:vAlign w:val="center"/>
            <w:hideMark/>
          </w:tcPr>
          <w:p w14:paraId="322FE1F2" w14:textId="77777777" w:rsidR="002B659C" w:rsidRPr="00582880" w:rsidRDefault="002B659C" w:rsidP="00C934DB">
            <w:pPr>
              <w:spacing w:line="360" w:lineRule="auto"/>
              <w:rPr>
                <w:rFonts w:eastAsia="Times New Roman"/>
                <w:spacing w:val="0"/>
                <w:sz w:val="22"/>
                <w:szCs w:val="22"/>
                <w:lang w:eastAsia="es-DO"/>
              </w:rPr>
            </w:pPr>
            <w:r w:rsidRPr="00582880">
              <w:rPr>
                <w:rFonts w:eastAsia="Times New Roman"/>
                <w:spacing w:val="0"/>
                <w:sz w:val="22"/>
                <w:szCs w:val="22"/>
                <w:lang w:eastAsia="es-DO"/>
              </w:rPr>
              <w:t>Medio/Alto. Mejora la velocidad de respaldo/recuperación y aísla los backups críticos.</w:t>
            </w:r>
          </w:p>
        </w:tc>
      </w:tr>
    </w:tbl>
    <w:p w14:paraId="16FF052F" w14:textId="71CF4772" w:rsidR="00970267" w:rsidRPr="00900363" w:rsidRDefault="00970267" w:rsidP="00970267">
      <w:pPr>
        <w:tabs>
          <w:tab w:val="left" w:pos="426"/>
        </w:tabs>
        <w:spacing w:line="360" w:lineRule="auto"/>
        <w:jc w:val="center"/>
        <w:rPr>
          <w:i/>
          <w:iCs/>
          <w:sz w:val="18"/>
          <w:szCs w:val="18"/>
        </w:rPr>
      </w:pPr>
      <w:r w:rsidRPr="00900363">
        <w:rPr>
          <w:i/>
          <w:iCs/>
          <w:sz w:val="18"/>
          <w:szCs w:val="18"/>
        </w:rPr>
        <w:t>Fuente. Informe anual TIC 2025</w:t>
      </w:r>
    </w:p>
    <w:p w14:paraId="70EC4D61" w14:textId="7F150701" w:rsidR="003F2A89" w:rsidRPr="00582880" w:rsidRDefault="003F2A89" w:rsidP="00523859">
      <w:pPr>
        <w:pStyle w:val="Ttulo2"/>
        <w:spacing w:line="360" w:lineRule="auto"/>
        <w:rPr>
          <w:rFonts w:cs="Times New Roman"/>
          <w:b/>
          <w:bCs/>
          <w:color w:val="767171"/>
          <w:szCs w:val="24"/>
        </w:rPr>
      </w:pPr>
      <w:bookmarkStart w:id="35" w:name="_Toc217997941"/>
      <w:r w:rsidRPr="00582880">
        <w:rPr>
          <w:rFonts w:cs="Times New Roman"/>
          <w:b/>
          <w:bCs/>
          <w:color w:val="767171"/>
          <w:szCs w:val="24"/>
        </w:rPr>
        <w:t xml:space="preserve">4.5 Desempeño del </w:t>
      </w:r>
      <w:r w:rsidR="00F22209" w:rsidRPr="00582880">
        <w:rPr>
          <w:rFonts w:cs="Times New Roman"/>
          <w:b/>
          <w:bCs/>
          <w:color w:val="767171"/>
          <w:szCs w:val="24"/>
        </w:rPr>
        <w:t>S</w:t>
      </w:r>
      <w:r w:rsidRPr="00582880">
        <w:rPr>
          <w:rFonts w:cs="Times New Roman"/>
          <w:b/>
          <w:bCs/>
          <w:color w:val="767171"/>
          <w:szCs w:val="24"/>
        </w:rPr>
        <w:t xml:space="preserve">istema de </w:t>
      </w:r>
      <w:r w:rsidR="0005030B" w:rsidRPr="00582880">
        <w:rPr>
          <w:rFonts w:cs="Times New Roman"/>
          <w:b/>
          <w:bCs/>
          <w:color w:val="767171"/>
          <w:szCs w:val="24"/>
        </w:rPr>
        <w:t>P</w:t>
      </w:r>
      <w:r w:rsidRPr="00582880">
        <w:rPr>
          <w:rFonts w:cs="Times New Roman"/>
          <w:b/>
          <w:bCs/>
          <w:color w:val="767171"/>
          <w:szCs w:val="24"/>
        </w:rPr>
        <w:t xml:space="preserve">lanificación y Desarrollo </w:t>
      </w:r>
      <w:r w:rsidR="000671F1">
        <w:rPr>
          <w:rFonts w:cs="Times New Roman"/>
          <w:b/>
          <w:bCs/>
          <w:color w:val="767171"/>
          <w:szCs w:val="24"/>
        </w:rPr>
        <w:t>I</w:t>
      </w:r>
      <w:r w:rsidRPr="00582880">
        <w:rPr>
          <w:rFonts w:cs="Times New Roman"/>
          <w:b/>
          <w:bCs/>
          <w:color w:val="767171"/>
          <w:szCs w:val="24"/>
        </w:rPr>
        <w:t>nstitucional</w:t>
      </w:r>
      <w:bookmarkEnd w:id="35"/>
    </w:p>
    <w:p w14:paraId="071A522F" w14:textId="77777777" w:rsidR="00183265" w:rsidRDefault="00183265" w:rsidP="00C934DB">
      <w:pPr>
        <w:spacing w:line="360" w:lineRule="auto"/>
        <w:jc w:val="both"/>
      </w:pPr>
    </w:p>
    <w:p w14:paraId="6F1DC27B" w14:textId="7A78CB40" w:rsidR="00523859" w:rsidRDefault="00B51590" w:rsidP="00C934DB">
      <w:pPr>
        <w:spacing w:line="360" w:lineRule="auto"/>
        <w:jc w:val="both"/>
      </w:pPr>
      <w:r w:rsidRPr="00582880">
        <w:t>La Dirección de Planificación y Desarrollo, integrada por las divisiones de Formulación, Monitoreo y Evaluación de Planes, Programas y Proyectos; Calidad en la Gestión; y Desarrollo Institucional, ha desarrollado una labor articulada y eficiente que ha permitido sostener altos niveles de desempeño en las diversas iniciativas y proyectos ejecutados por las demás unidades organizativas de la Contraloría</w:t>
      </w:r>
      <w:r w:rsidR="00900363">
        <w:t xml:space="preserve"> y adoptar el modelo de excelencia organizacional.</w:t>
      </w:r>
      <w:r w:rsidRPr="00582880">
        <w:t xml:space="preserve">  </w:t>
      </w:r>
    </w:p>
    <w:p w14:paraId="2413D7EF" w14:textId="5509AC24" w:rsidR="00523859" w:rsidRDefault="00B51590" w:rsidP="00C934DB">
      <w:pPr>
        <w:spacing w:line="360" w:lineRule="auto"/>
        <w:jc w:val="both"/>
      </w:pPr>
      <w:r w:rsidRPr="00582880">
        <w:t xml:space="preserve">En su rol de órgano responsable del seguimiento, la estandarización y el control, ha aplicado de manera permanente los principios de mejora continua. </w:t>
      </w:r>
    </w:p>
    <w:p w14:paraId="34A96876" w14:textId="77777777" w:rsidR="00437D53" w:rsidRDefault="00437D53" w:rsidP="00523859">
      <w:pPr>
        <w:spacing w:line="360" w:lineRule="auto"/>
        <w:jc w:val="both"/>
      </w:pPr>
    </w:p>
    <w:p w14:paraId="00AFDC21" w14:textId="77777777" w:rsidR="00437D53" w:rsidRDefault="00437D53" w:rsidP="00523859">
      <w:pPr>
        <w:spacing w:line="360" w:lineRule="auto"/>
        <w:jc w:val="both"/>
      </w:pPr>
    </w:p>
    <w:p w14:paraId="484876CE" w14:textId="57084D72" w:rsidR="00523859" w:rsidRPr="00582880" w:rsidRDefault="00523859" w:rsidP="00523859">
      <w:pPr>
        <w:spacing w:line="360" w:lineRule="auto"/>
        <w:jc w:val="both"/>
      </w:pPr>
      <w:r>
        <w:lastRenderedPageBreak/>
        <w:t>A mediados de año fue lanzado el Plan Estratégico Institucional (PEI) 2025-2028, con un nuevo marco filosófico y estrategias claras y mediables, articuladas con los principales planes de Estado, como la Estrategia Nacional de Desarrollo, Plan Plurianual el Sector Público, y Plan de Gobierno, formulado bajo los lineamientos técnicos del Ministerio de Hacienda y</w:t>
      </w:r>
      <w:r w:rsidR="00183265">
        <w:t xml:space="preserve"> </w:t>
      </w:r>
      <w:r>
        <w:t>Economía. La</w:t>
      </w:r>
      <w:r w:rsidRPr="00582880">
        <w:t xml:space="preserve"> primera evaluación preliminar </w:t>
      </w:r>
      <w:r>
        <w:t xml:space="preserve">del PEI,  </w:t>
      </w:r>
      <w:r w:rsidRPr="00582880">
        <w:t>correspondiente al 1er semestre 2025, arrojó una efectividad de 96.97% respecto a las metas programadas para el semestre, y un avance de 12.12% respecto a las metas al 2028, un panorama muy favorable para mediciones futuras según los objetivos planteados.</w:t>
      </w:r>
      <w:r w:rsidR="009772DC">
        <w:t xml:space="preserve"> Se proyecta el cierre de año con una efectividad respecto a la meta anual del PEI de un 96%, y un avance respecto a la meta anual de 24%</w:t>
      </w:r>
    </w:p>
    <w:p w14:paraId="038E791E" w14:textId="653D69C5" w:rsidR="00523859" w:rsidRDefault="00523859" w:rsidP="00523859">
      <w:pPr>
        <w:spacing w:line="360" w:lineRule="auto"/>
        <w:jc w:val="both"/>
      </w:pPr>
      <w:r w:rsidRPr="00582880">
        <w:t>Este desempeño</w:t>
      </w:r>
      <w:r>
        <w:t xml:space="preserve"> del PEI se ve apoyado por </w:t>
      </w:r>
      <w:r w:rsidRPr="00582880">
        <w:t>los resultados de la ejecución del Plan Operativo Anual 2025</w:t>
      </w:r>
      <w:r>
        <w:t xml:space="preserve">, </w:t>
      </w:r>
      <w:r w:rsidR="00CD213B">
        <w:t xml:space="preserve">que </w:t>
      </w:r>
      <w:r w:rsidRPr="00582880">
        <w:t>registra un</w:t>
      </w:r>
      <w:r w:rsidR="0089591E">
        <w:t>a efectividad promediada del resultado de los tres primeros trimestres, de 98.33%, lo que representa un avance promediado respecto a la meta anual de 73.75%</w:t>
      </w:r>
      <w:r w:rsidRPr="00582880">
        <w:t xml:space="preserve">. </w:t>
      </w:r>
      <w:r w:rsidR="0089591E">
        <w:t xml:space="preserve">Se estima a modo de proyección el cierre de año con un resultado de ejecución de 98. </w:t>
      </w:r>
      <w:r w:rsidR="002C3E88">
        <w:t>Para lograr estos resultados se ha implementado de manera rigurosa el sistema de gestión de la planificación institucional (SGP), que comprende el seguimiento mensual de las actividades, monitoreo trimestral de indicadores y del Plan Anual de Compras y Contrataciones (PACC), y una eficiente gestión de reporte</w:t>
      </w:r>
      <w:r w:rsidR="00183265">
        <w:t>s,</w:t>
      </w:r>
      <w:r w:rsidR="002C3E88">
        <w:t xml:space="preserve"> socialización</w:t>
      </w:r>
      <w:r w:rsidR="00183265">
        <w:t xml:space="preserve"> y difusión periódica</w:t>
      </w:r>
      <w:r w:rsidR="002C3E88">
        <w:t xml:space="preserve"> de resultados</w:t>
      </w:r>
      <w:r w:rsidR="00BF2C97">
        <w:t xml:space="preserve"> </w:t>
      </w:r>
      <w:r w:rsidR="00183265">
        <w:t>a</w:t>
      </w:r>
      <w:r w:rsidR="00BF2C97">
        <w:t xml:space="preserve"> todos los niveles ocupacionales. </w:t>
      </w:r>
    </w:p>
    <w:p w14:paraId="4720E340" w14:textId="77777777" w:rsidR="0089591E" w:rsidRDefault="002C3E88" w:rsidP="00523859">
      <w:pPr>
        <w:spacing w:line="360" w:lineRule="auto"/>
        <w:jc w:val="both"/>
      </w:pPr>
      <w:r w:rsidRPr="00BF2C97">
        <w:t>En consonancia</w:t>
      </w:r>
      <w:r w:rsidR="00E1789A" w:rsidRPr="00BF2C97">
        <w:t>,</w:t>
      </w:r>
      <w:r w:rsidRPr="00BF2C97">
        <w:t xml:space="preserve"> </w:t>
      </w:r>
      <w:r w:rsidR="0086534D" w:rsidRPr="00BF2C97">
        <w:t>e</w:t>
      </w:r>
      <w:r w:rsidRPr="00BF2C97">
        <w:t xml:space="preserve">l </w:t>
      </w:r>
      <w:r w:rsidR="0089591E">
        <w:t>POA</w:t>
      </w:r>
      <w:r w:rsidRPr="00BF2C97">
        <w:t xml:space="preserve"> 2026</w:t>
      </w:r>
      <w:r w:rsidR="00E1789A" w:rsidRPr="00BF2C97">
        <w:t xml:space="preserve"> fue formulado en su versión preliminar</w:t>
      </w:r>
      <w:r w:rsidR="00751F08">
        <w:t xml:space="preserve"> a finales de año,</w:t>
      </w:r>
      <w:r w:rsidR="00E1789A" w:rsidRPr="00BF2C97">
        <w:t xml:space="preserve"> alineado al PEI 2025-2028</w:t>
      </w:r>
      <w:r w:rsidR="00BF2C97" w:rsidRPr="00BF2C97">
        <w:t xml:space="preserve">. En este plan se ven representadas las 18 unidades organizativas de la CGR (misionales y transversales), y se incorporaron aquellos productos del 2025 que </w:t>
      </w:r>
      <w:r w:rsidR="00751F08">
        <w:t xml:space="preserve">han </w:t>
      </w:r>
    </w:p>
    <w:p w14:paraId="6758FBC3" w14:textId="53BAE072" w:rsidR="002C3E88" w:rsidRPr="00BF2C97" w:rsidRDefault="00751F08" w:rsidP="00523859">
      <w:pPr>
        <w:spacing w:line="360" w:lineRule="auto"/>
        <w:jc w:val="both"/>
      </w:pPr>
      <w:r>
        <w:lastRenderedPageBreak/>
        <w:t xml:space="preserve">presentado </w:t>
      </w:r>
      <w:r w:rsidR="00BF2C97" w:rsidRPr="00BF2C97">
        <w:t>desvíos</w:t>
      </w:r>
      <w:r>
        <w:t xml:space="preserve"> durante los monitoreos</w:t>
      </w:r>
      <w:r w:rsidR="00BF2C97" w:rsidRPr="00BF2C97">
        <w:t>, así como las brechas identificadas en el análisis FODA levantado durante la jornada de formulación</w:t>
      </w:r>
      <w:r>
        <w:t>, con</w:t>
      </w:r>
      <w:r w:rsidR="00BF2C97" w:rsidRPr="00BF2C97">
        <w:t xml:space="preserve"> el fin de garantizar la continuidad de las operaciones que contribuyen al logro de los objetivos institucionales. Como novedad, para este diagnóstico se controló un formato de matriz FODA que contiene el análisis de las políticas públicas transversales, a saber, género, medio ambiente, cohesión territorial, tecnología, participación ciudadana,</w:t>
      </w:r>
      <w:r w:rsidR="00C2262C">
        <w:t xml:space="preserve"> entre otros,</w:t>
      </w:r>
      <w:r w:rsidR="00BF2C97" w:rsidRPr="00BF2C97">
        <w:t xml:space="preserve"> </w:t>
      </w:r>
      <w:r w:rsidR="00C2262C">
        <w:t xml:space="preserve">permitiendo al equipo técnico tener una vista fresca de la situación de la institución frente a estos compromisos nacionales tan importantes, para la posterior toma de decisiones en la planificación y mejora de procesos.  </w:t>
      </w:r>
    </w:p>
    <w:p w14:paraId="21B6FEDB" w14:textId="77777777" w:rsidR="00EC370A" w:rsidRPr="00582880" w:rsidRDefault="00EC370A" w:rsidP="00D03855">
      <w:pPr>
        <w:spacing w:line="360" w:lineRule="auto"/>
        <w:jc w:val="both"/>
        <w:rPr>
          <w:b/>
          <w:bCs/>
        </w:rPr>
      </w:pPr>
      <w:r w:rsidRPr="00582880">
        <w:rPr>
          <w:b/>
          <w:bCs/>
        </w:rPr>
        <w:t xml:space="preserve">a. Resultados de la implementación y aplicación de Normas Básicas de Control Interno </w:t>
      </w:r>
    </w:p>
    <w:p w14:paraId="4BDD3436" w14:textId="77777777" w:rsidR="00E707FF" w:rsidRPr="00582880" w:rsidRDefault="001C5C8E" w:rsidP="00C934DB">
      <w:pPr>
        <w:tabs>
          <w:tab w:val="left" w:pos="426"/>
        </w:tabs>
        <w:spacing w:line="360" w:lineRule="auto"/>
        <w:jc w:val="both"/>
      </w:pPr>
      <w:r w:rsidRPr="00582880">
        <w:t xml:space="preserve">En el marco de nuestro firme compromiso con las Normas Básicas de Control Interno (NOBACI), se completó la revisión exhaustiva de los 128 requerimientos de NOBACI institucionales. Este esfuerzo resultó en la actualización de más de 75 requerimientos con nuevas evidencias, las cuales fueron debidamente evaluadas y aprobadas. </w:t>
      </w:r>
    </w:p>
    <w:p w14:paraId="4B512B61" w14:textId="1A4E609D" w:rsidR="001C5C8E" w:rsidRPr="00582880" w:rsidRDefault="001C5C8E" w:rsidP="00C934DB">
      <w:pPr>
        <w:tabs>
          <w:tab w:val="left" w:pos="426"/>
        </w:tabs>
        <w:spacing w:line="360" w:lineRule="auto"/>
        <w:jc w:val="both"/>
      </w:pPr>
      <w:r w:rsidRPr="00582880">
        <w:t>Para fortalecer los controles internos y asegurar un cumplimiento más robusto con las NOBACI, se sometió a actualización el procedimiento de Supervisión y Monitoreo del control interno. </w:t>
      </w:r>
    </w:p>
    <w:p w14:paraId="292319D8" w14:textId="0ECB562A" w:rsidR="001C5C8E" w:rsidRPr="00582880" w:rsidRDefault="001C5C8E" w:rsidP="00C934DB">
      <w:pPr>
        <w:tabs>
          <w:tab w:val="left" w:pos="426"/>
        </w:tabs>
        <w:spacing w:line="360" w:lineRule="auto"/>
        <w:jc w:val="both"/>
      </w:pPr>
      <w:r w:rsidRPr="00582880">
        <w:t xml:space="preserve"> Adicionalmente, se ha iniciado formalmente el proceso de validación de cumplimiento de NOBACI con el objetivo de mejorar aún más nuestro apego a las normas. Este proceso clave fue puesto en marcha mediante una reunión que congregó al comité NOBACI y los representantes principales del </w:t>
      </w:r>
      <w:r w:rsidR="00CA4CC5">
        <w:t xml:space="preserve">control interno </w:t>
      </w:r>
      <w:r w:rsidRPr="00582880">
        <w:t>de todas las áreas de la institución para coordinar los esfuerzos de validación, y se tiene prevista la recepción del informe preliminar para enero de 2026</w:t>
      </w:r>
      <w:r w:rsidR="00E707FF" w:rsidRPr="00582880">
        <w:t xml:space="preserve"> (Ver tabla)</w:t>
      </w:r>
      <w:r w:rsidRPr="00582880">
        <w:t>.</w:t>
      </w:r>
    </w:p>
    <w:p w14:paraId="1C2463CA" w14:textId="5F5A8F35" w:rsidR="00B51590" w:rsidRPr="00582880" w:rsidRDefault="00B51590" w:rsidP="00B51590">
      <w:pPr>
        <w:tabs>
          <w:tab w:val="left" w:pos="426"/>
        </w:tabs>
        <w:spacing w:line="360" w:lineRule="auto"/>
        <w:jc w:val="center"/>
        <w:rPr>
          <w:sz w:val="18"/>
          <w:szCs w:val="18"/>
        </w:rPr>
      </w:pPr>
      <w:r w:rsidRPr="00582880">
        <w:rPr>
          <w:sz w:val="18"/>
          <w:szCs w:val="18"/>
        </w:rPr>
        <w:lastRenderedPageBreak/>
        <w:t xml:space="preserve">Tabla </w:t>
      </w:r>
      <w:r w:rsidR="00970267" w:rsidRPr="00582880">
        <w:rPr>
          <w:sz w:val="18"/>
          <w:szCs w:val="18"/>
        </w:rPr>
        <w:t>26</w:t>
      </w:r>
      <w:r w:rsidRPr="00582880">
        <w:rPr>
          <w:sz w:val="18"/>
          <w:szCs w:val="18"/>
        </w:rPr>
        <w:t>. Resultados Nobaci en CGR 2025</w:t>
      </w:r>
    </w:p>
    <w:tbl>
      <w:tblPr>
        <w:tblW w:w="7650" w:type="dxa"/>
        <w:tblCellMar>
          <w:left w:w="70" w:type="dxa"/>
          <w:right w:w="70" w:type="dxa"/>
        </w:tblCellMar>
        <w:tblLook w:val="04A0" w:firstRow="1" w:lastRow="0" w:firstColumn="1" w:lastColumn="0" w:noHBand="0" w:noVBand="1"/>
      </w:tblPr>
      <w:tblGrid>
        <w:gridCol w:w="5826"/>
        <w:gridCol w:w="1824"/>
      </w:tblGrid>
      <w:tr w:rsidR="00DC07C4" w:rsidRPr="00465A16" w14:paraId="533339D8" w14:textId="77777777" w:rsidTr="005A610A">
        <w:trPr>
          <w:trHeight w:val="348"/>
        </w:trPr>
        <w:tc>
          <w:tcPr>
            <w:tcW w:w="5826"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03FFA6A8" w14:textId="3917EE5F" w:rsidR="00EC370A" w:rsidRPr="00465A16" w:rsidRDefault="00EC370A" w:rsidP="00D72385">
            <w:pPr>
              <w:spacing w:after="0" w:line="360" w:lineRule="auto"/>
              <w:jc w:val="center"/>
              <w:rPr>
                <w:rFonts w:eastAsia="Times New Roman"/>
                <w:b/>
                <w:bCs/>
                <w:color w:val="FFFFFF" w:themeColor="background1"/>
                <w:spacing w:val="0"/>
                <w:lang w:eastAsia="es-DO"/>
              </w:rPr>
            </w:pPr>
            <w:r w:rsidRPr="00465A16">
              <w:rPr>
                <w:rFonts w:eastAsia="Calibri"/>
                <w:b/>
                <w:bCs/>
                <w:color w:val="FFFFFF" w:themeColor="background1"/>
                <w:spacing w:val="0"/>
                <w:lang w:eastAsia="es-DO"/>
              </w:rPr>
              <w:t>Componentes</w:t>
            </w:r>
          </w:p>
        </w:tc>
        <w:tc>
          <w:tcPr>
            <w:tcW w:w="1824" w:type="dxa"/>
            <w:tcBorders>
              <w:top w:val="single" w:sz="4" w:space="0" w:color="auto"/>
              <w:left w:val="nil"/>
              <w:bottom w:val="single" w:sz="4" w:space="0" w:color="auto"/>
              <w:right w:val="single" w:sz="4" w:space="0" w:color="auto"/>
            </w:tcBorders>
            <w:shd w:val="clear" w:color="auto" w:fill="011C50"/>
            <w:vAlign w:val="center"/>
            <w:hideMark/>
          </w:tcPr>
          <w:p w14:paraId="01A933C2" w14:textId="17EEA40B" w:rsidR="00EC370A" w:rsidRPr="00465A16" w:rsidRDefault="00EC370A" w:rsidP="00D72385">
            <w:pPr>
              <w:spacing w:after="0" w:line="360" w:lineRule="auto"/>
              <w:jc w:val="center"/>
              <w:rPr>
                <w:rFonts w:eastAsia="Times New Roman"/>
                <w:b/>
                <w:bCs/>
                <w:color w:val="FFFFFF" w:themeColor="background1"/>
                <w:spacing w:val="0"/>
                <w:lang w:eastAsia="es-DO"/>
              </w:rPr>
            </w:pPr>
            <w:r w:rsidRPr="00465A16">
              <w:rPr>
                <w:rFonts w:eastAsia="Calibri"/>
                <w:b/>
                <w:bCs/>
                <w:color w:val="FFFFFF" w:themeColor="background1"/>
                <w:spacing w:val="0"/>
                <w:lang w:eastAsia="es-DO"/>
              </w:rPr>
              <w:t>Puntuación</w:t>
            </w:r>
          </w:p>
        </w:tc>
      </w:tr>
      <w:tr w:rsidR="00DC07C4" w:rsidRPr="00465A16" w14:paraId="201C44F3" w14:textId="77777777" w:rsidTr="005A610A">
        <w:trPr>
          <w:trHeight w:val="348"/>
        </w:trPr>
        <w:tc>
          <w:tcPr>
            <w:tcW w:w="5826" w:type="dxa"/>
            <w:tcBorders>
              <w:top w:val="nil"/>
              <w:left w:val="single" w:sz="4" w:space="0" w:color="auto"/>
              <w:bottom w:val="single" w:sz="4" w:space="0" w:color="auto"/>
              <w:right w:val="single" w:sz="4" w:space="0" w:color="auto"/>
            </w:tcBorders>
            <w:vAlign w:val="center"/>
            <w:hideMark/>
          </w:tcPr>
          <w:p w14:paraId="6F3EFF4A" w14:textId="77777777" w:rsidR="00EC370A" w:rsidRPr="00582880" w:rsidRDefault="00EC370A" w:rsidP="00D72385">
            <w:pPr>
              <w:spacing w:after="0" w:line="360" w:lineRule="auto"/>
              <w:jc w:val="both"/>
            </w:pPr>
            <w:r w:rsidRPr="00582880">
              <w:t xml:space="preserve">Ambiente de Control </w:t>
            </w:r>
          </w:p>
        </w:tc>
        <w:tc>
          <w:tcPr>
            <w:tcW w:w="1824" w:type="dxa"/>
            <w:tcBorders>
              <w:top w:val="nil"/>
              <w:left w:val="nil"/>
              <w:bottom w:val="single" w:sz="4" w:space="0" w:color="auto"/>
              <w:right w:val="single" w:sz="4" w:space="0" w:color="auto"/>
            </w:tcBorders>
            <w:vAlign w:val="center"/>
            <w:hideMark/>
          </w:tcPr>
          <w:p w14:paraId="5ED4ADCC" w14:textId="77777777" w:rsidR="00EC370A" w:rsidRPr="00582880" w:rsidRDefault="00EC370A" w:rsidP="00D72385">
            <w:pPr>
              <w:spacing w:after="0" w:line="360" w:lineRule="auto"/>
              <w:jc w:val="center"/>
            </w:pPr>
            <w:r w:rsidRPr="00582880">
              <w:t>100%</w:t>
            </w:r>
          </w:p>
        </w:tc>
      </w:tr>
      <w:tr w:rsidR="00DC07C4" w:rsidRPr="00465A16" w14:paraId="44E16C6C" w14:textId="77777777" w:rsidTr="005A610A">
        <w:trPr>
          <w:trHeight w:val="348"/>
        </w:trPr>
        <w:tc>
          <w:tcPr>
            <w:tcW w:w="5826" w:type="dxa"/>
            <w:tcBorders>
              <w:top w:val="nil"/>
              <w:left w:val="single" w:sz="4" w:space="0" w:color="auto"/>
              <w:bottom w:val="single" w:sz="4" w:space="0" w:color="auto"/>
              <w:right w:val="single" w:sz="4" w:space="0" w:color="auto"/>
            </w:tcBorders>
            <w:vAlign w:val="center"/>
            <w:hideMark/>
          </w:tcPr>
          <w:p w14:paraId="778DEFF2" w14:textId="77777777" w:rsidR="00EC370A" w:rsidRPr="00582880" w:rsidRDefault="00EC370A" w:rsidP="00D72385">
            <w:pPr>
              <w:spacing w:after="0" w:line="360" w:lineRule="auto"/>
              <w:jc w:val="both"/>
            </w:pPr>
            <w:r w:rsidRPr="00582880">
              <w:t xml:space="preserve">Valoración y Administración de Riesgos </w:t>
            </w:r>
          </w:p>
        </w:tc>
        <w:tc>
          <w:tcPr>
            <w:tcW w:w="1824" w:type="dxa"/>
            <w:tcBorders>
              <w:top w:val="nil"/>
              <w:left w:val="nil"/>
              <w:bottom w:val="single" w:sz="4" w:space="0" w:color="auto"/>
              <w:right w:val="single" w:sz="4" w:space="0" w:color="auto"/>
            </w:tcBorders>
            <w:vAlign w:val="center"/>
            <w:hideMark/>
          </w:tcPr>
          <w:p w14:paraId="1B3B16AB" w14:textId="77777777" w:rsidR="00EC370A" w:rsidRPr="00582880" w:rsidRDefault="00EC370A" w:rsidP="00D72385">
            <w:pPr>
              <w:spacing w:after="0" w:line="360" w:lineRule="auto"/>
              <w:jc w:val="center"/>
            </w:pPr>
            <w:r w:rsidRPr="00582880">
              <w:t>100%</w:t>
            </w:r>
          </w:p>
        </w:tc>
      </w:tr>
      <w:tr w:rsidR="00DC07C4" w:rsidRPr="00465A16" w14:paraId="4026842E" w14:textId="77777777" w:rsidTr="005A610A">
        <w:trPr>
          <w:trHeight w:val="348"/>
        </w:trPr>
        <w:tc>
          <w:tcPr>
            <w:tcW w:w="5826" w:type="dxa"/>
            <w:tcBorders>
              <w:top w:val="nil"/>
              <w:left w:val="single" w:sz="4" w:space="0" w:color="auto"/>
              <w:bottom w:val="single" w:sz="4" w:space="0" w:color="auto"/>
              <w:right w:val="single" w:sz="4" w:space="0" w:color="auto"/>
            </w:tcBorders>
            <w:vAlign w:val="center"/>
            <w:hideMark/>
          </w:tcPr>
          <w:p w14:paraId="17093DF5" w14:textId="77777777" w:rsidR="00EC370A" w:rsidRPr="00582880" w:rsidRDefault="00EC370A" w:rsidP="00D72385">
            <w:pPr>
              <w:spacing w:after="0" w:line="360" w:lineRule="auto"/>
              <w:jc w:val="both"/>
            </w:pPr>
            <w:r w:rsidRPr="00582880">
              <w:t xml:space="preserve">Actividades de Control </w:t>
            </w:r>
          </w:p>
        </w:tc>
        <w:tc>
          <w:tcPr>
            <w:tcW w:w="1824" w:type="dxa"/>
            <w:tcBorders>
              <w:top w:val="nil"/>
              <w:left w:val="nil"/>
              <w:bottom w:val="single" w:sz="4" w:space="0" w:color="auto"/>
              <w:right w:val="single" w:sz="4" w:space="0" w:color="auto"/>
            </w:tcBorders>
            <w:vAlign w:val="center"/>
            <w:hideMark/>
          </w:tcPr>
          <w:p w14:paraId="589AA7DC" w14:textId="77777777" w:rsidR="00EC370A" w:rsidRPr="00582880" w:rsidRDefault="00EC370A" w:rsidP="00D72385">
            <w:pPr>
              <w:spacing w:after="0" w:line="360" w:lineRule="auto"/>
              <w:jc w:val="center"/>
            </w:pPr>
            <w:r w:rsidRPr="00582880">
              <w:t>100%</w:t>
            </w:r>
          </w:p>
        </w:tc>
      </w:tr>
      <w:tr w:rsidR="00DC07C4" w:rsidRPr="00465A16" w14:paraId="67A2077B" w14:textId="77777777" w:rsidTr="005A610A">
        <w:trPr>
          <w:trHeight w:val="348"/>
        </w:trPr>
        <w:tc>
          <w:tcPr>
            <w:tcW w:w="5826" w:type="dxa"/>
            <w:tcBorders>
              <w:top w:val="nil"/>
              <w:left w:val="single" w:sz="4" w:space="0" w:color="auto"/>
              <w:bottom w:val="single" w:sz="4" w:space="0" w:color="auto"/>
              <w:right w:val="single" w:sz="4" w:space="0" w:color="auto"/>
            </w:tcBorders>
            <w:vAlign w:val="center"/>
            <w:hideMark/>
          </w:tcPr>
          <w:p w14:paraId="20A9A9B6" w14:textId="77777777" w:rsidR="00EC370A" w:rsidRPr="00582880" w:rsidRDefault="00EC370A" w:rsidP="00D72385">
            <w:pPr>
              <w:spacing w:after="0" w:line="360" w:lineRule="auto"/>
              <w:jc w:val="both"/>
            </w:pPr>
            <w:r w:rsidRPr="00582880">
              <w:t xml:space="preserve">Información y Comunicación </w:t>
            </w:r>
          </w:p>
        </w:tc>
        <w:tc>
          <w:tcPr>
            <w:tcW w:w="1824" w:type="dxa"/>
            <w:tcBorders>
              <w:top w:val="nil"/>
              <w:left w:val="nil"/>
              <w:bottom w:val="single" w:sz="4" w:space="0" w:color="auto"/>
              <w:right w:val="single" w:sz="4" w:space="0" w:color="auto"/>
            </w:tcBorders>
            <w:vAlign w:val="center"/>
            <w:hideMark/>
          </w:tcPr>
          <w:p w14:paraId="27E06C28" w14:textId="77777777" w:rsidR="00EC370A" w:rsidRPr="00582880" w:rsidRDefault="00EC370A" w:rsidP="00D72385">
            <w:pPr>
              <w:spacing w:after="0" w:line="360" w:lineRule="auto"/>
              <w:jc w:val="center"/>
            </w:pPr>
            <w:r w:rsidRPr="00582880">
              <w:t>100%</w:t>
            </w:r>
          </w:p>
        </w:tc>
      </w:tr>
      <w:tr w:rsidR="00DC07C4" w:rsidRPr="00465A16" w14:paraId="0348F695" w14:textId="77777777" w:rsidTr="005A610A">
        <w:trPr>
          <w:trHeight w:val="348"/>
        </w:trPr>
        <w:tc>
          <w:tcPr>
            <w:tcW w:w="5826" w:type="dxa"/>
            <w:tcBorders>
              <w:top w:val="nil"/>
              <w:left w:val="single" w:sz="4" w:space="0" w:color="auto"/>
              <w:bottom w:val="single" w:sz="4" w:space="0" w:color="auto"/>
              <w:right w:val="single" w:sz="4" w:space="0" w:color="auto"/>
            </w:tcBorders>
            <w:vAlign w:val="center"/>
            <w:hideMark/>
          </w:tcPr>
          <w:p w14:paraId="4E05E86D" w14:textId="77777777" w:rsidR="00EC370A" w:rsidRPr="00582880" w:rsidRDefault="00EC370A" w:rsidP="00D72385">
            <w:pPr>
              <w:spacing w:after="0" w:line="360" w:lineRule="auto"/>
              <w:jc w:val="both"/>
            </w:pPr>
            <w:r w:rsidRPr="00582880">
              <w:t xml:space="preserve">Monitoreo y Evaluación </w:t>
            </w:r>
          </w:p>
        </w:tc>
        <w:tc>
          <w:tcPr>
            <w:tcW w:w="1824" w:type="dxa"/>
            <w:tcBorders>
              <w:top w:val="nil"/>
              <w:left w:val="nil"/>
              <w:bottom w:val="single" w:sz="4" w:space="0" w:color="auto"/>
              <w:right w:val="single" w:sz="4" w:space="0" w:color="auto"/>
            </w:tcBorders>
            <w:vAlign w:val="center"/>
            <w:hideMark/>
          </w:tcPr>
          <w:p w14:paraId="53B28945" w14:textId="77777777" w:rsidR="00EC370A" w:rsidRPr="00582880" w:rsidRDefault="00EC370A" w:rsidP="00D72385">
            <w:pPr>
              <w:spacing w:after="0" w:line="360" w:lineRule="auto"/>
              <w:jc w:val="center"/>
            </w:pPr>
            <w:r w:rsidRPr="00582880">
              <w:t>100%</w:t>
            </w:r>
          </w:p>
        </w:tc>
      </w:tr>
      <w:tr w:rsidR="00DC07C4" w:rsidRPr="00465A16" w14:paraId="129E31F6" w14:textId="77777777" w:rsidTr="00A411D3">
        <w:trPr>
          <w:trHeight w:val="348"/>
        </w:trPr>
        <w:tc>
          <w:tcPr>
            <w:tcW w:w="5826" w:type="dxa"/>
            <w:tcBorders>
              <w:top w:val="nil"/>
              <w:left w:val="single" w:sz="4" w:space="0" w:color="auto"/>
              <w:bottom w:val="single" w:sz="4" w:space="0" w:color="auto"/>
              <w:right w:val="single" w:sz="4" w:space="0" w:color="auto"/>
            </w:tcBorders>
            <w:shd w:val="clear" w:color="auto" w:fill="011C50"/>
            <w:vAlign w:val="center"/>
            <w:hideMark/>
          </w:tcPr>
          <w:p w14:paraId="212875CB" w14:textId="77777777" w:rsidR="00EC370A" w:rsidRPr="00465A16" w:rsidRDefault="00EC370A" w:rsidP="00D72385">
            <w:pPr>
              <w:spacing w:after="0" w:line="360" w:lineRule="auto"/>
              <w:jc w:val="both"/>
              <w:rPr>
                <w:b/>
                <w:bCs/>
                <w:color w:val="FFFFFF" w:themeColor="background1"/>
              </w:rPr>
            </w:pPr>
            <w:r w:rsidRPr="00465A16">
              <w:rPr>
                <w:b/>
                <w:bCs/>
                <w:color w:val="FFFFFF" w:themeColor="background1"/>
              </w:rPr>
              <w:t xml:space="preserve">Total </w:t>
            </w:r>
          </w:p>
        </w:tc>
        <w:tc>
          <w:tcPr>
            <w:tcW w:w="1824" w:type="dxa"/>
            <w:tcBorders>
              <w:top w:val="nil"/>
              <w:left w:val="nil"/>
              <w:bottom w:val="single" w:sz="4" w:space="0" w:color="auto"/>
              <w:right w:val="single" w:sz="4" w:space="0" w:color="auto"/>
            </w:tcBorders>
            <w:shd w:val="clear" w:color="auto" w:fill="011C50"/>
            <w:vAlign w:val="center"/>
            <w:hideMark/>
          </w:tcPr>
          <w:p w14:paraId="283BA10D" w14:textId="77777777" w:rsidR="00EC370A" w:rsidRPr="00465A16" w:rsidRDefault="00EC370A" w:rsidP="00D72385">
            <w:pPr>
              <w:spacing w:after="0" w:line="360" w:lineRule="auto"/>
              <w:jc w:val="center"/>
              <w:rPr>
                <w:b/>
                <w:bCs/>
                <w:color w:val="FFFFFF" w:themeColor="background1"/>
              </w:rPr>
            </w:pPr>
            <w:r w:rsidRPr="00465A16">
              <w:rPr>
                <w:b/>
                <w:bCs/>
                <w:color w:val="FFFFFF" w:themeColor="background1"/>
              </w:rPr>
              <w:t>100%</w:t>
            </w:r>
          </w:p>
        </w:tc>
      </w:tr>
    </w:tbl>
    <w:p w14:paraId="15A0FE44" w14:textId="77777777" w:rsidR="00E707FF" w:rsidRPr="004549AC" w:rsidRDefault="00EC370A" w:rsidP="00E707FF">
      <w:pPr>
        <w:tabs>
          <w:tab w:val="left" w:pos="426"/>
        </w:tabs>
        <w:spacing w:line="360" w:lineRule="auto"/>
        <w:jc w:val="center"/>
        <w:rPr>
          <w:i/>
          <w:iCs/>
          <w:sz w:val="18"/>
          <w:szCs w:val="18"/>
        </w:rPr>
      </w:pPr>
      <w:r w:rsidRPr="004549AC">
        <w:rPr>
          <w:i/>
          <w:iCs/>
          <w:sz w:val="18"/>
          <w:szCs w:val="18"/>
        </w:rPr>
        <w:t xml:space="preserve">Fuente. Portal Nobaci </w:t>
      </w:r>
    </w:p>
    <w:p w14:paraId="61751DA7" w14:textId="20BD34D8" w:rsidR="00C83C69" w:rsidRPr="00582880" w:rsidRDefault="00E36781" w:rsidP="00C934DB">
      <w:pPr>
        <w:tabs>
          <w:tab w:val="left" w:pos="426"/>
        </w:tabs>
        <w:spacing w:line="360" w:lineRule="auto"/>
        <w:jc w:val="both"/>
        <w:rPr>
          <w:b/>
          <w:bCs/>
        </w:rPr>
      </w:pPr>
      <w:r w:rsidRPr="00582880">
        <w:rPr>
          <w:b/>
          <w:bCs/>
        </w:rPr>
        <w:t>b. Resultados de los Sistemas de Calidad</w:t>
      </w:r>
    </w:p>
    <w:p w14:paraId="04F9EFBD" w14:textId="545F2757" w:rsidR="00C83C69" w:rsidRPr="00582880" w:rsidRDefault="00C83C69">
      <w:pPr>
        <w:pStyle w:val="Prrafodelista"/>
        <w:numPr>
          <w:ilvl w:val="0"/>
          <w:numId w:val="19"/>
        </w:numPr>
        <w:spacing w:line="360" w:lineRule="auto"/>
        <w:ind w:left="284" w:hanging="284"/>
        <w:rPr>
          <w:b/>
          <w:bCs/>
        </w:rPr>
      </w:pPr>
      <w:r w:rsidRPr="00582880">
        <w:rPr>
          <w:b/>
          <w:bCs/>
        </w:rPr>
        <w:t>Implementación modelo CAF </w:t>
      </w:r>
    </w:p>
    <w:p w14:paraId="036EC98E" w14:textId="77777777" w:rsidR="00C83C69" w:rsidRPr="00582880" w:rsidRDefault="00C83C69" w:rsidP="00C934DB">
      <w:pPr>
        <w:spacing w:line="360" w:lineRule="auto"/>
        <w:jc w:val="both"/>
        <w:rPr>
          <w:b/>
          <w:bCs/>
        </w:rPr>
      </w:pPr>
      <w:r w:rsidRPr="00582880">
        <w:t>La gestión de la calidad basada en el Modelo de Excelencia CAF continuó fortaleciéndose durante el 2025, evidenciando el compromiso institucional con la mejora continua y la estandarización de prácticas de alto desempeño. Como cada año, se inició el ciclo con la actualización y capacitación del Comité Institucional de la Calidad (CIC), garantizando la adecuada preparación de sus integrantes para conducir los procesos de evaluación y seguimiento.</w:t>
      </w:r>
    </w:p>
    <w:p w14:paraId="4C370049" w14:textId="59FDC803" w:rsidR="00C83C69" w:rsidRPr="00582880" w:rsidRDefault="00C83C69" w:rsidP="00C934DB">
      <w:pPr>
        <w:spacing w:line="360" w:lineRule="auto"/>
        <w:jc w:val="both"/>
        <w:rPr>
          <w:b/>
          <w:bCs/>
        </w:rPr>
      </w:pPr>
      <w:r w:rsidRPr="00582880">
        <w:t xml:space="preserve">En este período se ejecutaron dos hitos fundamentales: la Autoevaluación CAF 2025 y la elaboración del Informe de Autoevaluación, ambos, conforme a los lineamientos nacionales establecidos. Asimismo, se presentó el Informe </w:t>
      </w:r>
      <w:r w:rsidR="00216068">
        <w:t>a</w:t>
      </w:r>
      <w:r w:rsidRPr="00582880">
        <w:t xml:space="preserve">nual del </w:t>
      </w:r>
      <w:r w:rsidR="00216068">
        <w:t>n</w:t>
      </w:r>
      <w:r w:rsidRPr="00582880">
        <w:t xml:space="preserve">ivel de </w:t>
      </w:r>
      <w:r w:rsidR="00216068">
        <w:t>e</w:t>
      </w:r>
      <w:r w:rsidRPr="00582880">
        <w:t xml:space="preserve">jecución del Plan de Mejora CAF 2025, el cual registró un 96.25% de implementación, superando ampliamente la meta mínima de 80%. Este resultado representa un incremento del 6.25% respecto al año 2024, el cual fue de un 90% reflejando un progreso sostenido en la madurez del modelo. </w:t>
      </w:r>
    </w:p>
    <w:p w14:paraId="1222E888" w14:textId="77777777" w:rsidR="00437D53" w:rsidRDefault="00437D53" w:rsidP="00C934DB">
      <w:pPr>
        <w:spacing w:line="360" w:lineRule="auto"/>
        <w:jc w:val="both"/>
      </w:pPr>
    </w:p>
    <w:p w14:paraId="7512D718" w14:textId="76DCDD4E" w:rsidR="00C83C69" w:rsidRPr="00582880" w:rsidRDefault="00C83C69" w:rsidP="00C934DB">
      <w:pPr>
        <w:spacing w:line="360" w:lineRule="auto"/>
        <w:jc w:val="both"/>
        <w:rPr>
          <w:b/>
          <w:bCs/>
        </w:rPr>
      </w:pPr>
      <w:r w:rsidRPr="00582880">
        <w:lastRenderedPageBreak/>
        <w:t>Estos avances contribuyen directamente al fortalecimiento del desempeño institucional medido por el Indicador SISMAP 01 - Gestión de la Calidad y Servicios, manteniendo los subindicadores 01.1, 01.2 y 01.3 en 100% de cumplimiento, en concordancia con los estándares establecidos por el Ministerio de Administración Pública (MAP).</w:t>
      </w:r>
    </w:p>
    <w:p w14:paraId="6ED2A71B" w14:textId="77777777" w:rsidR="00C83C69" w:rsidRPr="00582880" w:rsidRDefault="00C83C69">
      <w:pPr>
        <w:pStyle w:val="Prrafodelista"/>
        <w:numPr>
          <w:ilvl w:val="0"/>
          <w:numId w:val="1"/>
        </w:numPr>
        <w:tabs>
          <w:tab w:val="left" w:pos="426"/>
        </w:tabs>
        <w:spacing w:line="360" w:lineRule="auto"/>
        <w:ind w:left="0" w:firstLine="0"/>
        <w:jc w:val="both"/>
        <w:rPr>
          <w:b/>
          <w:bCs/>
        </w:rPr>
      </w:pPr>
      <w:r w:rsidRPr="00582880">
        <w:rPr>
          <w:b/>
          <w:bCs/>
        </w:rPr>
        <w:t xml:space="preserve">Sistemas de gestión </w:t>
      </w:r>
    </w:p>
    <w:p w14:paraId="757E7685" w14:textId="77777777" w:rsidR="00D03855" w:rsidRDefault="00C83C69" w:rsidP="00C934DB">
      <w:pPr>
        <w:spacing w:line="360" w:lineRule="auto"/>
        <w:jc w:val="both"/>
      </w:pPr>
      <w:r w:rsidRPr="00582880">
        <w:t xml:space="preserve">El año 2025 marcó un avance trascendental en la consolidación de los Sistemas de Gestión Institucional, con progresos sólidos en la implementación y robustecimiento de los estándares ISO 9001:2015, ISO 37001:2016 y ISO 37301:2021. </w:t>
      </w:r>
    </w:p>
    <w:p w14:paraId="2261AC86" w14:textId="315885F2" w:rsidR="00C83C69" w:rsidRPr="00582880" w:rsidRDefault="00C83C69" w:rsidP="00C934DB">
      <w:pPr>
        <w:spacing w:line="360" w:lineRule="auto"/>
        <w:jc w:val="both"/>
        <w:rPr>
          <w:b/>
          <w:bCs/>
        </w:rPr>
      </w:pPr>
      <w:r w:rsidRPr="00582880">
        <w:t xml:space="preserve">Durante este período, la Contraloría superó con éxito la auditoría de seguimiento de la Norma ISO 9001:2015 y </w:t>
      </w:r>
      <w:r w:rsidR="000E743A">
        <w:t xml:space="preserve">logró la </w:t>
      </w:r>
      <w:r w:rsidRPr="00582880">
        <w:t xml:space="preserve">certificación </w:t>
      </w:r>
      <w:r w:rsidR="0035224C" w:rsidRPr="00582880">
        <w:t>de</w:t>
      </w:r>
      <w:r w:rsidR="0035224C">
        <w:t xml:space="preserve">l </w:t>
      </w:r>
      <w:r w:rsidR="0035224C" w:rsidRPr="00582880">
        <w:t>sistema</w:t>
      </w:r>
      <w:r w:rsidRPr="00582880">
        <w:t xml:space="preserve"> de Gestión Antisoborno y Cumplimiento </w:t>
      </w:r>
      <w:r w:rsidR="000E743A">
        <w:t xml:space="preserve">sobre la base de las normas </w:t>
      </w:r>
      <w:r w:rsidRPr="00582880">
        <w:t>ISO 37001 e ISO 37301</w:t>
      </w:r>
      <w:r w:rsidR="000E743A">
        <w:t xml:space="preserve"> a través del Indocal como casa certificadora</w:t>
      </w:r>
      <w:r w:rsidRPr="00582880">
        <w:t>, reafirmando el compromiso institucional con la integridad, la transparencia y la mejora continua.</w:t>
      </w:r>
    </w:p>
    <w:p w14:paraId="182451F2" w14:textId="77777777" w:rsidR="00C83C69" w:rsidRPr="00582880" w:rsidRDefault="00C83C69" w:rsidP="00C934DB">
      <w:pPr>
        <w:spacing w:line="360" w:lineRule="auto"/>
        <w:jc w:val="both"/>
        <w:rPr>
          <w:b/>
          <w:bCs/>
        </w:rPr>
      </w:pPr>
      <w:r w:rsidRPr="00582880">
        <w:t>En el marco de esta implementación, se actualizaron y documentaron los procesos institucionales para garantizar su alineación con los requisitos normativos, fortaleciendo la estandarización y la trazabilidad de la gestión. También se promovió una cultura activa de calidad, antisoborno y cumplimiento mediante amplias jornadas de sensibilización al personal, acompañadas de la formulación y aprobación de una Política Integrada, representativa de los valores y principios que guían el quehacer institucional.</w:t>
      </w:r>
    </w:p>
    <w:p w14:paraId="7D0B770B" w14:textId="77777777" w:rsidR="00437D53" w:rsidRDefault="00437D53" w:rsidP="00C934DB">
      <w:pPr>
        <w:spacing w:line="360" w:lineRule="auto"/>
        <w:jc w:val="both"/>
      </w:pPr>
    </w:p>
    <w:p w14:paraId="06E995AE" w14:textId="77777777" w:rsidR="00437D53" w:rsidRDefault="00437D53" w:rsidP="00C934DB">
      <w:pPr>
        <w:spacing w:line="360" w:lineRule="auto"/>
        <w:jc w:val="both"/>
      </w:pPr>
    </w:p>
    <w:p w14:paraId="44686C68" w14:textId="3BE2CD45" w:rsidR="00C83C69" w:rsidRPr="00582880" w:rsidRDefault="00C83C69" w:rsidP="00C934DB">
      <w:pPr>
        <w:spacing w:line="360" w:lineRule="auto"/>
        <w:jc w:val="both"/>
        <w:rPr>
          <w:b/>
          <w:bCs/>
        </w:rPr>
      </w:pPr>
      <w:r w:rsidRPr="00582880">
        <w:lastRenderedPageBreak/>
        <w:t>Como parte de la gestión de riesgos, se actualizaron las matrices institucionales incorporando criterios específicos para riesgos de soborno y ajustando el formato para integrar el análisis del riesgo residual, permitiendo su articulación con el enfoque de continuidad de negocios contemplado en la ISO 22301:2019. Esta integración facilitó una visión más robusta, preventiva y alineada a estándares internacionales.</w:t>
      </w:r>
    </w:p>
    <w:p w14:paraId="7513B429" w14:textId="77777777" w:rsidR="00C83C69" w:rsidRPr="00582880" w:rsidRDefault="00C83C69" w:rsidP="00C934DB">
      <w:pPr>
        <w:spacing w:line="360" w:lineRule="auto"/>
        <w:jc w:val="both"/>
      </w:pPr>
      <w:r w:rsidRPr="00582880">
        <w:t>Asimismo, en 2025 se iniciaron las acciones para la implementación formal del Sistema de Gestión de Continuidad de Negocio (SGCN). Entre los avances más destacados se encuentran:</w:t>
      </w:r>
    </w:p>
    <w:p w14:paraId="0FF375B2" w14:textId="77777777" w:rsidR="00C83C69" w:rsidRPr="00582880" w:rsidRDefault="00C83C69">
      <w:pPr>
        <w:pStyle w:val="Prrafodelista"/>
        <w:numPr>
          <w:ilvl w:val="0"/>
          <w:numId w:val="27"/>
        </w:numPr>
        <w:tabs>
          <w:tab w:val="left" w:pos="426"/>
        </w:tabs>
        <w:spacing w:line="360" w:lineRule="auto"/>
        <w:ind w:left="426" w:hanging="426"/>
        <w:jc w:val="both"/>
      </w:pPr>
      <w:r w:rsidRPr="00582880">
        <w:t>Elaboración y actualización de las políticas y procedimientos asociados.</w:t>
      </w:r>
    </w:p>
    <w:p w14:paraId="09F6D741" w14:textId="77777777" w:rsidR="00C83C69" w:rsidRPr="00582880" w:rsidRDefault="00C83C69">
      <w:pPr>
        <w:pStyle w:val="Prrafodelista"/>
        <w:numPr>
          <w:ilvl w:val="0"/>
          <w:numId w:val="27"/>
        </w:numPr>
        <w:tabs>
          <w:tab w:val="left" w:pos="426"/>
        </w:tabs>
        <w:spacing w:line="360" w:lineRule="auto"/>
        <w:ind w:left="426" w:hanging="426"/>
        <w:jc w:val="both"/>
      </w:pPr>
      <w:r w:rsidRPr="00582880">
        <w:t>Realización del Análisis de Impacto en el Negocio (BIA) a los procesos misionales, logrando identificar los procesos críticos institucionales que conformarán el Programa de Continuidad.</w:t>
      </w:r>
    </w:p>
    <w:p w14:paraId="5DAC84D2" w14:textId="77777777" w:rsidR="00C83C69" w:rsidRPr="00582880" w:rsidRDefault="00C83C69" w:rsidP="003D7E5C">
      <w:pPr>
        <w:pStyle w:val="Prrafodelista"/>
        <w:numPr>
          <w:ilvl w:val="0"/>
          <w:numId w:val="27"/>
        </w:numPr>
        <w:tabs>
          <w:tab w:val="left" w:pos="426"/>
        </w:tabs>
        <w:spacing w:line="360" w:lineRule="auto"/>
        <w:ind w:left="426" w:hanging="426"/>
        <w:jc w:val="both"/>
      </w:pPr>
      <w:r w:rsidRPr="00582880">
        <w:t>Socializaciones y sesiones de trabajo con la alta dirección, fortaleciendo el compromiso estratégico.</w:t>
      </w:r>
    </w:p>
    <w:p w14:paraId="3E704C93" w14:textId="63E6BDF1" w:rsidR="00C83C69" w:rsidRPr="0058335B" w:rsidRDefault="00C83C69" w:rsidP="0058335B">
      <w:pPr>
        <w:pStyle w:val="Prrafodelista"/>
        <w:numPr>
          <w:ilvl w:val="0"/>
          <w:numId w:val="27"/>
        </w:numPr>
        <w:tabs>
          <w:tab w:val="left" w:pos="426"/>
        </w:tabs>
        <w:spacing w:line="360" w:lineRule="auto"/>
        <w:ind w:left="426" w:hanging="426"/>
        <w:jc w:val="both"/>
        <w:rPr>
          <w:lang w:val="es-ES"/>
        </w:rPr>
      </w:pPr>
      <w:r w:rsidRPr="003D7E5C">
        <w:t>Creación del Comité de Continuidad y del Subcomité de Continuidad</w:t>
      </w:r>
      <w:r w:rsidR="003D7E5C" w:rsidRPr="003D7E5C">
        <w:t>, que actúan como instancia</w:t>
      </w:r>
      <w:r w:rsidR="003D7E5C">
        <w:t>s</w:t>
      </w:r>
      <w:r w:rsidR="003D7E5C" w:rsidRPr="003D7E5C">
        <w:rPr>
          <w:lang w:val="es-ES"/>
        </w:rPr>
        <w:t xml:space="preserve"> de prevención, preparación, respuesta y recuperación frente a situaciones de crisis, emergencias o interrupciones significativas que comprometan procesos misionales.</w:t>
      </w:r>
      <w:r w:rsidR="00C70DA6">
        <w:rPr>
          <w:lang w:val="es-ES"/>
        </w:rPr>
        <w:t xml:space="preserve"> El Comité de continuidad está conformado por 8 miembros</w:t>
      </w:r>
      <w:r w:rsidR="0058335B">
        <w:rPr>
          <w:lang w:val="es-ES"/>
        </w:rPr>
        <w:t xml:space="preserve"> representantes de cada unidad organizativa de apoyo o transversal </w:t>
      </w:r>
      <w:r w:rsidR="00C70DA6">
        <w:rPr>
          <w:lang w:val="es-ES"/>
        </w:rPr>
        <w:t xml:space="preserve">y las Máxima Autoridad Ejecutiva. </w:t>
      </w:r>
      <w:r w:rsidR="003D7E5C">
        <w:t>Estos comités</w:t>
      </w:r>
      <w:r w:rsidRPr="00582880">
        <w:t xml:space="preserve"> sostuvieron reuniones periódicas entre mayo y agosto, abordando temas sensibles para la operación institucional</w:t>
      </w:r>
      <w:r w:rsidR="0058335B">
        <w:t>;</w:t>
      </w:r>
      <w:r w:rsidRPr="00582880">
        <w:t xml:space="preserve"> como la </w:t>
      </w:r>
      <w:r w:rsidR="00D03855">
        <w:t>t</w:t>
      </w:r>
      <w:r w:rsidRPr="00582880">
        <w:t>ormenta Melissa, el apagón nacional, entre otros eventos que pusieron a prueba la resiliencia institucional.</w:t>
      </w:r>
    </w:p>
    <w:p w14:paraId="0E5CA154" w14:textId="77777777" w:rsidR="0058335B" w:rsidRDefault="0058335B" w:rsidP="00C934DB">
      <w:pPr>
        <w:spacing w:line="360" w:lineRule="auto"/>
        <w:jc w:val="both"/>
      </w:pPr>
    </w:p>
    <w:p w14:paraId="75366689" w14:textId="2611A7BC" w:rsidR="00C83C69" w:rsidRDefault="00C83C69" w:rsidP="00C934DB">
      <w:pPr>
        <w:spacing w:line="360" w:lineRule="auto"/>
        <w:jc w:val="both"/>
      </w:pPr>
      <w:r w:rsidRPr="00582880">
        <w:lastRenderedPageBreak/>
        <w:t>Este esfuerzo articulado demuestra no solo la capacidad de la Contraloría para adoptar y aplicar estándares internacionales de gestión, sino también su liderazgo en la administración pública dominicana, avanzando hacia una institución más resiliente, confiable y orientada a resultados.</w:t>
      </w:r>
    </w:p>
    <w:p w14:paraId="43088C62" w14:textId="77777777" w:rsidR="00C83C69" w:rsidRPr="00582880" w:rsidRDefault="00C83C69">
      <w:pPr>
        <w:pStyle w:val="Prrafodelista"/>
        <w:numPr>
          <w:ilvl w:val="0"/>
          <w:numId w:val="1"/>
        </w:numPr>
        <w:tabs>
          <w:tab w:val="left" w:pos="426"/>
        </w:tabs>
        <w:spacing w:line="360" w:lineRule="auto"/>
        <w:ind w:left="0" w:firstLine="0"/>
        <w:jc w:val="both"/>
        <w:rPr>
          <w:b/>
          <w:bCs/>
        </w:rPr>
      </w:pPr>
      <w:r w:rsidRPr="00582880">
        <w:rPr>
          <w:b/>
          <w:bCs/>
        </w:rPr>
        <w:t>Participación Premio Nacional de la Calidad MAP </w:t>
      </w:r>
    </w:p>
    <w:p w14:paraId="39FE53C2" w14:textId="4342F31F" w:rsidR="00C83C69" w:rsidRPr="00582880" w:rsidRDefault="00C83C69" w:rsidP="00C934DB">
      <w:pPr>
        <w:spacing w:line="360" w:lineRule="auto"/>
        <w:jc w:val="both"/>
      </w:pPr>
      <w:r w:rsidRPr="00582880">
        <w:t>La Contraloría participó en el Premio Nacional a la Calidad del Sector Público Dominicano, iniciativa de alto prestigio organizada por el Ministerio de Administración Pública (MAP) para reconocer a las instituciones que demuestran niveles sobresalientes de gestión y resultados conforme al Modelo de Excelencia CAF.</w:t>
      </w:r>
    </w:p>
    <w:p w14:paraId="6CE0103E" w14:textId="77777777" w:rsidR="00C83C69" w:rsidRPr="00582880" w:rsidRDefault="00C83C69" w:rsidP="00C934DB">
      <w:pPr>
        <w:spacing w:line="360" w:lineRule="auto"/>
        <w:jc w:val="both"/>
      </w:pPr>
      <w:r w:rsidRPr="00582880">
        <w:t>En la edición correspondiente al período evaluado, la institución fue galardonada con la Medalla de Plata, un logro que refleja los avances alcanzados en materia de calidad durante el 2024 y evidencia la solidez del proceso de modernización institucional. Este reconocimiento valida el esfuerzo sostenido de la Contraloría por fortalecer la eficiencia, la transparencia, la mejora continua y la orientación al ciudadano.</w:t>
      </w:r>
    </w:p>
    <w:p w14:paraId="1895108D" w14:textId="77777777" w:rsidR="004549AC" w:rsidRDefault="00C83C69" w:rsidP="00C934DB">
      <w:pPr>
        <w:spacing w:line="360" w:lineRule="auto"/>
        <w:jc w:val="both"/>
      </w:pPr>
      <w:r w:rsidRPr="00582880">
        <w:t xml:space="preserve">Durante el 2025, se identificaron e implementaron los principales hitos que contribuyeron a este resultado, consolidándose en la Ruta de la Excelencia 2025, desarrollada bajo el lema “La excelencia vale oro”. </w:t>
      </w:r>
    </w:p>
    <w:p w14:paraId="6EE1EB52" w14:textId="77777777" w:rsidR="00060C84" w:rsidRDefault="00C83C69" w:rsidP="00C934DB">
      <w:pPr>
        <w:spacing w:line="360" w:lineRule="auto"/>
        <w:jc w:val="both"/>
      </w:pPr>
      <w:r w:rsidRPr="00582880">
        <w:t>Esta ruta integró actividades estratégicas destinadas a reforzar la cultura de calidad, promover el involucramiento del personal y asegurar la continuidad de las buenas prácticas que sustentan el desempeño institucional.</w:t>
      </w:r>
      <w:r w:rsidR="0095469F">
        <w:t xml:space="preserve"> </w:t>
      </w:r>
    </w:p>
    <w:p w14:paraId="5E47C193" w14:textId="77777777" w:rsidR="00060C84" w:rsidRDefault="00060C84" w:rsidP="00C934DB">
      <w:pPr>
        <w:spacing w:line="360" w:lineRule="auto"/>
        <w:jc w:val="both"/>
      </w:pPr>
    </w:p>
    <w:p w14:paraId="152E8F08" w14:textId="6C0D88D8" w:rsidR="00C83C69" w:rsidRDefault="0095469F" w:rsidP="00C934DB">
      <w:pPr>
        <w:spacing w:line="360" w:lineRule="auto"/>
        <w:jc w:val="both"/>
      </w:pPr>
      <w:r>
        <w:lastRenderedPageBreak/>
        <w:t>Algunas de las actividades principales fueron la postulación al Premio Nacional de la Calidad (PNC), realización de simulacro de evaluación al PNC</w:t>
      </w:r>
      <w:r w:rsidR="008C4622">
        <w:t xml:space="preserve">, evaluación de carta compromiso al ciudadano por el MAP, Auditoría externa de seguimiento ISO 9001:2015, entre otras. </w:t>
      </w:r>
    </w:p>
    <w:p w14:paraId="3631EBD1" w14:textId="77777777" w:rsidR="00C83C69" w:rsidRPr="00582880" w:rsidRDefault="00C83C69">
      <w:pPr>
        <w:pStyle w:val="Prrafodelista"/>
        <w:numPr>
          <w:ilvl w:val="0"/>
          <w:numId w:val="1"/>
        </w:numPr>
        <w:tabs>
          <w:tab w:val="left" w:pos="426"/>
        </w:tabs>
        <w:spacing w:line="360" w:lineRule="auto"/>
        <w:ind w:left="0" w:firstLine="0"/>
        <w:jc w:val="both"/>
        <w:rPr>
          <w:b/>
          <w:bCs/>
        </w:rPr>
      </w:pPr>
      <w:r w:rsidRPr="00582880">
        <w:rPr>
          <w:b/>
          <w:bCs/>
        </w:rPr>
        <w:t xml:space="preserve">Gestión de la Innovación institucional </w:t>
      </w:r>
    </w:p>
    <w:p w14:paraId="34307676" w14:textId="67777E9A" w:rsidR="00C83C69" w:rsidRPr="00582880" w:rsidRDefault="00C83C69" w:rsidP="00C934DB">
      <w:pPr>
        <w:spacing w:line="360" w:lineRule="auto"/>
        <w:jc w:val="both"/>
      </w:pPr>
      <w:r w:rsidRPr="00582880">
        <w:t xml:space="preserve">A los fines de implementar un sistema de gestión para promover la innovación en la institución, fue elaborado un Plan de Gestión de la Innovación con </w:t>
      </w:r>
      <w:r w:rsidR="00E951E2" w:rsidRPr="00582880">
        <w:t>ocho</w:t>
      </w:r>
      <w:r w:rsidRPr="00582880">
        <w:t xml:space="preserve"> actividades, logrando una ejecución del 90%, superando la meta del 85%. </w:t>
      </w:r>
      <w:r w:rsidR="00216068">
        <w:t xml:space="preserve">Se proyecta para el cierre de año mantener este porcentaje en la ejecución. </w:t>
      </w:r>
    </w:p>
    <w:p w14:paraId="423D55EC" w14:textId="5E3FF08F" w:rsidR="00C83C69" w:rsidRPr="00582880" w:rsidRDefault="00C83C69" w:rsidP="00C934DB">
      <w:pPr>
        <w:spacing w:line="360" w:lineRule="auto"/>
        <w:jc w:val="both"/>
      </w:pPr>
      <w:r w:rsidRPr="00582880">
        <w:t xml:space="preserve">Entre las actividades clave que se ejecutaron se encuentra la celebración del Día de la Innovación, donde fueron tratados temas asociados a las herramientas de gestión de la innovación como Design Thinking, con más de 100 colaboradores presenciales y 200 de manera virtual. </w:t>
      </w:r>
    </w:p>
    <w:p w14:paraId="67C07EEC" w14:textId="77777777" w:rsidR="00E707FF" w:rsidRPr="00582880" w:rsidRDefault="00C83C69" w:rsidP="00C934DB">
      <w:pPr>
        <w:spacing w:line="360" w:lineRule="auto"/>
        <w:jc w:val="both"/>
      </w:pPr>
      <w:r w:rsidRPr="00582880">
        <w:t xml:space="preserve">En el 2025 por primera vez la institución puso en funcionamiento el concurso “Renuévate CGR2025”, que </w:t>
      </w:r>
      <w:r w:rsidR="00E707FF" w:rsidRPr="00582880">
        <w:t>fomenta</w:t>
      </w:r>
      <w:r w:rsidRPr="00582880">
        <w:t xml:space="preserve"> la innovación interna desde los colaboradores para la mejora de los procesos institucionales que impactan a los usuarios y ciudadanos</w:t>
      </w:r>
      <w:r w:rsidR="00E707FF" w:rsidRPr="00582880">
        <w:t xml:space="preserve">. </w:t>
      </w:r>
    </w:p>
    <w:p w14:paraId="46161C65" w14:textId="257F453A" w:rsidR="00C83C69" w:rsidRDefault="00C83C69" w:rsidP="00C934DB">
      <w:pPr>
        <w:spacing w:line="360" w:lineRule="auto"/>
        <w:jc w:val="both"/>
      </w:pPr>
      <w:r w:rsidRPr="00582880">
        <w:t xml:space="preserve">Este concurso conto con </w:t>
      </w:r>
      <w:r w:rsidR="00E951E2" w:rsidRPr="00582880">
        <w:t>siete</w:t>
      </w:r>
      <w:r w:rsidRPr="00582880">
        <w:t xml:space="preserve"> propuestas de las cuales el jurado selecciono la ganadora y un segundo y tercer lugar. La propuesta ganadora será abordada en el 2026 con acompañamiento de una mentoría. </w:t>
      </w:r>
    </w:p>
    <w:p w14:paraId="05EFE73D" w14:textId="77777777" w:rsidR="00060C84" w:rsidRDefault="00060C84" w:rsidP="00C934DB">
      <w:pPr>
        <w:spacing w:line="360" w:lineRule="auto"/>
        <w:jc w:val="both"/>
      </w:pPr>
    </w:p>
    <w:p w14:paraId="4EF163E1" w14:textId="77777777" w:rsidR="00060C84" w:rsidRDefault="00060C84" w:rsidP="00C934DB">
      <w:pPr>
        <w:spacing w:line="360" w:lineRule="auto"/>
        <w:jc w:val="both"/>
      </w:pPr>
    </w:p>
    <w:p w14:paraId="73E0BF8C" w14:textId="77777777" w:rsidR="00060C84" w:rsidRDefault="00060C84" w:rsidP="00C934DB">
      <w:pPr>
        <w:spacing w:line="360" w:lineRule="auto"/>
        <w:jc w:val="both"/>
      </w:pPr>
    </w:p>
    <w:p w14:paraId="594C2A7A" w14:textId="77777777" w:rsidR="00C83C69" w:rsidRPr="00582880" w:rsidRDefault="00C83C69">
      <w:pPr>
        <w:pStyle w:val="Prrafodelista"/>
        <w:numPr>
          <w:ilvl w:val="0"/>
          <w:numId w:val="1"/>
        </w:numPr>
        <w:tabs>
          <w:tab w:val="left" w:pos="426"/>
        </w:tabs>
        <w:spacing w:line="360" w:lineRule="auto"/>
        <w:ind w:left="0" w:firstLine="0"/>
        <w:jc w:val="both"/>
        <w:rPr>
          <w:b/>
          <w:bCs/>
        </w:rPr>
      </w:pPr>
      <w:r w:rsidRPr="00582880">
        <w:rPr>
          <w:b/>
          <w:bCs/>
        </w:rPr>
        <w:lastRenderedPageBreak/>
        <w:t xml:space="preserve">Benchmarking </w:t>
      </w:r>
    </w:p>
    <w:p w14:paraId="5A0677B7" w14:textId="33BA077F" w:rsidR="00C83C69" w:rsidRPr="00582880" w:rsidRDefault="00C83C69" w:rsidP="00C934DB">
      <w:pPr>
        <w:spacing w:line="360" w:lineRule="auto"/>
        <w:jc w:val="both"/>
      </w:pPr>
      <w:r w:rsidRPr="00582880">
        <w:t>Durante el transcurso del 2025 se realizaron siete encuentros de benchmarking orientados a fortalecer las capacidades institucionales y conocer buenas prácticas en áreas estratégicas tales como gestión de la innovación, implementación de sistemas de gestión de la calidad, obtención del Sello RD Incluye, gestión del Modelo CAF, manejo de quejas, reclamaciones, sugerencias y denuncias, así como sostenibilidad, responsabilidad social y sistemas de antisoborno. Estas jornadas de intercambio permitieron contrastar experiencias con instituciones nacionales e internacionales, generando aprendizajes valiosos que contribuyeron al fortalecimiento y modernización de los procesos internos de la Contraloría General de la República.</w:t>
      </w:r>
    </w:p>
    <w:p w14:paraId="452B88D0" w14:textId="75322667" w:rsidR="00C83C69" w:rsidRPr="00582880" w:rsidRDefault="00C83C69" w:rsidP="00C83C69">
      <w:pPr>
        <w:spacing w:line="360" w:lineRule="auto"/>
        <w:jc w:val="center"/>
        <w:rPr>
          <w:sz w:val="18"/>
          <w:szCs w:val="18"/>
        </w:rPr>
      </w:pPr>
      <w:r w:rsidRPr="00582880">
        <w:rPr>
          <w:sz w:val="18"/>
          <w:szCs w:val="18"/>
        </w:rPr>
        <w:t>Tabla 2</w:t>
      </w:r>
      <w:r w:rsidR="00970267" w:rsidRPr="00582880">
        <w:rPr>
          <w:sz w:val="18"/>
          <w:szCs w:val="18"/>
        </w:rPr>
        <w:t>7</w:t>
      </w:r>
      <w:r w:rsidRPr="00582880">
        <w:rPr>
          <w:sz w:val="18"/>
          <w:szCs w:val="18"/>
        </w:rPr>
        <w:t>. Actividades de benchmarking 2025.</w:t>
      </w:r>
    </w:p>
    <w:tbl>
      <w:tblPr>
        <w:tblStyle w:val="Tablaconcuadrcula"/>
        <w:tblW w:w="7933" w:type="dxa"/>
        <w:tblLook w:val="04A0" w:firstRow="1" w:lastRow="0" w:firstColumn="1" w:lastColumn="0" w:noHBand="0" w:noVBand="1"/>
      </w:tblPr>
      <w:tblGrid>
        <w:gridCol w:w="3256"/>
        <w:gridCol w:w="4677"/>
      </w:tblGrid>
      <w:tr w:rsidR="00C83C69" w:rsidRPr="00465A16" w14:paraId="6574267A" w14:textId="77777777" w:rsidTr="00BA1804">
        <w:trPr>
          <w:trHeight w:val="343"/>
          <w:tblHeader/>
        </w:trPr>
        <w:tc>
          <w:tcPr>
            <w:tcW w:w="7933" w:type="dxa"/>
            <w:gridSpan w:val="2"/>
            <w:shd w:val="clear" w:color="auto" w:fill="011C50"/>
          </w:tcPr>
          <w:p w14:paraId="6D25FD52" w14:textId="77777777" w:rsidR="00C83C69" w:rsidRPr="00465A16" w:rsidRDefault="00C83C69" w:rsidP="00C83C69">
            <w:pPr>
              <w:spacing w:line="360" w:lineRule="auto"/>
              <w:jc w:val="center"/>
              <w:rPr>
                <w:b/>
                <w:bCs/>
                <w:color w:val="FFFFFF" w:themeColor="background1"/>
                <w:spacing w:val="0"/>
                <w:kern w:val="2"/>
                <w14:ligatures w14:val="standardContextual"/>
              </w:rPr>
            </w:pPr>
            <w:r w:rsidRPr="00465A16">
              <w:rPr>
                <w:b/>
                <w:bCs/>
                <w:color w:val="FFFFFF" w:themeColor="background1"/>
                <w:spacing w:val="0"/>
                <w:kern w:val="2"/>
                <w14:ligatures w14:val="standardContextual"/>
              </w:rPr>
              <w:t>Relación de quejas y sugerencias 2025</w:t>
            </w:r>
          </w:p>
        </w:tc>
      </w:tr>
      <w:tr w:rsidR="00C83C69" w:rsidRPr="00465A16" w14:paraId="61DA58B3" w14:textId="77777777" w:rsidTr="00BA1804">
        <w:trPr>
          <w:trHeight w:val="343"/>
          <w:tblHeader/>
        </w:trPr>
        <w:tc>
          <w:tcPr>
            <w:tcW w:w="3256" w:type="dxa"/>
            <w:shd w:val="clear" w:color="auto" w:fill="011C50"/>
          </w:tcPr>
          <w:p w14:paraId="33F5018B" w14:textId="77777777" w:rsidR="00C83C69" w:rsidRPr="00465A16" w:rsidRDefault="00C83C69" w:rsidP="00C83C69">
            <w:pPr>
              <w:tabs>
                <w:tab w:val="left" w:pos="2478"/>
              </w:tabs>
              <w:spacing w:line="360" w:lineRule="auto"/>
              <w:jc w:val="center"/>
              <w:rPr>
                <w:b/>
                <w:bCs/>
                <w:color w:val="FFFFFF" w:themeColor="background1"/>
                <w:spacing w:val="0"/>
                <w:kern w:val="2"/>
                <w14:ligatures w14:val="standardContextual"/>
              </w:rPr>
            </w:pPr>
            <w:r w:rsidRPr="00465A16">
              <w:rPr>
                <w:b/>
                <w:bCs/>
                <w:color w:val="FFFFFF" w:themeColor="background1"/>
                <w:spacing w:val="0"/>
                <w:kern w:val="2"/>
                <w14:ligatures w14:val="standardContextual"/>
              </w:rPr>
              <w:t>Área</w:t>
            </w:r>
          </w:p>
        </w:tc>
        <w:tc>
          <w:tcPr>
            <w:tcW w:w="4677" w:type="dxa"/>
            <w:shd w:val="clear" w:color="auto" w:fill="011C50"/>
          </w:tcPr>
          <w:p w14:paraId="59490890" w14:textId="77777777" w:rsidR="00C83C69" w:rsidRPr="00465A16" w:rsidRDefault="00C83C69" w:rsidP="00C83C69">
            <w:pPr>
              <w:spacing w:line="360" w:lineRule="auto"/>
              <w:jc w:val="center"/>
              <w:rPr>
                <w:b/>
                <w:bCs/>
                <w:color w:val="FFFFFF" w:themeColor="background1"/>
                <w:spacing w:val="0"/>
                <w:kern w:val="2"/>
                <w14:ligatures w14:val="standardContextual"/>
              </w:rPr>
            </w:pPr>
            <w:r w:rsidRPr="00465A16">
              <w:rPr>
                <w:b/>
                <w:bCs/>
                <w:color w:val="FFFFFF" w:themeColor="background1"/>
                <w:spacing w:val="0"/>
                <w:kern w:val="2"/>
                <w14:ligatures w14:val="standardContextual"/>
              </w:rPr>
              <w:t>Institución/empresa</w:t>
            </w:r>
          </w:p>
        </w:tc>
      </w:tr>
      <w:tr w:rsidR="00C83C69" w:rsidRPr="00465A16" w14:paraId="19070942" w14:textId="77777777" w:rsidTr="00C83C69">
        <w:trPr>
          <w:trHeight w:val="343"/>
        </w:trPr>
        <w:tc>
          <w:tcPr>
            <w:tcW w:w="3256" w:type="dxa"/>
          </w:tcPr>
          <w:p w14:paraId="1089A372" w14:textId="77777777" w:rsidR="00C83C69" w:rsidRPr="00582880" w:rsidRDefault="00C83C69" w:rsidP="00C83C69">
            <w:pPr>
              <w:spacing w:line="360" w:lineRule="auto"/>
            </w:pPr>
            <w:r w:rsidRPr="00582880">
              <w:t>Ingeniería y Arquitectura</w:t>
            </w:r>
          </w:p>
        </w:tc>
        <w:tc>
          <w:tcPr>
            <w:tcW w:w="4677" w:type="dxa"/>
          </w:tcPr>
          <w:p w14:paraId="0B500CC8" w14:textId="77777777" w:rsidR="00C83C69" w:rsidRPr="00582880" w:rsidRDefault="00C83C69" w:rsidP="00C83C69">
            <w:pPr>
              <w:spacing w:line="360" w:lineRule="auto"/>
            </w:pPr>
            <w:r w:rsidRPr="00582880">
              <w:t>Empresa CYL Ingeniería</w:t>
            </w:r>
          </w:p>
        </w:tc>
      </w:tr>
      <w:tr w:rsidR="00C83C69" w:rsidRPr="00465A16" w14:paraId="4F29A74E" w14:textId="77777777" w:rsidTr="00C83C69">
        <w:trPr>
          <w:trHeight w:val="343"/>
        </w:trPr>
        <w:tc>
          <w:tcPr>
            <w:tcW w:w="3256" w:type="dxa"/>
          </w:tcPr>
          <w:p w14:paraId="3DFAF015" w14:textId="77777777" w:rsidR="00C83C69" w:rsidRPr="00582880" w:rsidRDefault="00C83C69" w:rsidP="00C83C69">
            <w:pPr>
              <w:spacing w:line="360" w:lineRule="auto"/>
            </w:pPr>
            <w:r w:rsidRPr="00582880">
              <w:t>Ingeniería y Arquitectura</w:t>
            </w:r>
          </w:p>
        </w:tc>
        <w:tc>
          <w:tcPr>
            <w:tcW w:w="4677" w:type="dxa"/>
          </w:tcPr>
          <w:p w14:paraId="5ED93DED" w14:textId="77777777" w:rsidR="00C83C69" w:rsidRPr="00582880" w:rsidRDefault="00C83C69" w:rsidP="00C83C69">
            <w:pPr>
              <w:spacing w:line="360" w:lineRule="auto"/>
            </w:pPr>
            <w:r w:rsidRPr="00582880">
              <w:t>Instituto Geográfico Nacional</w:t>
            </w:r>
          </w:p>
        </w:tc>
      </w:tr>
      <w:tr w:rsidR="00C83C69" w:rsidRPr="00465A16" w14:paraId="5BFFB5E2" w14:textId="77777777" w:rsidTr="00C83C69">
        <w:trPr>
          <w:trHeight w:val="706"/>
        </w:trPr>
        <w:tc>
          <w:tcPr>
            <w:tcW w:w="3256" w:type="dxa"/>
          </w:tcPr>
          <w:p w14:paraId="0C043EFE" w14:textId="77777777" w:rsidR="00C83C69" w:rsidRPr="00582880" w:rsidRDefault="00C83C69" w:rsidP="00C83C69">
            <w:pPr>
              <w:spacing w:line="360" w:lineRule="auto"/>
            </w:pPr>
            <w:r w:rsidRPr="00582880">
              <w:t>Planificación y Desarrollo</w:t>
            </w:r>
          </w:p>
        </w:tc>
        <w:tc>
          <w:tcPr>
            <w:tcW w:w="4677" w:type="dxa"/>
          </w:tcPr>
          <w:p w14:paraId="19F16015" w14:textId="77777777" w:rsidR="00C83C69" w:rsidRPr="00582880" w:rsidRDefault="00C83C69" w:rsidP="00C83C69">
            <w:pPr>
              <w:spacing w:line="360" w:lineRule="auto"/>
            </w:pPr>
            <w:r w:rsidRPr="00582880">
              <w:t>Dirección General de Contrataciones Públicas</w:t>
            </w:r>
          </w:p>
        </w:tc>
      </w:tr>
      <w:tr w:rsidR="00C83C69" w:rsidRPr="00465A16" w14:paraId="3238788F" w14:textId="77777777" w:rsidTr="00C83C69">
        <w:trPr>
          <w:trHeight w:val="343"/>
        </w:trPr>
        <w:tc>
          <w:tcPr>
            <w:tcW w:w="3256" w:type="dxa"/>
          </w:tcPr>
          <w:p w14:paraId="7BF1780A" w14:textId="77777777" w:rsidR="00C83C69" w:rsidRPr="00582880" w:rsidRDefault="00C83C69" w:rsidP="00C83C69">
            <w:pPr>
              <w:spacing w:line="360" w:lineRule="auto"/>
            </w:pPr>
            <w:r w:rsidRPr="00582880">
              <w:t>Planificación y Desarrollo</w:t>
            </w:r>
          </w:p>
        </w:tc>
        <w:tc>
          <w:tcPr>
            <w:tcW w:w="4677" w:type="dxa"/>
          </w:tcPr>
          <w:p w14:paraId="799708C5" w14:textId="77777777" w:rsidR="00C83C69" w:rsidRPr="00582880" w:rsidRDefault="00C83C69" w:rsidP="00C83C69">
            <w:pPr>
              <w:spacing w:line="360" w:lineRule="auto"/>
            </w:pPr>
            <w:r w:rsidRPr="00582880">
              <w:t>Registro Inmobiliario</w:t>
            </w:r>
          </w:p>
        </w:tc>
      </w:tr>
      <w:tr w:rsidR="00C83C69" w:rsidRPr="00465A16" w14:paraId="659BCF89" w14:textId="77777777" w:rsidTr="00C83C69">
        <w:trPr>
          <w:trHeight w:val="343"/>
        </w:trPr>
        <w:tc>
          <w:tcPr>
            <w:tcW w:w="3256" w:type="dxa"/>
          </w:tcPr>
          <w:p w14:paraId="3B75DDB1" w14:textId="77777777" w:rsidR="00C83C69" w:rsidRPr="00582880" w:rsidRDefault="00C83C69" w:rsidP="00C83C69">
            <w:pPr>
              <w:spacing w:line="360" w:lineRule="auto"/>
            </w:pPr>
            <w:r w:rsidRPr="00582880">
              <w:t>Tecnologías de la Información</w:t>
            </w:r>
          </w:p>
        </w:tc>
        <w:tc>
          <w:tcPr>
            <w:tcW w:w="4677" w:type="dxa"/>
          </w:tcPr>
          <w:p w14:paraId="33C69DAD" w14:textId="77777777" w:rsidR="00C83C69" w:rsidRPr="00582880" w:rsidRDefault="00C83C69" w:rsidP="00C83C69">
            <w:pPr>
              <w:spacing w:line="360" w:lineRule="auto"/>
            </w:pPr>
            <w:r w:rsidRPr="00582880">
              <w:t>Servicio Nacional de Salud (SNS)</w:t>
            </w:r>
          </w:p>
        </w:tc>
      </w:tr>
      <w:tr w:rsidR="00C83C69" w:rsidRPr="00465A16" w14:paraId="73F129A1" w14:textId="77777777" w:rsidTr="002039A2">
        <w:trPr>
          <w:trHeight w:val="706"/>
        </w:trPr>
        <w:tc>
          <w:tcPr>
            <w:tcW w:w="3256" w:type="dxa"/>
            <w:vAlign w:val="center"/>
          </w:tcPr>
          <w:p w14:paraId="2575A4DF" w14:textId="77777777" w:rsidR="00C83C69" w:rsidRPr="0038162E" w:rsidRDefault="00C83C69" w:rsidP="002039A2">
            <w:pPr>
              <w:spacing w:line="360" w:lineRule="auto"/>
            </w:pPr>
            <w:r w:rsidRPr="0038162E">
              <w:t>Dirección de Proyectos y Reportes</w:t>
            </w:r>
          </w:p>
        </w:tc>
        <w:tc>
          <w:tcPr>
            <w:tcW w:w="4677" w:type="dxa"/>
          </w:tcPr>
          <w:p w14:paraId="2D42BA48" w14:textId="77777777" w:rsidR="00C83C69" w:rsidRPr="0038162E" w:rsidRDefault="00C83C69" w:rsidP="00C83C69">
            <w:pPr>
              <w:spacing w:line="360" w:lineRule="auto"/>
            </w:pPr>
            <w:r w:rsidRPr="0038162E">
              <w:t>Contraloría General de la República de Chile</w:t>
            </w:r>
          </w:p>
        </w:tc>
      </w:tr>
      <w:tr w:rsidR="00C83C69" w:rsidRPr="00465A16" w14:paraId="6112AFFE" w14:textId="77777777" w:rsidTr="002039A2">
        <w:trPr>
          <w:trHeight w:val="1029"/>
        </w:trPr>
        <w:tc>
          <w:tcPr>
            <w:tcW w:w="3256" w:type="dxa"/>
            <w:vAlign w:val="center"/>
          </w:tcPr>
          <w:p w14:paraId="05D6FEA7" w14:textId="77777777" w:rsidR="00C83C69" w:rsidRPr="0038162E" w:rsidRDefault="00C83C69" w:rsidP="002039A2">
            <w:pPr>
              <w:spacing w:line="360" w:lineRule="auto"/>
            </w:pPr>
            <w:r w:rsidRPr="0038162E">
              <w:t>Contraloría General de la República</w:t>
            </w:r>
          </w:p>
        </w:tc>
        <w:tc>
          <w:tcPr>
            <w:tcW w:w="4677" w:type="dxa"/>
          </w:tcPr>
          <w:p w14:paraId="23F3F535" w14:textId="77777777" w:rsidR="00C83C69" w:rsidRPr="0038162E" w:rsidRDefault="00C83C69" w:rsidP="00C83C69">
            <w:pPr>
              <w:spacing w:line="360" w:lineRule="auto"/>
            </w:pPr>
            <w:r w:rsidRPr="0038162E">
              <w:t>Intercambio de Experiencias con Intervención General del Estado Madrid-España</w:t>
            </w:r>
          </w:p>
        </w:tc>
      </w:tr>
    </w:tbl>
    <w:p w14:paraId="24F696E4" w14:textId="0A429B03" w:rsidR="00C83C69" w:rsidRPr="0077472F" w:rsidRDefault="00C83C69" w:rsidP="00444B5D">
      <w:pPr>
        <w:spacing w:line="360" w:lineRule="auto"/>
        <w:jc w:val="center"/>
        <w:rPr>
          <w:i/>
          <w:iCs/>
          <w:sz w:val="18"/>
          <w:szCs w:val="18"/>
        </w:rPr>
      </w:pPr>
      <w:r w:rsidRPr="0077472F">
        <w:rPr>
          <w:i/>
          <w:iCs/>
          <w:sz w:val="18"/>
          <w:szCs w:val="18"/>
        </w:rPr>
        <w:t>Fuente. Matriz de seguimiento de benchmarking de la División de Calidad en la</w:t>
      </w:r>
      <w:r w:rsidR="00444B5D">
        <w:rPr>
          <w:i/>
          <w:iCs/>
          <w:sz w:val="18"/>
          <w:szCs w:val="18"/>
        </w:rPr>
        <w:t xml:space="preserve"> </w:t>
      </w:r>
      <w:r w:rsidRPr="0077472F">
        <w:rPr>
          <w:i/>
          <w:iCs/>
          <w:sz w:val="18"/>
          <w:szCs w:val="18"/>
        </w:rPr>
        <w:t>Gestión</w:t>
      </w:r>
    </w:p>
    <w:p w14:paraId="230766B9" w14:textId="77777777" w:rsidR="00C83C69" w:rsidRPr="0038162E" w:rsidRDefault="00C83C69">
      <w:pPr>
        <w:pStyle w:val="Prrafodelista"/>
        <w:numPr>
          <w:ilvl w:val="0"/>
          <w:numId w:val="1"/>
        </w:numPr>
        <w:tabs>
          <w:tab w:val="left" w:pos="426"/>
        </w:tabs>
        <w:spacing w:line="360" w:lineRule="auto"/>
        <w:ind w:left="0" w:firstLine="0"/>
        <w:jc w:val="both"/>
      </w:pPr>
      <w:r w:rsidRPr="0038162E">
        <w:rPr>
          <w:b/>
          <w:bCs/>
        </w:rPr>
        <w:lastRenderedPageBreak/>
        <w:t>Semana de la calidad e innovación.</w:t>
      </w:r>
      <w:r w:rsidRPr="0038162E">
        <w:t> </w:t>
      </w:r>
    </w:p>
    <w:p w14:paraId="6DFC7C07" w14:textId="77777777" w:rsidR="00C83C69" w:rsidRPr="0038162E" w:rsidRDefault="00C83C69" w:rsidP="00C934DB">
      <w:pPr>
        <w:spacing w:line="360" w:lineRule="auto"/>
        <w:jc w:val="both"/>
      </w:pPr>
      <w:r w:rsidRPr="0038162E">
        <w:t>En noviembre de 2025 se celebró, por tercer año consecutivo, el Día de la Calidad e Innovación, bajo el lema “La transformación que impulsa un control interno eficiente y transparente”. Esta jornada se consolidó como un espacio estratégico para promover la cultura de excelencia, involucrar al personal y difundir iniciativas clave vinculadas a la calidad, la innovación y la modernización institucional.</w:t>
      </w:r>
    </w:p>
    <w:p w14:paraId="0A2F1AEC" w14:textId="77777777" w:rsidR="00C83C69" w:rsidRPr="0038162E" w:rsidRDefault="00C83C69" w:rsidP="00C934DB">
      <w:pPr>
        <w:spacing w:line="360" w:lineRule="auto"/>
        <w:jc w:val="both"/>
      </w:pPr>
      <w:r w:rsidRPr="0038162E">
        <w:t>El evento reunió a más de 200 colaboradores de forma presencial y alcanzó una audiencia virtual superior a 300 participantes, reflejando el creciente interés de la comunidad institucional en los temas de evolución tecnológica, gestión del cambio y control interno basado en mejores prácticas.</w:t>
      </w:r>
    </w:p>
    <w:p w14:paraId="4C28854F" w14:textId="77777777" w:rsidR="00C83C69" w:rsidRPr="0038162E" w:rsidRDefault="00C83C69" w:rsidP="00C934DB">
      <w:pPr>
        <w:spacing w:line="360" w:lineRule="auto"/>
        <w:jc w:val="both"/>
      </w:pPr>
      <w:r w:rsidRPr="0038162E">
        <w:t>El programa incluyó ponencias de alto valor, entre ellas:</w:t>
      </w:r>
    </w:p>
    <w:p w14:paraId="498EFCAB" w14:textId="6CA8ACB5" w:rsidR="00C83C69" w:rsidRPr="0038162E" w:rsidRDefault="00C83C69">
      <w:pPr>
        <w:pStyle w:val="Prrafodelista"/>
        <w:numPr>
          <w:ilvl w:val="0"/>
          <w:numId w:val="25"/>
        </w:numPr>
        <w:tabs>
          <w:tab w:val="left" w:pos="284"/>
        </w:tabs>
        <w:spacing w:line="360" w:lineRule="auto"/>
        <w:ind w:left="0" w:firstLine="0"/>
        <w:jc w:val="both"/>
      </w:pPr>
      <w:r w:rsidRPr="0038162E">
        <w:t>Aplicaciones de la inteligencia artificial y tecnologías emergentes en el control interno</w:t>
      </w:r>
      <w:r w:rsidR="00C143D2" w:rsidRPr="0038162E">
        <w:t>.</w:t>
      </w:r>
    </w:p>
    <w:p w14:paraId="0D800537" w14:textId="14A5278D" w:rsidR="00C83C69" w:rsidRPr="0038162E" w:rsidRDefault="00C83C69">
      <w:pPr>
        <w:pStyle w:val="Prrafodelista"/>
        <w:numPr>
          <w:ilvl w:val="0"/>
          <w:numId w:val="24"/>
        </w:numPr>
        <w:tabs>
          <w:tab w:val="left" w:pos="284"/>
        </w:tabs>
        <w:spacing w:line="360" w:lineRule="auto"/>
        <w:ind w:left="0" w:firstLine="0"/>
        <w:jc w:val="both"/>
      </w:pPr>
      <w:r w:rsidRPr="0038162E">
        <w:t>Tendencias actuales de transformación digital en la administración pública</w:t>
      </w:r>
      <w:r w:rsidR="00C143D2" w:rsidRPr="0038162E">
        <w:t>.</w:t>
      </w:r>
    </w:p>
    <w:p w14:paraId="0354C156" w14:textId="77777777" w:rsidR="00C83C69" w:rsidRPr="0038162E" w:rsidRDefault="00C83C69">
      <w:pPr>
        <w:pStyle w:val="Prrafodelista"/>
        <w:numPr>
          <w:ilvl w:val="0"/>
          <w:numId w:val="24"/>
        </w:numPr>
        <w:tabs>
          <w:tab w:val="left" w:pos="284"/>
        </w:tabs>
        <w:spacing w:line="360" w:lineRule="auto"/>
        <w:ind w:left="0" w:firstLine="0"/>
        <w:jc w:val="both"/>
      </w:pPr>
      <w:r w:rsidRPr="0038162E">
        <w:t>Liderazgo efectivo para gestionar el cambio en entornos de transformación.</w:t>
      </w:r>
    </w:p>
    <w:p w14:paraId="6589B61D" w14:textId="77777777" w:rsidR="00C83C69" w:rsidRPr="0038162E" w:rsidRDefault="00C83C69" w:rsidP="00C934DB">
      <w:pPr>
        <w:spacing w:line="360" w:lineRule="auto"/>
        <w:jc w:val="both"/>
      </w:pPr>
      <w:r w:rsidRPr="0038162E">
        <w:t>Como parte del fortalecimiento de la cultura de reconocimiento y promoción de la calidad, la actividad concluyó con la entrega de distinciones a las iniciativas más destacadas del año, incluyendo:</w:t>
      </w:r>
    </w:p>
    <w:p w14:paraId="6F1C6761" w14:textId="1E42E6D0" w:rsidR="00C83C69" w:rsidRPr="0038162E" w:rsidRDefault="00C83C69">
      <w:pPr>
        <w:pStyle w:val="Prrafodelista"/>
        <w:numPr>
          <w:ilvl w:val="0"/>
          <w:numId w:val="26"/>
        </w:numPr>
        <w:tabs>
          <w:tab w:val="left" w:pos="284"/>
        </w:tabs>
        <w:spacing w:line="360" w:lineRule="auto"/>
        <w:ind w:left="0" w:firstLine="0"/>
        <w:jc w:val="both"/>
      </w:pPr>
      <w:r w:rsidRPr="0038162E">
        <w:t>5 “Áreas de Excelencia”, por ser las que mayor cantidad de barras de oro recolectaron</w:t>
      </w:r>
      <w:r w:rsidR="00A259E2" w:rsidRPr="0038162E">
        <w:t>.</w:t>
      </w:r>
    </w:p>
    <w:p w14:paraId="2FB6D3D9" w14:textId="40FC214F" w:rsidR="00C83C69" w:rsidRPr="0038162E" w:rsidRDefault="00C83C69">
      <w:pPr>
        <w:pStyle w:val="Prrafodelista"/>
        <w:numPr>
          <w:ilvl w:val="0"/>
          <w:numId w:val="26"/>
        </w:numPr>
        <w:tabs>
          <w:tab w:val="left" w:pos="284"/>
        </w:tabs>
        <w:spacing w:line="360" w:lineRule="auto"/>
        <w:ind w:left="0" w:firstLine="0"/>
        <w:jc w:val="both"/>
      </w:pPr>
      <w:r w:rsidRPr="0038162E">
        <w:t>5 “Promotores de Calidad e Innovación Destacados”, por su compromiso ejemplar</w:t>
      </w:r>
      <w:r w:rsidR="00A259E2" w:rsidRPr="0038162E">
        <w:t>.</w:t>
      </w:r>
    </w:p>
    <w:p w14:paraId="13E9FCFB" w14:textId="662D7D12" w:rsidR="00C83C69" w:rsidRPr="0038162E" w:rsidRDefault="00C83C69">
      <w:pPr>
        <w:pStyle w:val="Prrafodelista"/>
        <w:numPr>
          <w:ilvl w:val="0"/>
          <w:numId w:val="26"/>
        </w:numPr>
        <w:tabs>
          <w:tab w:val="left" w:pos="284"/>
        </w:tabs>
        <w:spacing w:line="360" w:lineRule="auto"/>
        <w:ind w:left="0" w:firstLine="0"/>
        <w:jc w:val="both"/>
      </w:pPr>
      <w:r w:rsidRPr="0038162E">
        <w:lastRenderedPageBreak/>
        <w:t>2 áreas de Apoyo, reconocidas por dar la “Milla Extra” en acompañamiento y soporte</w:t>
      </w:r>
      <w:r w:rsidR="00A259E2" w:rsidRPr="0038162E">
        <w:t>.</w:t>
      </w:r>
    </w:p>
    <w:p w14:paraId="129AF829" w14:textId="539A189A" w:rsidR="00C83C69" w:rsidRPr="0038162E" w:rsidRDefault="00C83C69">
      <w:pPr>
        <w:pStyle w:val="Prrafodelista"/>
        <w:numPr>
          <w:ilvl w:val="0"/>
          <w:numId w:val="26"/>
        </w:numPr>
        <w:tabs>
          <w:tab w:val="left" w:pos="284"/>
        </w:tabs>
        <w:spacing w:line="360" w:lineRule="auto"/>
        <w:ind w:left="0" w:firstLine="0"/>
        <w:jc w:val="both"/>
      </w:pPr>
      <w:r w:rsidRPr="0038162E">
        <w:t>El premio al “Área Más Entusiasta”, por su activa participación en las dinámicas institucionales relacionadas a calidad</w:t>
      </w:r>
      <w:r w:rsidR="00A259E2" w:rsidRPr="0038162E">
        <w:t>.</w:t>
      </w:r>
    </w:p>
    <w:p w14:paraId="5E2F019A" w14:textId="77777777" w:rsidR="00C83C69" w:rsidRPr="0038162E" w:rsidRDefault="00C83C69">
      <w:pPr>
        <w:pStyle w:val="Prrafodelista"/>
        <w:numPr>
          <w:ilvl w:val="0"/>
          <w:numId w:val="26"/>
        </w:numPr>
        <w:tabs>
          <w:tab w:val="left" w:pos="284"/>
        </w:tabs>
        <w:spacing w:line="360" w:lineRule="auto"/>
        <w:ind w:left="0" w:firstLine="0"/>
        <w:jc w:val="both"/>
      </w:pPr>
      <w:r w:rsidRPr="0038162E">
        <w:t>Y el reconocimiento a la propuesta ganadora del concurso “Renuévate CGR 2025”, orientada a impulsar la innovación y la mejora continua.</w:t>
      </w:r>
    </w:p>
    <w:p w14:paraId="4C5D6070" w14:textId="77777777" w:rsidR="00C83C69" w:rsidRPr="0038162E" w:rsidRDefault="00C83C69" w:rsidP="00C934DB">
      <w:pPr>
        <w:spacing w:line="360" w:lineRule="auto"/>
        <w:jc w:val="both"/>
      </w:pPr>
      <w:r w:rsidRPr="0038162E">
        <w:t>Esta jornada reafirmó el compromiso de la Contraloría con una gestión pública moderna, participativa y orientada a resultados, fortaleciendo la apropiación institucional de la cultura de calidad e innovación.</w:t>
      </w:r>
    </w:p>
    <w:p w14:paraId="668C9283" w14:textId="77777777" w:rsidR="00C83C69" w:rsidRPr="0038162E" w:rsidRDefault="00C83C69">
      <w:pPr>
        <w:pStyle w:val="Prrafodelista"/>
        <w:numPr>
          <w:ilvl w:val="0"/>
          <w:numId w:val="1"/>
        </w:numPr>
        <w:tabs>
          <w:tab w:val="left" w:pos="284"/>
        </w:tabs>
        <w:spacing w:line="360" w:lineRule="auto"/>
        <w:ind w:left="0" w:firstLine="0"/>
        <w:jc w:val="both"/>
        <w:rPr>
          <w:b/>
          <w:bCs/>
        </w:rPr>
      </w:pPr>
      <w:r w:rsidRPr="0038162E">
        <w:rPr>
          <w:b/>
          <w:bCs/>
        </w:rPr>
        <w:t>Medición de la satisfacción interna y externa.</w:t>
      </w:r>
    </w:p>
    <w:p w14:paraId="1AE97A72" w14:textId="2853A873" w:rsidR="00C934DB" w:rsidRPr="0038162E" w:rsidRDefault="00C83C69" w:rsidP="00C934DB">
      <w:pPr>
        <w:spacing w:line="360" w:lineRule="auto"/>
        <w:jc w:val="both"/>
      </w:pPr>
      <w:r w:rsidRPr="0038162E">
        <w:t xml:space="preserve">La </w:t>
      </w:r>
      <w:r w:rsidR="00D03855">
        <w:t>m</w:t>
      </w:r>
      <w:r w:rsidRPr="0038162E">
        <w:t xml:space="preserve">edición de la </w:t>
      </w:r>
      <w:r w:rsidR="00D03855">
        <w:t>s</w:t>
      </w:r>
      <w:r w:rsidRPr="0038162E">
        <w:t xml:space="preserve">atisfacción </w:t>
      </w:r>
      <w:r w:rsidR="00D03855">
        <w:t>i</w:t>
      </w:r>
      <w:r w:rsidRPr="0038162E">
        <w:t xml:space="preserve">nterna y </w:t>
      </w:r>
      <w:r w:rsidR="00D03855">
        <w:t>e</w:t>
      </w:r>
      <w:r w:rsidRPr="0038162E">
        <w:t xml:space="preserve">xterna avanzó de manera significativa durante el 2025, año en el que se planificaron y ejecutaron 12 encuestas, alcanzando un cumplimiento del 100% (12/12). </w:t>
      </w:r>
    </w:p>
    <w:p w14:paraId="39DD8DAC" w14:textId="7E4E80B9" w:rsidR="00C83C69" w:rsidRPr="0038162E" w:rsidRDefault="00C83C69" w:rsidP="00C934DB">
      <w:pPr>
        <w:spacing w:line="360" w:lineRule="auto"/>
        <w:jc w:val="both"/>
      </w:pPr>
      <w:r w:rsidRPr="0038162E">
        <w:t xml:space="preserve">Estas evaluaciones abarcaron los servicios internos ofrecidos por Comunicaciones, Recursos Humanos, Administrativo y Financiero, Tecnologías de la Información y Comunicaciones, y Planificación y Desarrollo, así como los servicios misionales de Desarrollo Normativo, Registro de Contratos y Revisión y Control de Calidad. De manera complementaria, se evaluó el servicio de Certificación de Cargos, obteniendo un 100% en el subindicador SISMAP 01.6 Monitoreo de la Calidad de los Servicios y un 82% en el SISMAP 01.7 Índice de Satisfacción Ciudadana. </w:t>
      </w:r>
      <w:r w:rsidR="00216068">
        <w:t xml:space="preserve">Estos resultados se mantendrán hasta finales de año, puesto que las próximas mediciones se realizarán en la planificación del 2026, de conformidad con lo dispuesto por el órgano rector. </w:t>
      </w:r>
    </w:p>
    <w:p w14:paraId="0390D069" w14:textId="1CC12910" w:rsidR="00C83C69" w:rsidRPr="0038162E" w:rsidRDefault="00C83C69" w:rsidP="00C934DB">
      <w:pPr>
        <w:spacing w:line="360" w:lineRule="auto"/>
        <w:jc w:val="both"/>
      </w:pPr>
      <w:r w:rsidRPr="0038162E">
        <w:lastRenderedPageBreak/>
        <w:t>Más del 90% de las quejas y sugerencias recolectadas a través de estas encuestas fueron atendidas mediante planes de mejora, garantizando acciones oportunas, efectivas y orientadas a elevar la experiencia de los usuarios internos y externos.</w:t>
      </w:r>
      <w:r w:rsidR="00153FAA">
        <w:t xml:space="preserve"> Se proyecta la planificación de mejoras y atención para al menos el 95% de las quejas y sugerencias para el cierre de año.</w:t>
      </w:r>
    </w:p>
    <w:p w14:paraId="502EAA50" w14:textId="77777777" w:rsidR="00652A73" w:rsidRPr="0038162E" w:rsidRDefault="00652A73">
      <w:pPr>
        <w:pStyle w:val="Prrafodelista"/>
        <w:numPr>
          <w:ilvl w:val="0"/>
          <w:numId w:val="1"/>
        </w:numPr>
        <w:tabs>
          <w:tab w:val="left" w:pos="284"/>
        </w:tabs>
        <w:spacing w:line="360" w:lineRule="auto"/>
        <w:ind w:left="0" w:firstLine="0"/>
        <w:jc w:val="both"/>
        <w:rPr>
          <w:b/>
          <w:bCs/>
        </w:rPr>
      </w:pPr>
      <w:r w:rsidRPr="0038162E">
        <w:rPr>
          <w:b/>
          <w:bCs/>
        </w:rPr>
        <w:t>Carta Compromiso al Ciudadano</w:t>
      </w:r>
    </w:p>
    <w:p w14:paraId="29489A54" w14:textId="77777777" w:rsidR="00652A73" w:rsidRPr="0038162E" w:rsidRDefault="00652A73" w:rsidP="00C934DB">
      <w:pPr>
        <w:spacing w:line="360" w:lineRule="auto"/>
        <w:jc w:val="both"/>
      </w:pPr>
      <w:r w:rsidRPr="0038162E">
        <w:t>La Carta Compromiso al Ciudadano constituye un instrumento esencial para promover la transparencia y garantizar la calidad de los servicios ofrecidos por la Contraloría General de la República. En este documento se establecen los tiempos de respuesta, los estándares de servicio y los mecanismos de mejora continua que la institución se compromete a cumplir.</w:t>
      </w:r>
    </w:p>
    <w:p w14:paraId="61554522" w14:textId="5F8DBBC3" w:rsidR="00652A73" w:rsidRPr="0038162E" w:rsidRDefault="00652A73" w:rsidP="00C934DB">
      <w:pPr>
        <w:spacing w:line="360" w:lineRule="auto"/>
        <w:jc w:val="both"/>
      </w:pPr>
      <w:r w:rsidRPr="0038162E">
        <w:t>Durante el 2025, el Ministerio de Administración Pública (MAP) realizó la evaluación anual de este instrumento, en la cual la institución alcanzó un 99% de cumplimiento, reflejando la eficacia de la gestión institucional y el compromiso permanente con la satisfacción del ciudadano.</w:t>
      </w:r>
      <w:r w:rsidR="00642112">
        <w:t xml:space="preserve"> Esta evaluación se realiza una vez al año, por lo que dicho resultado se mantendrá hasta el cierre de año. </w:t>
      </w:r>
    </w:p>
    <w:p w14:paraId="1F4A012B" w14:textId="6E61F1C5" w:rsidR="00652A73" w:rsidRPr="0038162E" w:rsidRDefault="00652A73" w:rsidP="00C934DB">
      <w:pPr>
        <w:spacing w:line="360" w:lineRule="auto"/>
        <w:jc w:val="both"/>
      </w:pPr>
      <w:r w:rsidRPr="0038162E">
        <w:t>Adicionalmente, se ejecutaron seguimientos mensuales a los indicadores establecidos en la Carta, asegurando el monitoreo sistemático de los servicios y la identificación temprana de oportunidades de mejora. Los resultados de estos seguimientos fueron publicados en la página web institucional y socializados internamente mediante murales, redes sociales y correos electrónicos, garantizando acceso oportuno a la información y fortaleciendo la cultura de transparencia.</w:t>
      </w:r>
    </w:p>
    <w:p w14:paraId="675277CB" w14:textId="77777777" w:rsidR="00642112" w:rsidRDefault="00642112" w:rsidP="00C934DB">
      <w:pPr>
        <w:spacing w:line="360" w:lineRule="auto"/>
        <w:jc w:val="both"/>
      </w:pPr>
    </w:p>
    <w:p w14:paraId="751BA3F6" w14:textId="2EA97D43" w:rsidR="00652A73" w:rsidRDefault="00652A73" w:rsidP="00C934DB">
      <w:pPr>
        <w:spacing w:line="360" w:lineRule="auto"/>
        <w:jc w:val="both"/>
      </w:pPr>
      <w:r w:rsidRPr="0038162E">
        <w:lastRenderedPageBreak/>
        <w:t>Este desempeño da cumplimiento al subindicador SISMAP 01.4- Carta Compromiso, el cual mantiene un nivel de implementación del 99%</w:t>
      </w:r>
      <w:r w:rsidR="00642112">
        <w:t xml:space="preserve">, que mantendrá dicho resultado como proyección hasta finales de diciembre. </w:t>
      </w:r>
      <w:r w:rsidRPr="0038162E">
        <w:t>En conjunto, estos avances evidencian una gestión centrada en el ciudadano, sustentada en estándares medibles, accesibles y alineados a las directrices del MAP.</w:t>
      </w:r>
    </w:p>
    <w:p w14:paraId="625BD0F9" w14:textId="3A58724C" w:rsidR="00E36781" w:rsidRPr="0038162E" w:rsidRDefault="002C52AA" w:rsidP="00C934DB">
      <w:pPr>
        <w:spacing w:line="360" w:lineRule="auto"/>
        <w:rPr>
          <w:b/>
          <w:bCs/>
        </w:rPr>
      </w:pPr>
      <w:r w:rsidRPr="0038162E">
        <w:rPr>
          <w:b/>
          <w:bCs/>
        </w:rPr>
        <w:t>b.</w:t>
      </w:r>
      <w:r w:rsidR="00E36781" w:rsidRPr="0038162E">
        <w:rPr>
          <w:b/>
          <w:bCs/>
        </w:rPr>
        <w:t xml:space="preserve"> Acciones para el fortalecimiento institucional</w:t>
      </w:r>
    </w:p>
    <w:p w14:paraId="34F8CD1D" w14:textId="16A60374" w:rsidR="00C934DB" w:rsidRPr="0038162E" w:rsidRDefault="008B74AF" w:rsidP="00C934DB">
      <w:pPr>
        <w:spacing w:line="360" w:lineRule="auto"/>
        <w:jc w:val="both"/>
        <w:rPr>
          <w:rFonts w:eastAsia="Calibri"/>
        </w:rPr>
      </w:pPr>
      <w:r w:rsidRPr="0038162E">
        <w:rPr>
          <w:rFonts w:eastAsia="Calibri"/>
        </w:rPr>
        <w:t>Con miras de potenciar las funciones institucionales mediante la implementación de un nuevo modelo de gestión, la modernización de la estructura orgánica, el desarrollo de competencias en materia de control interno y la incorporación de tecnologías digitales orientadas a la transparencia y al uso eficiente de los recursos públicos, la institución ha recibido apoyo presupuestario del Banco Interamericano de Desarrollo (BID) a través del Programa de Apoyo a la Agenda de Transparencia e Integridad en la República Dominicana (PRO-TRANSPARENCIA RD), específicamente en su Componente II, vinculado al Fortalecimiento del Sistema Nacional de Control Interno. </w:t>
      </w:r>
      <w:r w:rsidR="00A452AE">
        <w:rPr>
          <w:rFonts w:eastAsia="Calibri"/>
        </w:rPr>
        <w:t xml:space="preserve"> </w:t>
      </w:r>
      <w:r w:rsidRPr="0038162E">
        <w:rPr>
          <w:rFonts w:eastAsia="Calibri"/>
        </w:rPr>
        <w:t xml:space="preserve">Con un monto asignado de US$11,930,000, la Contraloría General de la República asumió la responsabilidad de ejecutar este programa desde su aprobación el 16 de marzo de 2022. </w:t>
      </w:r>
    </w:p>
    <w:p w14:paraId="68A86A7C" w14:textId="3C055E20" w:rsidR="008B74AF" w:rsidRPr="0038162E" w:rsidRDefault="008B74AF" w:rsidP="00C934DB">
      <w:pPr>
        <w:spacing w:line="360" w:lineRule="auto"/>
        <w:jc w:val="both"/>
        <w:rPr>
          <w:rFonts w:eastAsia="Calibri"/>
        </w:rPr>
      </w:pPr>
      <w:r w:rsidRPr="0038162E">
        <w:rPr>
          <w:rFonts w:eastAsia="Calibri"/>
        </w:rPr>
        <w:t>Su ejecución inició formalmente en septiembre de 2023 y que extiende hasta el 12 de marzo de 2028. Estos son los resultados alcanzados al corte del 30 de noviembre de 2025. </w:t>
      </w:r>
    </w:p>
    <w:p w14:paraId="3C78B773" w14:textId="77777777" w:rsidR="008B74AF" w:rsidRPr="0038162E" w:rsidRDefault="008B74AF" w:rsidP="00C934DB">
      <w:pPr>
        <w:spacing w:line="360" w:lineRule="auto"/>
        <w:jc w:val="both"/>
        <w:rPr>
          <w:rFonts w:eastAsia="Calibri"/>
        </w:rPr>
      </w:pPr>
      <w:r w:rsidRPr="0038162E">
        <w:rPr>
          <w:rFonts w:eastAsia="Calibri"/>
          <w:b/>
          <w:bCs/>
        </w:rPr>
        <w:t>Subcomponente 2.1</w:t>
      </w:r>
      <w:r w:rsidRPr="0038162E">
        <w:rPr>
          <w:rFonts w:eastAsia="Calibri"/>
        </w:rPr>
        <w:t xml:space="preserve"> Modelo de Gestión y estructura orgánica de la CGR modernizados, con (3) productos: </w:t>
      </w:r>
    </w:p>
    <w:p w14:paraId="1046613C" w14:textId="0F96D0F4" w:rsidR="008B74AF" w:rsidRPr="0038162E" w:rsidRDefault="008B74AF">
      <w:pPr>
        <w:pStyle w:val="Prrafodelista"/>
        <w:numPr>
          <w:ilvl w:val="0"/>
          <w:numId w:val="35"/>
        </w:numPr>
        <w:tabs>
          <w:tab w:val="num" w:pos="720"/>
        </w:tabs>
        <w:spacing w:line="360" w:lineRule="auto"/>
        <w:ind w:left="567"/>
        <w:jc w:val="both"/>
        <w:rPr>
          <w:rFonts w:eastAsia="Calibri"/>
        </w:rPr>
      </w:pPr>
      <w:r w:rsidRPr="0038162E">
        <w:rPr>
          <w:rFonts w:eastAsia="Calibri"/>
          <w:b/>
          <w:bCs/>
        </w:rPr>
        <w:t>Producto 9:</w:t>
      </w:r>
      <w:r w:rsidRPr="0038162E">
        <w:rPr>
          <w:rFonts w:eastAsia="Calibri"/>
        </w:rPr>
        <w:t xml:space="preserve"> Nuevo Modelo de Gestión de la CGRD diseñado, el mismo presenta un avance de ejecución de sus actividades del 65.1%. </w:t>
      </w:r>
    </w:p>
    <w:p w14:paraId="48F7E441" w14:textId="7990DA4C" w:rsidR="008B74AF" w:rsidRDefault="008B74AF">
      <w:pPr>
        <w:pStyle w:val="Prrafodelista"/>
        <w:numPr>
          <w:ilvl w:val="0"/>
          <w:numId w:val="35"/>
        </w:numPr>
        <w:tabs>
          <w:tab w:val="num" w:pos="720"/>
        </w:tabs>
        <w:spacing w:line="360" w:lineRule="auto"/>
        <w:ind w:left="567"/>
        <w:jc w:val="both"/>
        <w:rPr>
          <w:rFonts w:eastAsia="Calibri"/>
        </w:rPr>
      </w:pPr>
      <w:r w:rsidRPr="0038162E">
        <w:rPr>
          <w:rFonts w:eastAsia="Calibri"/>
          <w:b/>
          <w:bCs/>
        </w:rPr>
        <w:lastRenderedPageBreak/>
        <w:t>Producto 10:</w:t>
      </w:r>
      <w:r w:rsidRPr="0038162E">
        <w:rPr>
          <w:rFonts w:eastAsia="Calibri"/>
        </w:rPr>
        <w:t xml:space="preserve"> Modelo de control ex ante diseñado, el cual incluye gestión de riesgo, el mismo presenta un avance de ejecución de sus actividades del 7.7%.  </w:t>
      </w:r>
    </w:p>
    <w:p w14:paraId="34FE2679" w14:textId="339C457C" w:rsidR="008B74AF" w:rsidRPr="0038162E" w:rsidRDefault="008B74AF">
      <w:pPr>
        <w:pStyle w:val="Prrafodelista"/>
        <w:numPr>
          <w:ilvl w:val="0"/>
          <w:numId w:val="35"/>
        </w:numPr>
        <w:spacing w:line="360" w:lineRule="auto"/>
        <w:ind w:left="567"/>
        <w:jc w:val="both"/>
        <w:rPr>
          <w:rFonts w:eastAsia="Calibri"/>
        </w:rPr>
      </w:pPr>
      <w:r w:rsidRPr="0038162E">
        <w:rPr>
          <w:rFonts w:eastAsia="Calibri"/>
          <w:b/>
          <w:bCs/>
        </w:rPr>
        <w:t>Producto 11</w:t>
      </w:r>
      <w:r w:rsidRPr="0038162E">
        <w:rPr>
          <w:rFonts w:eastAsia="Calibri"/>
        </w:rPr>
        <w:t>: Estrategia de gestión integral del cambio en materia de control interno y transformación digital desarrollada. Este producto registra actualmente un avance de 0.0%, dado que su progreso iniciará una vez se concrete la contratación de la firma especializada en gestión del cambio el cual está en proceso. </w:t>
      </w:r>
    </w:p>
    <w:p w14:paraId="225A560C" w14:textId="3BF576A3" w:rsidR="008B74AF" w:rsidRPr="0038162E" w:rsidRDefault="008B74AF" w:rsidP="00C934DB">
      <w:pPr>
        <w:spacing w:line="360" w:lineRule="auto"/>
        <w:jc w:val="both"/>
        <w:rPr>
          <w:rFonts w:eastAsia="Calibri"/>
        </w:rPr>
      </w:pPr>
      <w:r w:rsidRPr="0038162E">
        <w:rPr>
          <w:rFonts w:eastAsia="Calibri"/>
          <w:b/>
          <w:bCs/>
        </w:rPr>
        <w:t>Subcomponente 2.2</w:t>
      </w:r>
      <w:r w:rsidRPr="0038162E">
        <w:rPr>
          <w:rFonts w:eastAsia="Calibri"/>
        </w:rPr>
        <w:t xml:space="preserve"> Desarrollo de competencias para el control interno, con 3 productos: </w:t>
      </w:r>
    </w:p>
    <w:p w14:paraId="6E14E59D" w14:textId="75CF6FCE" w:rsidR="008B74AF" w:rsidRPr="0038162E" w:rsidRDefault="008B74AF">
      <w:pPr>
        <w:pStyle w:val="Prrafodelista"/>
        <w:numPr>
          <w:ilvl w:val="0"/>
          <w:numId w:val="36"/>
        </w:numPr>
        <w:tabs>
          <w:tab w:val="num" w:pos="720"/>
        </w:tabs>
        <w:spacing w:line="360" w:lineRule="auto"/>
        <w:ind w:left="567"/>
        <w:jc w:val="both"/>
        <w:rPr>
          <w:rFonts w:eastAsia="Calibri"/>
        </w:rPr>
      </w:pPr>
      <w:r w:rsidRPr="0038162E">
        <w:rPr>
          <w:rFonts w:eastAsia="Calibri"/>
          <w:b/>
          <w:bCs/>
        </w:rPr>
        <w:t>Producto 12:</w:t>
      </w:r>
      <w:r w:rsidRPr="0038162E">
        <w:rPr>
          <w:rFonts w:eastAsia="Calibri"/>
        </w:rPr>
        <w:t xml:space="preserve"> Nuevo Modelo de Gestión del Talento Humano diseñado, el mismo presento un de ejecución de sus actividades del 25.8% </w:t>
      </w:r>
    </w:p>
    <w:p w14:paraId="1884DD6E" w14:textId="3E7BC956" w:rsidR="008B74AF" w:rsidRPr="0038162E" w:rsidRDefault="008B74AF">
      <w:pPr>
        <w:pStyle w:val="Prrafodelista"/>
        <w:numPr>
          <w:ilvl w:val="0"/>
          <w:numId w:val="36"/>
        </w:numPr>
        <w:spacing w:line="360" w:lineRule="auto"/>
        <w:ind w:left="567"/>
        <w:jc w:val="both"/>
        <w:rPr>
          <w:rFonts w:eastAsia="Calibri"/>
        </w:rPr>
      </w:pPr>
      <w:r w:rsidRPr="0038162E">
        <w:rPr>
          <w:rFonts w:eastAsia="Calibri"/>
          <w:b/>
          <w:bCs/>
        </w:rPr>
        <w:t>Producto 13:</w:t>
      </w:r>
      <w:r w:rsidRPr="0038162E">
        <w:rPr>
          <w:rFonts w:eastAsia="Calibri"/>
        </w:rPr>
        <w:t xml:space="preserve"> Auditores certificados con base en estándares nacionales e internacionales, el mismo presenta un avance de ejecución de sus actividades del 36.6%. </w:t>
      </w:r>
    </w:p>
    <w:p w14:paraId="04854E5B" w14:textId="5F4FEA96" w:rsidR="008B74AF" w:rsidRPr="0038162E" w:rsidRDefault="008B74AF">
      <w:pPr>
        <w:pStyle w:val="Prrafodelista"/>
        <w:numPr>
          <w:ilvl w:val="0"/>
          <w:numId w:val="36"/>
        </w:numPr>
        <w:spacing w:line="360" w:lineRule="auto"/>
        <w:ind w:left="567"/>
        <w:jc w:val="both"/>
        <w:rPr>
          <w:rFonts w:eastAsia="Calibri"/>
        </w:rPr>
      </w:pPr>
      <w:r w:rsidRPr="0038162E">
        <w:rPr>
          <w:rFonts w:eastAsia="Calibri"/>
          <w:b/>
          <w:bCs/>
        </w:rPr>
        <w:t>Producto 14:</w:t>
      </w:r>
      <w:r w:rsidRPr="0038162E">
        <w:rPr>
          <w:rFonts w:eastAsia="Calibri"/>
        </w:rPr>
        <w:t xml:space="preserve"> Nuevo Modelo de Control Interno bajo estándares nacionales e internacionales, el mismo presenta un avance de ejecución de sus actividades del 21.6.%. </w:t>
      </w:r>
    </w:p>
    <w:p w14:paraId="03BFCC14" w14:textId="2D0CD65D" w:rsidR="008B74AF" w:rsidRPr="0038162E" w:rsidRDefault="008B74AF" w:rsidP="00C934DB">
      <w:pPr>
        <w:spacing w:line="360" w:lineRule="auto"/>
        <w:jc w:val="both"/>
        <w:rPr>
          <w:rFonts w:eastAsia="Calibri"/>
        </w:rPr>
      </w:pPr>
      <w:r w:rsidRPr="0038162E">
        <w:rPr>
          <w:rFonts w:eastAsia="Calibri"/>
        </w:rPr>
        <w:t> </w:t>
      </w:r>
      <w:r w:rsidRPr="0038162E">
        <w:rPr>
          <w:rFonts w:eastAsia="Calibri"/>
          <w:b/>
          <w:bCs/>
        </w:rPr>
        <w:t xml:space="preserve">Subcomponente 2.3 </w:t>
      </w:r>
      <w:r w:rsidRPr="0038162E">
        <w:rPr>
          <w:rFonts w:eastAsia="Calibri"/>
        </w:rPr>
        <w:t>Tecnologías digitales orientadas a la transparencia y control del buen uso de los recursos públicos, con (1) producto: </w:t>
      </w:r>
    </w:p>
    <w:p w14:paraId="0242CECC" w14:textId="5BD64D14" w:rsidR="008B74AF" w:rsidRPr="0038162E" w:rsidRDefault="008B74AF">
      <w:pPr>
        <w:pStyle w:val="Prrafodelista"/>
        <w:numPr>
          <w:ilvl w:val="0"/>
          <w:numId w:val="37"/>
        </w:numPr>
        <w:spacing w:line="360" w:lineRule="auto"/>
        <w:ind w:left="567"/>
        <w:jc w:val="both"/>
        <w:rPr>
          <w:rFonts w:eastAsia="Calibri"/>
        </w:rPr>
      </w:pPr>
      <w:r w:rsidRPr="0038162E">
        <w:rPr>
          <w:rFonts w:eastAsia="Calibri"/>
          <w:b/>
          <w:bCs/>
        </w:rPr>
        <w:t>Producto 15:</w:t>
      </w:r>
      <w:r w:rsidRPr="0038162E">
        <w:rPr>
          <w:rFonts w:eastAsia="Calibri"/>
        </w:rPr>
        <w:t xml:space="preserve"> Herramientas digitales orientadas a la transparencia implementada en el mismo, se presenta un avance de ejecución de sus actividades del 37.0%. </w:t>
      </w:r>
    </w:p>
    <w:p w14:paraId="4D607845" w14:textId="77777777" w:rsidR="00794DB9" w:rsidRPr="00465A16" w:rsidRDefault="00794DB9" w:rsidP="00C934DB">
      <w:pPr>
        <w:pStyle w:val="Prrafodelista"/>
        <w:spacing w:line="360" w:lineRule="auto"/>
        <w:ind w:left="0"/>
        <w:jc w:val="both"/>
        <w:rPr>
          <w:rFonts w:eastAsia="Calibri"/>
          <w:color w:val="4C4747"/>
        </w:rPr>
      </w:pPr>
    </w:p>
    <w:p w14:paraId="54E24A2D" w14:textId="0130144D" w:rsidR="00794DB9" w:rsidRPr="0038162E" w:rsidRDefault="008B74AF" w:rsidP="00C934DB">
      <w:pPr>
        <w:pStyle w:val="Prrafodelista"/>
        <w:spacing w:line="360" w:lineRule="auto"/>
        <w:ind w:left="0"/>
        <w:jc w:val="both"/>
        <w:rPr>
          <w:rFonts w:eastAsia="Calibri"/>
        </w:rPr>
      </w:pPr>
      <w:r w:rsidRPr="0038162E">
        <w:rPr>
          <w:rFonts w:eastAsia="Calibri"/>
        </w:rPr>
        <w:lastRenderedPageBreak/>
        <w:t>Durante el intervalo enero-noviembre 2025, se han registrado</w:t>
      </w:r>
      <w:r w:rsidR="00DC6802">
        <w:rPr>
          <w:rFonts w:eastAsia="Calibri"/>
        </w:rPr>
        <w:t xml:space="preserve"> los siguientes</w:t>
      </w:r>
      <w:r w:rsidRPr="0038162E">
        <w:rPr>
          <w:rFonts w:eastAsia="Calibri"/>
        </w:rPr>
        <w:t xml:space="preserve"> </w:t>
      </w:r>
      <w:r w:rsidR="00DC6802">
        <w:rPr>
          <w:rFonts w:eastAsia="Calibri"/>
        </w:rPr>
        <w:t xml:space="preserve">logros </w:t>
      </w:r>
      <w:r w:rsidR="00DC6802" w:rsidRPr="0038162E">
        <w:rPr>
          <w:rFonts w:eastAsia="Calibri"/>
        </w:rPr>
        <w:t>en</w:t>
      </w:r>
      <w:r w:rsidRPr="0038162E">
        <w:rPr>
          <w:rFonts w:eastAsia="Calibri"/>
        </w:rPr>
        <w:t xml:space="preserve"> los aspectos físico y financiero en base a los siete productos del programa</w:t>
      </w:r>
      <w:r w:rsidR="00794DB9" w:rsidRPr="0038162E">
        <w:rPr>
          <w:rFonts w:eastAsia="Calibri"/>
        </w:rPr>
        <w:t>:</w:t>
      </w:r>
    </w:p>
    <w:p w14:paraId="7BDD7D3D" w14:textId="79DF4112" w:rsidR="00794DB9" w:rsidRDefault="00794DB9">
      <w:pPr>
        <w:pStyle w:val="Prrafodelista"/>
        <w:numPr>
          <w:ilvl w:val="0"/>
          <w:numId w:val="38"/>
        </w:numPr>
        <w:spacing w:line="360" w:lineRule="auto"/>
        <w:ind w:left="0"/>
        <w:jc w:val="both"/>
        <w:rPr>
          <w:rFonts w:eastAsia="Calibri"/>
        </w:rPr>
      </w:pPr>
      <w:r w:rsidRPr="0038162E">
        <w:rPr>
          <w:rFonts w:eastAsia="Calibri"/>
        </w:rPr>
        <w:t>F</w:t>
      </w:r>
      <w:r w:rsidR="008B74AF" w:rsidRPr="0038162E">
        <w:rPr>
          <w:rFonts w:eastAsia="Calibri"/>
        </w:rPr>
        <w:t>ue elaborado el Plan Estratégico Institucional 2025-2028</w:t>
      </w:r>
      <w:r w:rsidR="00A452AE">
        <w:rPr>
          <w:rFonts w:eastAsia="Calibri"/>
        </w:rPr>
        <w:t>.</w:t>
      </w:r>
    </w:p>
    <w:p w14:paraId="42F82728" w14:textId="77777777" w:rsidR="00A452AE" w:rsidRPr="0038162E" w:rsidRDefault="00A452AE" w:rsidP="00A452AE">
      <w:pPr>
        <w:pStyle w:val="Prrafodelista"/>
        <w:spacing w:line="360" w:lineRule="auto"/>
        <w:ind w:left="0"/>
        <w:jc w:val="both"/>
        <w:rPr>
          <w:rFonts w:eastAsia="Calibri"/>
        </w:rPr>
      </w:pPr>
    </w:p>
    <w:p w14:paraId="25A9DCD7" w14:textId="77777777" w:rsidR="00794DB9" w:rsidRDefault="00794DB9" w:rsidP="00F36F83">
      <w:pPr>
        <w:pStyle w:val="Prrafodelista"/>
        <w:numPr>
          <w:ilvl w:val="0"/>
          <w:numId w:val="38"/>
        </w:numPr>
        <w:spacing w:line="360" w:lineRule="auto"/>
        <w:ind w:left="0"/>
        <w:jc w:val="both"/>
        <w:rPr>
          <w:rFonts w:eastAsia="Calibri"/>
        </w:rPr>
      </w:pPr>
      <w:r w:rsidRPr="0038162E">
        <w:rPr>
          <w:rFonts w:eastAsia="Calibri"/>
        </w:rPr>
        <w:t>S</w:t>
      </w:r>
      <w:r w:rsidR="008B74AF" w:rsidRPr="0038162E">
        <w:rPr>
          <w:rFonts w:eastAsia="Calibri"/>
        </w:rPr>
        <w:t>e desarrolló el diseño del nuevo modelo de gestión de la Contraloría General de la República, junto con la propuesta de estructura complementaria orientada a la transformación institucional</w:t>
      </w:r>
      <w:r w:rsidRPr="0038162E">
        <w:rPr>
          <w:rFonts w:eastAsia="Calibri"/>
        </w:rPr>
        <w:t>.</w:t>
      </w:r>
    </w:p>
    <w:p w14:paraId="66990656" w14:textId="77777777" w:rsidR="00F36F83" w:rsidRPr="0038162E" w:rsidRDefault="00F36F83" w:rsidP="00F36F83">
      <w:pPr>
        <w:pStyle w:val="Prrafodelista"/>
        <w:spacing w:line="360" w:lineRule="auto"/>
        <w:ind w:left="0"/>
        <w:jc w:val="both"/>
        <w:rPr>
          <w:rFonts w:eastAsia="Calibri"/>
        </w:rPr>
      </w:pPr>
    </w:p>
    <w:p w14:paraId="39066D16" w14:textId="50BD2B79" w:rsidR="00794DB9" w:rsidRDefault="00794DB9" w:rsidP="00F36F83">
      <w:pPr>
        <w:pStyle w:val="Prrafodelista"/>
        <w:numPr>
          <w:ilvl w:val="0"/>
          <w:numId w:val="38"/>
        </w:numPr>
        <w:spacing w:line="360" w:lineRule="auto"/>
        <w:ind w:left="0"/>
        <w:jc w:val="both"/>
        <w:rPr>
          <w:rFonts w:eastAsia="Calibri"/>
        </w:rPr>
      </w:pPr>
      <w:r w:rsidRPr="0038162E">
        <w:rPr>
          <w:rFonts w:eastAsia="Calibri"/>
        </w:rPr>
        <w:t>S</w:t>
      </w:r>
      <w:r w:rsidR="008B74AF" w:rsidRPr="0038162E">
        <w:rPr>
          <w:rFonts w:eastAsia="Calibri"/>
        </w:rPr>
        <w:t xml:space="preserve">e completó la consultoría para la implementación de un sistema de gestión antisoborno y de cumplimiento regulatorio. </w:t>
      </w:r>
    </w:p>
    <w:p w14:paraId="189D4A0B" w14:textId="77777777" w:rsidR="00F36F83" w:rsidRPr="00F36F83" w:rsidRDefault="00F36F83" w:rsidP="00F36F83">
      <w:pPr>
        <w:pStyle w:val="Prrafodelista"/>
        <w:jc w:val="both"/>
        <w:rPr>
          <w:rFonts w:eastAsia="Calibri"/>
        </w:rPr>
      </w:pPr>
    </w:p>
    <w:p w14:paraId="2EE86F15" w14:textId="3127A5E5" w:rsidR="008B74AF" w:rsidRDefault="00794DB9" w:rsidP="00F36F83">
      <w:pPr>
        <w:pStyle w:val="Prrafodelista"/>
        <w:numPr>
          <w:ilvl w:val="0"/>
          <w:numId w:val="38"/>
        </w:numPr>
        <w:spacing w:line="360" w:lineRule="auto"/>
        <w:ind w:left="0"/>
        <w:jc w:val="both"/>
        <w:rPr>
          <w:rFonts w:eastAsia="Calibri"/>
        </w:rPr>
      </w:pPr>
      <w:r w:rsidRPr="0038162E">
        <w:rPr>
          <w:rFonts w:eastAsia="Calibri"/>
        </w:rPr>
        <w:t>Ejecución de</w:t>
      </w:r>
      <w:r w:rsidR="008B74AF" w:rsidRPr="0038162E">
        <w:rPr>
          <w:rFonts w:eastAsia="Calibri"/>
        </w:rPr>
        <w:t xml:space="preserve"> un benchmarking internacional con la Intervención General de la Administración del Estado de España, con el propósito de fortalecer la fiscalización pública. </w:t>
      </w:r>
    </w:p>
    <w:p w14:paraId="37ACA05C" w14:textId="77777777" w:rsidR="00F36F83" w:rsidRPr="0038162E" w:rsidRDefault="00F36F83" w:rsidP="00F36F83">
      <w:pPr>
        <w:pStyle w:val="Prrafodelista"/>
        <w:spacing w:line="360" w:lineRule="auto"/>
        <w:ind w:left="0"/>
        <w:jc w:val="both"/>
        <w:rPr>
          <w:rFonts w:eastAsia="Calibri"/>
        </w:rPr>
      </w:pPr>
    </w:p>
    <w:p w14:paraId="305903EE" w14:textId="0F59CD61" w:rsidR="00970267" w:rsidRDefault="00794DB9" w:rsidP="00F36F83">
      <w:pPr>
        <w:pStyle w:val="Prrafodelista"/>
        <w:numPr>
          <w:ilvl w:val="0"/>
          <w:numId w:val="38"/>
        </w:numPr>
        <w:spacing w:line="360" w:lineRule="auto"/>
        <w:ind w:left="0"/>
        <w:jc w:val="both"/>
        <w:rPr>
          <w:rFonts w:eastAsia="Calibri"/>
        </w:rPr>
      </w:pPr>
      <w:r w:rsidRPr="0038162E">
        <w:rPr>
          <w:rFonts w:eastAsia="Calibri"/>
        </w:rPr>
        <w:t>Elaboración de 18 documentos conforme a los lineamientos actualizados en materia de auditoría interna a través de la consultoría de Gobernanza y Aseguramiento de la Calidad de las Auditorías.</w:t>
      </w:r>
    </w:p>
    <w:p w14:paraId="344BFEAF" w14:textId="77777777" w:rsidR="00F36F83" w:rsidRPr="00F36F83" w:rsidRDefault="00F36F83" w:rsidP="00F36F83">
      <w:pPr>
        <w:pStyle w:val="Prrafodelista"/>
        <w:jc w:val="both"/>
        <w:rPr>
          <w:rFonts w:eastAsia="Calibri"/>
        </w:rPr>
      </w:pPr>
    </w:p>
    <w:p w14:paraId="297E15C6" w14:textId="266A2E2C" w:rsidR="00794DB9" w:rsidRDefault="00794DB9" w:rsidP="00F36F83">
      <w:pPr>
        <w:pStyle w:val="Prrafodelista"/>
        <w:numPr>
          <w:ilvl w:val="0"/>
          <w:numId w:val="38"/>
        </w:numPr>
        <w:spacing w:line="360" w:lineRule="auto"/>
        <w:ind w:left="0"/>
        <w:jc w:val="both"/>
        <w:rPr>
          <w:rFonts w:eastAsia="Calibri"/>
        </w:rPr>
      </w:pPr>
      <w:r w:rsidRPr="0038162E">
        <w:rPr>
          <w:rFonts w:eastAsia="Calibri"/>
        </w:rPr>
        <w:t>Capacitación a 50 colaboradores sobre implementación de los hallazgos de auditorías con acompañamiento de consultoría especializada, y ejecución de 3 pruebas piloto, en donde se lograron ejecutar 2 en las instituciones ETED e INDOCAL, concluyendo ambas de manera satisfactoria.</w:t>
      </w:r>
    </w:p>
    <w:p w14:paraId="70536966" w14:textId="77777777" w:rsidR="00F36F83" w:rsidRPr="0038162E" w:rsidRDefault="00F36F83" w:rsidP="00F36F83">
      <w:pPr>
        <w:pStyle w:val="Prrafodelista"/>
        <w:spacing w:line="360" w:lineRule="auto"/>
        <w:ind w:left="0"/>
        <w:jc w:val="both"/>
        <w:rPr>
          <w:rFonts w:eastAsia="Calibri"/>
        </w:rPr>
      </w:pPr>
    </w:p>
    <w:p w14:paraId="3400FEDC" w14:textId="77777777" w:rsidR="00794DB9" w:rsidRDefault="00794DB9" w:rsidP="00F36F83">
      <w:pPr>
        <w:pStyle w:val="Prrafodelista"/>
        <w:numPr>
          <w:ilvl w:val="0"/>
          <w:numId w:val="38"/>
        </w:numPr>
        <w:spacing w:line="360" w:lineRule="auto"/>
        <w:ind w:left="0" w:hanging="142"/>
        <w:jc w:val="both"/>
        <w:rPr>
          <w:rFonts w:eastAsia="Calibri"/>
        </w:rPr>
      </w:pPr>
      <w:r w:rsidRPr="0038162E">
        <w:rPr>
          <w:rFonts w:eastAsia="Calibri"/>
        </w:rPr>
        <w:t xml:space="preserve">Capacitación y certificación de 100 colaboradores en el modelo COSO. </w:t>
      </w:r>
    </w:p>
    <w:p w14:paraId="72F87F53" w14:textId="2F91F795" w:rsidR="00794DB9" w:rsidRDefault="00D50A72" w:rsidP="00F36F83">
      <w:pPr>
        <w:pStyle w:val="Prrafodelista"/>
        <w:numPr>
          <w:ilvl w:val="0"/>
          <w:numId w:val="38"/>
        </w:numPr>
        <w:spacing w:line="360" w:lineRule="auto"/>
        <w:ind w:left="0" w:hanging="142"/>
        <w:jc w:val="both"/>
        <w:rPr>
          <w:rFonts w:eastAsia="Calibri"/>
        </w:rPr>
      </w:pPr>
      <w:r>
        <w:rPr>
          <w:rFonts w:eastAsia="Calibri"/>
        </w:rPr>
        <w:t>C</w:t>
      </w:r>
      <w:r w:rsidR="00794DB9" w:rsidRPr="0038162E">
        <w:rPr>
          <w:rFonts w:eastAsia="Calibri"/>
        </w:rPr>
        <w:t xml:space="preserve">ertificación en Auditoría Interna (CAI) </w:t>
      </w:r>
      <w:r>
        <w:rPr>
          <w:rFonts w:eastAsia="Calibri"/>
        </w:rPr>
        <w:t>de 198 colaboradores.</w:t>
      </w:r>
    </w:p>
    <w:p w14:paraId="4D679651" w14:textId="77777777" w:rsidR="00F36F83" w:rsidRPr="00F36F83" w:rsidRDefault="00F36F83" w:rsidP="00F36F83">
      <w:pPr>
        <w:pStyle w:val="Prrafodelista"/>
        <w:jc w:val="both"/>
        <w:rPr>
          <w:rFonts w:eastAsia="Calibri"/>
        </w:rPr>
      </w:pPr>
    </w:p>
    <w:p w14:paraId="268CC40C" w14:textId="0149D9D4" w:rsidR="00794DB9" w:rsidRDefault="00794DB9" w:rsidP="00F36F83">
      <w:pPr>
        <w:pStyle w:val="Prrafodelista"/>
        <w:numPr>
          <w:ilvl w:val="0"/>
          <w:numId w:val="38"/>
        </w:numPr>
        <w:spacing w:line="360" w:lineRule="auto"/>
        <w:ind w:left="0" w:hanging="142"/>
        <w:jc w:val="both"/>
        <w:rPr>
          <w:rFonts w:eastAsia="Calibri"/>
        </w:rPr>
      </w:pPr>
      <w:r w:rsidRPr="0038162E">
        <w:rPr>
          <w:rFonts w:eastAsia="Calibri"/>
        </w:rPr>
        <w:lastRenderedPageBreak/>
        <w:t xml:space="preserve">Inicio de implementación del modelo de continuidad de negocio y resiliencia tecnológica. </w:t>
      </w:r>
    </w:p>
    <w:p w14:paraId="142691FD" w14:textId="77777777" w:rsidR="00F36F83" w:rsidRPr="00F36F83" w:rsidRDefault="00F36F83" w:rsidP="00F36F83">
      <w:pPr>
        <w:pStyle w:val="Prrafodelista"/>
        <w:jc w:val="both"/>
        <w:rPr>
          <w:rFonts w:eastAsia="Calibri"/>
        </w:rPr>
      </w:pPr>
    </w:p>
    <w:p w14:paraId="42397F93" w14:textId="1E9A2182" w:rsidR="00794DB9" w:rsidRPr="0038162E" w:rsidRDefault="00794DB9" w:rsidP="00F36F83">
      <w:pPr>
        <w:pStyle w:val="Prrafodelista"/>
        <w:numPr>
          <w:ilvl w:val="0"/>
          <w:numId w:val="38"/>
        </w:numPr>
        <w:spacing w:line="360" w:lineRule="auto"/>
        <w:ind w:left="0" w:hanging="142"/>
        <w:jc w:val="both"/>
        <w:rPr>
          <w:rFonts w:eastAsia="Calibri"/>
        </w:rPr>
      </w:pPr>
      <w:r w:rsidRPr="0038162E">
        <w:rPr>
          <w:rFonts w:eastAsia="Calibri"/>
        </w:rPr>
        <w:t xml:space="preserve">Iniciado de implementación del Sistema de Denuncias Ciudadanas (SISDEC). </w:t>
      </w:r>
    </w:p>
    <w:p w14:paraId="561E1B0F" w14:textId="7031902D" w:rsidR="00794DB9" w:rsidRPr="0038162E" w:rsidRDefault="00794DB9" w:rsidP="00C934DB">
      <w:pPr>
        <w:spacing w:line="360" w:lineRule="auto"/>
        <w:jc w:val="both"/>
        <w:rPr>
          <w:rFonts w:eastAsia="Calibri"/>
        </w:rPr>
      </w:pPr>
      <w:r w:rsidRPr="0038162E">
        <w:rPr>
          <w:rFonts w:eastAsia="Calibri"/>
        </w:rPr>
        <w:t xml:space="preserve">El programa DR-L1150 ha alcanzado un porcentaje de ejecución física hasta el 30 de noviembre de un 36.3%. En términos financieros, se ha ejecutado un 69.0% equivalentes a US$827,940.3 de los US$1,200,000 programados en el presupuesto para ejecución de este año 2025.   </w:t>
      </w:r>
    </w:p>
    <w:p w14:paraId="341322E0" w14:textId="2C877310" w:rsidR="00F437BB" w:rsidRDefault="00794DB9" w:rsidP="00C934DB">
      <w:pPr>
        <w:spacing w:line="360" w:lineRule="auto"/>
        <w:jc w:val="both"/>
        <w:rPr>
          <w:rFonts w:eastAsia="Calibri"/>
        </w:rPr>
      </w:pPr>
      <w:r w:rsidRPr="0038162E">
        <w:rPr>
          <w:rFonts w:eastAsia="Calibri"/>
        </w:rPr>
        <w:t xml:space="preserve">En término presupuestario se proyecta para el cierre de año una ejecución por un monto total de US$960,923.24. En este sentido, desde septiembre 2023 hasta el 31 de diciembre del presente año, el presupuesto ejecutado de los US$11,930,000.00 ascendería a US$1,896,117.23 lo que representa una ejecución presupuestaria de un 15.9% en el transcurso del proyecto.  </w:t>
      </w:r>
    </w:p>
    <w:p w14:paraId="025B1D9D" w14:textId="77777777" w:rsidR="00794DB9" w:rsidRPr="0038162E" w:rsidRDefault="00794DB9">
      <w:pPr>
        <w:pStyle w:val="Prrafodelista"/>
        <w:numPr>
          <w:ilvl w:val="0"/>
          <w:numId w:val="39"/>
        </w:numPr>
        <w:tabs>
          <w:tab w:val="left" w:pos="284"/>
        </w:tabs>
        <w:spacing w:line="360" w:lineRule="auto"/>
        <w:ind w:left="0" w:firstLine="0"/>
        <w:jc w:val="both"/>
        <w:rPr>
          <w:rFonts w:eastAsia="Calibri"/>
          <w:b/>
          <w:bCs/>
        </w:rPr>
      </w:pPr>
      <w:r w:rsidRPr="0038162E">
        <w:rPr>
          <w:rFonts w:eastAsia="Calibri"/>
          <w:b/>
          <w:bCs/>
        </w:rPr>
        <w:t xml:space="preserve">Programa de Apoyo a la Reforma de las Finanzas Públicas (PROGEF) </w:t>
      </w:r>
    </w:p>
    <w:p w14:paraId="6AD85847" w14:textId="77777777" w:rsidR="00C934DB" w:rsidRPr="0038162E" w:rsidRDefault="00C934DB" w:rsidP="00C934DB">
      <w:pPr>
        <w:spacing w:line="360" w:lineRule="auto"/>
        <w:jc w:val="both"/>
        <w:rPr>
          <w:rFonts w:eastAsia="Calibri"/>
        </w:rPr>
      </w:pPr>
      <w:r w:rsidRPr="0038162E">
        <w:rPr>
          <w:rFonts w:eastAsia="Calibri"/>
        </w:rPr>
        <w:t>P</w:t>
      </w:r>
      <w:r w:rsidR="00794DB9" w:rsidRPr="0038162E">
        <w:rPr>
          <w:rFonts w:eastAsia="Calibri"/>
        </w:rPr>
        <w:t>ara este año, se comprometió el presupuesto restante de RD$2,163,960.58 pesos dominicanos</w:t>
      </w:r>
      <w:r w:rsidR="006B78F7" w:rsidRPr="0038162E">
        <w:rPr>
          <w:rFonts w:eastAsia="Calibri"/>
        </w:rPr>
        <w:t>, c</w:t>
      </w:r>
      <w:r w:rsidR="00794DB9" w:rsidRPr="0038162E">
        <w:rPr>
          <w:rFonts w:eastAsia="Calibri"/>
        </w:rPr>
        <w:t>on el fin de impulsar a la Escuela Nacional de Control Interno (ENCI) mediante el desarrollo</w:t>
      </w:r>
      <w:r w:rsidR="006B78F7" w:rsidRPr="0038162E">
        <w:rPr>
          <w:rFonts w:eastAsia="Calibri"/>
        </w:rPr>
        <w:t xml:space="preserve"> </w:t>
      </w:r>
      <w:r w:rsidR="00794DB9" w:rsidRPr="0038162E">
        <w:rPr>
          <w:rFonts w:eastAsia="Calibri"/>
        </w:rPr>
        <w:t>y modernización de los contenidos formativos en materia de control interno</w:t>
      </w:r>
      <w:r w:rsidRPr="0038162E">
        <w:rPr>
          <w:rFonts w:eastAsia="Calibri"/>
        </w:rPr>
        <w:t>.</w:t>
      </w:r>
    </w:p>
    <w:p w14:paraId="1AA496EC" w14:textId="373E9A4D" w:rsidR="00060C84" w:rsidRDefault="00493CDC" w:rsidP="00C934DB">
      <w:pPr>
        <w:spacing w:line="360" w:lineRule="auto"/>
        <w:jc w:val="both"/>
        <w:rPr>
          <w:rFonts w:eastAsia="Calibri"/>
        </w:rPr>
      </w:pPr>
      <w:r w:rsidRPr="0038162E">
        <w:rPr>
          <w:rFonts w:eastAsia="Calibri"/>
        </w:rPr>
        <w:t>También</w:t>
      </w:r>
      <w:r w:rsidR="00C934DB" w:rsidRPr="0038162E">
        <w:rPr>
          <w:rFonts w:eastAsia="Calibri"/>
        </w:rPr>
        <w:t xml:space="preserve"> se contempla</w:t>
      </w:r>
      <w:r w:rsidR="00794DB9" w:rsidRPr="0038162E">
        <w:rPr>
          <w:rFonts w:eastAsia="Calibri"/>
        </w:rPr>
        <w:t xml:space="preserve"> la optimización de los procesos operativos de la institución. A la fecha se ha logrado ejecutar un porcentaje del 56.94% lo que representa un monto de RD$1,232,127.68, quedando comprometido un total de RD$917,601.04 y un monto disponible de RD$14,231.86.</w:t>
      </w:r>
    </w:p>
    <w:p w14:paraId="0DAD1418" w14:textId="77777777" w:rsidR="00060C84" w:rsidRDefault="00060C84" w:rsidP="00C934DB">
      <w:pPr>
        <w:spacing w:line="360" w:lineRule="auto"/>
        <w:jc w:val="both"/>
        <w:rPr>
          <w:rFonts w:eastAsia="Calibri"/>
        </w:rPr>
      </w:pPr>
    </w:p>
    <w:p w14:paraId="50488528" w14:textId="418711AE" w:rsidR="00197281" w:rsidRPr="0038162E" w:rsidRDefault="00197281">
      <w:pPr>
        <w:pStyle w:val="Prrafodelista"/>
        <w:numPr>
          <w:ilvl w:val="0"/>
          <w:numId w:val="39"/>
        </w:numPr>
        <w:tabs>
          <w:tab w:val="left" w:pos="284"/>
        </w:tabs>
        <w:ind w:left="0" w:firstLine="0"/>
        <w:rPr>
          <w:b/>
          <w:bCs/>
        </w:rPr>
      </w:pPr>
      <w:r w:rsidRPr="0038162E">
        <w:rPr>
          <w:b/>
          <w:bCs/>
        </w:rPr>
        <w:lastRenderedPageBreak/>
        <w:t>Proyecto de cultura de servicio experiencia del usuario</w:t>
      </w:r>
    </w:p>
    <w:p w14:paraId="52EB1FA6" w14:textId="77777777" w:rsidR="00F437BB" w:rsidRPr="0038162E" w:rsidRDefault="00F437BB" w:rsidP="006B78F7">
      <w:pPr>
        <w:pStyle w:val="Prrafodelista"/>
        <w:spacing w:line="360" w:lineRule="auto"/>
        <w:ind w:left="0"/>
        <w:jc w:val="both"/>
        <w:rPr>
          <w:rFonts w:eastAsia="Calibri"/>
        </w:rPr>
      </w:pPr>
    </w:p>
    <w:p w14:paraId="263B2EE4" w14:textId="1DC2BD76" w:rsidR="00F437BB" w:rsidRDefault="00F437BB" w:rsidP="006B78F7">
      <w:pPr>
        <w:pStyle w:val="Prrafodelista"/>
        <w:spacing w:line="360" w:lineRule="auto"/>
        <w:ind w:left="0"/>
        <w:jc w:val="both"/>
        <w:rPr>
          <w:rFonts w:eastAsia="Calibri"/>
        </w:rPr>
      </w:pPr>
      <w:r w:rsidRPr="0038162E">
        <w:rPr>
          <w:rFonts w:eastAsia="Calibri"/>
        </w:rPr>
        <w:t>Con el propósito de fortalecer los servicios institucionales, se relanzó el proyecto de Cultura de Servicio, iniciando un proceso de socialización con los incumbentes sobre la nueva visión del proyecto y la puesta en marcha de un piloto para su implementación, donde se impactarán los servicios:</w:t>
      </w:r>
    </w:p>
    <w:p w14:paraId="4A1A5FCA" w14:textId="77777777" w:rsidR="00060C84" w:rsidRPr="0038162E" w:rsidRDefault="00060C84" w:rsidP="006B78F7">
      <w:pPr>
        <w:pStyle w:val="Prrafodelista"/>
        <w:spacing w:line="360" w:lineRule="auto"/>
        <w:ind w:left="0"/>
        <w:jc w:val="both"/>
        <w:rPr>
          <w:rFonts w:eastAsia="Calibri"/>
        </w:rPr>
      </w:pPr>
    </w:p>
    <w:p w14:paraId="78663BA9" w14:textId="37326BCE" w:rsidR="00F437BB" w:rsidRPr="0038162E" w:rsidRDefault="00F437BB" w:rsidP="00060C84">
      <w:pPr>
        <w:pStyle w:val="Prrafodelista"/>
        <w:numPr>
          <w:ilvl w:val="0"/>
          <w:numId w:val="29"/>
        </w:numPr>
        <w:spacing w:line="360" w:lineRule="auto"/>
        <w:ind w:left="426" w:hanging="426"/>
        <w:jc w:val="both"/>
        <w:rPr>
          <w:rFonts w:eastAsia="Calibri"/>
        </w:rPr>
      </w:pPr>
      <w:r w:rsidRPr="0038162E">
        <w:rPr>
          <w:rFonts w:eastAsia="Calibri"/>
        </w:rPr>
        <w:t>Autorización de Órdenes de Pago</w:t>
      </w:r>
      <w:r w:rsidR="00AD57FC">
        <w:rPr>
          <w:rFonts w:eastAsia="Calibri"/>
        </w:rPr>
        <w:t>, llevado a cabo por la Dirección de revisión y Control de Calidad, y la Dirección de Unidades de Auditoría Interna Gubernamental.</w:t>
      </w:r>
    </w:p>
    <w:p w14:paraId="050BAB5F" w14:textId="01F9235B" w:rsidR="00F437BB" w:rsidRPr="0038162E" w:rsidRDefault="00F437BB" w:rsidP="00060C84">
      <w:pPr>
        <w:pStyle w:val="Prrafodelista"/>
        <w:numPr>
          <w:ilvl w:val="0"/>
          <w:numId w:val="29"/>
        </w:numPr>
        <w:spacing w:line="360" w:lineRule="auto"/>
        <w:ind w:left="426" w:hanging="426"/>
        <w:jc w:val="both"/>
        <w:rPr>
          <w:rFonts w:eastAsia="Calibri"/>
        </w:rPr>
      </w:pPr>
      <w:r w:rsidRPr="0038162E">
        <w:rPr>
          <w:rFonts w:eastAsia="Calibri"/>
        </w:rPr>
        <w:t>Certificación de Registro de Contratos</w:t>
      </w:r>
      <w:r w:rsidR="00AD57FC">
        <w:rPr>
          <w:rFonts w:eastAsia="Calibri"/>
        </w:rPr>
        <w:t>, llevado a cabo por el departamento de Apoyo Legal, departamento de Ingeniería y Arquitectura y el Departamento de Registro de contratos.</w:t>
      </w:r>
    </w:p>
    <w:p w14:paraId="5E672A21" w14:textId="77777777" w:rsidR="00F437BB" w:rsidRPr="0038162E" w:rsidRDefault="00F437BB" w:rsidP="006B78F7">
      <w:pPr>
        <w:pStyle w:val="Prrafodelista"/>
        <w:spacing w:line="360" w:lineRule="auto"/>
        <w:ind w:left="0"/>
        <w:jc w:val="both"/>
        <w:rPr>
          <w:rFonts w:eastAsia="Calibri"/>
        </w:rPr>
      </w:pPr>
      <w:r w:rsidRPr="0038162E">
        <w:rPr>
          <w:rFonts w:eastAsia="Calibri"/>
        </w:rPr>
        <w:t>  </w:t>
      </w:r>
    </w:p>
    <w:p w14:paraId="684B6B9C" w14:textId="36C80FDA" w:rsidR="002F0918" w:rsidRPr="0038162E" w:rsidRDefault="00F437BB" w:rsidP="006B78F7">
      <w:pPr>
        <w:pStyle w:val="Prrafodelista"/>
        <w:spacing w:line="360" w:lineRule="auto"/>
        <w:ind w:left="0"/>
        <w:jc w:val="both"/>
        <w:rPr>
          <w:rFonts w:eastAsia="Calibri"/>
        </w:rPr>
      </w:pPr>
      <w:r w:rsidRPr="0038162E">
        <w:rPr>
          <w:rFonts w:eastAsia="Calibri"/>
        </w:rPr>
        <w:t>Asimismo, se elaboró un cronograma para el despliegue de los Estándares de Cultura de Servicio, y se proyecta socializarlos de manera preliminar a finales de año con las áreas incluidas en el piloto. Finalmente, para el 2026 se contempla su implementación formal.</w:t>
      </w:r>
    </w:p>
    <w:p w14:paraId="26EF13FF" w14:textId="4AAA2BF1" w:rsidR="00197281" w:rsidRPr="0038162E" w:rsidRDefault="00197281" w:rsidP="00493CDC">
      <w:pPr>
        <w:spacing w:line="360" w:lineRule="auto"/>
        <w:jc w:val="both"/>
        <w:rPr>
          <w:b/>
          <w:bCs/>
        </w:rPr>
      </w:pPr>
      <w:r w:rsidRPr="0038162E">
        <w:rPr>
          <w:b/>
          <w:bCs/>
          <w:sz w:val="28"/>
          <w:szCs w:val="28"/>
        </w:rPr>
        <w:t>•</w:t>
      </w:r>
      <w:r w:rsidRPr="0038162E">
        <w:rPr>
          <w:b/>
          <w:bCs/>
        </w:rPr>
        <w:t xml:space="preserve">  </w:t>
      </w:r>
      <w:r w:rsidR="00A259E2" w:rsidRPr="0038162E">
        <w:rPr>
          <w:b/>
          <w:bCs/>
        </w:rPr>
        <w:t>Mejora y</w:t>
      </w:r>
      <w:r w:rsidRPr="0038162E">
        <w:rPr>
          <w:b/>
          <w:bCs/>
        </w:rPr>
        <w:t xml:space="preserve"> estandarización de procesos</w:t>
      </w:r>
    </w:p>
    <w:p w14:paraId="06DC651D" w14:textId="77777777" w:rsidR="009B6E0B" w:rsidRDefault="00A251F2" w:rsidP="00493CDC">
      <w:pPr>
        <w:pStyle w:val="Prrafodelista"/>
        <w:spacing w:line="360" w:lineRule="auto"/>
        <w:ind w:left="0"/>
        <w:jc w:val="both"/>
        <w:rPr>
          <w:rFonts w:eastAsia="Calibri"/>
        </w:rPr>
      </w:pPr>
      <w:r w:rsidRPr="0038162E">
        <w:rPr>
          <w:rFonts w:eastAsia="Calibri"/>
        </w:rPr>
        <w:t xml:space="preserve">En busca de estandarizar los procesos tanto misionales como transversales, </w:t>
      </w:r>
      <w:r w:rsidR="00493CDC" w:rsidRPr="0038162E">
        <w:rPr>
          <w:rFonts w:eastAsia="Calibri"/>
        </w:rPr>
        <w:t xml:space="preserve">se </w:t>
      </w:r>
      <w:r w:rsidRPr="0038162E">
        <w:rPr>
          <w:rFonts w:eastAsia="Calibri"/>
        </w:rPr>
        <w:t>ha procurado la creación y actualización de los diferentes documentos de control de todas las áreas, tales como políticas, procedimientos, formularios, manuales, entre otros, logrando un total de 122 actualizados y 105 nuevos, impactando un total de 227 documentos</w:t>
      </w:r>
      <w:r w:rsidR="006B78F7" w:rsidRPr="0038162E">
        <w:rPr>
          <w:rFonts w:eastAsia="Calibri"/>
        </w:rPr>
        <w:t>.</w:t>
      </w:r>
      <w:r w:rsidRPr="0038162E">
        <w:rPr>
          <w:rFonts w:eastAsia="Calibri"/>
        </w:rPr>
        <w:t xml:space="preserve"> </w:t>
      </w:r>
      <w:r w:rsidR="00493CDC" w:rsidRPr="0038162E">
        <w:rPr>
          <w:rFonts w:eastAsia="Calibri"/>
        </w:rPr>
        <w:t xml:space="preserve"> </w:t>
      </w:r>
      <w:r w:rsidR="009B6E0B">
        <w:rPr>
          <w:rFonts w:eastAsia="Calibri"/>
        </w:rPr>
        <w:t xml:space="preserve">Se proyecta la elaboración/ actualización de 35 documentos más en diciembre, para un total estimado de 262 para cierre de año.  </w:t>
      </w:r>
    </w:p>
    <w:p w14:paraId="6D2A07AE" w14:textId="77777777" w:rsidR="009B6E0B" w:rsidRDefault="009B6E0B" w:rsidP="00493CDC">
      <w:pPr>
        <w:pStyle w:val="Prrafodelista"/>
        <w:spacing w:line="360" w:lineRule="auto"/>
        <w:ind w:left="0"/>
        <w:jc w:val="both"/>
        <w:rPr>
          <w:rFonts w:eastAsia="Calibri"/>
        </w:rPr>
      </w:pPr>
    </w:p>
    <w:p w14:paraId="79AABB43" w14:textId="00DFE158" w:rsidR="00A251F2" w:rsidRPr="009B6E0B" w:rsidRDefault="006B78F7" w:rsidP="00493CDC">
      <w:pPr>
        <w:pStyle w:val="Prrafodelista"/>
        <w:spacing w:line="360" w:lineRule="auto"/>
        <w:ind w:left="0"/>
        <w:jc w:val="both"/>
        <w:rPr>
          <w:rFonts w:eastAsia="Calibri"/>
        </w:rPr>
      </w:pPr>
      <w:r w:rsidRPr="0038162E">
        <w:rPr>
          <w:rFonts w:eastAsia="Calibri"/>
        </w:rPr>
        <w:lastRenderedPageBreak/>
        <w:t xml:space="preserve">De estos </w:t>
      </w:r>
      <w:r w:rsidR="00A251F2" w:rsidRPr="0038162E">
        <w:rPr>
          <w:rFonts w:eastAsia="Calibri"/>
        </w:rPr>
        <w:t>el 25% fueron procedimientos, 14% políticas, 7% fichas de procesos y el 55% herramientas como formularios,</w:t>
      </w:r>
      <w:r w:rsidR="009B6E0B">
        <w:rPr>
          <w:rFonts w:eastAsia="Calibri"/>
        </w:rPr>
        <w:t xml:space="preserve"> </w:t>
      </w:r>
      <w:r w:rsidR="00A251F2" w:rsidRPr="0038162E">
        <w:rPr>
          <w:rFonts w:eastAsia="Calibri"/>
        </w:rPr>
        <w:t xml:space="preserve">flujogramas, matrices, entre otros. Estos fueron debidamente aprobados con el fin de contribuir con el fortalecimiento de los diferentes sistemas institucionales. </w:t>
      </w:r>
      <w:r w:rsidR="00A452AE">
        <w:rPr>
          <w:rFonts w:eastAsia="Calibri"/>
        </w:rPr>
        <w:t xml:space="preserve"> A través </w:t>
      </w:r>
      <w:r w:rsidR="009B6E0B">
        <w:rPr>
          <w:rFonts w:eastAsia="Calibri"/>
        </w:rPr>
        <w:t>de los mimos</w:t>
      </w:r>
      <w:r w:rsidR="00A452AE">
        <w:rPr>
          <w:rFonts w:eastAsia="Calibri"/>
        </w:rPr>
        <w:t xml:space="preserve"> se</w:t>
      </w:r>
      <w:r w:rsidR="00A251F2" w:rsidRPr="0038162E">
        <w:rPr>
          <w:rFonts w:eastAsia="Calibri"/>
        </w:rPr>
        <w:t xml:space="preserve"> garantiza la coherencia y uniformidad en la ejecución de las actividades diarias, además de facilitar la capacitación de nuevos colaboradores, al proporcionarles guías claras y concisas sobre sus y operaciones. Se ha trabajado en estrecha colaboración con todas las áreas de la institución para asegurar que los documentos reflejen las mejores prácticas y cumplan con las normativas vigentes. </w:t>
      </w:r>
    </w:p>
    <w:p w14:paraId="3E3665D9" w14:textId="77777777" w:rsidR="00A251F2" w:rsidRPr="0038162E" w:rsidRDefault="00A251F2" w:rsidP="00493CDC">
      <w:pPr>
        <w:pStyle w:val="Prrafodelista"/>
        <w:spacing w:line="360" w:lineRule="auto"/>
        <w:ind w:left="-142"/>
        <w:jc w:val="both"/>
        <w:rPr>
          <w:rFonts w:eastAsia="Calibri"/>
        </w:rPr>
      </w:pPr>
    </w:p>
    <w:p w14:paraId="39460533" w14:textId="3F29E8F4" w:rsidR="00A251F2" w:rsidRPr="0038162E" w:rsidRDefault="00A251F2" w:rsidP="00493CDC">
      <w:pPr>
        <w:pStyle w:val="Prrafodelista"/>
        <w:spacing w:line="360" w:lineRule="auto"/>
        <w:ind w:left="0"/>
        <w:jc w:val="both"/>
        <w:rPr>
          <w:rFonts w:eastAsia="Calibri"/>
        </w:rPr>
      </w:pPr>
      <w:r w:rsidRPr="0038162E">
        <w:rPr>
          <w:rFonts w:eastAsia="Calibri"/>
        </w:rPr>
        <w:t xml:space="preserve">Particularmente, durante este 2025, la División de Desarrollo Institucional ha logrado la optimización principalmente de los siguientes procesos: </w:t>
      </w:r>
    </w:p>
    <w:p w14:paraId="615BB5C6" w14:textId="77777777" w:rsidR="00A251F2" w:rsidRDefault="00A251F2">
      <w:pPr>
        <w:pStyle w:val="Prrafodelista"/>
        <w:numPr>
          <w:ilvl w:val="0"/>
          <w:numId w:val="30"/>
        </w:numPr>
        <w:tabs>
          <w:tab w:val="left" w:pos="426"/>
        </w:tabs>
        <w:spacing w:line="360" w:lineRule="auto"/>
        <w:ind w:left="426"/>
        <w:jc w:val="both"/>
        <w:rPr>
          <w:rFonts w:eastAsia="Calibri"/>
        </w:rPr>
      </w:pPr>
      <w:r w:rsidRPr="0038162E">
        <w:rPr>
          <w:rFonts w:eastAsia="Calibri"/>
        </w:rPr>
        <w:t>Gestión del talento humano: Simplificación de procedimientos y actividades.</w:t>
      </w:r>
    </w:p>
    <w:p w14:paraId="1E415CF6" w14:textId="77777777" w:rsidR="00F437BB" w:rsidRPr="0038162E" w:rsidRDefault="00A251F2">
      <w:pPr>
        <w:pStyle w:val="Prrafodelista"/>
        <w:numPr>
          <w:ilvl w:val="0"/>
          <w:numId w:val="30"/>
        </w:numPr>
        <w:tabs>
          <w:tab w:val="left" w:pos="426"/>
        </w:tabs>
        <w:spacing w:line="360" w:lineRule="auto"/>
        <w:ind w:left="426"/>
        <w:jc w:val="both"/>
        <w:rPr>
          <w:rFonts w:eastAsia="Calibri"/>
        </w:rPr>
      </w:pPr>
      <w:r w:rsidRPr="0038162E">
        <w:rPr>
          <w:rFonts w:eastAsia="Calibri"/>
        </w:rPr>
        <w:t>Evaluación y validación de cumplimiento ICI: Simplificación do</w:t>
      </w:r>
      <w:r w:rsidR="00F437BB" w:rsidRPr="0038162E">
        <w:rPr>
          <w:rFonts w:eastAsia="Calibri"/>
        </w:rPr>
        <w:t>c</w:t>
      </w:r>
      <w:r w:rsidRPr="0038162E">
        <w:rPr>
          <w:rFonts w:eastAsia="Calibri"/>
        </w:rPr>
        <w:t>umental.</w:t>
      </w:r>
    </w:p>
    <w:p w14:paraId="7E947057" w14:textId="443AC917" w:rsidR="00A251F2" w:rsidRPr="0038162E" w:rsidRDefault="00A251F2">
      <w:pPr>
        <w:pStyle w:val="Prrafodelista"/>
        <w:numPr>
          <w:ilvl w:val="0"/>
          <w:numId w:val="30"/>
        </w:numPr>
        <w:tabs>
          <w:tab w:val="left" w:pos="426"/>
        </w:tabs>
        <w:spacing w:line="360" w:lineRule="auto"/>
        <w:ind w:left="426"/>
        <w:jc w:val="both"/>
        <w:rPr>
          <w:rFonts w:eastAsia="Calibri"/>
        </w:rPr>
      </w:pPr>
      <w:r w:rsidRPr="0038162E">
        <w:rPr>
          <w:rFonts w:eastAsia="Calibri"/>
        </w:rPr>
        <w:t>Gestión de servicios y recursos tecnológicos: Simplificación documental.</w:t>
      </w:r>
    </w:p>
    <w:p w14:paraId="1FA6BBD5" w14:textId="77777777" w:rsidR="00A251F2" w:rsidRPr="0038162E" w:rsidRDefault="00A251F2">
      <w:pPr>
        <w:pStyle w:val="Prrafodelista"/>
        <w:numPr>
          <w:ilvl w:val="0"/>
          <w:numId w:val="30"/>
        </w:numPr>
        <w:tabs>
          <w:tab w:val="left" w:pos="142"/>
        </w:tabs>
        <w:spacing w:line="360" w:lineRule="auto"/>
        <w:ind w:left="426"/>
        <w:jc w:val="both"/>
        <w:rPr>
          <w:rFonts w:eastAsia="Calibri"/>
        </w:rPr>
      </w:pPr>
      <w:r w:rsidRPr="0038162E">
        <w:rPr>
          <w:rFonts w:eastAsia="Calibri"/>
        </w:rPr>
        <w:t>Gestión legal: Simplificación documental.</w:t>
      </w:r>
    </w:p>
    <w:p w14:paraId="0B403536" w14:textId="5170636D" w:rsidR="00A251F2" w:rsidRPr="0038162E" w:rsidRDefault="00A251F2">
      <w:pPr>
        <w:pStyle w:val="Prrafodelista"/>
        <w:numPr>
          <w:ilvl w:val="0"/>
          <w:numId w:val="30"/>
        </w:numPr>
        <w:tabs>
          <w:tab w:val="left" w:pos="142"/>
        </w:tabs>
        <w:spacing w:line="360" w:lineRule="auto"/>
        <w:ind w:left="426"/>
        <w:jc w:val="both"/>
        <w:rPr>
          <w:rFonts w:eastAsia="Calibri"/>
        </w:rPr>
      </w:pPr>
      <w:r w:rsidRPr="0038162E">
        <w:rPr>
          <w:rFonts w:eastAsia="Calibri"/>
        </w:rPr>
        <w:t>Gestión de procesos y documentos: Implementación de vigencia documental y alertas de vencimiento. Se proyecta para final de año implementar la atención de solicitudes por nivel de criticidad.</w:t>
      </w:r>
    </w:p>
    <w:p w14:paraId="5F7E3440" w14:textId="77777777" w:rsidR="006B78F7" w:rsidRPr="0038162E" w:rsidRDefault="006B78F7" w:rsidP="00493CDC">
      <w:pPr>
        <w:pStyle w:val="Prrafodelista"/>
        <w:spacing w:line="360" w:lineRule="auto"/>
        <w:ind w:left="-142"/>
        <w:jc w:val="both"/>
        <w:rPr>
          <w:rFonts w:eastAsia="Calibri"/>
        </w:rPr>
      </w:pPr>
    </w:p>
    <w:p w14:paraId="5F484D68" w14:textId="095A0753" w:rsidR="00A251F2" w:rsidRPr="0038162E" w:rsidRDefault="00A251F2" w:rsidP="00493CDC">
      <w:pPr>
        <w:pStyle w:val="Prrafodelista"/>
        <w:spacing w:line="360" w:lineRule="auto"/>
        <w:ind w:left="-142"/>
        <w:jc w:val="both"/>
        <w:rPr>
          <w:rFonts w:eastAsia="Calibri"/>
        </w:rPr>
      </w:pPr>
      <w:r w:rsidRPr="0038162E">
        <w:rPr>
          <w:rFonts w:eastAsia="Calibri"/>
        </w:rPr>
        <w:t>Este esfuerzo también incluye la digitalización y accesibilidad de dichos documentos a través del repositorio web, promoviendo un entorno de trabajo más eficiente y controlado, siendo esta la única fuente oficial para consulta de procesos.</w:t>
      </w:r>
    </w:p>
    <w:p w14:paraId="0F383E46" w14:textId="77777777" w:rsidR="00A251F2" w:rsidRPr="0038162E" w:rsidRDefault="00A251F2" w:rsidP="00A251F2">
      <w:pPr>
        <w:pStyle w:val="Prrafodelista"/>
        <w:spacing w:line="360" w:lineRule="auto"/>
        <w:ind w:left="0"/>
        <w:jc w:val="both"/>
        <w:rPr>
          <w:rFonts w:eastAsia="Calibri"/>
        </w:rPr>
      </w:pPr>
    </w:p>
    <w:p w14:paraId="4E468028" w14:textId="378D0CFA" w:rsidR="005F170A" w:rsidRPr="0038162E" w:rsidRDefault="005F170A">
      <w:pPr>
        <w:pStyle w:val="Prrafodelista"/>
        <w:numPr>
          <w:ilvl w:val="0"/>
          <w:numId w:val="7"/>
        </w:numPr>
        <w:spacing w:line="360" w:lineRule="auto"/>
        <w:ind w:left="284" w:hanging="426"/>
        <w:jc w:val="both"/>
        <w:rPr>
          <w:b/>
          <w:bCs/>
        </w:rPr>
      </w:pPr>
      <w:r w:rsidRPr="0038162E">
        <w:rPr>
          <w:b/>
          <w:bCs/>
        </w:rPr>
        <w:lastRenderedPageBreak/>
        <w:t xml:space="preserve">Rediseño de la estructura organizacional </w:t>
      </w:r>
    </w:p>
    <w:p w14:paraId="5C0F1A4D" w14:textId="77777777" w:rsidR="0038162E" w:rsidRDefault="00A251F2" w:rsidP="00493CDC">
      <w:pPr>
        <w:spacing w:line="360" w:lineRule="auto"/>
        <w:jc w:val="both"/>
        <w:rPr>
          <w:rFonts w:eastAsia="Calibri"/>
        </w:rPr>
      </w:pPr>
      <w:r w:rsidRPr="0038162E">
        <w:rPr>
          <w:rFonts w:eastAsia="Calibri"/>
        </w:rPr>
        <w:t xml:space="preserve">Durante el año 2024 se trabajó una propuesta de estructura organizacional para la Contraloría General de la República. </w:t>
      </w:r>
    </w:p>
    <w:p w14:paraId="1B7BCCB8" w14:textId="277C066C" w:rsidR="00A251F2" w:rsidRPr="0038162E" w:rsidRDefault="00A251F2" w:rsidP="00493CDC">
      <w:pPr>
        <w:spacing w:line="360" w:lineRule="auto"/>
        <w:jc w:val="both"/>
        <w:rPr>
          <w:rFonts w:eastAsia="Calibri"/>
        </w:rPr>
      </w:pPr>
      <w:r w:rsidRPr="0038162E">
        <w:rPr>
          <w:rFonts w:eastAsia="Calibri"/>
        </w:rPr>
        <w:t>Sin embargo, reconociendo la necesidad de un diseño más robusto y alineado con los desafíos actuales, en 2025 se avanzó en su fortalecimiento mediante una consultoría especializada que dio origen al Nuevo Modelo de Gestión (NMG). Este modelo proporciona un marco integral para mejorar la rectoría, optimizar la coordinación con otras entidades y garantizar un control interno con mayor capacidad preventiva y sostenibilidad operativa.</w:t>
      </w:r>
    </w:p>
    <w:p w14:paraId="77697E6A" w14:textId="77777777" w:rsidR="00A251F2" w:rsidRPr="0038162E" w:rsidRDefault="00A251F2" w:rsidP="00493CDC">
      <w:pPr>
        <w:spacing w:line="360" w:lineRule="auto"/>
        <w:jc w:val="both"/>
        <w:rPr>
          <w:rFonts w:eastAsia="Calibri"/>
        </w:rPr>
      </w:pPr>
      <w:r w:rsidRPr="0038162E">
        <w:rPr>
          <w:rFonts w:eastAsia="Calibri"/>
        </w:rPr>
        <w:t>Entre los principales avances introducidos por el NMG destacan:</w:t>
      </w:r>
    </w:p>
    <w:p w14:paraId="2523A4F7" w14:textId="77777777" w:rsidR="00A251F2" w:rsidRPr="0038162E" w:rsidRDefault="00A251F2">
      <w:pPr>
        <w:pStyle w:val="Prrafodelista"/>
        <w:numPr>
          <w:ilvl w:val="0"/>
          <w:numId w:val="28"/>
        </w:numPr>
        <w:spacing w:line="360" w:lineRule="auto"/>
        <w:ind w:left="284"/>
        <w:jc w:val="both"/>
        <w:rPr>
          <w:rFonts w:eastAsia="Calibri"/>
        </w:rPr>
      </w:pPr>
      <w:r w:rsidRPr="0038162E">
        <w:rPr>
          <w:rFonts w:eastAsia="Calibri"/>
        </w:rPr>
        <w:t>La definición de mecanismos institucionales para el ejercicio del control fiscalizador concurrente.</w:t>
      </w:r>
    </w:p>
    <w:p w14:paraId="637C6654" w14:textId="77777777" w:rsidR="00A251F2" w:rsidRPr="0038162E" w:rsidRDefault="00A251F2">
      <w:pPr>
        <w:pStyle w:val="Prrafodelista"/>
        <w:numPr>
          <w:ilvl w:val="0"/>
          <w:numId w:val="28"/>
        </w:numPr>
        <w:spacing w:line="360" w:lineRule="auto"/>
        <w:ind w:left="284"/>
        <w:jc w:val="both"/>
        <w:rPr>
          <w:rFonts w:eastAsia="Calibri"/>
        </w:rPr>
      </w:pPr>
      <w:r w:rsidRPr="0038162E">
        <w:rPr>
          <w:rFonts w:eastAsia="Calibri"/>
        </w:rPr>
        <w:t>La reconceptualización de las unidades de auditoría interna gubernamental como oficinas institucionales de control interno.</w:t>
      </w:r>
    </w:p>
    <w:p w14:paraId="366E931C" w14:textId="77777777" w:rsidR="00A251F2" w:rsidRPr="0038162E" w:rsidRDefault="00A251F2">
      <w:pPr>
        <w:pStyle w:val="Prrafodelista"/>
        <w:numPr>
          <w:ilvl w:val="0"/>
          <w:numId w:val="28"/>
        </w:numPr>
        <w:spacing w:line="360" w:lineRule="auto"/>
        <w:ind w:left="284"/>
        <w:jc w:val="both"/>
        <w:rPr>
          <w:rFonts w:eastAsia="Calibri"/>
        </w:rPr>
      </w:pPr>
      <w:r w:rsidRPr="0038162E">
        <w:rPr>
          <w:rFonts w:eastAsia="Calibri"/>
        </w:rPr>
        <w:t>La creación de una unidad de inteligencia del negocio.</w:t>
      </w:r>
    </w:p>
    <w:p w14:paraId="4B0E76E8" w14:textId="77777777" w:rsidR="00A251F2" w:rsidRPr="0038162E" w:rsidRDefault="00A251F2">
      <w:pPr>
        <w:pStyle w:val="Prrafodelista"/>
        <w:numPr>
          <w:ilvl w:val="0"/>
          <w:numId w:val="28"/>
        </w:numPr>
        <w:spacing w:line="360" w:lineRule="auto"/>
        <w:ind w:left="284"/>
        <w:jc w:val="both"/>
        <w:rPr>
          <w:rFonts w:eastAsia="Calibri"/>
        </w:rPr>
      </w:pPr>
      <w:r w:rsidRPr="0038162E">
        <w:rPr>
          <w:rFonts w:eastAsia="Calibri"/>
        </w:rPr>
        <w:t>El diseño y futura implementación de una Carrera Pública Especial de Control Interno.</w:t>
      </w:r>
    </w:p>
    <w:p w14:paraId="04F4850A" w14:textId="77777777" w:rsidR="00A251F2" w:rsidRPr="0038162E" w:rsidRDefault="00A251F2">
      <w:pPr>
        <w:pStyle w:val="Prrafodelista"/>
        <w:numPr>
          <w:ilvl w:val="0"/>
          <w:numId w:val="28"/>
        </w:numPr>
        <w:spacing w:line="360" w:lineRule="auto"/>
        <w:ind w:left="284"/>
        <w:jc w:val="both"/>
        <w:rPr>
          <w:rFonts w:eastAsia="Calibri"/>
        </w:rPr>
      </w:pPr>
      <w:r w:rsidRPr="0038162E">
        <w:rPr>
          <w:rFonts w:eastAsia="Calibri"/>
        </w:rPr>
        <w:t>La incorporación de una unidad para la gestión del control social.</w:t>
      </w:r>
    </w:p>
    <w:p w14:paraId="33A0938B" w14:textId="77777777" w:rsidR="00A251F2" w:rsidRPr="0038162E" w:rsidRDefault="00A251F2">
      <w:pPr>
        <w:pStyle w:val="Prrafodelista"/>
        <w:numPr>
          <w:ilvl w:val="0"/>
          <w:numId w:val="28"/>
        </w:numPr>
        <w:spacing w:line="360" w:lineRule="auto"/>
        <w:ind w:left="284"/>
        <w:jc w:val="both"/>
        <w:rPr>
          <w:rFonts w:eastAsia="Calibri"/>
        </w:rPr>
      </w:pPr>
      <w:r w:rsidRPr="0038162E">
        <w:rPr>
          <w:rFonts w:eastAsia="Calibri"/>
        </w:rPr>
        <w:t>La formalización de la estructura de la Unidad Antifraude.</w:t>
      </w:r>
    </w:p>
    <w:p w14:paraId="32491D34" w14:textId="4A006E67" w:rsidR="00A251F2" w:rsidRDefault="00A251F2" w:rsidP="00493CDC">
      <w:pPr>
        <w:spacing w:line="360" w:lineRule="auto"/>
        <w:jc w:val="both"/>
        <w:rPr>
          <w:rFonts w:eastAsia="Calibri"/>
        </w:rPr>
      </w:pPr>
      <w:r w:rsidRPr="0038162E">
        <w:rPr>
          <w:rFonts w:eastAsia="Calibri"/>
        </w:rPr>
        <w:t>La</w:t>
      </w:r>
      <w:r w:rsidR="00F437BB" w:rsidRPr="0038162E">
        <w:rPr>
          <w:rFonts w:eastAsia="Calibri"/>
        </w:rPr>
        <w:t xml:space="preserve"> posterior</w:t>
      </w:r>
      <w:r w:rsidRPr="0038162E">
        <w:rPr>
          <w:rFonts w:eastAsia="Calibri"/>
        </w:rPr>
        <w:t xml:space="preserve"> implementación del NMG represent</w:t>
      </w:r>
      <w:r w:rsidR="00F437BB" w:rsidRPr="0038162E">
        <w:rPr>
          <w:rFonts w:eastAsia="Calibri"/>
        </w:rPr>
        <w:t>ará</w:t>
      </w:r>
      <w:r w:rsidRPr="0038162E">
        <w:rPr>
          <w:rFonts w:eastAsia="Calibri"/>
        </w:rPr>
        <w:t xml:space="preserve"> un avance estratégico para la Contraloría General de la República, al dotarla de una estructura más moderna, articulada y orientada a la prevención, asegurando la anticipación de riesgos, garantizar la transparencia y fortalecer la rectoría del control público. </w:t>
      </w:r>
    </w:p>
    <w:p w14:paraId="6839D5FD" w14:textId="77777777" w:rsidR="00060C84" w:rsidRPr="0038162E" w:rsidRDefault="00060C84" w:rsidP="00493CDC">
      <w:pPr>
        <w:spacing w:line="360" w:lineRule="auto"/>
        <w:jc w:val="both"/>
        <w:rPr>
          <w:rFonts w:eastAsia="Calibri"/>
        </w:rPr>
      </w:pPr>
    </w:p>
    <w:p w14:paraId="28C1C6B5" w14:textId="0FE258CA" w:rsidR="00D73B10" w:rsidRPr="0038162E" w:rsidRDefault="002C52AA" w:rsidP="00493CDC">
      <w:pPr>
        <w:spacing w:line="360" w:lineRule="auto"/>
        <w:jc w:val="both"/>
        <w:rPr>
          <w:b/>
          <w:bCs/>
        </w:rPr>
      </w:pPr>
      <w:r w:rsidRPr="0038162E">
        <w:rPr>
          <w:b/>
          <w:bCs/>
        </w:rPr>
        <w:lastRenderedPageBreak/>
        <w:t>c</w:t>
      </w:r>
      <w:r w:rsidR="0092543A" w:rsidRPr="0038162E">
        <w:rPr>
          <w:b/>
          <w:bCs/>
        </w:rPr>
        <w:t>.</w:t>
      </w:r>
      <w:r w:rsidR="00D73B10" w:rsidRPr="0038162E">
        <w:rPr>
          <w:b/>
          <w:bCs/>
        </w:rPr>
        <w:t xml:space="preserve"> Resultados o avances en la implementación de las políticas transversales</w:t>
      </w:r>
    </w:p>
    <w:p w14:paraId="3D68B841" w14:textId="44F76084" w:rsidR="007354D1" w:rsidRPr="0038162E" w:rsidRDefault="007354D1" w:rsidP="00493CDC">
      <w:pPr>
        <w:spacing w:line="360" w:lineRule="auto"/>
        <w:jc w:val="both"/>
        <w:rPr>
          <w:b/>
          <w:bCs/>
        </w:rPr>
      </w:pPr>
      <w:r w:rsidRPr="0038162E">
        <w:rPr>
          <w:b/>
          <w:bCs/>
        </w:rPr>
        <w:t>• Transversalidad de género</w:t>
      </w:r>
    </w:p>
    <w:p w14:paraId="1100B8D7" w14:textId="05495B45" w:rsidR="008170ED" w:rsidRPr="00437D53" w:rsidRDefault="008170ED" w:rsidP="00493CDC">
      <w:pPr>
        <w:spacing w:line="360" w:lineRule="auto"/>
        <w:jc w:val="both"/>
      </w:pPr>
      <w:r w:rsidRPr="00437D53">
        <w:t>Este 2025, se dieron pasos significativos en la implementación del proyecto “Sello Igualando RD para el Sector Público”, orientado a fortalecer la igualdad de género y promover prácticas institucionales alineadas con los estándares nacionales de calidad en materia de igualdad. Las principales acciones realizadas incluyeron el impulso de capacidades internas, el fortalecimiento de la planificación institucional con enfoque de género y la preparación de las condiciones necesarias para avanzar hacia la certi</w:t>
      </w:r>
      <w:r w:rsidR="00C62222" w:rsidRPr="00437D53">
        <w:t>ficación.</w:t>
      </w:r>
    </w:p>
    <w:p w14:paraId="4EB388D2" w14:textId="41B900E9" w:rsidR="008170ED" w:rsidRPr="00437D53" w:rsidRDefault="008170ED" w:rsidP="00493CDC">
      <w:pPr>
        <w:spacing w:line="360" w:lineRule="auto"/>
        <w:ind w:left="-142"/>
        <w:jc w:val="both"/>
      </w:pPr>
      <w:r w:rsidRPr="00437D53">
        <w:t> Acciones formativas en igualdad de género: </w:t>
      </w:r>
    </w:p>
    <w:p w14:paraId="5894B269" w14:textId="2B04AA6B" w:rsidR="008170ED" w:rsidRPr="00437D53" w:rsidRDefault="008170ED">
      <w:pPr>
        <w:pStyle w:val="Prrafodelista"/>
        <w:numPr>
          <w:ilvl w:val="0"/>
          <w:numId w:val="33"/>
        </w:numPr>
        <w:spacing w:line="360" w:lineRule="auto"/>
        <w:ind w:left="709" w:hanging="283"/>
        <w:jc w:val="both"/>
      </w:pPr>
      <w:r w:rsidRPr="00437D53">
        <w:t xml:space="preserve">Principios básicos de género: </w:t>
      </w:r>
      <w:r w:rsidR="00D1777A" w:rsidRPr="00437D53">
        <w:t>seis</w:t>
      </w:r>
      <w:r w:rsidRPr="00437D53">
        <w:t xml:space="preserve"> participantes (</w:t>
      </w:r>
      <w:r w:rsidR="00D1777A" w:rsidRPr="00437D53">
        <w:t>cinco</w:t>
      </w:r>
      <w:r w:rsidRPr="00437D53">
        <w:t xml:space="preserve"> mujeres y </w:t>
      </w:r>
      <w:r w:rsidR="00D1777A" w:rsidRPr="00437D53">
        <w:t xml:space="preserve">un </w:t>
      </w:r>
      <w:r w:rsidRPr="00437D53">
        <w:t>hombre). </w:t>
      </w:r>
    </w:p>
    <w:p w14:paraId="5B8D42FB" w14:textId="5084B324" w:rsidR="008170ED" w:rsidRPr="00437D53" w:rsidRDefault="008170ED">
      <w:pPr>
        <w:pStyle w:val="Prrafodelista"/>
        <w:numPr>
          <w:ilvl w:val="0"/>
          <w:numId w:val="33"/>
        </w:numPr>
        <w:spacing w:line="360" w:lineRule="auto"/>
        <w:ind w:left="709" w:hanging="283"/>
        <w:jc w:val="both"/>
      </w:pPr>
      <w:r w:rsidRPr="00437D53">
        <w:t xml:space="preserve">Principios básicos de género y prevención de la violencia: </w:t>
      </w:r>
      <w:r w:rsidR="00D1777A" w:rsidRPr="00437D53">
        <w:t>tres</w:t>
      </w:r>
      <w:r w:rsidRPr="00437D53">
        <w:t xml:space="preserve"> participantes (</w:t>
      </w:r>
      <w:r w:rsidR="00D1777A" w:rsidRPr="00437D53">
        <w:t>dos</w:t>
      </w:r>
      <w:r w:rsidRPr="00437D53">
        <w:t xml:space="preserve"> mujeres y </w:t>
      </w:r>
      <w:r w:rsidR="00D1777A" w:rsidRPr="00437D53">
        <w:t>un</w:t>
      </w:r>
      <w:r w:rsidRPr="00437D53">
        <w:t xml:space="preserve"> hombre). </w:t>
      </w:r>
    </w:p>
    <w:p w14:paraId="554F730B" w14:textId="77D23A9A" w:rsidR="008170ED" w:rsidRPr="00437D53" w:rsidRDefault="008170ED">
      <w:pPr>
        <w:pStyle w:val="Prrafodelista"/>
        <w:numPr>
          <w:ilvl w:val="0"/>
          <w:numId w:val="33"/>
        </w:numPr>
        <w:spacing w:line="360" w:lineRule="auto"/>
        <w:ind w:left="709" w:hanging="283"/>
        <w:jc w:val="both"/>
      </w:pPr>
      <w:r w:rsidRPr="00437D53">
        <w:t xml:space="preserve">Taller sobre presupuesto con enfoque de género: </w:t>
      </w:r>
      <w:r w:rsidR="00D1777A" w:rsidRPr="00437D53">
        <w:t>cinco</w:t>
      </w:r>
      <w:r w:rsidRPr="00437D53">
        <w:t xml:space="preserve"> participantes (</w:t>
      </w:r>
      <w:r w:rsidR="00D1777A" w:rsidRPr="00437D53">
        <w:t>tres</w:t>
      </w:r>
      <w:r w:rsidRPr="00437D53">
        <w:t xml:space="preserve"> mujeres y </w:t>
      </w:r>
      <w:r w:rsidR="00D1777A" w:rsidRPr="00437D53">
        <w:t>dos</w:t>
      </w:r>
      <w:r w:rsidRPr="00437D53">
        <w:t xml:space="preserve"> hombres). </w:t>
      </w:r>
    </w:p>
    <w:p w14:paraId="63FD615C" w14:textId="0450B5BD" w:rsidR="008170ED" w:rsidRPr="00437D53" w:rsidRDefault="008170ED">
      <w:pPr>
        <w:pStyle w:val="Prrafodelista"/>
        <w:numPr>
          <w:ilvl w:val="0"/>
          <w:numId w:val="33"/>
        </w:numPr>
        <w:spacing w:line="360" w:lineRule="auto"/>
        <w:ind w:left="709" w:hanging="283"/>
        <w:jc w:val="both"/>
      </w:pPr>
      <w:r w:rsidRPr="00437D53">
        <w:t xml:space="preserve">Taller sobre gestión de personal con enfoque de género: </w:t>
      </w:r>
      <w:r w:rsidR="00D1777A" w:rsidRPr="00437D53">
        <w:t>siete</w:t>
      </w:r>
      <w:r w:rsidRPr="00437D53">
        <w:t xml:space="preserve"> participantes (</w:t>
      </w:r>
      <w:r w:rsidR="00D1777A" w:rsidRPr="00437D53">
        <w:t>todas</w:t>
      </w:r>
      <w:r w:rsidRPr="00437D53">
        <w:t xml:space="preserve"> mujeres). </w:t>
      </w:r>
    </w:p>
    <w:p w14:paraId="0A8CE3A3" w14:textId="35DD440B" w:rsidR="008170ED" w:rsidRPr="00437D53" w:rsidRDefault="008170ED">
      <w:pPr>
        <w:pStyle w:val="Prrafodelista"/>
        <w:numPr>
          <w:ilvl w:val="0"/>
          <w:numId w:val="33"/>
        </w:numPr>
        <w:spacing w:line="360" w:lineRule="auto"/>
        <w:ind w:left="709" w:hanging="283"/>
        <w:jc w:val="both"/>
      </w:pPr>
      <w:r w:rsidRPr="00437D53">
        <w:t xml:space="preserve">Taller sobre políticas de acoso y violencia en el lugar de trabajo: </w:t>
      </w:r>
      <w:r w:rsidR="00D1777A" w:rsidRPr="00437D53">
        <w:t>tres</w:t>
      </w:r>
      <w:r w:rsidRPr="00437D53">
        <w:t xml:space="preserve"> participantes (</w:t>
      </w:r>
      <w:r w:rsidR="00D1777A" w:rsidRPr="00437D53">
        <w:t>dos</w:t>
      </w:r>
      <w:r w:rsidRPr="00437D53">
        <w:t xml:space="preserve"> mujeres y </w:t>
      </w:r>
      <w:r w:rsidR="00D1777A" w:rsidRPr="00437D53">
        <w:t>un</w:t>
      </w:r>
      <w:r w:rsidRPr="00437D53">
        <w:t xml:space="preserve"> hombre). </w:t>
      </w:r>
    </w:p>
    <w:p w14:paraId="5A059631" w14:textId="77777777" w:rsidR="008170ED" w:rsidRPr="00437D53" w:rsidRDefault="008170ED">
      <w:pPr>
        <w:pStyle w:val="Prrafodelista"/>
        <w:numPr>
          <w:ilvl w:val="0"/>
          <w:numId w:val="33"/>
        </w:numPr>
        <w:spacing w:line="360" w:lineRule="auto"/>
        <w:ind w:left="709" w:hanging="283"/>
        <w:jc w:val="both"/>
      </w:pPr>
      <w:r w:rsidRPr="00437D53">
        <w:t>Atención a la diversidad: 38 participantes (26 mujeres y 12 hombres). </w:t>
      </w:r>
    </w:p>
    <w:p w14:paraId="235FB590" w14:textId="369B27B8" w:rsidR="008170ED" w:rsidRPr="00437D53" w:rsidRDefault="008170ED">
      <w:pPr>
        <w:pStyle w:val="Prrafodelista"/>
        <w:numPr>
          <w:ilvl w:val="0"/>
          <w:numId w:val="33"/>
        </w:numPr>
        <w:spacing w:line="360" w:lineRule="auto"/>
        <w:ind w:left="709" w:hanging="283"/>
        <w:jc w:val="both"/>
      </w:pPr>
      <w:r w:rsidRPr="00437D53">
        <w:t xml:space="preserve">Claves para la igualdad de género en las instituciones públicas: </w:t>
      </w:r>
      <w:r w:rsidR="00D1777A" w:rsidRPr="00437D53">
        <w:t>cuatro</w:t>
      </w:r>
      <w:r w:rsidRPr="00437D53">
        <w:t xml:space="preserve"> participantes (</w:t>
      </w:r>
      <w:r w:rsidR="00D1777A" w:rsidRPr="00437D53">
        <w:t>todas</w:t>
      </w:r>
      <w:r w:rsidRPr="00437D53">
        <w:t xml:space="preserve"> mujeres). </w:t>
      </w:r>
    </w:p>
    <w:p w14:paraId="29C50E09" w14:textId="7AB96C94" w:rsidR="008170ED" w:rsidRPr="00437D53" w:rsidRDefault="008170ED">
      <w:pPr>
        <w:pStyle w:val="Prrafodelista"/>
        <w:numPr>
          <w:ilvl w:val="0"/>
          <w:numId w:val="33"/>
        </w:numPr>
        <w:spacing w:line="360" w:lineRule="auto"/>
        <w:ind w:left="709" w:hanging="283"/>
        <w:jc w:val="both"/>
      </w:pPr>
      <w:r w:rsidRPr="00437D53">
        <w:t xml:space="preserve">Planificación para la igualdad: </w:t>
      </w:r>
      <w:r w:rsidR="00D1777A" w:rsidRPr="00437D53">
        <w:t>tres</w:t>
      </w:r>
      <w:r w:rsidRPr="00437D53">
        <w:t xml:space="preserve"> participantes (</w:t>
      </w:r>
      <w:r w:rsidR="00D1777A" w:rsidRPr="00437D53">
        <w:t>dos</w:t>
      </w:r>
      <w:r w:rsidRPr="00437D53">
        <w:t xml:space="preserve"> mujeres y</w:t>
      </w:r>
      <w:r w:rsidR="00DA2D35">
        <w:t xml:space="preserve"> </w:t>
      </w:r>
      <w:r w:rsidR="00D1777A" w:rsidRPr="00437D53">
        <w:t>un</w:t>
      </w:r>
      <w:r w:rsidR="00DA2D35">
        <w:t xml:space="preserve"> </w:t>
      </w:r>
      <w:r w:rsidRPr="00437D53">
        <w:t>hombre). </w:t>
      </w:r>
    </w:p>
    <w:p w14:paraId="07B83601" w14:textId="77777777" w:rsidR="008170ED" w:rsidRPr="00437D53" w:rsidRDefault="008170ED" w:rsidP="00444B5D">
      <w:pPr>
        <w:pStyle w:val="Prrafodelista"/>
        <w:numPr>
          <w:ilvl w:val="0"/>
          <w:numId w:val="33"/>
        </w:numPr>
        <w:spacing w:line="360" w:lineRule="auto"/>
        <w:ind w:left="567" w:hanging="283"/>
        <w:jc w:val="both"/>
      </w:pPr>
      <w:r w:rsidRPr="00437D53">
        <w:lastRenderedPageBreak/>
        <w:t>Charla “Principios básicos de género”: 111 participantes (87 mujeres y 24 hombres). </w:t>
      </w:r>
    </w:p>
    <w:p w14:paraId="409A4B59" w14:textId="77777777" w:rsidR="00090D10" w:rsidRPr="00437D53" w:rsidRDefault="008170ED" w:rsidP="00444B5D">
      <w:pPr>
        <w:pStyle w:val="Prrafodelista"/>
        <w:numPr>
          <w:ilvl w:val="0"/>
          <w:numId w:val="33"/>
        </w:numPr>
        <w:spacing w:line="360" w:lineRule="auto"/>
        <w:ind w:left="567" w:hanging="283"/>
        <w:jc w:val="both"/>
      </w:pPr>
      <w:r w:rsidRPr="00437D53">
        <w:t xml:space="preserve">Conferencia “Comunicación estratégica con perspectiva de género y su impacto en la toma de decisiones”: </w:t>
      </w:r>
    </w:p>
    <w:p w14:paraId="40FC89D2" w14:textId="3B886213" w:rsidR="008170ED" w:rsidRPr="00437D53" w:rsidRDefault="00D1777A" w:rsidP="00444B5D">
      <w:pPr>
        <w:pStyle w:val="Prrafodelista"/>
        <w:spacing w:line="360" w:lineRule="auto"/>
        <w:ind w:left="567"/>
        <w:jc w:val="both"/>
      </w:pPr>
      <w:r w:rsidRPr="00437D53">
        <w:t>tres</w:t>
      </w:r>
      <w:r w:rsidR="008170ED" w:rsidRPr="00437D53">
        <w:t xml:space="preserve"> participantes (</w:t>
      </w:r>
      <w:r w:rsidRPr="00437D53">
        <w:t>todas</w:t>
      </w:r>
      <w:r w:rsidR="008170ED" w:rsidRPr="00437D53">
        <w:t xml:space="preserve"> mujeres). </w:t>
      </w:r>
    </w:p>
    <w:p w14:paraId="66DE7BE2" w14:textId="508320AC" w:rsidR="00C62222" w:rsidRPr="0038162E" w:rsidRDefault="00C62222" w:rsidP="00493CDC">
      <w:pPr>
        <w:spacing w:line="360" w:lineRule="auto"/>
        <w:jc w:val="both"/>
      </w:pPr>
      <w:r w:rsidRPr="0038162E">
        <w:t>Otras acciones implementadas:</w:t>
      </w:r>
    </w:p>
    <w:p w14:paraId="3EF4A571" w14:textId="4564DDBC" w:rsidR="008170ED" w:rsidRPr="0038162E" w:rsidRDefault="008170ED" w:rsidP="006846D0">
      <w:pPr>
        <w:pStyle w:val="Prrafodelista"/>
        <w:numPr>
          <w:ilvl w:val="0"/>
          <w:numId w:val="34"/>
        </w:numPr>
        <w:tabs>
          <w:tab w:val="num" w:pos="720"/>
        </w:tabs>
        <w:spacing w:line="360" w:lineRule="auto"/>
        <w:jc w:val="both"/>
      </w:pPr>
      <w:r w:rsidRPr="0038162E">
        <w:t>Integración del enfoque de género como objetivo estratégico del PEI 2025-2028, mediante la elaboración de una Norma de Equidad de Género con financiamiento del BID. </w:t>
      </w:r>
    </w:p>
    <w:p w14:paraId="07D38ECA" w14:textId="3131E934" w:rsidR="008170ED" w:rsidRPr="0038162E" w:rsidRDefault="008170ED" w:rsidP="006846D0">
      <w:pPr>
        <w:pStyle w:val="Prrafodelista"/>
        <w:numPr>
          <w:ilvl w:val="0"/>
          <w:numId w:val="34"/>
        </w:numPr>
        <w:tabs>
          <w:tab w:val="num" w:pos="720"/>
        </w:tabs>
        <w:spacing w:line="360" w:lineRule="auto"/>
        <w:jc w:val="both"/>
      </w:pPr>
      <w:r w:rsidRPr="0038162E">
        <w:t>Incorporación del análisis de políticas públicas transversales en el FODA institucional para su aplicación en la formulación del POA. </w:t>
      </w:r>
    </w:p>
    <w:p w14:paraId="173DC5CC" w14:textId="77777777" w:rsidR="006846D0" w:rsidRDefault="008170ED" w:rsidP="006846D0">
      <w:pPr>
        <w:pStyle w:val="Prrafodelista"/>
        <w:numPr>
          <w:ilvl w:val="0"/>
          <w:numId w:val="34"/>
        </w:numPr>
        <w:spacing w:line="360" w:lineRule="auto"/>
        <w:jc w:val="both"/>
      </w:pPr>
      <w:r w:rsidRPr="0038162E">
        <w:t>Promoción de la igualdad de oportunidades en los procesos de reclutamiento y selección mediante la difusión de una vacante interna en condiciones equitativas. </w:t>
      </w:r>
    </w:p>
    <w:p w14:paraId="363D29A7" w14:textId="77777777" w:rsidR="00A452AE" w:rsidRDefault="008170ED" w:rsidP="00A452AE">
      <w:pPr>
        <w:pStyle w:val="Prrafodelista"/>
        <w:numPr>
          <w:ilvl w:val="0"/>
          <w:numId w:val="34"/>
        </w:numPr>
        <w:spacing w:line="360" w:lineRule="auto"/>
        <w:jc w:val="both"/>
      </w:pPr>
      <w:r w:rsidRPr="0038162E">
        <w:t>Elaboración de un informe especializado sobre brecha salarial de género para identificar desigualdades y formular recomendaciones. </w:t>
      </w:r>
    </w:p>
    <w:p w14:paraId="42BCF87F" w14:textId="54615D17" w:rsidR="008170ED" w:rsidRPr="0038162E" w:rsidRDefault="008170ED" w:rsidP="00A452AE">
      <w:pPr>
        <w:pStyle w:val="Prrafodelista"/>
        <w:numPr>
          <w:ilvl w:val="0"/>
          <w:numId w:val="34"/>
        </w:numPr>
        <w:spacing w:line="360" w:lineRule="auto"/>
        <w:jc w:val="both"/>
      </w:pPr>
      <w:r w:rsidRPr="0038162E">
        <w:t>Logro institucional de más del 40 % de mujeres en puestos d</w:t>
      </w:r>
      <w:r w:rsidR="00A452AE">
        <w:t xml:space="preserve">e </w:t>
      </w:r>
      <w:r w:rsidRPr="0038162E">
        <w:t>toma de decisiones y comités institucionales. </w:t>
      </w:r>
    </w:p>
    <w:p w14:paraId="1FBB3EFD" w14:textId="2FC4EF56" w:rsidR="008170ED" w:rsidRPr="0038162E" w:rsidRDefault="008170ED" w:rsidP="00493CDC">
      <w:pPr>
        <w:spacing w:line="360" w:lineRule="auto"/>
        <w:ind w:left="-142"/>
        <w:jc w:val="both"/>
      </w:pPr>
      <w:r w:rsidRPr="0038162E">
        <w:t> </w:t>
      </w:r>
      <w:r w:rsidRPr="0038162E">
        <w:rPr>
          <w:b/>
          <w:bCs/>
        </w:rPr>
        <w:t>Acciones proyectadas hacia la certificación 2025:</w:t>
      </w:r>
      <w:r w:rsidRPr="0038162E">
        <w:t> </w:t>
      </w:r>
    </w:p>
    <w:p w14:paraId="6D6C427B" w14:textId="77777777" w:rsidR="008170ED" w:rsidRPr="0038162E" w:rsidRDefault="008170ED" w:rsidP="00444B5D">
      <w:pPr>
        <w:pStyle w:val="Sinespaciado"/>
        <w:numPr>
          <w:ilvl w:val="0"/>
          <w:numId w:val="40"/>
        </w:numPr>
        <w:tabs>
          <w:tab w:val="left" w:pos="142"/>
          <w:tab w:val="left" w:pos="284"/>
          <w:tab w:val="left" w:pos="567"/>
          <w:tab w:val="left" w:pos="851"/>
        </w:tabs>
        <w:spacing w:line="360" w:lineRule="auto"/>
        <w:ind w:left="567" w:firstLine="0"/>
        <w:jc w:val="both"/>
        <w:rPr>
          <w:color w:val="767171"/>
          <w:lang w:val="es-DO"/>
        </w:rPr>
      </w:pPr>
      <w:r w:rsidRPr="0038162E">
        <w:rPr>
          <w:color w:val="767171"/>
          <w:lang w:val="es-DO"/>
        </w:rPr>
        <w:t>Aprobación y difusión de la Guía de Comunicación Inclusiva. </w:t>
      </w:r>
    </w:p>
    <w:p w14:paraId="72068BC9" w14:textId="77777777" w:rsidR="006B78F7" w:rsidRPr="0038162E" w:rsidRDefault="008170ED" w:rsidP="00444B5D">
      <w:pPr>
        <w:pStyle w:val="Sinespaciado"/>
        <w:numPr>
          <w:ilvl w:val="0"/>
          <w:numId w:val="40"/>
        </w:numPr>
        <w:tabs>
          <w:tab w:val="left" w:pos="142"/>
          <w:tab w:val="left" w:pos="284"/>
          <w:tab w:val="left" w:pos="567"/>
          <w:tab w:val="left" w:pos="851"/>
        </w:tabs>
        <w:spacing w:line="360" w:lineRule="auto"/>
        <w:ind w:left="567" w:firstLine="0"/>
        <w:jc w:val="both"/>
        <w:rPr>
          <w:color w:val="767171"/>
          <w:lang w:val="es-DO"/>
        </w:rPr>
      </w:pPr>
      <w:r w:rsidRPr="0038162E">
        <w:rPr>
          <w:color w:val="767171"/>
          <w:lang w:val="es-DO"/>
        </w:rPr>
        <w:t>Implementación de una campaña de sensibilización sobre prevención del acoso, la violencia y la discriminación. </w:t>
      </w:r>
    </w:p>
    <w:p w14:paraId="0AC0736C" w14:textId="002DA4AB" w:rsidR="008170ED" w:rsidRDefault="008170ED" w:rsidP="00444B5D">
      <w:pPr>
        <w:pStyle w:val="Sinespaciado"/>
        <w:numPr>
          <w:ilvl w:val="0"/>
          <w:numId w:val="40"/>
        </w:numPr>
        <w:tabs>
          <w:tab w:val="left" w:pos="142"/>
          <w:tab w:val="left" w:pos="284"/>
          <w:tab w:val="left" w:pos="567"/>
          <w:tab w:val="left" w:pos="851"/>
        </w:tabs>
        <w:spacing w:line="360" w:lineRule="auto"/>
        <w:ind w:left="567" w:firstLine="0"/>
        <w:jc w:val="both"/>
        <w:rPr>
          <w:color w:val="767171"/>
          <w:lang w:val="es-DO"/>
        </w:rPr>
      </w:pPr>
      <w:r w:rsidRPr="0038162E">
        <w:rPr>
          <w:color w:val="767171"/>
          <w:lang w:val="es-DO"/>
        </w:rPr>
        <w:t>Visibilización de los aportes institucionales a la igualdad de género. </w:t>
      </w:r>
    </w:p>
    <w:p w14:paraId="7C0CBF30" w14:textId="77777777" w:rsidR="00060C84" w:rsidRPr="0038162E" w:rsidRDefault="00060C84" w:rsidP="00060C84">
      <w:pPr>
        <w:pStyle w:val="Sinespaciado"/>
        <w:tabs>
          <w:tab w:val="left" w:pos="142"/>
          <w:tab w:val="left" w:pos="284"/>
        </w:tabs>
        <w:spacing w:line="360" w:lineRule="auto"/>
        <w:jc w:val="both"/>
        <w:rPr>
          <w:color w:val="767171"/>
          <w:lang w:val="es-DO"/>
        </w:rPr>
      </w:pPr>
    </w:p>
    <w:p w14:paraId="6F3D721D" w14:textId="77777777" w:rsidR="00BA1804" w:rsidRPr="0038162E" w:rsidRDefault="00BA1804" w:rsidP="00BA1804">
      <w:pPr>
        <w:pStyle w:val="Sinespaciado"/>
        <w:spacing w:line="360" w:lineRule="auto"/>
        <w:jc w:val="both"/>
        <w:rPr>
          <w:color w:val="767171"/>
          <w:lang w:val="es-DO"/>
        </w:rPr>
      </w:pPr>
    </w:p>
    <w:p w14:paraId="4A876EF0" w14:textId="197CA21D" w:rsidR="007354D1" w:rsidRPr="0038162E" w:rsidRDefault="007354D1" w:rsidP="00493CDC">
      <w:pPr>
        <w:spacing w:line="360" w:lineRule="auto"/>
        <w:ind w:left="-142"/>
        <w:jc w:val="both"/>
        <w:rPr>
          <w:b/>
          <w:bCs/>
        </w:rPr>
      </w:pPr>
      <w:r w:rsidRPr="0038162E">
        <w:rPr>
          <w:b/>
          <w:bCs/>
        </w:rPr>
        <w:lastRenderedPageBreak/>
        <w:t>•</w:t>
      </w:r>
      <w:r w:rsidRPr="0038162E">
        <w:rPr>
          <w:b/>
          <w:bCs/>
        </w:rPr>
        <w:tab/>
        <w:t xml:space="preserve"> Transversalidad de la sostenibilidad ambiental y gestión integral de riesgos</w:t>
      </w:r>
    </w:p>
    <w:p w14:paraId="787E8597" w14:textId="77777777" w:rsidR="00087C09" w:rsidRPr="0038162E" w:rsidRDefault="007354D1" w:rsidP="00493CDC">
      <w:pPr>
        <w:spacing w:line="360" w:lineRule="auto"/>
        <w:ind w:left="-142"/>
        <w:jc w:val="both"/>
      </w:pPr>
      <w:r w:rsidRPr="0038162E">
        <w:t>En la institución a través del programa de responsabilidad social y sostenibilidad, se han ejecutado a la fecha acciones puntuales en miras a reducir el impacto de nuestras operaciones en el medio ambiente:</w:t>
      </w:r>
    </w:p>
    <w:p w14:paraId="667FD108" w14:textId="77777777" w:rsidR="00087C09" w:rsidRPr="0038162E" w:rsidRDefault="00087C09">
      <w:pPr>
        <w:pStyle w:val="Prrafodelista"/>
        <w:numPr>
          <w:ilvl w:val="0"/>
          <w:numId w:val="31"/>
        </w:numPr>
        <w:spacing w:line="360" w:lineRule="auto"/>
        <w:ind w:left="142" w:hanging="284"/>
        <w:jc w:val="both"/>
      </w:pPr>
      <w:r w:rsidRPr="0038162E">
        <w:t>Se llevó a cabo la entrega de juguetes y la actividad “Tarde Divertida” en el Hogar Nuestra Señora de la Altagracia, beneficiando a más de 100 niñas de la referida institución.</w:t>
      </w:r>
    </w:p>
    <w:p w14:paraId="50830309" w14:textId="49F11ED8" w:rsidR="00087C09" w:rsidRPr="0038162E" w:rsidRDefault="00087C09">
      <w:pPr>
        <w:pStyle w:val="Prrafodelista"/>
        <w:numPr>
          <w:ilvl w:val="0"/>
          <w:numId w:val="31"/>
        </w:numPr>
        <w:spacing w:line="360" w:lineRule="auto"/>
        <w:ind w:left="142" w:hanging="284"/>
        <w:jc w:val="both"/>
      </w:pPr>
      <w:r w:rsidRPr="0038162E">
        <w:t>A través del programa Contralor Estudiantil, fueron capacitados 170 estudiantes en temas de control interno y transparencia.</w:t>
      </w:r>
    </w:p>
    <w:p w14:paraId="35B98161" w14:textId="0D324EC0" w:rsidR="00BA1804" w:rsidRPr="0038162E" w:rsidRDefault="00087C09">
      <w:pPr>
        <w:pStyle w:val="Prrafodelista"/>
        <w:numPr>
          <w:ilvl w:val="0"/>
          <w:numId w:val="31"/>
        </w:numPr>
        <w:spacing w:line="360" w:lineRule="auto"/>
        <w:ind w:left="142" w:hanging="284"/>
        <w:jc w:val="both"/>
      </w:pPr>
      <w:r w:rsidRPr="0038162E">
        <w:t xml:space="preserve">Fueron reciclados 500 cuadernos usados, como parte de la alianza con la </w:t>
      </w:r>
      <w:r w:rsidRPr="000444F9">
        <w:rPr>
          <w:i/>
          <w:iCs/>
        </w:rPr>
        <w:t>Fundación Cuadernos x un Mañana</w:t>
      </w:r>
      <w:r w:rsidRPr="0038162E">
        <w:t>, iniciativa que permitió la producción de 4,290 nuevos cuadernos elaborados con materiales recuperados, los cuales fueron donados a niños en situación de vulnerabilidad.</w:t>
      </w:r>
    </w:p>
    <w:p w14:paraId="39A8F148" w14:textId="0C83ED28" w:rsidR="00087C09" w:rsidRPr="0038162E" w:rsidRDefault="00087C09">
      <w:pPr>
        <w:pStyle w:val="Prrafodelista"/>
        <w:numPr>
          <w:ilvl w:val="0"/>
          <w:numId w:val="31"/>
        </w:numPr>
        <w:spacing w:line="360" w:lineRule="auto"/>
        <w:ind w:left="142"/>
        <w:jc w:val="both"/>
      </w:pPr>
      <w:r w:rsidRPr="0038162E">
        <w:t>Se entregaron 338 insumos reutilizables en buen estado a la Escuela de Entrenamiento Policial Mayor General Eulogio Benito Monción Leonardo, contribuyendo al fortalecimiento de las prácticas de economía circular.</w:t>
      </w:r>
    </w:p>
    <w:p w14:paraId="213D2D7A" w14:textId="43A3DF78" w:rsidR="00087C09" w:rsidRPr="0038162E" w:rsidRDefault="00087C09">
      <w:pPr>
        <w:pStyle w:val="Prrafodelista"/>
        <w:numPr>
          <w:ilvl w:val="0"/>
          <w:numId w:val="31"/>
        </w:numPr>
        <w:spacing w:line="360" w:lineRule="auto"/>
        <w:ind w:left="142"/>
        <w:jc w:val="both"/>
      </w:pPr>
      <w:r w:rsidRPr="0038162E">
        <w:t>Se desarrolló una jornada de limpieza y reforestación en la comunidad de Yerba Buena, provincia Hato Mayor, donde se sembraron 1,500 árboles de distintas especies.</w:t>
      </w:r>
    </w:p>
    <w:p w14:paraId="43065E63" w14:textId="7F8CBF64" w:rsidR="00087C09" w:rsidRPr="0038162E" w:rsidRDefault="00087C09">
      <w:pPr>
        <w:pStyle w:val="Prrafodelista"/>
        <w:numPr>
          <w:ilvl w:val="0"/>
          <w:numId w:val="31"/>
        </w:numPr>
        <w:spacing w:line="360" w:lineRule="auto"/>
        <w:ind w:left="142"/>
        <w:jc w:val="both"/>
      </w:pPr>
      <w:r w:rsidRPr="0038162E">
        <w:t>En materia de gestión de residuos, se lograron reciclar 105.60 kg de papel, 227.40 kg de plástico, 4.40 kg de cartón y 247 unidades de tóner, estos últimos manejados como desechos peligrosos conforme a los protocolos ambientales establecidos – corte junio 2025 (el reporte es emitido de forma semestral por la empresa Green Love).</w:t>
      </w:r>
    </w:p>
    <w:p w14:paraId="62D930A7" w14:textId="77777777" w:rsidR="00C62222" w:rsidRPr="0038162E" w:rsidRDefault="00C62222" w:rsidP="00493CDC">
      <w:pPr>
        <w:pStyle w:val="Prrafodelista"/>
        <w:spacing w:line="360" w:lineRule="auto"/>
        <w:ind w:left="142"/>
        <w:jc w:val="both"/>
      </w:pPr>
    </w:p>
    <w:p w14:paraId="665FD73A" w14:textId="2BCE3AF8" w:rsidR="00087C09" w:rsidRPr="0038162E" w:rsidRDefault="00087C09">
      <w:pPr>
        <w:pStyle w:val="Prrafodelista"/>
        <w:numPr>
          <w:ilvl w:val="0"/>
          <w:numId w:val="31"/>
        </w:numPr>
        <w:spacing w:line="360" w:lineRule="auto"/>
        <w:ind w:left="142"/>
        <w:jc w:val="both"/>
      </w:pPr>
      <w:r w:rsidRPr="0038162E">
        <w:lastRenderedPageBreak/>
        <w:t>Se llevaron a cabo dos auditorías correspondientes al proceso de Certificación en Sostenibilidad 3Rs, quedando únicamente pendiente la evaluación final para completar el ciclo de verificación.</w:t>
      </w:r>
    </w:p>
    <w:p w14:paraId="05D0AF0E" w14:textId="39D279DF" w:rsidR="00087C09" w:rsidRPr="0038162E" w:rsidRDefault="00087C09" w:rsidP="00493CDC">
      <w:pPr>
        <w:spacing w:line="360" w:lineRule="auto"/>
        <w:ind w:left="-142"/>
        <w:jc w:val="both"/>
      </w:pPr>
      <w:r w:rsidRPr="0038162E">
        <w:t xml:space="preserve">Proyección diciembre: </w:t>
      </w:r>
    </w:p>
    <w:p w14:paraId="31D85D8A" w14:textId="51FEC0DA" w:rsidR="00087C09" w:rsidRPr="0038162E" w:rsidRDefault="00087C09">
      <w:pPr>
        <w:pStyle w:val="Prrafodelista"/>
        <w:numPr>
          <w:ilvl w:val="0"/>
          <w:numId w:val="32"/>
        </w:numPr>
        <w:spacing w:line="360" w:lineRule="auto"/>
        <w:ind w:left="284"/>
        <w:jc w:val="both"/>
      </w:pPr>
      <w:r w:rsidRPr="0038162E">
        <w:t xml:space="preserve">Actividad de entrega de juguetes a niños en situación vulnerable en la comunidad de La Zurza. </w:t>
      </w:r>
    </w:p>
    <w:p w14:paraId="344D328F" w14:textId="79CFC410" w:rsidR="002F20E6" w:rsidRDefault="00087C09">
      <w:pPr>
        <w:pStyle w:val="Prrafodelista"/>
        <w:numPr>
          <w:ilvl w:val="0"/>
          <w:numId w:val="32"/>
        </w:numPr>
        <w:spacing w:line="360" w:lineRule="auto"/>
        <w:ind w:left="284"/>
        <w:jc w:val="both"/>
      </w:pPr>
      <w:r w:rsidRPr="0038162E">
        <w:t>Actividad de donación de alimentos no perecederos, estos insumos serán aportados de forma voluntaria por los colaboradores de la institución.</w:t>
      </w:r>
    </w:p>
    <w:p w14:paraId="7C95BD82" w14:textId="77777777" w:rsidR="00BD3149" w:rsidRPr="0038162E" w:rsidRDefault="00BD3149" w:rsidP="00493CDC">
      <w:pPr>
        <w:pStyle w:val="Prrafodelista"/>
        <w:spacing w:line="360" w:lineRule="auto"/>
        <w:ind w:left="284"/>
        <w:jc w:val="both"/>
      </w:pPr>
    </w:p>
    <w:p w14:paraId="462E76F3" w14:textId="77777777" w:rsidR="000A3DAE" w:rsidRPr="0038162E" w:rsidRDefault="000A3DAE">
      <w:pPr>
        <w:pStyle w:val="Prrafodelista"/>
        <w:numPr>
          <w:ilvl w:val="0"/>
          <w:numId w:val="2"/>
        </w:numPr>
        <w:spacing w:line="360" w:lineRule="auto"/>
        <w:ind w:left="142" w:hanging="284"/>
        <w:jc w:val="both"/>
        <w:rPr>
          <w:b/>
          <w:bCs/>
        </w:rPr>
      </w:pPr>
      <w:r w:rsidRPr="0038162E">
        <w:rPr>
          <w:b/>
          <w:bCs/>
        </w:rPr>
        <w:t xml:space="preserve">Transversalidad de la participación </w:t>
      </w:r>
    </w:p>
    <w:p w14:paraId="3E5AECD0" w14:textId="77777777" w:rsidR="000A3DAE" w:rsidRPr="0038162E" w:rsidRDefault="000A3DAE" w:rsidP="00493CDC">
      <w:pPr>
        <w:spacing w:line="360" w:lineRule="auto"/>
        <w:ind w:left="-142"/>
        <w:jc w:val="both"/>
      </w:pPr>
      <w:r w:rsidRPr="0038162E">
        <w:t>En la institución este aspecto se aborda desde nuestro compromiso con la gestión de la transparencia institucional, proveyendo los canales para fomentar la participación ciudadana, como el portal 311 de quejas reclamaciones y sugerencias y los buzones institucionales tanto digital como físicos. Cuyos resultados obtenidos han sido detallados en la sección Servicio al Ciudadano y Transparencia Institucional de esta memoria.</w:t>
      </w:r>
    </w:p>
    <w:p w14:paraId="4BEC72DC" w14:textId="383758EA" w:rsidR="000A3DAE" w:rsidRPr="002A5942" w:rsidRDefault="000A3DAE">
      <w:pPr>
        <w:pStyle w:val="Prrafodelista"/>
        <w:numPr>
          <w:ilvl w:val="0"/>
          <w:numId w:val="2"/>
        </w:numPr>
        <w:spacing w:line="360" w:lineRule="auto"/>
        <w:ind w:left="284"/>
        <w:jc w:val="both"/>
      </w:pPr>
      <w:r w:rsidRPr="0038162E">
        <w:rPr>
          <w:b/>
          <w:bCs/>
        </w:rPr>
        <w:t xml:space="preserve">Transversalidad de cohesión territorial </w:t>
      </w:r>
    </w:p>
    <w:p w14:paraId="48FF4EA5" w14:textId="3C6D0D9D" w:rsidR="000A3DAE" w:rsidRPr="0038162E" w:rsidRDefault="000A3DAE" w:rsidP="000A3DAE">
      <w:pPr>
        <w:spacing w:line="360" w:lineRule="auto"/>
        <w:ind w:left="-142"/>
        <w:jc w:val="both"/>
      </w:pPr>
      <w:r w:rsidRPr="0038162E">
        <w:t xml:space="preserve">Para la Contraloría esta política se pone de manifiesto en </w:t>
      </w:r>
      <w:r w:rsidR="00FE7E8F" w:rsidRPr="0038162E">
        <w:t>sus</w:t>
      </w:r>
      <w:r w:rsidRPr="0038162E">
        <w:t xml:space="preserve"> procesos misionales, los cuales están orientados a la fiscalización de los recursos públicos y la rectoría del control interno ejercida sobre las instituciones públicas en todo el territorio nacional. </w:t>
      </w:r>
    </w:p>
    <w:p w14:paraId="0578D8ED" w14:textId="77777777" w:rsidR="000A3DAE" w:rsidRPr="0038162E" w:rsidRDefault="000A3DAE" w:rsidP="000A3DAE">
      <w:pPr>
        <w:spacing w:line="360" w:lineRule="auto"/>
        <w:ind w:left="-142"/>
        <w:jc w:val="both"/>
      </w:pPr>
      <w:r w:rsidRPr="0038162E">
        <w:t>Podemos citar como ejemplo el ejercicio de la implementación de las Nobaci Municipal, implementadas en los gobiernos locales o ayuntamientos, teniendo un alcance a la fecha en 75 ayuntamientos.</w:t>
      </w:r>
    </w:p>
    <w:p w14:paraId="423618C5" w14:textId="77777777" w:rsidR="00060C84" w:rsidRDefault="00060C84" w:rsidP="00493CDC">
      <w:pPr>
        <w:spacing w:line="360" w:lineRule="auto"/>
        <w:ind w:left="-142"/>
        <w:jc w:val="both"/>
      </w:pPr>
    </w:p>
    <w:p w14:paraId="4EB1B181" w14:textId="100F9E3C" w:rsidR="000A3DAE" w:rsidRPr="0038162E" w:rsidRDefault="000A3DAE" w:rsidP="00493CDC">
      <w:pPr>
        <w:spacing w:line="360" w:lineRule="auto"/>
        <w:ind w:left="-142"/>
        <w:jc w:val="both"/>
      </w:pPr>
      <w:r w:rsidRPr="0038162E">
        <w:lastRenderedPageBreak/>
        <w:t>Mientras que, en cuanto a las auditorías, se cuenta con un departamento exclusivo para abordar las municipalidades disponiendo a la fecha de equipos de auditores especializados en la gestión de municipalidades, llegando a ejecutar</w:t>
      </w:r>
      <w:r w:rsidR="000D23D0" w:rsidRPr="0038162E">
        <w:t xml:space="preserve"> </w:t>
      </w:r>
      <w:r w:rsidR="00FE7E8F" w:rsidRPr="0038162E">
        <w:t>5</w:t>
      </w:r>
      <w:r w:rsidR="000D23D0" w:rsidRPr="0038162E">
        <w:t xml:space="preserve"> auditorías a municipalidades</w:t>
      </w:r>
      <w:r w:rsidRPr="0038162E">
        <w:t xml:space="preserve"> distribuidas en las distintas regiones de</w:t>
      </w:r>
      <w:r w:rsidR="000D23D0" w:rsidRPr="0038162E">
        <w:t>l país</w:t>
      </w:r>
      <w:r w:rsidR="00FE7E8F" w:rsidRPr="0038162E">
        <w:t>, con una proyección a cierre de año de 4 auditorías más</w:t>
      </w:r>
    </w:p>
    <w:p w14:paraId="0B311811" w14:textId="1022C486" w:rsidR="000A3DAE" w:rsidRPr="0038162E" w:rsidRDefault="00FE7E8F" w:rsidP="00493CDC">
      <w:pPr>
        <w:spacing w:line="360" w:lineRule="auto"/>
        <w:ind w:left="-142"/>
        <w:jc w:val="both"/>
      </w:pPr>
      <w:r w:rsidRPr="0038162E">
        <w:t xml:space="preserve">Además, </w:t>
      </w:r>
      <w:r w:rsidR="000A3DAE" w:rsidRPr="0038162E">
        <w:t xml:space="preserve">a través de la plataforma Sismap Municipal, </w:t>
      </w:r>
      <w:r w:rsidRPr="0038162E">
        <w:t xml:space="preserve">se evalúan </w:t>
      </w:r>
      <w:r w:rsidR="000A3DAE" w:rsidRPr="0038162E">
        <w:t xml:space="preserve">las ejecuciones presupuestarias de 211 </w:t>
      </w:r>
      <w:r w:rsidR="004F52D8">
        <w:t>G</w:t>
      </w:r>
      <w:r w:rsidR="000A3DAE" w:rsidRPr="0038162E">
        <w:t xml:space="preserve">obiernos </w:t>
      </w:r>
      <w:r w:rsidR="004F52D8">
        <w:t>L</w:t>
      </w:r>
      <w:r w:rsidR="000A3DAE" w:rsidRPr="0038162E">
        <w:t>ocales, en cumplimiento a las normativas vigentes.</w:t>
      </w:r>
    </w:p>
    <w:p w14:paraId="2174BBC5" w14:textId="0DD7A887" w:rsidR="00E36781" w:rsidRPr="0038162E" w:rsidRDefault="00FE7E8F" w:rsidP="00493CDC">
      <w:pPr>
        <w:spacing w:line="360" w:lineRule="auto"/>
        <w:ind w:left="-142"/>
        <w:jc w:val="both"/>
      </w:pPr>
      <w:r w:rsidRPr="0038162E">
        <w:t>Otro ejemplo de implementación de cohesión territorial en nuestros procesos es la cobertura de las unidades de auditoría interna gubernamental, las cuales se encuentras distribuidas a lo largo de todo el territorio nacional.</w:t>
      </w:r>
      <w:r w:rsidR="00E36781" w:rsidRPr="0038162E">
        <w:br w:type="page"/>
      </w:r>
    </w:p>
    <w:p w14:paraId="641005D4" w14:textId="2CDA5884" w:rsidR="00FB7D6F" w:rsidRPr="0038162E" w:rsidRDefault="000D23D0" w:rsidP="00903BC2">
      <w:pPr>
        <w:pStyle w:val="Ttulo2"/>
        <w:rPr>
          <w:rFonts w:cs="Times New Roman"/>
          <w:b/>
          <w:bCs/>
          <w:color w:val="767171"/>
          <w:szCs w:val="24"/>
        </w:rPr>
      </w:pPr>
      <w:bookmarkStart w:id="36" w:name="_Toc217997942"/>
      <w:r w:rsidRPr="0038162E">
        <w:rPr>
          <w:rFonts w:cs="Times New Roman"/>
          <w:b/>
          <w:bCs/>
          <w:color w:val="767171"/>
          <w:szCs w:val="24"/>
        </w:rPr>
        <w:lastRenderedPageBreak/>
        <w:t>4.6 Desempeño del Área de Comunicaciones</w:t>
      </w:r>
      <w:bookmarkEnd w:id="36"/>
    </w:p>
    <w:p w14:paraId="3474E2B1" w14:textId="77777777" w:rsidR="00FB7D6F" w:rsidRPr="0038162E" w:rsidRDefault="00FB7D6F" w:rsidP="00493CDC">
      <w:pPr>
        <w:tabs>
          <w:tab w:val="left" w:pos="284"/>
        </w:tabs>
        <w:spacing w:line="360" w:lineRule="auto"/>
        <w:jc w:val="both"/>
      </w:pPr>
    </w:p>
    <w:p w14:paraId="6E12934B" w14:textId="5B97F34C" w:rsidR="00FB7D6F" w:rsidRPr="0038162E" w:rsidRDefault="00FB7D6F" w:rsidP="00493CDC">
      <w:pPr>
        <w:tabs>
          <w:tab w:val="left" w:pos="284"/>
        </w:tabs>
        <w:spacing w:line="360" w:lineRule="auto"/>
        <w:jc w:val="both"/>
      </w:pPr>
      <w:r w:rsidRPr="0038162E">
        <w:t>La Dirección de Comunicaciones)sostuvo en 2025 un perfil operativo ágil y bien articulado. La planificación estratégica ejecutada a lo largo del año permitió consolidar iniciativas clave, fortalecer la visibilidad institucional y asegurar una comunicación más oportuna, útil y cercana para la ciudadanía.</w:t>
      </w:r>
    </w:p>
    <w:p w14:paraId="59A989D9" w14:textId="77777777" w:rsidR="00FB7D6F" w:rsidRPr="0038162E" w:rsidRDefault="00FB7D6F" w:rsidP="00493CDC">
      <w:pPr>
        <w:tabs>
          <w:tab w:val="left" w:pos="284"/>
        </w:tabs>
        <w:spacing w:line="360" w:lineRule="auto"/>
        <w:jc w:val="both"/>
      </w:pPr>
      <w:r w:rsidRPr="0038162E">
        <w:rPr>
          <w:b/>
          <w:bCs/>
        </w:rPr>
        <w:t>Fortalecimiento de la imagen institucional.</w:t>
      </w:r>
      <w:r w:rsidRPr="0038162E">
        <w:t xml:space="preserve"> Durante el 2025, la Dirección de Comunicaciones impulsó acciones sostenidas para reforzar la percepción pública de la Contraloría como una entidad referente en transparencia, rendición de cuentas y control interno del Estado. Este posicionamiento se afianzó mediante campañas cuidadosamente estructuradas, cobertura periodística estratégica y una gestión activa de las plataformas digitales, logrando una presencia más coherente, constante y alineada con los valores institucionales.</w:t>
      </w:r>
    </w:p>
    <w:p w14:paraId="581A2F5C" w14:textId="77777777" w:rsidR="00FB7D6F" w:rsidRPr="0038162E" w:rsidRDefault="00FB7D6F" w:rsidP="00493CDC">
      <w:pPr>
        <w:tabs>
          <w:tab w:val="left" w:pos="284"/>
        </w:tabs>
        <w:spacing w:line="360" w:lineRule="auto"/>
        <w:jc w:val="both"/>
      </w:pPr>
      <w:r w:rsidRPr="0038162E">
        <w:rPr>
          <w:b/>
          <w:bCs/>
        </w:rPr>
        <w:t>Ampliación del alcance del mensaje.</w:t>
      </w:r>
      <w:r w:rsidRPr="0038162E">
        <w:t xml:space="preserve"> En 2025, la estrategia comunicacional avanzó hacia un modelo más abierto y orientado a múltiples audiencias. La Dirección de Comunicaciones diversificó los canales de difusión y consolidó un flujo de interlocución estable con medios tradicionales y digitales. Paralelamente, se fortaleció la relación con instituciones públicas, organizaciones privadas y representantes de la sociedad civil, favoreciendo un ecosistema informativo más amplio y conectado con la misión de la Contraloría.</w:t>
      </w:r>
    </w:p>
    <w:p w14:paraId="66376BAA" w14:textId="77777777" w:rsidR="00FB7D6F" w:rsidRPr="0038162E" w:rsidRDefault="00FB7D6F" w:rsidP="00493CDC">
      <w:pPr>
        <w:spacing w:line="360" w:lineRule="auto"/>
        <w:jc w:val="both"/>
        <w:rPr>
          <w:b/>
          <w:bCs/>
        </w:rPr>
      </w:pPr>
    </w:p>
    <w:p w14:paraId="2E983E90" w14:textId="77777777" w:rsidR="00FB7D6F" w:rsidRPr="0038162E" w:rsidRDefault="00FB7D6F" w:rsidP="00493CDC">
      <w:pPr>
        <w:spacing w:line="360" w:lineRule="auto"/>
        <w:jc w:val="both"/>
        <w:rPr>
          <w:b/>
          <w:bCs/>
        </w:rPr>
      </w:pPr>
    </w:p>
    <w:p w14:paraId="27CE452B" w14:textId="77777777" w:rsidR="00197D2E" w:rsidRPr="0038162E" w:rsidRDefault="00197D2E" w:rsidP="00493CDC">
      <w:pPr>
        <w:spacing w:line="360" w:lineRule="auto"/>
        <w:jc w:val="both"/>
        <w:rPr>
          <w:b/>
          <w:bCs/>
        </w:rPr>
      </w:pPr>
    </w:p>
    <w:p w14:paraId="7F97BAFA" w14:textId="772A58A9" w:rsidR="00FB7D6F" w:rsidRPr="0038162E" w:rsidRDefault="00FB7D6F" w:rsidP="00493CDC">
      <w:pPr>
        <w:spacing w:line="360" w:lineRule="auto"/>
        <w:jc w:val="both"/>
      </w:pPr>
      <w:r w:rsidRPr="0038162E">
        <w:rPr>
          <w:b/>
          <w:bCs/>
        </w:rPr>
        <w:lastRenderedPageBreak/>
        <w:t>Construcción de relaciones institucionales sólidas</w:t>
      </w:r>
      <w:r w:rsidRPr="0038162E">
        <w:t>. La Contraloría fortaleció vínculos con actores de distintos sectores, promoviendo espacios de colaboración y un intercambio permanente de información. Este trabajo relacional ha sido decisivo para afianzar la confianza en la institución y ampliar su capacidad de incidencia en la sociedad dominicana, aportando a un clima de cooperación y mayor articulación interinstitucional.</w:t>
      </w:r>
    </w:p>
    <w:p w14:paraId="31148037" w14:textId="77777777" w:rsidR="00FB7D6F" w:rsidRPr="0038162E" w:rsidRDefault="00FB7D6F" w:rsidP="00493CDC">
      <w:pPr>
        <w:spacing w:line="360" w:lineRule="auto"/>
        <w:jc w:val="both"/>
      </w:pPr>
      <w:r w:rsidRPr="0038162E">
        <w:rPr>
          <w:b/>
          <w:bCs/>
        </w:rPr>
        <w:t>a. Estrategias y acciones en materia de comunicación</w:t>
      </w:r>
    </w:p>
    <w:p w14:paraId="7A877B7E" w14:textId="77777777" w:rsidR="00FB7D6F" w:rsidRPr="0038162E" w:rsidRDefault="00FB7D6F" w:rsidP="00493CDC">
      <w:pPr>
        <w:spacing w:line="360" w:lineRule="auto"/>
        <w:jc w:val="both"/>
      </w:pPr>
      <w:r w:rsidRPr="0038162E">
        <w:t>Para materializar estos avances, la Dirección de Comunicaciones implementó un conjunto de acciones estratégicas y de alto impacto, cuya ejecución sostenida permitió consolidar los resultados descritos. A continuación, se presentan las principales iniciativas desarrolladas.</w:t>
      </w:r>
    </w:p>
    <w:p w14:paraId="3A9995D9" w14:textId="77777777" w:rsidR="00FB7D6F" w:rsidRPr="0038162E" w:rsidRDefault="00FB7D6F">
      <w:pPr>
        <w:pStyle w:val="Prrafodelista"/>
        <w:numPr>
          <w:ilvl w:val="0"/>
          <w:numId w:val="6"/>
        </w:numPr>
        <w:tabs>
          <w:tab w:val="left" w:pos="142"/>
        </w:tabs>
        <w:spacing w:line="360" w:lineRule="auto"/>
        <w:ind w:left="0" w:firstLine="0"/>
        <w:jc w:val="both"/>
      </w:pPr>
      <w:r w:rsidRPr="0038162E">
        <w:t>Plan Estratégico de Comunicación 2025-26 (interno y externo)</w:t>
      </w:r>
    </w:p>
    <w:p w14:paraId="31167016" w14:textId="4C0D2D2B" w:rsidR="00FB7D6F" w:rsidRPr="0038162E" w:rsidRDefault="00FB7D6F">
      <w:pPr>
        <w:pStyle w:val="Prrafodelista"/>
        <w:numPr>
          <w:ilvl w:val="0"/>
          <w:numId w:val="6"/>
        </w:numPr>
        <w:tabs>
          <w:tab w:val="left" w:pos="142"/>
        </w:tabs>
        <w:spacing w:line="360" w:lineRule="auto"/>
        <w:ind w:left="0" w:firstLine="0"/>
        <w:jc w:val="both"/>
      </w:pPr>
      <w:r w:rsidRPr="0038162E">
        <w:t>Elaboración de 8</w:t>
      </w:r>
      <w:r w:rsidR="00D77A4C" w:rsidRPr="0038162E">
        <w:t>7</w:t>
      </w:r>
      <w:r w:rsidRPr="0038162E">
        <w:t xml:space="preserve"> notas de prensa publicadas en nuestra página web y, en su mayoría, enviadas a los medios de comunicación alcanzando</w:t>
      </w:r>
      <w:r w:rsidR="00777E8F" w:rsidRPr="0038162E">
        <w:t xml:space="preserve"> </w:t>
      </w:r>
      <w:r w:rsidRPr="0038162E">
        <w:t>2,841 publicaciones en prensa, digital, televisión y radio.</w:t>
      </w:r>
    </w:p>
    <w:p w14:paraId="44D6D60E" w14:textId="187F0171" w:rsidR="00FB7D6F" w:rsidRPr="0038162E" w:rsidRDefault="00FB7D6F">
      <w:pPr>
        <w:pStyle w:val="Prrafodelista"/>
        <w:numPr>
          <w:ilvl w:val="0"/>
          <w:numId w:val="6"/>
        </w:numPr>
        <w:tabs>
          <w:tab w:val="left" w:pos="142"/>
        </w:tabs>
        <w:spacing w:line="360" w:lineRule="auto"/>
        <w:ind w:left="0" w:firstLine="0"/>
        <w:jc w:val="both"/>
      </w:pPr>
      <w:r w:rsidRPr="0038162E">
        <w:t>Cuatro revistas institucionales Contraloría Informa</w:t>
      </w:r>
      <w:r w:rsidR="000A373F" w:rsidRPr="0038162E">
        <w:t>.</w:t>
      </w:r>
    </w:p>
    <w:p w14:paraId="00DEBDAB" w14:textId="4093AD2A" w:rsidR="00FB7D6F" w:rsidRPr="0038162E" w:rsidRDefault="00FB7D6F">
      <w:pPr>
        <w:pStyle w:val="Prrafodelista"/>
        <w:numPr>
          <w:ilvl w:val="0"/>
          <w:numId w:val="6"/>
        </w:numPr>
        <w:tabs>
          <w:tab w:val="left" w:pos="142"/>
        </w:tabs>
        <w:spacing w:line="360" w:lineRule="auto"/>
        <w:ind w:left="0" w:firstLine="0"/>
        <w:jc w:val="both"/>
      </w:pPr>
      <w:r w:rsidRPr="0038162E">
        <w:t>Calendario editorial mensual de redes sociales, conforme al plan de medios</w:t>
      </w:r>
      <w:r w:rsidR="000A373F" w:rsidRPr="0038162E">
        <w:t>.</w:t>
      </w:r>
    </w:p>
    <w:p w14:paraId="7C1EEFC8" w14:textId="77777777" w:rsidR="00FB7D6F" w:rsidRPr="0038162E" w:rsidRDefault="00FB7D6F">
      <w:pPr>
        <w:pStyle w:val="Prrafodelista"/>
        <w:numPr>
          <w:ilvl w:val="0"/>
          <w:numId w:val="6"/>
        </w:numPr>
        <w:tabs>
          <w:tab w:val="left" w:pos="142"/>
        </w:tabs>
        <w:spacing w:line="360" w:lineRule="auto"/>
        <w:ind w:left="0" w:firstLine="0"/>
        <w:jc w:val="both"/>
      </w:pPr>
      <w:r w:rsidRPr="0038162E">
        <w:t xml:space="preserve">Actualización de Matrices de Riesgo, Comunicación Interna y Externa y Responsabilidad Social </w:t>
      </w:r>
    </w:p>
    <w:p w14:paraId="49E1C15F" w14:textId="77777777" w:rsidR="00FB7D6F" w:rsidRPr="0038162E" w:rsidRDefault="00FB7D6F">
      <w:pPr>
        <w:pStyle w:val="Prrafodelista"/>
        <w:numPr>
          <w:ilvl w:val="0"/>
          <w:numId w:val="6"/>
        </w:numPr>
        <w:tabs>
          <w:tab w:val="left" w:pos="142"/>
        </w:tabs>
        <w:spacing w:line="360" w:lineRule="auto"/>
        <w:ind w:left="0" w:firstLine="0"/>
        <w:jc w:val="both"/>
      </w:pPr>
      <w:r w:rsidRPr="0038162E">
        <w:t>Envío de resúmenes de prensa y monitoreo de medios, de lunes a viernes, a través del correo interno</w:t>
      </w:r>
    </w:p>
    <w:p w14:paraId="74C4264F" w14:textId="77777777" w:rsidR="00FB7D6F" w:rsidRPr="0038162E" w:rsidRDefault="00FB7D6F">
      <w:pPr>
        <w:pStyle w:val="Prrafodelista"/>
        <w:numPr>
          <w:ilvl w:val="0"/>
          <w:numId w:val="6"/>
        </w:numPr>
        <w:tabs>
          <w:tab w:val="left" w:pos="142"/>
        </w:tabs>
        <w:spacing w:line="360" w:lineRule="auto"/>
        <w:ind w:left="0" w:firstLine="0"/>
        <w:jc w:val="both"/>
      </w:pPr>
      <w:r w:rsidRPr="0038162E">
        <w:t>Conceptualización de y desarrollo de la campaña Verifica CGR, incluyendo la creación del nombre del sistema.</w:t>
      </w:r>
    </w:p>
    <w:p w14:paraId="23FEABDF" w14:textId="77777777" w:rsidR="00FB7D6F" w:rsidRPr="0038162E" w:rsidRDefault="00FB7D6F">
      <w:pPr>
        <w:pStyle w:val="Prrafodelista"/>
        <w:numPr>
          <w:ilvl w:val="0"/>
          <w:numId w:val="6"/>
        </w:numPr>
        <w:tabs>
          <w:tab w:val="left" w:pos="142"/>
        </w:tabs>
        <w:spacing w:line="360" w:lineRule="auto"/>
        <w:ind w:left="0" w:firstLine="0"/>
        <w:jc w:val="both"/>
      </w:pPr>
      <w:r w:rsidRPr="0038162E">
        <w:t>Conceptualización y realización de diversos videos tutoriales para Recursos Humanos, y Administrativo y Financiero.</w:t>
      </w:r>
    </w:p>
    <w:p w14:paraId="7C14578F" w14:textId="77777777" w:rsidR="00FB7D6F" w:rsidRPr="0038162E" w:rsidRDefault="00FB7D6F">
      <w:pPr>
        <w:pStyle w:val="Prrafodelista"/>
        <w:numPr>
          <w:ilvl w:val="0"/>
          <w:numId w:val="6"/>
        </w:numPr>
        <w:tabs>
          <w:tab w:val="left" w:pos="142"/>
        </w:tabs>
        <w:spacing w:line="360" w:lineRule="auto"/>
        <w:ind w:left="0" w:firstLine="0"/>
        <w:jc w:val="both"/>
      </w:pPr>
      <w:r w:rsidRPr="0038162E">
        <w:lastRenderedPageBreak/>
        <w:t>Diversas campañas estratégicas para Tecnología, Recursos Humanos, Planificación y desarrollo, Responsabilidad Social, Administrativo,  Cumplimiento y Antisoborno, Jurídico y otras áreas.</w:t>
      </w:r>
    </w:p>
    <w:p w14:paraId="33700914" w14:textId="77777777" w:rsidR="00FB7D6F" w:rsidRPr="0038162E" w:rsidRDefault="00FB7D6F">
      <w:pPr>
        <w:pStyle w:val="Prrafodelista"/>
        <w:numPr>
          <w:ilvl w:val="0"/>
          <w:numId w:val="6"/>
        </w:numPr>
        <w:tabs>
          <w:tab w:val="left" w:pos="142"/>
        </w:tabs>
        <w:spacing w:line="360" w:lineRule="auto"/>
        <w:ind w:left="0" w:firstLine="0"/>
        <w:jc w:val="both"/>
      </w:pPr>
      <w:r w:rsidRPr="0038162E">
        <w:t>Cobertura periodística, fotográfica, fílmica, transmisión en vivo y servicio de maestría de ceremonia, redacción de discursos, corrección de estilo y diseño gráfico al 100% de los eventos requeridos.</w:t>
      </w:r>
    </w:p>
    <w:p w14:paraId="62887CC8" w14:textId="77777777" w:rsidR="00203E9A" w:rsidRPr="0038162E" w:rsidRDefault="00203E9A" w:rsidP="00493CDC">
      <w:pPr>
        <w:pStyle w:val="Prrafodelista"/>
        <w:tabs>
          <w:tab w:val="left" w:pos="142"/>
        </w:tabs>
        <w:spacing w:line="360" w:lineRule="auto"/>
        <w:ind w:left="0"/>
        <w:jc w:val="both"/>
      </w:pPr>
    </w:p>
    <w:p w14:paraId="532BFB7E" w14:textId="77777777" w:rsidR="00FB7D6F" w:rsidRPr="0038162E" w:rsidRDefault="00FB7D6F" w:rsidP="00493CDC">
      <w:pPr>
        <w:spacing w:line="360" w:lineRule="auto"/>
        <w:rPr>
          <w:b/>
          <w:bCs/>
        </w:rPr>
      </w:pPr>
      <w:bookmarkStart w:id="37" w:name="_Hlk215730380"/>
      <w:r w:rsidRPr="0038162E">
        <w:rPr>
          <w:b/>
          <w:bCs/>
        </w:rPr>
        <w:t>b. Campañas desarrolladas durante el año y su impacto</w:t>
      </w:r>
    </w:p>
    <w:bookmarkEnd w:id="37"/>
    <w:p w14:paraId="595BE9C9" w14:textId="77777777" w:rsidR="00FB7D6F" w:rsidRPr="0038162E" w:rsidRDefault="00FB7D6F" w:rsidP="00493CDC">
      <w:pPr>
        <w:spacing w:line="360" w:lineRule="auto"/>
        <w:jc w:val="both"/>
      </w:pPr>
      <w:r w:rsidRPr="0038162E">
        <w:t>Durante el período marzo – diciembre de 2025 se llevaron a cabo cinco campañas publicitarias orientadas a fortalecer la educación ciudadana sobre las atribuciones de la Contraloría General de la República y su rol en la prevención y combate de la corrupción.</w:t>
      </w:r>
    </w:p>
    <w:p w14:paraId="3624BC21" w14:textId="77777777" w:rsidR="00FB7D6F" w:rsidRPr="0038162E" w:rsidRDefault="00FB7D6F" w:rsidP="00493CDC">
      <w:pPr>
        <w:spacing w:line="360" w:lineRule="auto"/>
        <w:jc w:val="both"/>
      </w:pPr>
      <w:r w:rsidRPr="0038162E">
        <w:t>La contratación de los referidos servicios se ejecutó de manera directa, sin intermediación de terceros, en estricta observancia de los requisitos y procedimientos de excepción establecidos en el artículo 6 de la Ley núm. 340-06 sobre Compras y Contrataciones Públicas.</w:t>
      </w:r>
    </w:p>
    <w:p w14:paraId="3A521E59" w14:textId="77777777" w:rsidR="00FB7D6F" w:rsidRPr="0038162E" w:rsidRDefault="00FB7D6F">
      <w:pPr>
        <w:pStyle w:val="Prrafodelista"/>
        <w:numPr>
          <w:ilvl w:val="0"/>
          <w:numId w:val="6"/>
        </w:numPr>
        <w:spacing w:line="360" w:lineRule="auto"/>
        <w:ind w:left="284"/>
        <w:jc w:val="both"/>
      </w:pPr>
      <w:r w:rsidRPr="0038162E">
        <w:t>La distribución de la pauta se desarrolló conforme al siguiente detalle:</w:t>
      </w:r>
    </w:p>
    <w:p w14:paraId="7B63066F" w14:textId="6A2FC8AD" w:rsidR="00FB7D6F" w:rsidRPr="0038162E" w:rsidRDefault="00FB7D6F">
      <w:pPr>
        <w:pStyle w:val="Prrafodelista"/>
        <w:numPr>
          <w:ilvl w:val="0"/>
          <w:numId w:val="6"/>
        </w:numPr>
        <w:spacing w:line="360" w:lineRule="auto"/>
        <w:ind w:left="284"/>
        <w:jc w:val="both"/>
      </w:pPr>
      <w:r w:rsidRPr="0038162E">
        <w:t>Marzo: se gestionó una colocación con vigencia de tres meses en 11 programas televisivos, 12 portales digitales y 10 espacios radiales, para un total de 33 proveedores.</w:t>
      </w:r>
    </w:p>
    <w:p w14:paraId="20FAC2D1" w14:textId="4632738F" w:rsidR="00FB7D6F" w:rsidRPr="0038162E" w:rsidRDefault="00FB7D6F">
      <w:pPr>
        <w:pStyle w:val="Prrafodelista"/>
        <w:numPr>
          <w:ilvl w:val="0"/>
          <w:numId w:val="6"/>
        </w:numPr>
        <w:spacing w:line="360" w:lineRule="auto"/>
        <w:ind w:left="284"/>
        <w:jc w:val="both"/>
      </w:pPr>
      <w:r w:rsidRPr="0038162E">
        <w:t>Julio: se efectuó la inserción de un comunicado de prensa en dos periódicos impresos.</w:t>
      </w:r>
    </w:p>
    <w:p w14:paraId="4F109461" w14:textId="05F9228F" w:rsidR="00FB7D6F" w:rsidRPr="0038162E" w:rsidRDefault="00FB7D6F">
      <w:pPr>
        <w:pStyle w:val="Prrafodelista"/>
        <w:numPr>
          <w:ilvl w:val="0"/>
          <w:numId w:val="6"/>
        </w:numPr>
        <w:spacing w:line="360" w:lineRule="auto"/>
        <w:ind w:left="284"/>
        <w:jc w:val="both"/>
      </w:pPr>
      <w:r w:rsidRPr="0038162E">
        <w:t>Agosto: se difundió la campaña institucional durante tres meses en 13 programas de televisión, nueve diarios digitales y ocho espacios radiales, alcanzando 30 oferentes.</w:t>
      </w:r>
    </w:p>
    <w:p w14:paraId="4A193FE1" w14:textId="77E23566" w:rsidR="00FB7D6F" w:rsidRPr="0038162E" w:rsidRDefault="00FB7D6F">
      <w:pPr>
        <w:pStyle w:val="Prrafodelista"/>
        <w:numPr>
          <w:ilvl w:val="0"/>
          <w:numId w:val="6"/>
        </w:numPr>
        <w:spacing w:line="360" w:lineRule="auto"/>
        <w:ind w:left="284"/>
        <w:jc w:val="both"/>
      </w:pPr>
      <w:r w:rsidRPr="0038162E">
        <w:t>Noviembre: se realizó la colocación de un anuncio institucional en dos periódicos impresos.</w:t>
      </w:r>
    </w:p>
    <w:p w14:paraId="0FEAC334" w14:textId="12553AB0" w:rsidR="00FB7D6F" w:rsidRPr="0038162E" w:rsidRDefault="00FB7D6F">
      <w:pPr>
        <w:pStyle w:val="Prrafodelista"/>
        <w:numPr>
          <w:ilvl w:val="0"/>
          <w:numId w:val="6"/>
        </w:numPr>
        <w:spacing w:line="360" w:lineRule="auto"/>
        <w:ind w:left="284"/>
        <w:jc w:val="both"/>
      </w:pPr>
      <w:r w:rsidRPr="0038162E">
        <w:lastRenderedPageBreak/>
        <w:t>1 de diciembre: se contrató la colocación de publicidad en tres portales digitales y dos programas televisivos, para un total de cinco proveedores, igualmente por un período de tres meses.</w:t>
      </w:r>
    </w:p>
    <w:p w14:paraId="3C0D05C1" w14:textId="77777777" w:rsidR="00FB7D6F" w:rsidRPr="0038162E" w:rsidRDefault="00FB7D6F" w:rsidP="00493CDC">
      <w:pPr>
        <w:pStyle w:val="Prrafodelista"/>
        <w:spacing w:line="360" w:lineRule="auto"/>
        <w:ind w:left="284"/>
        <w:jc w:val="both"/>
      </w:pPr>
    </w:p>
    <w:p w14:paraId="09ADA1C2" w14:textId="19B0AD41" w:rsidR="003279DC" w:rsidRPr="0038162E" w:rsidRDefault="0092543A" w:rsidP="00493CDC">
      <w:pPr>
        <w:spacing w:line="360" w:lineRule="auto"/>
        <w:ind w:left="-142"/>
        <w:jc w:val="both"/>
        <w:rPr>
          <w:b/>
          <w:bCs/>
        </w:rPr>
      </w:pPr>
      <w:r w:rsidRPr="0038162E">
        <w:rPr>
          <w:b/>
          <w:bCs/>
        </w:rPr>
        <w:t>c.</w:t>
      </w:r>
      <w:r w:rsidR="003279DC" w:rsidRPr="0038162E">
        <w:rPr>
          <w:b/>
          <w:bCs/>
        </w:rPr>
        <w:t xml:space="preserve"> Desempeño de las redes sociales</w:t>
      </w:r>
    </w:p>
    <w:p w14:paraId="1744BFDD" w14:textId="4404797A" w:rsidR="003279DC" w:rsidRPr="0038162E" w:rsidRDefault="003279DC" w:rsidP="00493CDC">
      <w:pPr>
        <w:spacing w:line="360" w:lineRule="auto"/>
        <w:ind w:left="-142"/>
        <w:jc w:val="both"/>
      </w:pPr>
      <w:r w:rsidRPr="0038162E">
        <w:rPr>
          <w:b/>
          <w:bCs/>
        </w:rPr>
        <w:t>Twitter:</w:t>
      </w:r>
      <w:r w:rsidRPr="0038162E">
        <w:t xml:space="preserve"> </w:t>
      </w:r>
      <w:r w:rsidR="00FB7D6F" w:rsidRPr="0038162E">
        <w:t>A noviembre 2025 obtuvimos un crecimiento de 70 seguidores respecto del 1er trimestre, equivalente a un 1.17% de incremento orgánico.</w:t>
      </w:r>
    </w:p>
    <w:p w14:paraId="1E242349" w14:textId="0DF54E79" w:rsidR="003279DC" w:rsidRPr="0038162E" w:rsidRDefault="00FB7D6F" w:rsidP="00FB7D6F">
      <w:pPr>
        <w:spacing w:line="360" w:lineRule="auto"/>
        <w:ind w:left="-142"/>
        <w:jc w:val="center"/>
        <w:rPr>
          <w:sz w:val="18"/>
          <w:szCs w:val="18"/>
        </w:rPr>
      </w:pPr>
      <w:r w:rsidRPr="0038162E">
        <w:rPr>
          <w:rFonts w:eastAsia="Aptos"/>
          <w:noProof/>
          <w:sz w:val="18"/>
          <w:szCs w:val="18"/>
        </w:rPr>
        <w:drawing>
          <wp:anchor distT="0" distB="0" distL="114300" distR="114300" simplePos="0" relativeHeight="251754496" behindDoc="1" locked="0" layoutInCell="1" allowOverlap="1" wp14:anchorId="190FA7AD" wp14:editId="3D47F117">
            <wp:simplePos x="0" y="0"/>
            <wp:positionH relativeFrom="margin">
              <wp:align>center</wp:align>
            </wp:positionH>
            <wp:positionV relativeFrom="paragraph">
              <wp:posOffset>201386</wp:posOffset>
            </wp:positionV>
            <wp:extent cx="4572000" cy="1232535"/>
            <wp:effectExtent l="0" t="0" r="0" b="5715"/>
            <wp:wrapTight wrapText="bothSides">
              <wp:wrapPolygon edited="0">
                <wp:start x="0" y="0"/>
                <wp:lineTo x="0" y="21366"/>
                <wp:lineTo x="21510" y="21366"/>
                <wp:lineTo x="21510" y="0"/>
                <wp:lineTo x="0" y="0"/>
              </wp:wrapPolygon>
            </wp:wrapTight>
            <wp:docPr id="1396058144" name="Gráfico 1">
              <a:extLst xmlns:a="http://schemas.openxmlformats.org/drawingml/2006/main">
                <a:ext uri="{FF2B5EF4-FFF2-40B4-BE49-F238E27FC236}">
                  <a16:creationId xmlns:a16="http://schemas.microsoft.com/office/drawing/2014/main" id="{FEFC4F69-F079-8978-E69E-D7C761E5CE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V relativeFrom="margin">
              <wp14:pctHeight>0</wp14:pctHeight>
            </wp14:sizeRelV>
          </wp:anchor>
        </w:drawing>
      </w:r>
      <w:r w:rsidR="003279DC" w:rsidRPr="0038162E">
        <w:rPr>
          <w:sz w:val="18"/>
          <w:szCs w:val="18"/>
        </w:rPr>
        <w:t xml:space="preserve">Gráfico </w:t>
      </w:r>
      <w:r w:rsidR="0005533A" w:rsidRPr="0038162E">
        <w:rPr>
          <w:sz w:val="18"/>
          <w:szCs w:val="18"/>
        </w:rPr>
        <w:t>1</w:t>
      </w:r>
      <w:r w:rsidR="00970267" w:rsidRPr="0038162E">
        <w:rPr>
          <w:sz w:val="18"/>
          <w:szCs w:val="18"/>
        </w:rPr>
        <w:t>5</w:t>
      </w:r>
      <w:r w:rsidR="003279DC" w:rsidRPr="0038162E">
        <w:rPr>
          <w:sz w:val="18"/>
          <w:szCs w:val="18"/>
        </w:rPr>
        <w:t>. Incremento seguidores Twitter</w:t>
      </w:r>
    </w:p>
    <w:p w14:paraId="44979B4D" w14:textId="5A659D15" w:rsidR="0093710E" w:rsidRPr="0077472F" w:rsidRDefault="0093710E" w:rsidP="00FB7D6F">
      <w:pPr>
        <w:spacing w:line="360" w:lineRule="auto"/>
        <w:jc w:val="center"/>
        <w:rPr>
          <w:i/>
          <w:iCs/>
          <w:sz w:val="18"/>
          <w:szCs w:val="18"/>
        </w:rPr>
      </w:pPr>
      <w:r w:rsidRPr="0077472F">
        <w:rPr>
          <w:i/>
          <w:iCs/>
          <w:sz w:val="18"/>
          <w:szCs w:val="18"/>
        </w:rPr>
        <w:t>Fuente. Dirección de Comunicaciones</w:t>
      </w:r>
    </w:p>
    <w:p w14:paraId="2F7E847E" w14:textId="489FFA80" w:rsidR="0093710E" w:rsidRPr="0038162E" w:rsidRDefault="0093710E" w:rsidP="00493CDC">
      <w:pPr>
        <w:spacing w:line="360" w:lineRule="auto"/>
      </w:pPr>
      <w:r w:rsidRPr="0038162E">
        <w:rPr>
          <w:b/>
          <w:bCs/>
        </w:rPr>
        <w:t>Facebook:</w:t>
      </w:r>
      <w:r w:rsidRPr="0038162E">
        <w:t xml:space="preserve"> </w:t>
      </w:r>
      <w:r w:rsidR="00FB7D6F" w:rsidRPr="0038162E">
        <w:t>A noviembre 2025 obtuvimos un crecimiento de 304 seguidores respecto del 1er trimestre, equivalente a un 3.73% de incremento orgánico.</w:t>
      </w:r>
    </w:p>
    <w:p w14:paraId="5FA5D3A4" w14:textId="4B782EFD" w:rsidR="0093710E" w:rsidRPr="0038162E" w:rsidRDefault="00FB7D6F" w:rsidP="00FB7D6F">
      <w:pPr>
        <w:spacing w:line="360" w:lineRule="auto"/>
        <w:ind w:left="-142"/>
        <w:jc w:val="center"/>
        <w:rPr>
          <w:sz w:val="18"/>
          <w:szCs w:val="18"/>
        </w:rPr>
      </w:pPr>
      <w:r w:rsidRPr="0038162E">
        <w:rPr>
          <w:rFonts w:eastAsia="Aptos"/>
          <w:noProof/>
        </w:rPr>
        <w:drawing>
          <wp:anchor distT="0" distB="0" distL="114300" distR="114300" simplePos="0" relativeHeight="251756544" behindDoc="1" locked="0" layoutInCell="1" allowOverlap="1" wp14:anchorId="738CC728" wp14:editId="65F497B7">
            <wp:simplePos x="0" y="0"/>
            <wp:positionH relativeFrom="margin">
              <wp:align>left</wp:align>
            </wp:positionH>
            <wp:positionV relativeFrom="paragraph">
              <wp:posOffset>211455</wp:posOffset>
            </wp:positionV>
            <wp:extent cx="4998720" cy="1584960"/>
            <wp:effectExtent l="0" t="0" r="11430" b="15240"/>
            <wp:wrapTight wrapText="bothSides">
              <wp:wrapPolygon edited="0">
                <wp:start x="0" y="0"/>
                <wp:lineTo x="0" y="21548"/>
                <wp:lineTo x="21567" y="21548"/>
                <wp:lineTo x="21567" y="0"/>
                <wp:lineTo x="0" y="0"/>
              </wp:wrapPolygon>
            </wp:wrapTight>
            <wp:docPr id="1715785347" name="Gráfico 1">
              <a:extLst xmlns:a="http://schemas.openxmlformats.org/drawingml/2006/main">
                <a:ext uri="{FF2B5EF4-FFF2-40B4-BE49-F238E27FC236}">
                  <a16:creationId xmlns:a16="http://schemas.microsoft.com/office/drawing/2014/main" id="{2594C0C7-8285-74B8-B1D9-528E664BE5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anchor>
        </w:drawing>
      </w:r>
      <w:r w:rsidR="0093710E" w:rsidRPr="0038162E">
        <w:rPr>
          <w:sz w:val="18"/>
          <w:szCs w:val="18"/>
        </w:rPr>
        <w:t xml:space="preserve">Gráfico </w:t>
      </w:r>
      <w:r w:rsidR="0005533A" w:rsidRPr="0038162E">
        <w:rPr>
          <w:sz w:val="18"/>
          <w:szCs w:val="18"/>
        </w:rPr>
        <w:t>1</w:t>
      </w:r>
      <w:r w:rsidR="00970267" w:rsidRPr="0038162E">
        <w:rPr>
          <w:sz w:val="18"/>
          <w:szCs w:val="18"/>
        </w:rPr>
        <w:t>6</w:t>
      </w:r>
      <w:r w:rsidR="0093710E" w:rsidRPr="0038162E">
        <w:rPr>
          <w:sz w:val="18"/>
          <w:szCs w:val="18"/>
        </w:rPr>
        <w:t>. Incremento seguidores Facebook</w:t>
      </w:r>
    </w:p>
    <w:p w14:paraId="31C1BDCE" w14:textId="0177A3A8" w:rsidR="0093710E" w:rsidRPr="00846196" w:rsidRDefault="0093710E" w:rsidP="00FB7D6F">
      <w:pPr>
        <w:spacing w:line="360" w:lineRule="auto"/>
        <w:jc w:val="center"/>
        <w:rPr>
          <w:i/>
          <w:iCs/>
          <w:sz w:val="18"/>
          <w:szCs w:val="18"/>
        </w:rPr>
      </w:pPr>
      <w:r w:rsidRPr="00846196">
        <w:rPr>
          <w:i/>
          <w:iCs/>
          <w:sz w:val="18"/>
          <w:szCs w:val="18"/>
        </w:rPr>
        <w:t>Fuente. Dirección de Comunicaciones</w:t>
      </w:r>
    </w:p>
    <w:p w14:paraId="4B96D04C" w14:textId="67B99B40" w:rsidR="0093710E" w:rsidRPr="0038162E" w:rsidRDefault="0093710E" w:rsidP="00493CDC">
      <w:pPr>
        <w:spacing w:line="360" w:lineRule="auto"/>
        <w:ind w:left="-142"/>
        <w:jc w:val="both"/>
      </w:pPr>
      <w:r w:rsidRPr="0038162E">
        <w:rPr>
          <w:b/>
          <w:bCs/>
        </w:rPr>
        <w:t>Instagram:</w:t>
      </w:r>
      <w:r w:rsidRPr="0038162E">
        <w:t xml:space="preserve"> </w:t>
      </w:r>
      <w:r w:rsidR="00FB7D6F" w:rsidRPr="0038162E">
        <w:rPr>
          <w:rFonts w:eastAsia="Aptos"/>
        </w:rPr>
        <w:t>A noviembre 2025 obtuvimos un crecimiento de 5,742 seguidores respecto del 1er trimestre, equivalente a un 10.51% de incremento orgánico.</w:t>
      </w:r>
    </w:p>
    <w:p w14:paraId="490F1244" w14:textId="50E7830E" w:rsidR="0093710E" w:rsidRPr="0038162E" w:rsidRDefault="0093710E" w:rsidP="00FB7D6F">
      <w:pPr>
        <w:spacing w:line="360" w:lineRule="auto"/>
        <w:jc w:val="center"/>
        <w:rPr>
          <w:sz w:val="18"/>
          <w:szCs w:val="18"/>
        </w:rPr>
      </w:pPr>
      <w:r w:rsidRPr="0038162E">
        <w:rPr>
          <w:sz w:val="18"/>
          <w:szCs w:val="18"/>
        </w:rPr>
        <w:lastRenderedPageBreak/>
        <w:t xml:space="preserve">Gráfico </w:t>
      </w:r>
      <w:r w:rsidR="0005533A" w:rsidRPr="0038162E">
        <w:rPr>
          <w:sz w:val="18"/>
          <w:szCs w:val="18"/>
        </w:rPr>
        <w:t>1</w:t>
      </w:r>
      <w:r w:rsidR="00970267" w:rsidRPr="0038162E">
        <w:rPr>
          <w:sz w:val="18"/>
          <w:szCs w:val="18"/>
        </w:rPr>
        <w:t>7</w:t>
      </w:r>
      <w:r w:rsidRPr="0038162E">
        <w:rPr>
          <w:sz w:val="18"/>
          <w:szCs w:val="18"/>
        </w:rPr>
        <w:t>. Incremento de seguidores en Instagram</w:t>
      </w:r>
    </w:p>
    <w:p w14:paraId="398183F2" w14:textId="67682738" w:rsidR="0093710E" w:rsidRPr="00465A16" w:rsidRDefault="00D9693B" w:rsidP="00FB7D6F">
      <w:pPr>
        <w:spacing w:line="360" w:lineRule="auto"/>
        <w:rPr>
          <w:color w:val="4C4747"/>
        </w:rPr>
      </w:pPr>
      <w:r w:rsidRPr="00465A16">
        <w:rPr>
          <w:rFonts w:eastAsia="Aptos"/>
          <w:noProof/>
        </w:rPr>
        <w:drawing>
          <wp:inline distT="0" distB="0" distL="0" distR="0" wp14:anchorId="21B58B21" wp14:editId="1BA456BB">
            <wp:extent cx="4991100" cy="1402080"/>
            <wp:effectExtent l="0" t="0" r="0" b="7620"/>
            <wp:docPr id="1937497021" name="Gráfico 1">
              <a:extLst xmlns:a="http://schemas.openxmlformats.org/drawingml/2006/main">
                <a:ext uri="{FF2B5EF4-FFF2-40B4-BE49-F238E27FC236}">
                  <a16:creationId xmlns:a16="http://schemas.microsoft.com/office/drawing/2014/main" id="{FD0CCCD8-9E4A-CCDF-E009-CFA6DE1DFD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8AFBDBF" w14:textId="77777777" w:rsidR="0093710E" w:rsidRPr="0077472F" w:rsidRDefault="0093710E" w:rsidP="00493CDC">
      <w:pPr>
        <w:spacing w:line="360" w:lineRule="auto"/>
        <w:jc w:val="center"/>
        <w:rPr>
          <w:i/>
          <w:iCs/>
          <w:sz w:val="18"/>
          <w:szCs w:val="18"/>
        </w:rPr>
      </w:pPr>
      <w:r w:rsidRPr="0077472F">
        <w:rPr>
          <w:i/>
          <w:iCs/>
          <w:sz w:val="18"/>
          <w:szCs w:val="18"/>
        </w:rPr>
        <w:t>Fuente. Dirección de Comunicaciones</w:t>
      </w:r>
    </w:p>
    <w:p w14:paraId="261C4AD6" w14:textId="06B20BCA" w:rsidR="0044411A" w:rsidRPr="0038162E" w:rsidRDefault="00340FFF" w:rsidP="00493CDC">
      <w:pPr>
        <w:spacing w:line="360" w:lineRule="auto"/>
        <w:ind w:left="-142"/>
        <w:jc w:val="both"/>
      </w:pPr>
      <w:r w:rsidRPr="0038162E">
        <w:rPr>
          <w:b/>
          <w:bCs/>
        </w:rPr>
        <w:t xml:space="preserve">Youtube: </w:t>
      </w:r>
      <w:r w:rsidR="00D9693B" w:rsidRPr="0038162E">
        <w:t>A noviembre 2025 obtuvimos un crecimiento de 40 seguidores respecto del 1er trimestre, equivalente a un 1.91% de incremen</w:t>
      </w:r>
      <w:r w:rsidR="00D9693B" w:rsidRPr="00846196">
        <w:t>to orgánico.</w:t>
      </w:r>
    </w:p>
    <w:p w14:paraId="0C7CBB37" w14:textId="54CDC8DD" w:rsidR="0044411A" w:rsidRPr="0038162E" w:rsidRDefault="00D9693B" w:rsidP="00FB7D6F">
      <w:pPr>
        <w:spacing w:line="360" w:lineRule="auto"/>
        <w:jc w:val="center"/>
        <w:rPr>
          <w:sz w:val="18"/>
          <w:szCs w:val="18"/>
        </w:rPr>
      </w:pPr>
      <w:r w:rsidRPr="0038162E">
        <w:rPr>
          <w:rFonts w:eastAsia="Aptos"/>
          <w:noProof/>
        </w:rPr>
        <w:drawing>
          <wp:anchor distT="0" distB="0" distL="114300" distR="114300" simplePos="0" relativeHeight="251758592" behindDoc="1" locked="0" layoutInCell="1" allowOverlap="1" wp14:anchorId="538986E2" wp14:editId="25562990">
            <wp:simplePos x="0" y="0"/>
            <wp:positionH relativeFrom="margin">
              <wp:align>left</wp:align>
            </wp:positionH>
            <wp:positionV relativeFrom="paragraph">
              <wp:posOffset>189684</wp:posOffset>
            </wp:positionV>
            <wp:extent cx="4975860" cy="1546860"/>
            <wp:effectExtent l="0" t="0" r="15240" b="15240"/>
            <wp:wrapTight wrapText="bothSides">
              <wp:wrapPolygon edited="0">
                <wp:start x="0" y="0"/>
                <wp:lineTo x="0" y="21547"/>
                <wp:lineTo x="21583" y="21547"/>
                <wp:lineTo x="21583" y="0"/>
                <wp:lineTo x="0" y="0"/>
              </wp:wrapPolygon>
            </wp:wrapTight>
            <wp:docPr id="1132045673" name="Gráfico 1">
              <a:extLst xmlns:a="http://schemas.openxmlformats.org/drawingml/2006/main">
                <a:ext uri="{FF2B5EF4-FFF2-40B4-BE49-F238E27FC236}">
                  <a16:creationId xmlns:a16="http://schemas.microsoft.com/office/drawing/2014/main" id="{02AA9F60-8BDD-DA76-B5A6-77FE82D018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anchor>
        </w:drawing>
      </w:r>
      <w:r w:rsidR="0044411A" w:rsidRPr="0038162E">
        <w:rPr>
          <w:sz w:val="18"/>
          <w:szCs w:val="18"/>
        </w:rPr>
        <w:t xml:space="preserve">Gráfico </w:t>
      </w:r>
      <w:r w:rsidR="0005533A" w:rsidRPr="0038162E">
        <w:rPr>
          <w:sz w:val="18"/>
          <w:szCs w:val="18"/>
        </w:rPr>
        <w:t>1</w:t>
      </w:r>
      <w:r w:rsidR="00970267" w:rsidRPr="0038162E">
        <w:rPr>
          <w:sz w:val="18"/>
          <w:szCs w:val="18"/>
        </w:rPr>
        <w:t>8</w:t>
      </w:r>
      <w:r w:rsidR="0044411A" w:rsidRPr="0038162E">
        <w:rPr>
          <w:sz w:val="18"/>
          <w:szCs w:val="18"/>
        </w:rPr>
        <w:t>. Incremento de seguidores en Youtube</w:t>
      </w:r>
    </w:p>
    <w:p w14:paraId="53C5C035" w14:textId="10787EB7" w:rsidR="0044411A" w:rsidRPr="00846196" w:rsidRDefault="0044411A" w:rsidP="00FB7D6F">
      <w:pPr>
        <w:spacing w:line="360" w:lineRule="auto"/>
        <w:ind w:left="-142"/>
        <w:jc w:val="center"/>
        <w:rPr>
          <w:i/>
          <w:iCs/>
          <w:sz w:val="18"/>
          <w:szCs w:val="18"/>
        </w:rPr>
      </w:pPr>
      <w:r w:rsidRPr="00846196">
        <w:rPr>
          <w:i/>
          <w:iCs/>
          <w:sz w:val="18"/>
          <w:szCs w:val="18"/>
        </w:rPr>
        <w:t>Fuente. Dirección de Comunicaciones</w:t>
      </w:r>
    </w:p>
    <w:tbl>
      <w:tblPr>
        <w:tblStyle w:val="Tablaconcuadrcula1"/>
        <w:tblpPr w:leftFromText="141" w:rightFromText="141" w:vertAnchor="text" w:horzAnchor="margin" w:tblpXSpec="center" w:tblpY="386"/>
        <w:tblW w:w="8089" w:type="dxa"/>
        <w:tblLook w:val="04A0" w:firstRow="1" w:lastRow="0" w:firstColumn="1" w:lastColumn="0" w:noHBand="0" w:noVBand="1"/>
      </w:tblPr>
      <w:tblGrid>
        <w:gridCol w:w="1696"/>
        <w:gridCol w:w="1985"/>
        <w:gridCol w:w="2410"/>
        <w:gridCol w:w="1998"/>
      </w:tblGrid>
      <w:tr w:rsidR="0038162E" w:rsidRPr="0038162E" w14:paraId="288BCB77" w14:textId="77777777" w:rsidTr="004A460A">
        <w:trPr>
          <w:trHeight w:val="836"/>
        </w:trPr>
        <w:tc>
          <w:tcPr>
            <w:tcW w:w="1696" w:type="dxa"/>
            <w:shd w:val="clear" w:color="auto" w:fill="011C50"/>
            <w:noWrap/>
            <w:vAlign w:val="center"/>
            <w:hideMark/>
          </w:tcPr>
          <w:p w14:paraId="34CCF3F1" w14:textId="77777777" w:rsidR="00D9693B" w:rsidRPr="0038162E" w:rsidRDefault="00D9693B" w:rsidP="00D9693B">
            <w:pPr>
              <w:jc w:val="center"/>
              <w:rPr>
                <w:rFonts w:ascii="Times New Roman" w:eastAsia="Aptos" w:hAnsi="Times New Roman" w:cs="Times New Roman"/>
                <w:b/>
                <w:bCs/>
                <w:color w:val="FFFFFF" w:themeColor="background1"/>
                <w:sz w:val="24"/>
                <w:szCs w:val="24"/>
              </w:rPr>
            </w:pPr>
            <w:r w:rsidRPr="0038162E">
              <w:rPr>
                <w:rFonts w:ascii="Times New Roman" w:eastAsia="Aptos" w:hAnsi="Times New Roman" w:cs="Times New Roman"/>
                <w:b/>
                <w:bCs/>
                <w:color w:val="FFFFFF" w:themeColor="background1"/>
                <w:sz w:val="24"/>
                <w:szCs w:val="24"/>
              </w:rPr>
              <w:t>Red social</w:t>
            </w:r>
          </w:p>
        </w:tc>
        <w:tc>
          <w:tcPr>
            <w:tcW w:w="1985" w:type="dxa"/>
            <w:shd w:val="clear" w:color="auto" w:fill="011C50"/>
            <w:noWrap/>
            <w:vAlign w:val="center"/>
            <w:hideMark/>
          </w:tcPr>
          <w:p w14:paraId="35B74150" w14:textId="77777777" w:rsidR="00D9693B" w:rsidRPr="0038162E" w:rsidRDefault="00D9693B" w:rsidP="00D9693B">
            <w:pPr>
              <w:jc w:val="center"/>
              <w:rPr>
                <w:rFonts w:ascii="Times New Roman" w:eastAsia="Aptos" w:hAnsi="Times New Roman" w:cs="Times New Roman"/>
                <w:b/>
                <w:bCs/>
                <w:color w:val="FFFFFF" w:themeColor="background1"/>
                <w:sz w:val="24"/>
                <w:szCs w:val="24"/>
              </w:rPr>
            </w:pPr>
            <w:r w:rsidRPr="0038162E">
              <w:rPr>
                <w:rFonts w:ascii="Times New Roman" w:eastAsia="Aptos" w:hAnsi="Times New Roman" w:cs="Times New Roman"/>
                <w:b/>
                <w:bCs/>
                <w:color w:val="FFFFFF" w:themeColor="background1"/>
                <w:sz w:val="24"/>
                <w:szCs w:val="24"/>
              </w:rPr>
              <w:t>Seguidores actuales</w:t>
            </w:r>
          </w:p>
        </w:tc>
        <w:tc>
          <w:tcPr>
            <w:tcW w:w="2410" w:type="dxa"/>
            <w:shd w:val="clear" w:color="auto" w:fill="011C50"/>
            <w:noWrap/>
            <w:vAlign w:val="center"/>
            <w:hideMark/>
          </w:tcPr>
          <w:p w14:paraId="52516EF5" w14:textId="77777777" w:rsidR="00D9693B" w:rsidRPr="0038162E" w:rsidRDefault="00D9693B" w:rsidP="00D9693B">
            <w:pPr>
              <w:jc w:val="center"/>
              <w:rPr>
                <w:rFonts w:ascii="Times New Roman" w:eastAsia="Aptos" w:hAnsi="Times New Roman" w:cs="Times New Roman"/>
                <w:b/>
                <w:bCs/>
                <w:color w:val="FFFFFF" w:themeColor="background1"/>
                <w:sz w:val="24"/>
                <w:szCs w:val="24"/>
              </w:rPr>
            </w:pPr>
            <w:r w:rsidRPr="0038162E">
              <w:rPr>
                <w:rFonts w:ascii="Times New Roman" w:eastAsia="Aptos" w:hAnsi="Times New Roman" w:cs="Times New Roman"/>
                <w:b/>
                <w:bCs/>
                <w:color w:val="FFFFFF" w:themeColor="background1"/>
                <w:sz w:val="24"/>
                <w:szCs w:val="24"/>
              </w:rPr>
              <w:t>Tasa de crecimiento orgánico</w:t>
            </w:r>
          </w:p>
        </w:tc>
        <w:tc>
          <w:tcPr>
            <w:tcW w:w="1998" w:type="dxa"/>
            <w:shd w:val="clear" w:color="auto" w:fill="011C50"/>
            <w:noWrap/>
            <w:vAlign w:val="center"/>
            <w:hideMark/>
          </w:tcPr>
          <w:p w14:paraId="191A7F21" w14:textId="453A8D5D" w:rsidR="00D9693B" w:rsidRPr="0038162E" w:rsidRDefault="00D9693B" w:rsidP="00D9693B">
            <w:pPr>
              <w:jc w:val="center"/>
              <w:rPr>
                <w:rFonts w:ascii="Times New Roman" w:eastAsia="Aptos" w:hAnsi="Times New Roman" w:cs="Times New Roman"/>
                <w:b/>
                <w:bCs/>
                <w:color w:val="FFFFFF" w:themeColor="background1"/>
                <w:sz w:val="24"/>
                <w:szCs w:val="24"/>
              </w:rPr>
            </w:pPr>
            <w:r w:rsidRPr="0038162E">
              <w:rPr>
                <w:rFonts w:ascii="Times New Roman" w:eastAsia="Aptos" w:hAnsi="Times New Roman" w:cs="Times New Roman"/>
                <w:b/>
                <w:bCs/>
                <w:color w:val="FFFFFF" w:themeColor="background1"/>
                <w:sz w:val="24"/>
                <w:szCs w:val="24"/>
              </w:rPr>
              <w:t>Proyección de seguidores</w:t>
            </w:r>
            <w:r w:rsidR="004A460A">
              <w:rPr>
                <w:rFonts w:ascii="Times New Roman" w:eastAsia="Aptos" w:hAnsi="Times New Roman" w:cs="Times New Roman"/>
                <w:b/>
                <w:bCs/>
                <w:color w:val="FFFFFF" w:themeColor="background1"/>
                <w:sz w:val="24"/>
                <w:szCs w:val="24"/>
              </w:rPr>
              <w:t xml:space="preserve"> diciembre</w:t>
            </w:r>
          </w:p>
        </w:tc>
      </w:tr>
      <w:tr w:rsidR="0038162E" w:rsidRPr="0038162E" w14:paraId="55D8636E" w14:textId="77777777" w:rsidTr="00D9693B">
        <w:trPr>
          <w:trHeight w:val="302"/>
        </w:trPr>
        <w:tc>
          <w:tcPr>
            <w:tcW w:w="1696" w:type="dxa"/>
            <w:noWrap/>
            <w:vAlign w:val="center"/>
            <w:hideMark/>
          </w:tcPr>
          <w:p w14:paraId="160949BB" w14:textId="77777777" w:rsidR="00D9693B" w:rsidRPr="0038162E" w:rsidRDefault="00D9693B" w:rsidP="008E13FC">
            <w:pPr>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Twitter</w:t>
            </w:r>
          </w:p>
        </w:tc>
        <w:tc>
          <w:tcPr>
            <w:tcW w:w="1985" w:type="dxa"/>
            <w:noWrap/>
            <w:vAlign w:val="center"/>
            <w:hideMark/>
          </w:tcPr>
          <w:p w14:paraId="7D5E58EE" w14:textId="77777777" w:rsidR="00D9693B" w:rsidRPr="0038162E" w:rsidRDefault="00D9693B" w:rsidP="00D9693B">
            <w:pPr>
              <w:jc w:val="right"/>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 xml:space="preserve">27,270.00 </w:t>
            </w:r>
          </w:p>
        </w:tc>
        <w:tc>
          <w:tcPr>
            <w:tcW w:w="2410" w:type="dxa"/>
            <w:noWrap/>
            <w:vAlign w:val="center"/>
            <w:hideMark/>
          </w:tcPr>
          <w:p w14:paraId="2786A609" w14:textId="77777777" w:rsidR="00D9693B" w:rsidRPr="0038162E" w:rsidRDefault="00D9693B" w:rsidP="00D9693B">
            <w:pPr>
              <w:jc w:val="right"/>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1.17%</w:t>
            </w:r>
          </w:p>
        </w:tc>
        <w:tc>
          <w:tcPr>
            <w:tcW w:w="1998" w:type="dxa"/>
            <w:noWrap/>
            <w:vAlign w:val="center"/>
            <w:hideMark/>
          </w:tcPr>
          <w:p w14:paraId="739C7F9B" w14:textId="77777777" w:rsidR="00D9693B" w:rsidRPr="0038162E" w:rsidRDefault="00D9693B" w:rsidP="00D9693B">
            <w:pPr>
              <w:jc w:val="right"/>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 xml:space="preserve">27,589.06 </w:t>
            </w:r>
          </w:p>
        </w:tc>
      </w:tr>
      <w:tr w:rsidR="0038162E" w:rsidRPr="0038162E" w14:paraId="72310FA0" w14:textId="77777777" w:rsidTr="00D9693B">
        <w:trPr>
          <w:trHeight w:val="302"/>
        </w:trPr>
        <w:tc>
          <w:tcPr>
            <w:tcW w:w="1696" w:type="dxa"/>
            <w:noWrap/>
            <w:vAlign w:val="center"/>
            <w:hideMark/>
          </w:tcPr>
          <w:p w14:paraId="696B5231" w14:textId="77777777" w:rsidR="00D9693B" w:rsidRPr="0038162E" w:rsidRDefault="00D9693B" w:rsidP="008E13FC">
            <w:pPr>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Facebook</w:t>
            </w:r>
          </w:p>
        </w:tc>
        <w:tc>
          <w:tcPr>
            <w:tcW w:w="1985" w:type="dxa"/>
            <w:noWrap/>
            <w:vAlign w:val="center"/>
            <w:hideMark/>
          </w:tcPr>
          <w:p w14:paraId="553D1CD5" w14:textId="77777777" w:rsidR="00D9693B" w:rsidRPr="0038162E" w:rsidRDefault="00D9693B" w:rsidP="00D9693B">
            <w:pPr>
              <w:jc w:val="right"/>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 xml:space="preserve">10,678.00 </w:t>
            </w:r>
          </w:p>
        </w:tc>
        <w:tc>
          <w:tcPr>
            <w:tcW w:w="2410" w:type="dxa"/>
            <w:noWrap/>
            <w:vAlign w:val="center"/>
            <w:hideMark/>
          </w:tcPr>
          <w:p w14:paraId="2487FAF6" w14:textId="77777777" w:rsidR="00D9693B" w:rsidRPr="0038162E" w:rsidRDefault="00D9693B" w:rsidP="00D9693B">
            <w:pPr>
              <w:jc w:val="right"/>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3.73%</w:t>
            </w:r>
          </w:p>
        </w:tc>
        <w:tc>
          <w:tcPr>
            <w:tcW w:w="1998" w:type="dxa"/>
            <w:noWrap/>
            <w:vAlign w:val="center"/>
            <w:hideMark/>
          </w:tcPr>
          <w:p w14:paraId="0FB37235" w14:textId="77777777" w:rsidR="00D9693B" w:rsidRPr="0038162E" w:rsidRDefault="00D9693B" w:rsidP="00D9693B">
            <w:pPr>
              <w:jc w:val="right"/>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 xml:space="preserve">11,076.29 </w:t>
            </w:r>
          </w:p>
        </w:tc>
      </w:tr>
      <w:tr w:rsidR="0038162E" w:rsidRPr="0038162E" w14:paraId="0515AF7D" w14:textId="77777777" w:rsidTr="00D9693B">
        <w:trPr>
          <w:trHeight w:val="302"/>
        </w:trPr>
        <w:tc>
          <w:tcPr>
            <w:tcW w:w="1696" w:type="dxa"/>
            <w:noWrap/>
            <w:vAlign w:val="center"/>
            <w:hideMark/>
          </w:tcPr>
          <w:p w14:paraId="5F316C0D" w14:textId="77777777" w:rsidR="00D9693B" w:rsidRPr="0038162E" w:rsidRDefault="00D9693B" w:rsidP="008E13FC">
            <w:pPr>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Instagram</w:t>
            </w:r>
          </w:p>
        </w:tc>
        <w:tc>
          <w:tcPr>
            <w:tcW w:w="1985" w:type="dxa"/>
            <w:noWrap/>
            <w:vAlign w:val="center"/>
            <w:hideMark/>
          </w:tcPr>
          <w:p w14:paraId="060B238A" w14:textId="77777777" w:rsidR="00D9693B" w:rsidRPr="0038162E" w:rsidRDefault="00D9693B" w:rsidP="00D9693B">
            <w:pPr>
              <w:jc w:val="right"/>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 xml:space="preserve">48,299.00 </w:t>
            </w:r>
          </w:p>
        </w:tc>
        <w:tc>
          <w:tcPr>
            <w:tcW w:w="2410" w:type="dxa"/>
            <w:noWrap/>
            <w:vAlign w:val="center"/>
            <w:hideMark/>
          </w:tcPr>
          <w:p w14:paraId="745F1F6D" w14:textId="77777777" w:rsidR="00D9693B" w:rsidRPr="0038162E" w:rsidRDefault="00D9693B" w:rsidP="00D9693B">
            <w:pPr>
              <w:jc w:val="right"/>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10.51%</w:t>
            </w:r>
          </w:p>
        </w:tc>
        <w:tc>
          <w:tcPr>
            <w:tcW w:w="1998" w:type="dxa"/>
            <w:noWrap/>
            <w:vAlign w:val="center"/>
            <w:hideMark/>
          </w:tcPr>
          <w:p w14:paraId="00457E94" w14:textId="77777777" w:rsidR="00D9693B" w:rsidRPr="0038162E" w:rsidRDefault="00D9693B" w:rsidP="00D9693B">
            <w:pPr>
              <w:jc w:val="right"/>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 xml:space="preserve">53,375.22 </w:t>
            </w:r>
          </w:p>
        </w:tc>
      </w:tr>
      <w:tr w:rsidR="0038162E" w:rsidRPr="0038162E" w14:paraId="39078263" w14:textId="77777777" w:rsidTr="00D9693B">
        <w:trPr>
          <w:trHeight w:val="302"/>
        </w:trPr>
        <w:tc>
          <w:tcPr>
            <w:tcW w:w="1696" w:type="dxa"/>
            <w:noWrap/>
            <w:vAlign w:val="center"/>
            <w:hideMark/>
          </w:tcPr>
          <w:p w14:paraId="2BF9F8F9" w14:textId="77777777" w:rsidR="00D9693B" w:rsidRPr="0038162E" w:rsidRDefault="00D9693B" w:rsidP="008E13FC">
            <w:pPr>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Youtube</w:t>
            </w:r>
          </w:p>
        </w:tc>
        <w:tc>
          <w:tcPr>
            <w:tcW w:w="1985" w:type="dxa"/>
            <w:noWrap/>
            <w:vAlign w:val="center"/>
            <w:hideMark/>
          </w:tcPr>
          <w:p w14:paraId="2FD130E6" w14:textId="77777777" w:rsidR="00D9693B" w:rsidRPr="0038162E" w:rsidRDefault="00D9693B" w:rsidP="00D9693B">
            <w:pPr>
              <w:jc w:val="right"/>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 xml:space="preserve">1,375.00 </w:t>
            </w:r>
          </w:p>
        </w:tc>
        <w:tc>
          <w:tcPr>
            <w:tcW w:w="2410" w:type="dxa"/>
            <w:noWrap/>
            <w:vAlign w:val="center"/>
            <w:hideMark/>
          </w:tcPr>
          <w:p w14:paraId="074DC34F" w14:textId="77777777" w:rsidR="00D9693B" w:rsidRPr="0038162E" w:rsidRDefault="00D9693B" w:rsidP="00D9693B">
            <w:pPr>
              <w:jc w:val="right"/>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1.91%</w:t>
            </w:r>
          </w:p>
        </w:tc>
        <w:tc>
          <w:tcPr>
            <w:tcW w:w="1998" w:type="dxa"/>
            <w:noWrap/>
            <w:vAlign w:val="center"/>
            <w:hideMark/>
          </w:tcPr>
          <w:p w14:paraId="4D4A5E11" w14:textId="77777777" w:rsidR="00D9693B" w:rsidRPr="0038162E" w:rsidRDefault="00D9693B" w:rsidP="00D9693B">
            <w:pPr>
              <w:jc w:val="right"/>
              <w:rPr>
                <w:rFonts w:ascii="Times New Roman" w:eastAsia="Aptos" w:hAnsi="Times New Roman" w:cs="Times New Roman"/>
                <w:color w:val="767171"/>
                <w:sz w:val="24"/>
                <w:szCs w:val="24"/>
              </w:rPr>
            </w:pPr>
            <w:r w:rsidRPr="0038162E">
              <w:rPr>
                <w:rFonts w:ascii="Times New Roman" w:eastAsia="Aptos" w:hAnsi="Times New Roman" w:cs="Times New Roman"/>
                <w:color w:val="767171"/>
                <w:sz w:val="24"/>
                <w:szCs w:val="24"/>
              </w:rPr>
              <w:t xml:space="preserve">1,401.26 </w:t>
            </w:r>
          </w:p>
        </w:tc>
      </w:tr>
    </w:tbl>
    <w:p w14:paraId="7B12B76A" w14:textId="35B759C1" w:rsidR="0092543A" w:rsidRPr="0038162E" w:rsidRDefault="00D9693B" w:rsidP="00D9693B">
      <w:pPr>
        <w:spacing w:line="360" w:lineRule="auto"/>
        <w:jc w:val="center"/>
      </w:pPr>
      <w:r w:rsidRPr="0038162E">
        <w:rPr>
          <w:sz w:val="18"/>
          <w:szCs w:val="18"/>
        </w:rPr>
        <w:t xml:space="preserve">Tabla </w:t>
      </w:r>
      <w:r w:rsidR="00970267" w:rsidRPr="0038162E">
        <w:rPr>
          <w:sz w:val="18"/>
          <w:szCs w:val="18"/>
        </w:rPr>
        <w:t>28</w:t>
      </w:r>
      <w:r w:rsidRPr="0038162E">
        <w:rPr>
          <w:sz w:val="18"/>
          <w:szCs w:val="18"/>
        </w:rPr>
        <w:t xml:space="preserve"> Proyección seguidores para elmes de diciembre 2025</w:t>
      </w:r>
    </w:p>
    <w:p w14:paraId="0DC6A5E8" w14:textId="77777777" w:rsidR="00D9693B" w:rsidRPr="0077472F" w:rsidRDefault="00D9693B" w:rsidP="00D9693B">
      <w:pPr>
        <w:spacing w:line="360" w:lineRule="auto"/>
        <w:ind w:left="-142"/>
        <w:jc w:val="center"/>
        <w:rPr>
          <w:i/>
          <w:iCs/>
          <w:sz w:val="18"/>
          <w:szCs w:val="18"/>
        </w:rPr>
      </w:pPr>
      <w:r w:rsidRPr="0077472F">
        <w:rPr>
          <w:i/>
          <w:iCs/>
          <w:sz w:val="18"/>
          <w:szCs w:val="18"/>
        </w:rPr>
        <w:t>Fuente. Dirección de Comunicaciones</w:t>
      </w:r>
    </w:p>
    <w:p w14:paraId="1F583ED5" w14:textId="77777777" w:rsidR="00D9693B" w:rsidRDefault="00D9693B" w:rsidP="00D9693B">
      <w:pPr>
        <w:pStyle w:val="Prrafodelista"/>
        <w:spacing w:line="360" w:lineRule="auto"/>
        <w:jc w:val="both"/>
        <w:rPr>
          <w:b/>
          <w:bCs/>
        </w:rPr>
      </w:pPr>
    </w:p>
    <w:p w14:paraId="0E4366AF" w14:textId="77777777" w:rsidR="005370A6" w:rsidRDefault="005370A6" w:rsidP="00D9693B">
      <w:pPr>
        <w:pStyle w:val="Prrafodelista"/>
        <w:spacing w:line="360" w:lineRule="auto"/>
        <w:jc w:val="both"/>
        <w:rPr>
          <w:b/>
          <w:bCs/>
        </w:rPr>
      </w:pPr>
    </w:p>
    <w:p w14:paraId="5190D140" w14:textId="77777777" w:rsidR="005370A6" w:rsidRDefault="005370A6" w:rsidP="00D9693B">
      <w:pPr>
        <w:pStyle w:val="Prrafodelista"/>
        <w:spacing w:line="360" w:lineRule="auto"/>
        <w:jc w:val="both"/>
        <w:rPr>
          <w:b/>
          <w:bCs/>
        </w:rPr>
      </w:pPr>
    </w:p>
    <w:p w14:paraId="2E9C0063" w14:textId="77777777" w:rsidR="005370A6" w:rsidRDefault="005370A6" w:rsidP="00D9693B">
      <w:pPr>
        <w:pStyle w:val="Prrafodelista"/>
        <w:spacing w:line="360" w:lineRule="auto"/>
        <w:jc w:val="both"/>
        <w:rPr>
          <w:b/>
          <w:bCs/>
        </w:rPr>
      </w:pPr>
    </w:p>
    <w:p w14:paraId="0670D981" w14:textId="176F3245" w:rsidR="00354FED" w:rsidRPr="00991A8D" w:rsidRDefault="00354FED">
      <w:pPr>
        <w:pStyle w:val="Prrafodelista"/>
        <w:numPr>
          <w:ilvl w:val="0"/>
          <w:numId w:val="5"/>
        </w:numPr>
        <w:spacing w:line="360" w:lineRule="auto"/>
        <w:ind w:left="284"/>
        <w:jc w:val="both"/>
        <w:rPr>
          <w:b/>
          <w:bCs/>
        </w:rPr>
      </w:pPr>
      <w:r w:rsidRPr="00991A8D">
        <w:rPr>
          <w:b/>
          <w:bCs/>
        </w:rPr>
        <w:lastRenderedPageBreak/>
        <w:t xml:space="preserve">Publicaciones en Medios </w:t>
      </w:r>
    </w:p>
    <w:p w14:paraId="56A97527" w14:textId="77777777" w:rsidR="00D9693B" w:rsidRPr="00991A8D" w:rsidRDefault="00D9693B" w:rsidP="00493CDC">
      <w:pPr>
        <w:spacing w:line="360" w:lineRule="auto"/>
        <w:jc w:val="both"/>
      </w:pPr>
      <w:r w:rsidRPr="00991A8D">
        <w:t xml:space="preserve">Durante el 2025, la Dirección de Comunicaciones gestionó </w:t>
      </w:r>
      <w:bookmarkStart w:id="38" w:name="_Hlk215829416"/>
      <w:r w:rsidRPr="00991A8D">
        <w:t xml:space="preserve">2,841 </w:t>
      </w:r>
      <w:bookmarkEnd w:id="38"/>
      <w:r w:rsidRPr="00991A8D">
        <w:t>impactos mediáticos en prensa impresa, medios digitales, radio y televisión.</w:t>
      </w:r>
    </w:p>
    <w:p w14:paraId="3E004BA9" w14:textId="77777777" w:rsidR="00D9693B" w:rsidRPr="00991A8D" w:rsidRDefault="00D9693B" w:rsidP="00493CDC">
      <w:pPr>
        <w:spacing w:line="360" w:lineRule="auto"/>
        <w:jc w:val="both"/>
      </w:pPr>
      <w:r w:rsidRPr="00991A8D">
        <w:t>El comportamiento anual refleja un crecimiento sostenido en la visibilidad institucional: 603 impactos en el primer trimestre, 757 en el segundo, 920 en el tercero y 561 entre octubre y diciembre. Los medios digitales concentraron la mayor exposición, mientras que televisión registró un incremento significativo en varios periodos, reforzando la expansión del alcance público de la Contraloría.</w:t>
      </w:r>
    </w:p>
    <w:p w14:paraId="2C635ADA" w14:textId="77777777" w:rsidR="00D9693B" w:rsidRPr="00991A8D" w:rsidRDefault="00D9693B" w:rsidP="00493CDC">
      <w:pPr>
        <w:spacing w:line="360" w:lineRule="auto"/>
        <w:jc w:val="both"/>
      </w:pPr>
      <w:r w:rsidRPr="00991A8D">
        <w:t>Estas cifras consolidan la posición de la entidad como un referente de transparencia, fortaleciendo la estrategia de comunicación y el relacionamiento con la prensa nacional.</w:t>
      </w:r>
    </w:p>
    <w:p w14:paraId="63C0C8BB" w14:textId="46C520A5" w:rsidR="00354FED" w:rsidRPr="00991A8D" w:rsidRDefault="00354FED" w:rsidP="00354FED">
      <w:pPr>
        <w:spacing w:line="360" w:lineRule="auto"/>
        <w:ind w:left="-142"/>
        <w:jc w:val="center"/>
        <w:rPr>
          <w:sz w:val="18"/>
          <w:szCs w:val="18"/>
        </w:rPr>
      </w:pPr>
      <w:r w:rsidRPr="00991A8D">
        <w:rPr>
          <w:sz w:val="18"/>
          <w:szCs w:val="18"/>
        </w:rPr>
        <w:t xml:space="preserve">Tabla </w:t>
      </w:r>
      <w:r w:rsidR="0005533A" w:rsidRPr="00991A8D">
        <w:rPr>
          <w:sz w:val="18"/>
          <w:szCs w:val="18"/>
        </w:rPr>
        <w:t>2</w:t>
      </w:r>
      <w:r w:rsidR="00970267" w:rsidRPr="00991A8D">
        <w:rPr>
          <w:sz w:val="18"/>
          <w:szCs w:val="18"/>
        </w:rPr>
        <w:t>9</w:t>
      </w:r>
      <w:r w:rsidRPr="00991A8D">
        <w:rPr>
          <w:sz w:val="18"/>
          <w:szCs w:val="18"/>
        </w:rPr>
        <w:t xml:space="preserve">. </w:t>
      </w:r>
      <w:r w:rsidR="00970267" w:rsidRPr="00991A8D">
        <w:rPr>
          <w:sz w:val="18"/>
          <w:szCs w:val="18"/>
        </w:rPr>
        <w:t>P</w:t>
      </w:r>
      <w:r w:rsidRPr="00991A8D">
        <w:rPr>
          <w:sz w:val="18"/>
          <w:szCs w:val="18"/>
        </w:rPr>
        <w:t>ublicaciones en medio</w:t>
      </w:r>
      <w:r w:rsidR="00087C09" w:rsidRPr="00991A8D">
        <w:rPr>
          <w:sz w:val="18"/>
          <w:szCs w:val="18"/>
        </w:rPr>
        <w:t>s</w:t>
      </w:r>
      <w:r w:rsidRPr="00991A8D">
        <w:rPr>
          <w:sz w:val="18"/>
          <w:szCs w:val="18"/>
        </w:rPr>
        <w:t xml:space="preserve"> 202</w:t>
      </w:r>
      <w:r w:rsidR="00D9693B" w:rsidRPr="00991A8D">
        <w:rPr>
          <w:sz w:val="18"/>
          <w:szCs w:val="18"/>
        </w:rPr>
        <w:t>5</w:t>
      </w:r>
    </w:p>
    <w:tbl>
      <w:tblPr>
        <w:tblW w:w="7933" w:type="dxa"/>
        <w:tblCellMar>
          <w:left w:w="70" w:type="dxa"/>
          <w:right w:w="70" w:type="dxa"/>
        </w:tblCellMar>
        <w:tblLook w:val="04A0" w:firstRow="1" w:lastRow="0" w:firstColumn="1" w:lastColumn="0" w:noHBand="0" w:noVBand="1"/>
      </w:tblPr>
      <w:tblGrid>
        <w:gridCol w:w="2320"/>
        <w:gridCol w:w="1928"/>
        <w:gridCol w:w="1843"/>
        <w:gridCol w:w="1842"/>
      </w:tblGrid>
      <w:tr w:rsidR="005151C5" w:rsidRPr="00465A16" w14:paraId="2674B2B6" w14:textId="77777777" w:rsidTr="00197D2E">
        <w:trPr>
          <w:trHeight w:val="744"/>
        </w:trPr>
        <w:tc>
          <w:tcPr>
            <w:tcW w:w="2320"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1B4822B0" w14:textId="77777777" w:rsidR="005151C5" w:rsidRPr="00465A16" w:rsidRDefault="005151C5" w:rsidP="005151C5">
            <w:pPr>
              <w:spacing w:after="0" w:line="360" w:lineRule="auto"/>
              <w:jc w:val="center"/>
              <w:rPr>
                <w:rFonts w:eastAsia="Times New Roman"/>
                <w:b/>
                <w:bCs/>
                <w:color w:val="FFFFFF"/>
                <w:spacing w:val="0"/>
                <w:lang w:eastAsia="es-DO"/>
              </w:rPr>
            </w:pPr>
            <w:r w:rsidRPr="00465A16">
              <w:rPr>
                <w:rFonts w:eastAsia="Times New Roman"/>
                <w:b/>
                <w:bCs/>
                <w:color w:val="FFFFFF"/>
                <w:spacing w:val="0"/>
                <w:lang w:eastAsia="es-DO"/>
              </w:rPr>
              <w:t xml:space="preserve">Medios </w:t>
            </w:r>
          </w:p>
        </w:tc>
        <w:tc>
          <w:tcPr>
            <w:tcW w:w="1928" w:type="dxa"/>
            <w:tcBorders>
              <w:top w:val="single" w:sz="4" w:space="0" w:color="auto"/>
              <w:left w:val="nil"/>
              <w:bottom w:val="single" w:sz="4" w:space="0" w:color="auto"/>
              <w:right w:val="single" w:sz="4" w:space="0" w:color="auto"/>
            </w:tcBorders>
            <w:shd w:val="clear" w:color="auto" w:fill="011C50"/>
            <w:noWrap/>
            <w:vAlign w:val="center"/>
            <w:hideMark/>
          </w:tcPr>
          <w:p w14:paraId="396768FE" w14:textId="77777777" w:rsidR="005151C5" w:rsidRPr="00465A16" w:rsidRDefault="005151C5" w:rsidP="005151C5">
            <w:pPr>
              <w:spacing w:after="0" w:line="360" w:lineRule="auto"/>
              <w:jc w:val="center"/>
              <w:rPr>
                <w:rFonts w:eastAsia="Times New Roman"/>
                <w:b/>
                <w:bCs/>
                <w:color w:val="FFFFFF"/>
                <w:spacing w:val="0"/>
                <w:lang w:eastAsia="es-DO"/>
              </w:rPr>
            </w:pPr>
            <w:r w:rsidRPr="00465A16">
              <w:rPr>
                <w:rFonts w:eastAsia="Times New Roman"/>
                <w:b/>
                <w:bCs/>
                <w:color w:val="FFFFFF"/>
                <w:spacing w:val="0"/>
                <w:lang w:eastAsia="es-DO"/>
              </w:rPr>
              <w:t>Ene - Nov</w:t>
            </w:r>
          </w:p>
        </w:tc>
        <w:tc>
          <w:tcPr>
            <w:tcW w:w="1843" w:type="dxa"/>
            <w:tcBorders>
              <w:top w:val="single" w:sz="4" w:space="0" w:color="auto"/>
              <w:left w:val="nil"/>
              <w:bottom w:val="single" w:sz="4" w:space="0" w:color="auto"/>
              <w:right w:val="single" w:sz="4" w:space="0" w:color="auto"/>
            </w:tcBorders>
            <w:shd w:val="clear" w:color="auto" w:fill="011C50"/>
            <w:vAlign w:val="center"/>
            <w:hideMark/>
          </w:tcPr>
          <w:p w14:paraId="4F33B4CF" w14:textId="77777777" w:rsidR="005151C5" w:rsidRPr="00465A16" w:rsidRDefault="005151C5" w:rsidP="005151C5">
            <w:pPr>
              <w:spacing w:after="0" w:line="36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Proyección Diciembre</w:t>
            </w:r>
          </w:p>
        </w:tc>
        <w:tc>
          <w:tcPr>
            <w:tcW w:w="1842" w:type="dxa"/>
            <w:tcBorders>
              <w:top w:val="single" w:sz="4" w:space="0" w:color="auto"/>
              <w:left w:val="nil"/>
              <w:bottom w:val="single" w:sz="4" w:space="0" w:color="auto"/>
              <w:right w:val="single" w:sz="4" w:space="0" w:color="auto"/>
            </w:tcBorders>
            <w:shd w:val="clear" w:color="auto" w:fill="011C50"/>
            <w:vAlign w:val="center"/>
            <w:hideMark/>
          </w:tcPr>
          <w:p w14:paraId="0DAC4F8E" w14:textId="77777777" w:rsidR="005151C5" w:rsidRPr="00465A16" w:rsidRDefault="005151C5" w:rsidP="005151C5">
            <w:pPr>
              <w:spacing w:after="0" w:line="36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 xml:space="preserve">Total </w:t>
            </w:r>
          </w:p>
        </w:tc>
      </w:tr>
      <w:tr w:rsidR="005151C5" w:rsidRPr="00465A16" w14:paraId="0ED90E05" w14:textId="77777777" w:rsidTr="005151C5">
        <w:trPr>
          <w:trHeight w:val="360"/>
        </w:trPr>
        <w:tc>
          <w:tcPr>
            <w:tcW w:w="2320" w:type="dxa"/>
            <w:tcBorders>
              <w:top w:val="nil"/>
              <w:left w:val="single" w:sz="4" w:space="0" w:color="auto"/>
              <w:bottom w:val="single" w:sz="4" w:space="0" w:color="auto"/>
              <w:right w:val="single" w:sz="4" w:space="0" w:color="auto"/>
            </w:tcBorders>
            <w:shd w:val="clear" w:color="000000" w:fill="FFFFFF"/>
            <w:noWrap/>
            <w:vAlign w:val="center"/>
            <w:hideMark/>
          </w:tcPr>
          <w:p w14:paraId="65F8A577" w14:textId="77777777" w:rsidR="005151C5" w:rsidRPr="00991A8D" w:rsidRDefault="005151C5" w:rsidP="005151C5">
            <w:pPr>
              <w:spacing w:after="0" w:line="360" w:lineRule="auto"/>
              <w:rPr>
                <w:rFonts w:eastAsia="Times New Roman"/>
                <w:spacing w:val="0"/>
                <w:lang w:eastAsia="es-DO"/>
              </w:rPr>
            </w:pPr>
            <w:r w:rsidRPr="00991A8D">
              <w:rPr>
                <w:rFonts w:eastAsia="Times New Roman"/>
                <w:spacing w:val="0"/>
                <w:lang w:eastAsia="es-DO"/>
              </w:rPr>
              <w:t>Periódicos Impresos</w:t>
            </w:r>
          </w:p>
        </w:tc>
        <w:tc>
          <w:tcPr>
            <w:tcW w:w="1928" w:type="dxa"/>
            <w:tcBorders>
              <w:top w:val="nil"/>
              <w:left w:val="nil"/>
              <w:bottom w:val="single" w:sz="4" w:space="0" w:color="auto"/>
              <w:right w:val="single" w:sz="4" w:space="0" w:color="auto"/>
            </w:tcBorders>
            <w:shd w:val="clear" w:color="000000" w:fill="FFFFFF"/>
            <w:noWrap/>
            <w:vAlign w:val="center"/>
            <w:hideMark/>
          </w:tcPr>
          <w:p w14:paraId="0EF0ACA9" w14:textId="77777777" w:rsidR="005151C5" w:rsidRPr="00991A8D" w:rsidRDefault="005151C5" w:rsidP="005151C5">
            <w:pPr>
              <w:spacing w:after="0" w:line="360" w:lineRule="auto"/>
              <w:jc w:val="center"/>
              <w:rPr>
                <w:rFonts w:eastAsia="Times New Roman"/>
                <w:spacing w:val="0"/>
                <w:lang w:eastAsia="es-DO"/>
              </w:rPr>
            </w:pPr>
            <w:r w:rsidRPr="00991A8D">
              <w:rPr>
                <w:rFonts w:eastAsia="Times New Roman"/>
                <w:spacing w:val="0"/>
                <w:lang w:eastAsia="es-DO"/>
              </w:rPr>
              <w:t>151</w:t>
            </w:r>
          </w:p>
        </w:tc>
        <w:tc>
          <w:tcPr>
            <w:tcW w:w="1843" w:type="dxa"/>
            <w:tcBorders>
              <w:top w:val="nil"/>
              <w:left w:val="nil"/>
              <w:bottom w:val="single" w:sz="4" w:space="0" w:color="auto"/>
              <w:right w:val="single" w:sz="4" w:space="0" w:color="auto"/>
            </w:tcBorders>
            <w:shd w:val="clear" w:color="000000" w:fill="F2F2F2"/>
            <w:noWrap/>
            <w:vAlign w:val="center"/>
            <w:hideMark/>
          </w:tcPr>
          <w:p w14:paraId="421C8E7C" w14:textId="77777777" w:rsidR="005151C5" w:rsidRPr="00991A8D" w:rsidRDefault="005151C5" w:rsidP="005151C5">
            <w:pPr>
              <w:spacing w:after="0" w:line="360" w:lineRule="auto"/>
              <w:jc w:val="center"/>
              <w:rPr>
                <w:rFonts w:eastAsia="Times New Roman"/>
                <w:spacing w:val="0"/>
                <w:lang w:eastAsia="es-DO"/>
              </w:rPr>
            </w:pPr>
            <w:r w:rsidRPr="00991A8D">
              <w:rPr>
                <w:rFonts w:eastAsia="Times New Roman"/>
                <w:spacing w:val="0"/>
                <w:lang w:eastAsia="es-DO"/>
              </w:rPr>
              <w:t>12</w:t>
            </w:r>
          </w:p>
        </w:tc>
        <w:tc>
          <w:tcPr>
            <w:tcW w:w="1842" w:type="dxa"/>
            <w:tcBorders>
              <w:top w:val="nil"/>
              <w:left w:val="nil"/>
              <w:bottom w:val="single" w:sz="4" w:space="0" w:color="auto"/>
              <w:right w:val="single" w:sz="4" w:space="0" w:color="auto"/>
            </w:tcBorders>
            <w:noWrap/>
            <w:vAlign w:val="bottom"/>
            <w:hideMark/>
          </w:tcPr>
          <w:p w14:paraId="5C9302A3" w14:textId="77777777" w:rsidR="005151C5" w:rsidRPr="00991A8D" w:rsidRDefault="005151C5" w:rsidP="005151C5">
            <w:pPr>
              <w:spacing w:after="0" w:line="360" w:lineRule="auto"/>
              <w:jc w:val="center"/>
              <w:rPr>
                <w:rFonts w:eastAsia="Times New Roman"/>
                <w:spacing w:val="0"/>
                <w:lang w:eastAsia="es-DO"/>
              </w:rPr>
            </w:pPr>
            <w:r w:rsidRPr="00991A8D">
              <w:rPr>
                <w:rFonts w:eastAsia="Times New Roman"/>
                <w:spacing w:val="0"/>
                <w:lang w:eastAsia="es-DO"/>
              </w:rPr>
              <w:t>163</w:t>
            </w:r>
          </w:p>
        </w:tc>
      </w:tr>
      <w:tr w:rsidR="005151C5" w:rsidRPr="00465A16" w14:paraId="2BA76DC8" w14:textId="77777777" w:rsidTr="005151C5">
        <w:trPr>
          <w:trHeight w:val="360"/>
        </w:trPr>
        <w:tc>
          <w:tcPr>
            <w:tcW w:w="2320" w:type="dxa"/>
            <w:tcBorders>
              <w:top w:val="nil"/>
              <w:left w:val="single" w:sz="4" w:space="0" w:color="auto"/>
              <w:bottom w:val="single" w:sz="4" w:space="0" w:color="auto"/>
              <w:right w:val="single" w:sz="4" w:space="0" w:color="auto"/>
            </w:tcBorders>
            <w:shd w:val="clear" w:color="000000" w:fill="FFFFFF"/>
            <w:noWrap/>
            <w:vAlign w:val="center"/>
            <w:hideMark/>
          </w:tcPr>
          <w:p w14:paraId="37FB9163" w14:textId="77777777" w:rsidR="005151C5" w:rsidRPr="00991A8D" w:rsidRDefault="005151C5" w:rsidP="005151C5">
            <w:pPr>
              <w:spacing w:after="0" w:line="360" w:lineRule="auto"/>
              <w:rPr>
                <w:rFonts w:eastAsia="Times New Roman"/>
                <w:spacing w:val="0"/>
                <w:lang w:eastAsia="es-DO"/>
              </w:rPr>
            </w:pPr>
            <w:r w:rsidRPr="00991A8D">
              <w:rPr>
                <w:rFonts w:eastAsia="Times New Roman"/>
                <w:spacing w:val="0"/>
                <w:lang w:eastAsia="es-DO"/>
              </w:rPr>
              <w:t>Medios Digitales</w:t>
            </w:r>
          </w:p>
        </w:tc>
        <w:tc>
          <w:tcPr>
            <w:tcW w:w="1928" w:type="dxa"/>
            <w:tcBorders>
              <w:top w:val="nil"/>
              <w:left w:val="nil"/>
              <w:bottom w:val="single" w:sz="4" w:space="0" w:color="auto"/>
              <w:right w:val="single" w:sz="4" w:space="0" w:color="auto"/>
            </w:tcBorders>
            <w:shd w:val="clear" w:color="000000" w:fill="FFFFFF"/>
            <w:noWrap/>
            <w:vAlign w:val="center"/>
            <w:hideMark/>
          </w:tcPr>
          <w:p w14:paraId="490545F3" w14:textId="77777777" w:rsidR="005151C5" w:rsidRPr="00991A8D" w:rsidRDefault="005151C5" w:rsidP="005151C5">
            <w:pPr>
              <w:spacing w:after="0" w:line="360" w:lineRule="auto"/>
              <w:jc w:val="center"/>
              <w:rPr>
                <w:rFonts w:eastAsia="Times New Roman"/>
                <w:spacing w:val="0"/>
                <w:lang w:eastAsia="es-DO"/>
              </w:rPr>
            </w:pPr>
            <w:r w:rsidRPr="00991A8D">
              <w:rPr>
                <w:rFonts w:eastAsia="Times New Roman"/>
                <w:spacing w:val="0"/>
                <w:lang w:eastAsia="es-DO"/>
              </w:rPr>
              <w:t>964</w:t>
            </w:r>
          </w:p>
        </w:tc>
        <w:tc>
          <w:tcPr>
            <w:tcW w:w="1843" w:type="dxa"/>
            <w:tcBorders>
              <w:top w:val="nil"/>
              <w:left w:val="nil"/>
              <w:bottom w:val="single" w:sz="4" w:space="0" w:color="auto"/>
              <w:right w:val="single" w:sz="4" w:space="0" w:color="auto"/>
            </w:tcBorders>
            <w:noWrap/>
            <w:vAlign w:val="center"/>
            <w:hideMark/>
          </w:tcPr>
          <w:p w14:paraId="6A5963F3" w14:textId="77777777" w:rsidR="005151C5" w:rsidRPr="00991A8D" w:rsidRDefault="005151C5" w:rsidP="005151C5">
            <w:pPr>
              <w:spacing w:after="0" w:line="360" w:lineRule="auto"/>
              <w:jc w:val="center"/>
              <w:rPr>
                <w:rFonts w:eastAsia="Times New Roman"/>
                <w:spacing w:val="0"/>
                <w:lang w:eastAsia="es-DO"/>
              </w:rPr>
            </w:pPr>
            <w:r w:rsidRPr="00991A8D">
              <w:rPr>
                <w:rFonts w:eastAsia="Times New Roman"/>
                <w:spacing w:val="0"/>
                <w:lang w:eastAsia="es-DO"/>
              </w:rPr>
              <w:t>30</w:t>
            </w:r>
          </w:p>
        </w:tc>
        <w:tc>
          <w:tcPr>
            <w:tcW w:w="1842" w:type="dxa"/>
            <w:tcBorders>
              <w:top w:val="nil"/>
              <w:left w:val="nil"/>
              <w:bottom w:val="single" w:sz="4" w:space="0" w:color="auto"/>
              <w:right w:val="single" w:sz="4" w:space="0" w:color="auto"/>
            </w:tcBorders>
            <w:noWrap/>
            <w:vAlign w:val="bottom"/>
            <w:hideMark/>
          </w:tcPr>
          <w:p w14:paraId="025C57F8" w14:textId="77777777" w:rsidR="005151C5" w:rsidRPr="00991A8D" w:rsidRDefault="005151C5" w:rsidP="005151C5">
            <w:pPr>
              <w:spacing w:after="0" w:line="360" w:lineRule="auto"/>
              <w:jc w:val="center"/>
              <w:rPr>
                <w:rFonts w:eastAsia="Times New Roman"/>
                <w:spacing w:val="0"/>
                <w:lang w:eastAsia="es-DO"/>
              </w:rPr>
            </w:pPr>
            <w:r w:rsidRPr="00991A8D">
              <w:rPr>
                <w:rFonts w:eastAsia="Times New Roman"/>
                <w:spacing w:val="0"/>
                <w:lang w:eastAsia="es-DO"/>
              </w:rPr>
              <w:t>994</w:t>
            </w:r>
          </w:p>
        </w:tc>
      </w:tr>
      <w:tr w:rsidR="005151C5" w:rsidRPr="00465A16" w14:paraId="042C57E5" w14:textId="77777777" w:rsidTr="005151C5">
        <w:trPr>
          <w:trHeight w:val="360"/>
        </w:trPr>
        <w:tc>
          <w:tcPr>
            <w:tcW w:w="2320" w:type="dxa"/>
            <w:tcBorders>
              <w:top w:val="nil"/>
              <w:left w:val="single" w:sz="4" w:space="0" w:color="auto"/>
              <w:bottom w:val="single" w:sz="4" w:space="0" w:color="auto"/>
              <w:right w:val="single" w:sz="4" w:space="0" w:color="auto"/>
            </w:tcBorders>
            <w:shd w:val="clear" w:color="000000" w:fill="FFFFFF"/>
            <w:noWrap/>
            <w:vAlign w:val="center"/>
            <w:hideMark/>
          </w:tcPr>
          <w:p w14:paraId="512B5D56" w14:textId="77777777" w:rsidR="005151C5" w:rsidRPr="00991A8D" w:rsidRDefault="005151C5" w:rsidP="005151C5">
            <w:pPr>
              <w:spacing w:after="0" w:line="360" w:lineRule="auto"/>
              <w:rPr>
                <w:rFonts w:eastAsia="Times New Roman"/>
                <w:spacing w:val="0"/>
                <w:lang w:eastAsia="es-DO"/>
              </w:rPr>
            </w:pPr>
            <w:r w:rsidRPr="00991A8D">
              <w:rPr>
                <w:rFonts w:eastAsia="Times New Roman"/>
                <w:spacing w:val="0"/>
                <w:lang w:eastAsia="es-DO"/>
              </w:rPr>
              <w:t>Medios Radiales</w:t>
            </w:r>
          </w:p>
        </w:tc>
        <w:tc>
          <w:tcPr>
            <w:tcW w:w="1928" w:type="dxa"/>
            <w:tcBorders>
              <w:top w:val="nil"/>
              <w:left w:val="nil"/>
              <w:bottom w:val="single" w:sz="4" w:space="0" w:color="auto"/>
              <w:right w:val="single" w:sz="4" w:space="0" w:color="auto"/>
            </w:tcBorders>
            <w:shd w:val="clear" w:color="000000" w:fill="FFFFFF"/>
            <w:noWrap/>
            <w:vAlign w:val="center"/>
            <w:hideMark/>
          </w:tcPr>
          <w:p w14:paraId="07A88842" w14:textId="77777777" w:rsidR="005151C5" w:rsidRPr="00991A8D" w:rsidRDefault="005151C5" w:rsidP="005151C5">
            <w:pPr>
              <w:spacing w:after="0" w:line="360" w:lineRule="auto"/>
              <w:jc w:val="center"/>
              <w:rPr>
                <w:rFonts w:eastAsia="Times New Roman"/>
                <w:spacing w:val="0"/>
                <w:lang w:eastAsia="es-DO"/>
              </w:rPr>
            </w:pPr>
            <w:r w:rsidRPr="00991A8D">
              <w:rPr>
                <w:rFonts w:eastAsia="Times New Roman"/>
                <w:spacing w:val="0"/>
                <w:lang w:eastAsia="es-DO"/>
              </w:rPr>
              <w:t>497</w:t>
            </w:r>
          </w:p>
        </w:tc>
        <w:tc>
          <w:tcPr>
            <w:tcW w:w="1843" w:type="dxa"/>
            <w:tcBorders>
              <w:top w:val="nil"/>
              <w:left w:val="nil"/>
              <w:bottom w:val="single" w:sz="4" w:space="0" w:color="auto"/>
              <w:right w:val="single" w:sz="4" w:space="0" w:color="auto"/>
            </w:tcBorders>
            <w:shd w:val="clear" w:color="000000" w:fill="F2F2F2"/>
            <w:noWrap/>
            <w:vAlign w:val="center"/>
            <w:hideMark/>
          </w:tcPr>
          <w:p w14:paraId="6780018C" w14:textId="77777777" w:rsidR="005151C5" w:rsidRPr="00991A8D" w:rsidRDefault="005151C5" w:rsidP="005151C5">
            <w:pPr>
              <w:spacing w:after="0" w:line="360" w:lineRule="auto"/>
              <w:jc w:val="center"/>
              <w:rPr>
                <w:rFonts w:eastAsia="Times New Roman"/>
                <w:spacing w:val="0"/>
                <w:lang w:eastAsia="es-DO"/>
              </w:rPr>
            </w:pPr>
            <w:r w:rsidRPr="00991A8D">
              <w:rPr>
                <w:rFonts w:eastAsia="Times New Roman"/>
                <w:spacing w:val="0"/>
                <w:lang w:eastAsia="es-DO"/>
              </w:rPr>
              <w:t>15</w:t>
            </w:r>
          </w:p>
        </w:tc>
        <w:tc>
          <w:tcPr>
            <w:tcW w:w="1842" w:type="dxa"/>
            <w:tcBorders>
              <w:top w:val="nil"/>
              <w:left w:val="nil"/>
              <w:bottom w:val="single" w:sz="4" w:space="0" w:color="auto"/>
              <w:right w:val="single" w:sz="4" w:space="0" w:color="auto"/>
            </w:tcBorders>
            <w:noWrap/>
            <w:vAlign w:val="bottom"/>
            <w:hideMark/>
          </w:tcPr>
          <w:p w14:paraId="34C85331" w14:textId="77777777" w:rsidR="005151C5" w:rsidRPr="00991A8D" w:rsidRDefault="005151C5" w:rsidP="005151C5">
            <w:pPr>
              <w:spacing w:after="0" w:line="360" w:lineRule="auto"/>
              <w:jc w:val="center"/>
              <w:rPr>
                <w:rFonts w:eastAsia="Times New Roman"/>
                <w:spacing w:val="0"/>
                <w:lang w:eastAsia="es-DO"/>
              </w:rPr>
            </w:pPr>
            <w:r w:rsidRPr="00991A8D">
              <w:rPr>
                <w:rFonts w:eastAsia="Times New Roman"/>
                <w:spacing w:val="0"/>
                <w:lang w:eastAsia="es-DO"/>
              </w:rPr>
              <w:t>512</w:t>
            </w:r>
          </w:p>
        </w:tc>
      </w:tr>
      <w:tr w:rsidR="005151C5" w:rsidRPr="00465A16" w14:paraId="5AFBD7C4" w14:textId="77777777" w:rsidTr="005151C5">
        <w:trPr>
          <w:trHeight w:val="360"/>
        </w:trPr>
        <w:tc>
          <w:tcPr>
            <w:tcW w:w="2320" w:type="dxa"/>
            <w:tcBorders>
              <w:top w:val="nil"/>
              <w:left w:val="single" w:sz="4" w:space="0" w:color="auto"/>
              <w:bottom w:val="single" w:sz="4" w:space="0" w:color="auto"/>
              <w:right w:val="single" w:sz="4" w:space="0" w:color="auto"/>
            </w:tcBorders>
            <w:shd w:val="clear" w:color="000000" w:fill="FFFFFF"/>
            <w:noWrap/>
            <w:vAlign w:val="center"/>
            <w:hideMark/>
          </w:tcPr>
          <w:p w14:paraId="34349E8B" w14:textId="77777777" w:rsidR="005151C5" w:rsidRPr="00991A8D" w:rsidRDefault="005151C5" w:rsidP="005151C5">
            <w:pPr>
              <w:spacing w:after="0" w:line="360" w:lineRule="auto"/>
              <w:rPr>
                <w:rFonts w:eastAsia="Times New Roman"/>
                <w:spacing w:val="0"/>
                <w:lang w:eastAsia="es-DO"/>
              </w:rPr>
            </w:pPr>
            <w:r w:rsidRPr="00991A8D">
              <w:rPr>
                <w:rFonts w:eastAsia="Times New Roman"/>
                <w:spacing w:val="0"/>
                <w:lang w:eastAsia="es-DO"/>
              </w:rPr>
              <w:t>Medios Canales TV</w:t>
            </w:r>
          </w:p>
        </w:tc>
        <w:tc>
          <w:tcPr>
            <w:tcW w:w="1928" w:type="dxa"/>
            <w:tcBorders>
              <w:top w:val="nil"/>
              <w:left w:val="nil"/>
              <w:bottom w:val="single" w:sz="4" w:space="0" w:color="auto"/>
              <w:right w:val="single" w:sz="4" w:space="0" w:color="auto"/>
            </w:tcBorders>
            <w:shd w:val="clear" w:color="000000" w:fill="FFFFFF"/>
            <w:noWrap/>
            <w:vAlign w:val="center"/>
            <w:hideMark/>
          </w:tcPr>
          <w:p w14:paraId="61B316BB" w14:textId="77777777" w:rsidR="005151C5" w:rsidRPr="00991A8D" w:rsidRDefault="005151C5" w:rsidP="005151C5">
            <w:pPr>
              <w:spacing w:after="0" w:line="360" w:lineRule="auto"/>
              <w:jc w:val="center"/>
              <w:rPr>
                <w:rFonts w:eastAsia="Times New Roman"/>
                <w:spacing w:val="0"/>
                <w:lang w:eastAsia="es-DO"/>
              </w:rPr>
            </w:pPr>
            <w:r w:rsidRPr="00991A8D">
              <w:rPr>
                <w:rFonts w:eastAsia="Times New Roman"/>
                <w:spacing w:val="0"/>
                <w:lang w:eastAsia="es-DO"/>
              </w:rPr>
              <w:t>1007</w:t>
            </w:r>
          </w:p>
        </w:tc>
        <w:tc>
          <w:tcPr>
            <w:tcW w:w="1843" w:type="dxa"/>
            <w:tcBorders>
              <w:top w:val="nil"/>
              <w:left w:val="nil"/>
              <w:bottom w:val="single" w:sz="4" w:space="0" w:color="auto"/>
              <w:right w:val="single" w:sz="4" w:space="0" w:color="auto"/>
            </w:tcBorders>
            <w:noWrap/>
            <w:vAlign w:val="center"/>
            <w:hideMark/>
          </w:tcPr>
          <w:p w14:paraId="2E7BF4C7" w14:textId="77777777" w:rsidR="005151C5" w:rsidRPr="00991A8D" w:rsidRDefault="005151C5" w:rsidP="005151C5">
            <w:pPr>
              <w:spacing w:after="0" w:line="360" w:lineRule="auto"/>
              <w:jc w:val="center"/>
              <w:rPr>
                <w:rFonts w:eastAsia="Times New Roman"/>
                <w:spacing w:val="0"/>
                <w:lang w:eastAsia="es-DO"/>
              </w:rPr>
            </w:pPr>
            <w:r w:rsidRPr="00991A8D">
              <w:rPr>
                <w:rFonts w:eastAsia="Times New Roman"/>
                <w:spacing w:val="0"/>
                <w:lang w:eastAsia="es-DO"/>
              </w:rPr>
              <w:t>20</w:t>
            </w:r>
          </w:p>
        </w:tc>
        <w:tc>
          <w:tcPr>
            <w:tcW w:w="1842" w:type="dxa"/>
            <w:tcBorders>
              <w:top w:val="nil"/>
              <w:left w:val="nil"/>
              <w:bottom w:val="single" w:sz="4" w:space="0" w:color="auto"/>
              <w:right w:val="single" w:sz="4" w:space="0" w:color="auto"/>
            </w:tcBorders>
            <w:noWrap/>
            <w:vAlign w:val="bottom"/>
            <w:hideMark/>
          </w:tcPr>
          <w:p w14:paraId="646A3EE6" w14:textId="77777777" w:rsidR="005151C5" w:rsidRPr="00991A8D" w:rsidRDefault="005151C5" w:rsidP="005151C5">
            <w:pPr>
              <w:spacing w:after="0" w:line="360" w:lineRule="auto"/>
              <w:jc w:val="center"/>
              <w:rPr>
                <w:rFonts w:eastAsia="Times New Roman"/>
                <w:spacing w:val="0"/>
                <w:lang w:eastAsia="es-DO"/>
              </w:rPr>
            </w:pPr>
            <w:r w:rsidRPr="00991A8D">
              <w:rPr>
                <w:rFonts w:eastAsia="Times New Roman"/>
                <w:spacing w:val="0"/>
                <w:lang w:eastAsia="es-DO"/>
              </w:rPr>
              <w:t>1027</w:t>
            </w:r>
          </w:p>
        </w:tc>
      </w:tr>
      <w:tr w:rsidR="005151C5" w:rsidRPr="00465A16" w14:paraId="0055D80C" w14:textId="77777777" w:rsidTr="005151C5">
        <w:trPr>
          <w:trHeight w:val="312"/>
        </w:trPr>
        <w:tc>
          <w:tcPr>
            <w:tcW w:w="2320" w:type="dxa"/>
            <w:tcBorders>
              <w:top w:val="nil"/>
              <w:left w:val="single" w:sz="4" w:space="0" w:color="auto"/>
              <w:bottom w:val="single" w:sz="4" w:space="0" w:color="auto"/>
              <w:right w:val="single" w:sz="4" w:space="0" w:color="auto"/>
            </w:tcBorders>
            <w:shd w:val="clear" w:color="auto" w:fill="011C50"/>
            <w:noWrap/>
            <w:vAlign w:val="center"/>
            <w:hideMark/>
          </w:tcPr>
          <w:p w14:paraId="0A916EB8" w14:textId="77777777" w:rsidR="005151C5" w:rsidRPr="00465A16" w:rsidRDefault="005151C5" w:rsidP="005151C5">
            <w:pPr>
              <w:spacing w:after="0" w:line="36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Total</w:t>
            </w:r>
          </w:p>
        </w:tc>
        <w:tc>
          <w:tcPr>
            <w:tcW w:w="1928" w:type="dxa"/>
            <w:tcBorders>
              <w:top w:val="nil"/>
              <w:left w:val="nil"/>
              <w:bottom w:val="single" w:sz="4" w:space="0" w:color="auto"/>
              <w:right w:val="single" w:sz="4" w:space="0" w:color="auto"/>
            </w:tcBorders>
            <w:shd w:val="clear" w:color="auto" w:fill="011C50"/>
            <w:noWrap/>
            <w:vAlign w:val="bottom"/>
            <w:hideMark/>
          </w:tcPr>
          <w:p w14:paraId="08514DA2" w14:textId="77777777" w:rsidR="005151C5" w:rsidRPr="00465A16" w:rsidRDefault="005151C5" w:rsidP="005151C5">
            <w:pPr>
              <w:spacing w:after="0" w:line="36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2619</w:t>
            </w:r>
          </w:p>
        </w:tc>
        <w:tc>
          <w:tcPr>
            <w:tcW w:w="1843" w:type="dxa"/>
            <w:tcBorders>
              <w:top w:val="nil"/>
              <w:left w:val="nil"/>
              <w:bottom w:val="single" w:sz="4" w:space="0" w:color="auto"/>
              <w:right w:val="single" w:sz="4" w:space="0" w:color="auto"/>
            </w:tcBorders>
            <w:shd w:val="clear" w:color="auto" w:fill="011C50"/>
            <w:noWrap/>
            <w:vAlign w:val="bottom"/>
            <w:hideMark/>
          </w:tcPr>
          <w:p w14:paraId="321BE996" w14:textId="77777777" w:rsidR="005151C5" w:rsidRPr="00465A16" w:rsidRDefault="005151C5" w:rsidP="005151C5">
            <w:pPr>
              <w:spacing w:after="0" w:line="36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77</w:t>
            </w:r>
          </w:p>
        </w:tc>
        <w:tc>
          <w:tcPr>
            <w:tcW w:w="1842" w:type="dxa"/>
            <w:tcBorders>
              <w:top w:val="nil"/>
              <w:left w:val="nil"/>
              <w:bottom w:val="single" w:sz="4" w:space="0" w:color="auto"/>
              <w:right w:val="single" w:sz="4" w:space="0" w:color="auto"/>
            </w:tcBorders>
            <w:shd w:val="clear" w:color="auto" w:fill="011C50"/>
            <w:noWrap/>
            <w:vAlign w:val="bottom"/>
            <w:hideMark/>
          </w:tcPr>
          <w:p w14:paraId="73DCFFFF" w14:textId="77777777" w:rsidR="005151C5" w:rsidRPr="00465A16" w:rsidRDefault="005151C5" w:rsidP="005151C5">
            <w:pPr>
              <w:spacing w:after="0" w:line="360" w:lineRule="auto"/>
              <w:jc w:val="center"/>
              <w:rPr>
                <w:rFonts w:eastAsia="Times New Roman"/>
                <w:b/>
                <w:bCs/>
                <w:color w:val="FFFFFF" w:themeColor="background1"/>
                <w:spacing w:val="0"/>
                <w:lang w:eastAsia="es-DO"/>
              </w:rPr>
            </w:pPr>
            <w:r w:rsidRPr="00465A16">
              <w:rPr>
                <w:rFonts w:eastAsia="Times New Roman"/>
                <w:b/>
                <w:bCs/>
                <w:color w:val="FFFFFF" w:themeColor="background1"/>
                <w:spacing w:val="0"/>
                <w:lang w:eastAsia="es-DO"/>
              </w:rPr>
              <w:t>2696</w:t>
            </w:r>
          </w:p>
        </w:tc>
      </w:tr>
    </w:tbl>
    <w:p w14:paraId="5E6C7FCD" w14:textId="77777777" w:rsidR="00354FED" w:rsidRPr="0077472F" w:rsidRDefault="00354FED" w:rsidP="00354FED">
      <w:pPr>
        <w:spacing w:line="360" w:lineRule="auto"/>
        <w:ind w:left="-142"/>
        <w:jc w:val="center"/>
        <w:rPr>
          <w:i/>
          <w:iCs/>
          <w:sz w:val="18"/>
          <w:szCs w:val="18"/>
        </w:rPr>
      </w:pPr>
      <w:r w:rsidRPr="0077472F">
        <w:rPr>
          <w:i/>
          <w:iCs/>
          <w:sz w:val="18"/>
          <w:szCs w:val="18"/>
        </w:rPr>
        <w:t>Fuente. Dirección de Comunicaciones</w:t>
      </w:r>
    </w:p>
    <w:p w14:paraId="77853F15" w14:textId="77777777" w:rsidR="00354FED" w:rsidRPr="00465A16" w:rsidRDefault="00354FED" w:rsidP="0044411A">
      <w:pPr>
        <w:spacing w:line="360" w:lineRule="auto"/>
        <w:ind w:left="-142"/>
        <w:jc w:val="both"/>
        <w:rPr>
          <w:i/>
          <w:iCs/>
        </w:rPr>
      </w:pPr>
    </w:p>
    <w:p w14:paraId="21349EE7" w14:textId="7739FB76" w:rsidR="00340FFF" w:rsidRPr="00465A16" w:rsidRDefault="00340FFF" w:rsidP="0044411A">
      <w:pPr>
        <w:spacing w:line="360" w:lineRule="auto"/>
        <w:ind w:left="-142"/>
        <w:jc w:val="both"/>
        <w:rPr>
          <w:b/>
          <w:bCs/>
          <w:color w:val="4C4747"/>
        </w:rPr>
      </w:pPr>
      <w:r w:rsidRPr="00465A16">
        <w:rPr>
          <w:b/>
          <w:bCs/>
        </w:rPr>
        <w:br w:type="page"/>
      </w:r>
    </w:p>
    <w:p w14:paraId="0A54B7AA" w14:textId="0BF43EFE" w:rsidR="00DD7615" w:rsidRPr="00FA378C" w:rsidRDefault="00DD7615">
      <w:pPr>
        <w:pStyle w:val="Ttulo1"/>
        <w:numPr>
          <w:ilvl w:val="0"/>
          <w:numId w:val="3"/>
        </w:numPr>
        <w:ind w:left="709" w:hanging="709"/>
        <w:rPr>
          <w:rFonts w:cs="Times New Roman"/>
          <w:color w:val="767171"/>
        </w:rPr>
      </w:pPr>
      <w:bookmarkStart w:id="39" w:name="_Toc217997943"/>
      <w:r w:rsidRPr="00FA378C">
        <w:rPr>
          <w:rFonts w:cs="Times New Roman"/>
          <w:color w:val="767171"/>
        </w:rPr>
        <w:lastRenderedPageBreak/>
        <w:t>SERVICIO AL CIUDADANO Y TRANSPARENCIA INSTITUCIONAL</w:t>
      </w:r>
      <w:bookmarkEnd w:id="39"/>
    </w:p>
    <w:p w14:paraId="6F16AFF3" w14:textId="77777777" w:rsidR="00DD7615" w:rsidRPr="00FA378C" w:rsidRDefault="00DD7615" w:rsidP="00DD7615">
      <w:pPr>
        <w:jc w:val="both"/>
        <w:rPr>
          <w:rFonts w:eastAsia="Calibri"/>
          <w:sz w:val="18"/>
        </w:rPr>
      </w:pPr>
      <w:r w:rsidRPr="00FA378C">
        <w:rPr>
          <w:rFonts w:eastAsia="Calibri"/>
          <w:noProof/>
          <w:sz w:val="18"/>
        </w:rPr>
        <mc:AlternateContent>
          <mc:Choice Requires="wps">
            <w:drawing>
              <wp:anchor distT="0" distB="0" distL="114300" distR="114300" simplePos="0" relativeHeight="251721728" behindDoc="0" locked="0" layoutInCell="1" allowOverlap="1" wp14:anchorId="5B826A78" wp14:editId="543F352E">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BF046" id="Straight Connector 3"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3FFC794D" w:rsidR="00DD7615" w:rsidRPr="00FA378C" w:rsidRDefault="00DD7615" w:rsidP="00DD7615">
      <w:pPr>
        <w:jc w:val="center"/>
        <w:rPr>
          <w:rFonts w:eastAsia="Calibri"/>
          <w:szCs w:val="36"/>
        </w:rPr>
      </w:pPr>
      <w:r w:rsidRPr="00FA378C">
        <w:rPr>
          <w:rFonts w:eastAsia="Calibri"/>
          <w:szCs w:val="36"/>
        </w:rPr>
        <w:t xml:space="preserve">Memoria </w:t>
      </w:r>
      <w:r w:rsidR="00F05DF4" w:rsidRPr="00FA378C">
        <w:rPr>
          <w:rFonts w:eastAsia="Calibri"/>
          <w:szCs w:val="36"/>
        </w:rPr>
        <w:t>I</w:t>
      </w:r>
      <w:r w:rsidRPr="00FA378C">
        <w:rPr>
          <w:rFonts w:eastAsia="Calibri"/>
          <w:szCs w:val="36"/>
        </w:rPr>
        <w:t xml:space="preserve">nstitucional </w:t>
      </w:r>
      <w:r w:rsidR="000025D4" w:rsidRPr="00FA378C">
        <w:rPr>
          <w:rFonts w:eastAsia="Calibri"/>
          <w:szCs w:val="36"/>
        </w:rPr>
        <w:t>202</w:t>
      </w:r>
      <w:r w:rsidR="005151C5" w:rsidRPr="00FA378C">
        <w:rPr>
          <w:rFonts w:eastAsia="Calibri"/>
          <w:szCs w:val="36"/>
        </w:rPr>
        <w:t>5</w:t>
      </w:r>
    </w:p>
    <w:p w14:paraId="387ADD5B" w14:textId="77777777" w:rsidR="00D62F34" w:rsidRPr="00991A8D" w:rsidRDefault="00D62F34" w:rsidP="00493CDC">
      <w:pPr>
        <w:spacing w:line="360" w:lineRule="auto"/>
        <w:jc w:val="center"/>
        <w:rPr>
          <w:rFonts w:eastAsia="Calibri"/>
          <w:szCs w:val="36"/>
        </w:rPr>
      </w:pPr>
    </w:p>
    <w:p w14:paraId="5D52FF1A" w14:textId="77777777" w:rsidR="0063376E" w:rsidRDefault="00913499" w:rsidP="0063376E">
      <w:pPr>
        <w:pStyle w:val="Ttulo2"/>
        <w:spacing w:line="360" w:lineRule="auto"/>
        <w:rPr>
          <w:b/>
          <w:bCs/>
          <w:color w:val="767171"/>
        </w:rPr>
      </w:pPr>
      <w:bookmarkStart w:id="40" w:name="_Toc217997944"/>
      <w:r w:rsidRPr="00991A8D">
        <w:rPr>
          <w:b/>
          <w:bCs/>
          <w:color w:val="767171"/>
        </w:rPr>
        <w:t>5.1 Nivel de la satisfacción con el servicio</w:t>
      </w:r>
      <w:bookmarkEnd w:id="40"/>
    </w:p>
    <w:p w14:paraId="3CB1BCA3" w14:textId="77777777" w:rsidR="0063376E" w:rsidRPr="0063376E" w:rsidRDefault="0063376E" w:rsidP="0063376E"/>
    <w:p w14:paraId="782FF47A" w14:textId="7104B9A6" w:rsidR="00325941" w:rsidRDefault="00913499" w:rsidP="003277C4">
      <w:pPr>
        <w:spacing w:line="360" w:lineRule="auto"/>
        <w:jc w:val="both"/>
      </w:pPr>
      <w:r w:rsidRPr="0063376E">
        <w:t xml:space="preserve">Con respecto a la medición de la satisfacción de los usuarios externos, fueron implementadas encuestas sobre </w:t>
      </w:r>
      <w:r w:rsidR="00325941" w:rsidRPr="0063376E">
        <w:t>los</w:t>
      </w:r>
      <w:r w:rsidRPr="0063376E">
        <w:t xml:space="preserve"> servicio</w:t>
      </w:r>
      <w:r w:rsidR="00325941" w:rsidRPr="0063376E">
        <w:t>s</w:t>
      </w:r>
      <w:r w:rsidRPr="0063376E">
        <w:t xml:space="preserve"> de Certificación de Cargos, </w:t>
      </w:r>
      <w:r w:rsidR="00325941" w:rsidRPr="0063376E">
        <w:t>Mesa de ayuda y</w:t>
      </w:r>
      <w:r w:rsidRPr="0063376E">
        <w:t xml:space="preserve"> Autorización de </w:t>
      </w:r>
      <w:r w:rsidR="00325941" w:rsidRPr="0063376E">
        <w:t>Ó</w:t>
      </w:r>
      <w:r w:rsidRPr="0063376E">
        <w:t>rdenes de Pagos</w:t>
      </w:r>
      <w:r w:rsidR="00325941" w:rsidRPr="0063376E">
        <w:t>, obteniendo los siguientes resultados:</w:t>
      </w:r>
    </w:p>
    <w:p w14:paraId="4966CEEF" w14:textId="77777777" w:rsidR="0063376E" w:rsidRPr="0063376E" w:rsidRDefault="0063376E" w:rsidP="0063376E"/>
    <w:p w14:paraId="083F7C03" w14:textId="57DC648D" w:rsidR="00913499" w:rsidRPr="00991A8D" w:rsidRDefault="00913499" w:rsidP="00325941">
      <w:pPr>
        <w:spacing w:line="360" w:lineRule="auto"/>
        <w:jc w:val="center"/>
        <w:rPr>
          <w:sz w:val="18"/>
          <w:szCs w:val="18"/>
        </w:rPr>
      </w:pPr>
      <w:r w:rsidRPr="00991A8D">
        <w:rPr>
          <w:sz w:val="18"/>
          <w:szCs w:val="18"/>
        </w:rPr>
        <w:t xml:space="preserve">Tabla </w:t>
      </w:r>
      <w:r w:rsidR="00970267" w:rsidRPr="00991A8D">
        <w:rPr>
          <w:sz w:val="18"/>
          <w:szCs w:val="18"/>
        </w:rPr>
        <w:t>30</w:t>
      </w:r>
      <w:r w:rsidRPr="00991A8D">
        <w:rPr>
          <w:sz w:val="18"/>
          <w:szCs w:val="18"/>
        </w:rPr>
        <w:t>. Resultados Encuesta Nivel de la Satisfacción a nivel externo 202</w:t>
      </w:r>
      <w:r w:rsidR="00325941" w:rsidRPr="00991A8D">
        <w:rPr>
          <w:sz w:val="18"/>
          <w:szCs w:val="18"/>
        </w:rPr>
        <w:t>4</w:t>
      </w:r>
      <w:r w:rsidRPr="00991A8D">
        <w:rPr>
          <w:sz w:val="18"/>
          <w:szCs w:val="18"/>
        </w:rPr>
        <w:t>-202</w:t>
      </w:r>
      <w:r w:rsidR="00325941" w:rsidRPr="00991A8D">
        <w:rPr>
          <w:sz w:val="18"/>
          <w:szCs w:val="18"/>
        </w:rPr>
        <w:t>5</w:t>
      </w:r>
      <w:r w:rsidRPr="00991A8D">
        <w:rPr>
          <w:sz w:val="18"/>
          <w:szCs w:val="18"/>
        </w:rPr>
        <w:t>.</w:t>
      </w:r>
    </w:p>
    <w:tbl>
      <w:tblPr>
        <w:tblW w:w="7933" w:type="dxa"/>
        <w:tblCellMar>
          <w:left w:w="70" w:type="dxa"/>
          <w:right w:w="70" w:type="dxa"/>
        </w:tblCellMar>
        <w:tblLook w:val="04A0" w:firstRow="1" w:lastRow="0" w:firstColumn="1" w:lastColumn="0" w:noHBand="0" w:noVBand="1"/>
      </w:tblPr>
      <w:tblGrid>
        <w:gridCol w:w="3964"/>
        <w:gridCol w:w="2127"/>
        <w:gridCol w:w="1842"/>
      </w:tblGrid>
      <w:tr w:rsidR="0013316A" w:rsidRPr="00465A16" w14:paraId="3569E2CF" w14:textId="77777777" w:rsidTr="00197D2E">
        <w:trPr>
          <w:trHeight w:val="288"/>
        </w:trPr>
        <w:tc>
          <w:tcPr>
            <w:tcW w:w="3964"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56933811" w14:textId="77777777" w:rsidR="0013316A" w:rsidRPr="00465A16" w:rsidRDefault="0013316A" w:rsidP="0013316A">
            <w:pPr>
              <w:spacing w:after="0" w:line="240" w:lineRule="auto"/>
              <w:jc w:val="center"/>
              <w:rPr>
                <w:rFonts w:eastAsia="Times New Roman"/>
                <w:b/>
                <w:bCs/>
                <w:color w:val="FFFFFF"/>
                <w:spacing w:val="0"/>
                <w:sz w:val="22"/>
                <w:szCs w:val="22"/>
                <w:lang w:eastAsia="es-DO"/>
              </w:rPr>
            </w:pPr>
            <w:bookmarkStart w:id="41" w:name="RANGE!A1"/>
            <w:bookmarkStart w:id="42" w:name="_Hlk216188440" w:colFirst="1" w:colLast="2"/>
            <w:r w:rsidRPr="00465A16">
              <w:rPr>
                <w:rFonts w:eastAsia="Times New Roman"/>
                <w:b/>
                <w:bCs/>
                <w:color w:val="FFFFFF"/>
                <w:spacing w:val="0"/>
                <w:sz w:val="22"/>
                <w:szCs w:val="22"/>
                <w:lang w:eastAsia="es-DO"/>
              </w:rPr>
              <w:t>Servicio</w:t>
            </w:r>
            <w:bookmarkEnd w:id="41"/>
          </w:p>
        </w:tc>
        <w:tc>
          <w:tcPr>
            <w:tcW w:w="2127" w:type="dxa"/>
            <w:tcBorders>
              <w:top w:val="single" w:sz="4" w:space="0" w:color="auto"/>
              <w:left w:val="nil"/>
              <w:bottom w:val="single" w:sz="4" w:space="0" w:color="auto"/>
              <w:right w:val="single" w:sz="4" w:space="0" w:color="auto"/>
            </w:tcBorders>
            <w:shd w:val="clear" w:color="auto" w:fill="011C50"/>
            <w:vAlign w:val="center"/>
            <w:hideMark/>
          </w:tcPr>
          <w:p w14:paraId="68DAD624" w14:textId="77777777" w:rsidR="0013316A" w:rsidRPr="00465A16" w:rsidRDefault="0013316A" w:rsidP="0013316A">
            <w:pPr>
              <w:spacing w:after="0" w:line="24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2024</w:t>
            </w:r>
          </w:p>
        </w:tc>
        <w:tc>
          <w:tcPr>
            <w:tcW w:w="1842" w:type="dxa"/>
            <w:tcBorders>
              <w:top w:val="single" w:sz="4" w:space="0" w:color="auto"/>
              <w:left w:val="nil"/>
              <w:bottom w:val="single" w:sz="4" w:space="0" w:color="auto"/>
              <w:right w:val="single" w:sz="4" w:space="0" w:color="auto"/>
            </w:tcBorders>
            <w:shd w:val="clear" w:color="auto" w:fill="011C50"/>
            <w:vAlign w:val="center"/>
            <w:hideMark/>
          </w:tcPr>
          <w:p w14:paraId="2E56077C" w14:textId="77777777" w:rsidR="0013316A" w:rsidRPr="00465A16" w:rsidRDefault="0013316A" w:rsidP="0013316A">
            <w:pPr>
              <w:spacing w:after="0" w:line="24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2025</w:t>
            </w:r>
          </w:p>
        </w:tc>
      </w:tr>
      <w:tr w:rsidR="0013316A" w:rsidRPr="00465A16" w14:paraId="5BC0885F" w14:textId="77777777" w:rsidTr="0013316A">
        <w:trPr>
          <w:trHeight w:val="384"/>
        </w:trPr>
        <w:tc>
          <w:tcPr>
            <w:tcW w:w="3964" w:type="dxa"/>
            <w:tcBorders>
              <w:top w:val="nil"/>
              <w:left w:val="single" w:sz="4" w:space="0" w:color="auto"/>
              <w:bottom w:val="single" w:sz="4" w:space="0" w:color="auto"/>
              <w:right w:val="single" w:sz="4" w:space="0" w:color="auto"/>
            </w:tcBorders>
            <w:vAlign w:val="center"/>
            <w:hideMark/>
          </w:tcPr>
          <w:p w14:paraId="3A2EF2F8" w14:textId="77777777" w:rsidR="0013316A" w:rsidRPr="00991A8D" w:rsidRDefault="0013316A" w:rsidP="0013316A">
            <w:pPr>
              <w:spacing w:after="0" w:line="240" w:lineRule="auto"/>
              <w:rPr>
                <w:rFonts w:eastAsia="Times New Roman"/>
                <w:spacing w:val="0"/>
                <w:lang w:eastAsia="es-DO"/>
              </w:rPr>
            </w:pPr>
            <w:r w:rsidRPr="00991A8D">
              <w:rPr>
                <w:rFonts w:eastAsia="Times New Roman"/>
                <w:spacing w:val="0"/>
                <w:lang w:eastAsia="es-DO"/>
              </w:rPr>
              <w:t>Certificación de Cargos</w:t>
            </w:r>
          </w:p>
        </w:tc>
        <w:tc>
          <w:tcPr>
            <w:tcW w:w="2127" w:type="dxa"/>
            <w:tcBorders>
              <w:top w:val="nil"/>
              <w:left w:val="nil"/>
              <w:bottom w:val="single" w:sz="4" w:space="0" w:color="auto"/>
              <w:right w:val="single" w:sz="4" w:space="0" w:color="auto"/>
            </w:tcBorders>
            <w:vAlign w:val="center"/>
            <w:hideMark/>
          </w:tcPr>
          <w:p w14:paraId="362BF0C8" w14:textId="77777777" w:rsidR="0013316A" w:rsidRPr="00991A8D" w:rsidRDefault="0013316A" w:rsidP="0013316A">
            <w:pPr>
              <w:spacing w:after="0" w:line="240" w:lineRule="auto"/>
              <w:jc w:val="center"/>
              <w:rPr>
                <w:rFonts w:eastAsia="Times New Roman"/>
                <w:spacing w:val="0"/>
                <w:lang w:eastAsia="es-DO"/>
              </w:rPr>
            </w:pPr>
            <w:r w:rsidRPr="00991A8D">
              <w:rPr>
                <w:rFonts w:eastAsia="Times New Roman"/>
                <w:spacing w:val="0"/>
                <w:lang w:eastAsia="es-DO"/>
              </w:rPr>
              <w:t>98.00%</w:t>
            </w:r>
          </w:p>
        </w:tc>
        <w:tc>
          <w:tcPr>
            <w:tcW w:w="1842" w:type="dxa"/>
            <w:tcBorders>
              <w:top w:val="nil"/>
              <w:left w:val="nil"/>
              <w:bottom w:val="single" w:sz="4" w:space="0" w:color="auto"/>
              <w:right w:val="single" w:sz="4" w:space="0" w:color="auto"/>
            </w:tcBorders>
            <w:vAlign w:val="center"/>
            <w:hideMark/>
          </w:tcPr>
          <w:p w14:paraId="4EC0F695" w14:textId="627E00E8" w:rsidR="0013316A" w:rsidRPr="00991A8D" w:rsidRDefault="00441F0E" w:rsidP="0013316A">
            <w:pPr>
              <w:spacing w:after="0" w:line="240" w:lineRule="auto"/>
              <w:jc w:val="center"/>
              <w:rPr>
                <w:rFonts w:eastAsia="Times New Roman"/>
                <w:spacing w:val="0"/>
                <w:lang w:eastAsia="es-DO"/>
              </w:rPr>
            </w:pPr>
            <w:r w:rsidRPr="00991A8D">
              <w:rPr>
                <w:rFonts w:eastAsia="Times New Roman"/>
                <w:spacing w:val="0"/>
                <w:lang w:eastAsia="es-DO"/>
              </w:rPr>
              <w:t>85.47%</w:t>
            </w:r>
            <w:r w:rsidR="0013316A" w:rsidRPr="00991A8D">
              <w:rPr>
                <w:rFonts w:eastAsia="Times New Roman"/>
                <w:spacing w:val="0"/>
                <w:lang w:eastAsia="es-DO"/>
              </w:rPr>
              <w:t> </w:t>
            </w:r>
          </w:p>
        </w:tc>
      </w:tr>
      <w:tr w:rsidR="0013316A" w:rsidRPr="00465A16" w14:paraId="299BAF31" w14:textId="77777777" w:rsidTr="0013316A">
        <w:trPr>
          <w:trHeight w:val="384"/>
        </w:trPr>
        <w:tc>
          <w:tcPr>
            <w:tcW w:w="3964" w:type="dxa"/>
            <w:tcBorders>
              <w:top w:val="nil"/>
              <w:left w:val="single" w:sz="4" w:space="0" w:color="auto"/>
              <w:bottom w:val="single" w:sz="4" w:space="0" w:color="auto"/>
              <w:right w:val="single" w:sz="4" w:space="0" w:color="auto"/>
            </w:tcBorders>
            <w:vAlign w:val="center"/>
            <w:hideMark/>
          </w:tcPr>
          <w:p w14:paraId="3CCB1E2A" w14:textId="77777777" w:rsidR="0013316A" w:rsidRPr="00991A8D" w:rsidRDefault="0013316A" w:rsidP="0013316A">
            <w:pPr>
              <w:spacing w:after="0" w:line="240" w:lineRule="auto"/>
              <w:rPr>
                <w:rFonts w:eastAsia="Times New Roman"/>
                <w:spacing w:val="0"/>
                <w:lang w:eastAsia="es-DO"/>
              </w:rPr>
            </w:pPr>
            <w:r w:rsidRPr="00991A8D">
              <w:rPr>
                <w:rFonts w:eastAsia="Times New Roman"/>
                <w:spacing w:val="0"/>
                <w:lang w:eastAsia="es-DO"/>
              </w:rPr>
              <w:t>Autorización de Órdenes de Pagos</w:t>
            </w:r>
          </w:p>
        </w:tc>
        <w:tc>
          <w:tcPr>
            <w:tcW w:w="2127" w:type="dxa"/>
            <w:tcBorders>
              <w:top w:val="nil"/>
              <w:left w:val="nil"/>
              <w:bottom w:val="single" w:sz="4" w:space="0" w:color="auto"/>
              <w:right w:val="single" w:sz="4" w:space="0" w:color="auto"/>
            </w:tcBorders>
            <w:vAlign w:val="center"/>
            <w:hideMark/>
          </w:tcPr>
          <w:p w14:paraId="57510BFF" w14:textId="77777777" w:rsidR="0013316A" w:rsidRPr="00991A8D" w:rsidRDefault="0013316A" w:rsidP="0013316A">
            <w:pPr>
              <w:spacing w:after="0" w:line="240" w:lineRule="auto"/>
              <w:jc w:val="center"/>
              <w:rPr>
                <w:rFonts w:eastAsia="Times New Roman"/>
                <w:spacing w:val="0"/>
                <w:lang w:eastAsia="es-DO"/>
              </w:rPr>
            </w:pPr>
            <w:r w:rsidRPr="00991A8D">
              <w:rPr>
                <w:rFonts w:eastAsia="Times New Roman"/>
                <w:spacing w:val="0"/>
                <w:lang w:eastAsia="es-DO"/>
              </w:rPr>
              <w:t>81.30%</w:t>
            </w:r>
          </w:p>
        </w:tc>
        <w:tc>
          <w:tcPr>
            <w:tcW w:w="1842" w:type="dxa"/>
            <w:tcBorders>
              <w:top w:val="nil"/>
              <w:left w:val="nil"/>
              <w:bottom w:val="single" w:sz="4" w:space="0" w:color="auto"/>
              <w:right w:val="single" w:sz="4" w:space="0" w:color="auto"/>
            </w:tcBorders>
            <w:vAlign w:val="center"/>
            <w:hideMark/>
          </w:tcPr>
          <w:p w14:paraId="5B460E33" w14:textId="77777777" w:rsidR="0013316A" w:rsidRPr="00991A8D" w:rsidRDefault="0013316A" w:rsidP="0013316A">
            <w:pPr>
              <w:spacing w:after="0" w:line="240" w:lineRule="auto"/>
              <w:jc w:val="center"/>
              <w:rPr>
                <w:rFonts w:eastAsia="Times New Roman"/>
                <w:spacing w:val="0"/>
                <w:lang w:eastAsia="es-DO"/>
              </w:rPr>
            </w:pPr>
            <w:r w:rsidRPr="00991A8D">
              <w:rPr>
                <w:rFonts w:eastAsia="Times New Roman"/>
                <w:spacing w:val="0"/>
                <w:lang w:eastAsia="es-DO"/>
              </w:rPr>
              <w:t>84.26%</w:t>
            </w:r>
          </w:p>
        </w:tc>
      </w:tr>
      <w:tr w:rsidR="0013316A" w:rsidRPr="00465A16" w14:paraId="0885047A" w14:textId="77777777" w:rsidTr="0013316A">
        <w:trPr>
          <w:trHeight w:val="384"/>
        </w:trPr>
        <w:tc>
          <w:tcPr>
            <w:tcW w:w="3964" w:type="dxa"/>
            <w:tcBorders>
              <w:top w:val="nil"/>
              <w:left w:val="single" w:sz="4" w:space="0" w:color="auto"/>
              <w:bottom w:val="single" w:sz="4" w:space="0" w:color="auto"/>
              <w:right w:val="single" w:sz="4" w:space="0" w:color="auto"/>
            </w:tcBorders>
            <w:vAlign w:val="center"/>
            <w:hideMark/>
          </w:tcPr>
          <w:p w14:paraId="183EE88A" w14:textId="77777777" w:rsidR="0013316A" w:rsidRPr="00991A8D" w:rsidRDefault="0013316A" w:rsidP="0013316A">
            <w:pPr>
              <w:spacing w:after="0" w:line="240" w:lineRule="auto"/>
              <w:rPr>
                <w:rFonts w:eastAsia="Times New Roman"/>
                <w:spacing w:val="0"/>
                <w:lang w:eastAsia="es-DO"/>
              </w:rPr>
            </w:pPr>
            <w:r w:rsidRPr="00991A8D">
              <w:rPr>
                <w:rFonts w:eastAsia="Times New Roman"/>
                <w:spacing w:val="0"/>
                <w:lang w:eastAsia="es-DO"/>
              </w:rPr>
              <w:t>Mesa de Ayuda Externa</w:t>
            </w:r>
          </w:p>
        </w:tc>
        <w:tc>
          <w:tcPr>
            <w:tcW w:w="2127" w:type="dxa"/>
            <w:tcBorders>
              <w:top w:val="nil"/>
              <w:left w:val="nil"/>
              <w:bottom w:val="single" w:sz="4" w:space="0" w:color="auto"/>
              <w:right w:val="single" w:sz="4" w:space="0" w:color="auto"/>
            </w:tcBorders>
            <w:vAlign w:val="center"/>
            <w:hideMark/>
          </w:tcPr>
          <w:p w14:paraId="406BAB18" w14:textId="77777777" w:rsidR="0013316A" w:rsidRPr="00991A8D" w:rsidRDefault="0013316A" w:rsidP="0013316A">
            <w:pPr>
              <w:spacing w:after="0" w:line="240" w:lineRule="auto"/>
              <w:jc w:val="center"/>
              <w:rPr>
                <w:rFonts w:eastAsia="Times New Roman"/>
                <w:spacing w:val="0"/>
                <w:lang w:eastAsia="es-DO"/>
              </w:rPr>
            </w:pPr>
            <w:r w:rsidRPr="00991A8D">
              <w:rPr>
                <w:rFonts w:eastAsia="Times New Roman"/>
                <w:spacing w:val="0"/>
                <w:lang w:eastAsia="es-DO"/>
              </w:rPr>
              <w:t>85.56%</w:t>
            </w:r>
          </w:p>
        </w:tc>
        <w:tc>
          <w:tcPr>
            <w:tcW w:w="1842" w:type="dxa"/>
            <w:tcBorders>
              <w:top w:val="nil"/>
              <w:left w:val="nil"/>
              <w:bottom w:val="single" w:sz="4" w:space="0" w:color="auto"/>
              <w:right w:val="single" w:sz="4" w:space="0" w:color="auto"/>
            </w:tcBorders>
            <w:vAlign w:val="center"/>
            <w:hideMark/>
          </w:tcPr>
          <w:p w14:paraId="7D8F9646" w14:textId="58E0610E" w:rsidR="0013316A" w:rsidRPr="00991A8D" w:rsidRDefault="00325941" w:rsidP="0013316A">
            <w:pPr>
              <w:spacing w:after="0" w:line="240" w:lineRule="auto"/>
              <w:jc w:val="center"/>
              <w:rPr>
                <w:rFonts w:eastAsia="Times New Roman"/>
                <w:spacing w:val="0"/>
                <w:lang w:eastAsia="es-DO"/>
              </w:rPr>
            </w:pPr>
            <w:r w:rsidRPr="00991A8D">
              <w:rPr>
                <w:rFonts w:eastAsia="Times New Roman"/>
                <w:spacing w:val="0"/>
                <w:lang w:eastAsia="es-DO"/>
              </w:rPr>
              <w:t>84.21%</w:t>
            </w:r>
            <w:r w:rsidR="0013316A" w:rsidRPr="00991A8D">
              <w:rPr>
                <w:rFonts w:eastAsia="Times New Roman"/>
                <w:spacing w:val="0"/>
                <w:lang w:eastAsia="es-DO"/>
              </w:rPr>
              <w:t> </w:t>
            </w:r>
          </w:p>
        </w:tc>
      </w:tr>
      <w:tr w:rsidR="0013316A" w:rsidRPr="00465A16" w14:paraId="1CD381C7" w14:textId="77777777" w:rsidTr="00197D2E">
        <w:trPr>
          <w:trHeight w:val="312"/>
        </w:trPr>
        <w:tc>
          <w:tcPr>
            <w:tcW w:w="3964" w:type="dxa"/>
            <w:tcBorders>
              <w:top w:val="nil"/>
              <w:left w:val="single" w:sz="4" w:space="0" w:color="auto"/>
              <w:bottom w:val="single" w:sz="4" w:space="0" w:color="auto"/>
              <w:right w:val="single" w:sz="4" w:space="0" w:color="auto"/>
            </w:tcBorders>
            <w:shd w:val="clear" w:color="auto" w:fill="011C50"/>
            <w:vAlign w:val="center"/>
            <w:hideMark/>
          </w:tcPr>
          <w:p w14:paraId="72097856" w14:textId="77777777" w:rsidR="0013316A" w:rsidRPr="00465A16" w:rsidRDefault="0013316A" w:rsidP="0013316A">
            <w:pPr>
              <w:spacing w:after="0" w:line="240" w:lineRule="auto"/>
              <w:jc w:val="both"/>
              <w:rPr>
                <w:rFonts w:eastAsia="Times New Roman"/>
                <w:b/>
                <w:bCs/>
                <w:color w:val="FFFFFF"/>
                <w:spacing w:val="0"/>
                <w:lang w:eastAsia="es-DO"/>
              </w:rPr>
            </w:pPr>
            <w:r w:rsidRPr="00465A16">
              <w:rPr>
                <w:rFonts w:eastAsia="Times New Roman"/>
                <w:b/>
                <w:bCs/>
                <w:color w:val="FFFFFF"/>
                <w:spacing w:val="0"/>
                <w:lang w:eastAsia="es-DO"/>
              </w:rPr>
              <w:t>General</w:t>
            </w:r>
            <w:r w:rsidRPr="00465A16">
              <w:rPr>
                <w:rFonts w:eastAsia="Times New Roman"/>
                <w:color w:val="FFFFFF"/>
                <w:spacing w:val="0"/>
                <w:lang w:eastAsia="es-DO"/>
              </w:rPr>
              <w:t> </w:t>
            </w:r>
          </w:p>
        </w:tc>
        <w:tc>
          <w:tcPr>
            <w:tcW w:w="2127" w:type="dxa"/>
            <w:tcBorders>
              <w:top w:val="nil"/>
              <w:left w:val="nil"/>
              <w:bottom w:val="single" w:sz="4" w:space="0" w:color="auto"/>
              <w:right w:val="single" w:sz="4" w:space="0" w:color="auto"/>
            </w:tcBorders>
            <w:shd w:val="clear" w:color="auto" w:fill="011C50"/>
            <w:vAlign w:val="center"/>
            <w:hideMark/>
          </w:tcPr>
          <w:p w14:paraId="705A6809" w14:textId="77777777" w:rsidR="0013316A" w:rsidRPr="00465A16" w:rsidRDefault="0013316A" w:rsidP="0013316A">
            <w:pPr>
              <w:spacing w:after="0" w:line="240" w:lineRule="auto"/>
              <w:jc w:val="center"/>
              <w:rPr>
                <w:rFonts w:eastAsia="Times New Roman"/>
                <w:b/>
                <w:bCs/>
                <w:color w:val="FFFFFF"/>
                <w:spacing w:val="0"/>
                <w:sz w:val="22"/>
                <w:szCs w:val="22"/>
                <w:lang w:eastAsia="es-DO"/>
              </w:rPr>
            </w:pPr>
            <w:r w:rsidRPr="00465A16">
              <w:rPr>
                <w:rFonts w:eastAsia="Times New Roman"/>
                <w:b/>
                <w:bCs/>
                <w:color w:val="FFFFFF"/>
                <w:spacing w:val="0"/>
                <w:sz w:val="22"/>
                <w:szCs w:val="22"/>
                <w:lang w:eastAsia="es-DO"/>
              </w:rPr>
              <w:t>87.05%</w:t>
            </w:r>
            <w:r w:rsidRPr="00465A16">
              <w:rPr>
                <w:rFonts w:eastAsia="Times New Roman"/>
                <w:color w:val="FFFFFF"/>
                <w:spacing w:val="0"/>
                <w:sz w:val="22"/>
                <w:szCs w:val="22"/>
                <w:lang w:eastAsia="es-DO"/>
              </w:rPr>
              <w:t> </w:t>
            </w:r>
          </w:p>
        </w:tc>
        <w:tc>
          <w:tcPr>
            <w:tcW w:w="1842" w:type="dxa"/>
            <w:tcBorders>
              <w:top w:val="nil"/>
              <w:left w:val="nil"/>
              <w:bottom w:val="single" w:sz="4" w:space="0" w:color="auto"/>
              <w:right w:val="single" w:sz="4" w:space="0" w:color="auto"/>
            </w:tcBorders>
            <w:shd w:val="clear" w:color="auto" w:fill="011C50"/>
            <w:vAlign w:val="center"/>
            <w:hideMark/>
          </w:tcPr>
          <w:p w14:paraId="57561795" w14:textId="7B438714" w:rsidR="0013316A" w:rsidRPr="005261F3" w:rsidRDefault="005261F3" w:rsidP="005261F3">
            <w:pPr>
              <w:spacing w:after="0" w:line="240" w:lineRule="auto"/>
              <w:jc w:val="center"/>
              <w:rPr>
                <w:rFonts w:eastAsia="Times New Roman"/>
                <w:b/>
                <w:bCs/>
                <w:spacing w:val="0"/>
                <w:lang w:eastAsia="es-DO"/>
              </w:rPr>
            </w:pPr>
            <w:r w:rsidRPr="005261F3">
              <w:rPr>
                <w:rFonts w:eastAsia="Times New Roman"/>
                <w:b/>
                <w:bCs/>
                <w:color w:val="FFFFFF" w:themeColor="background1"/>
                <w:spacing w:val="0"/>
                <w:lang w:eastAsia="es-DO"/>
              </w:rPr>
              <w:t>84.64%</w:t>
            </w:r>
          </w:p>
        </w:tc>
      </w:tr>
      <w:bookmarkEnd w:id="42"/>
    </w:tbl>
    <w:p w14:paraId="7423F7C8" w14:textId="77777777" w:rsidR="0013316A" w:rsidRPr="00465A16" w:rsidRDefault="0013316A" w:rsidP="00913499">
      <w:pPr>
        <w:spacing w:after="0" w:line="240" w:lineRule="auto"/>
        <w:ind w:left="360"/>
        <w:jc w:val="center"/>
        <w:textAlignment w:val="baseline"/>
        <w:rPr>
          <w:color w:val="EE0000"/>
          <w:sz w:val="18"/>
          <w:szCs w:val="18"/>
        </w:rPr>
      </w:pPr>
    </w:p>
    <w:p w14:paraId="7A923656" w14:textId="6B5AFC09" w:rsidR="0052606F" w:rsidRPr="0077472F" w:rsidRDefault="00913499" w:rsidP="00913499">
      <w:pPr>
        <w:spacing w:line="360" w:lineRule="auto"/>
        <w:ind w:left="-142"/>
        <w:jc w:val="center"/>
        <w:rPr>
          <w:i/>
          <w:iCs/>
          <w:sz w:val="18"/>
          <w:szCs w:val="18"/>
        </w:rPr>
      </w:pPr>
      <w:r w:rsidRPr="0077472F">
        <w:rPr>
          <w:i/>
          <w:iCs/>
          <w:sz w:val="18"/>
          <w:szCs w:val="18"/>
        </w:rPr>
        <w:t>Fuente. Informes de resultado de encuestas de satisfacción externa 202</w:t>
      </w:r>
      <w:r w:rsidR="00D62F34" w:rsidRPr="0077472F">
        <w:rPr>
          <w:i/>
          <w:iCs/>
          <w:sz w:val="18"/>
          <w:szCs w:val="18"/>
        </w:rPr>
        <w:t>4</w:t>
      </w:r>
      <w:r w:rsidRPr="0077472F">
        <w:rPr>
          <w:i/>
          <w:iCs/>
          <w:sz w:val="18"/>
          <w:szCs w:val="18"/>
        </w:rPr>
        <w:t xml:space="preserve"> y 202</w:t>
      </w:r>
      <w:r w:rsidR="00D62F34" w:rsidRPr="0077472F">
        <w:rPr>
          <w:i/>
          <w:iCs/>
          <w:sz w:val="18"/>
          <w:szCs w:val="18"/>
        </w:rPr>
        <w:t>5</w:t>
      </w:r>
    </w:p>
    <w:p w14:paraId="1C83CB8D" w14:textId="3173D0E7" w:rsidR="0052606F" w:rsidRPr="005261F3" w:rsidRDefault="005261F3" w:rsidP="005261F3">
      <w:pPr>
        <w:spacing w:line="360" w:lineRule="auto"/>
        <w:jc w:val="both"/>
      </w:pPr>
      <w:r w:rsidRPr="005261F3">
        <w:t>S</w:t>
      </w:r>
      <w:r w:rsidR="0028335D">
        <w:t>e</w:t>
      </w:r>
      <w:r w:rsidRPr="005261F3">
        <w:t xml:space="preserve"> proyecta el cierre de año con estos mismos resultados, puesto que esta medición se realiza anual. </w:t>
      </w:r>
      <w:r w:rsidR="0052606F" w:rsidRPr="005261F3">
        <w:br w:type="page"/>
      </w:r>
    </w:p>
    <w:p w14:paraId="36874CDE" w14:textId="77777777" w:rsidR="00985E0C" w:rsidRPr="00FA378C" w:rsidRDefault="00985E0C" w:rsidP="00D65AC0">
      <w:pPr>
        <w:pStyle w:val="Ttulo2"/>
        <w:spacing w:line="360" w:lineRule="auto"/>
        <w:rPr>
          <w:b/>
          <w:bCs/>
          <w:color w:val="767171"/>
        </w:rPr>
      </w:pPr>
      <w:bookmarkStart w:id="43" w:name="_Toc217997945"/>
      <w:r w:rsidRPr="00FA378C">
        <w:rPr>
          <w:b/>
          <w:bCs/>
          <w:color w:val="767171"/>
        </w:rPr>
        <w:lastRenderedPageBreak/>
        <w:t>5.2 Nivel de cumplimiento acceso a la información</w:t>
      </w:r>
      <w:bookmarkEnd w:id="43"/>
    </w:p>
    <w:p w14:paraId="0AD6888C" w14:textId="77777777" w:rsidR="00207423" w:rsidRDefault="00207423" w:rsidP="00493CDC">
      <w:pPr>
        <w:spacing w:line="360" w:lineRule="auto"/>
        <w:jc w:val="both"/>
      </w:pPr>
    </w:p>
    <w:p w14:paraId="3A6BE1EE" w14:textId="44BC675F" w:rsidR="00985E0C" w:rsidRPr="00991A8D" w:rsidRDefault="00985E0C" w:rsidP="00493CDC">
      <w:pPr>
        <w:spacing w:line="360" w:lineRule="auto"/>
        <w:jc w:val="both"/>
      </w:pPr>
      <w:r w:rsidRPr="00991A8D">
        <w:t xml:space="preserve">La OAI, tiene entre sus funciones la actualización mensual del portal de transparencia de la Contraloría General de la República (CGR).  Estas actualizaciones, son un mandato expreso </w:t>
      </w:r>
      <w:r w:rsidR="00B32E25" w:rsidRPr="00991A8D">
        <w:t xml:space="preserve">contenido </w:t>
      </w:r>
      <w:r w:rsidRPr="00991A8D">
        <w:t>en la Ley General de Libre Acceso a la Información No. 200-04, y el Decreto No. 135-05 que aprueba su reglamento de aplicación, además de la Resolución No. 002-2021 emitida por la Dirección General de Ética e Integridad Gubernamental</w:t>
      </w:r>
      <w:r w:rsidR="00B32E25" w:rsidRPr="00991A8D">
        <w:t>.</w:t>
      </w:r>
    </w:p>
    <w:p w14:paraId="14D79F11" w14:textId="2AF83511" w:rsidR="0052606F" w:rsidRPr="00991A8D" w:rsidRDefault="0052606F" w:rsidP="00493CDC">
      <w:pPr>
        <w:tabs>
          <w:tab w:val="left" w:pos="426"/>
        </w:tabs>
        <w:spacing w:line="360" w:lineRule="auto"/>
        <w:jc w:val="both"/>
      </w:pPr>
      <w:r w:rsidRPr="00991A8D">
        <w:t>En el período enero – noviembre 2025, se recibieron 346 solicitudes de información a través de la Oficina de Libre Acceso a la Información Pública, de las cuales 337 fueron respondidas dentro de los plazos establecidos en la Ley No. 200-04 sobre el Libre Acceso a la Información Pública.</w:t>
      </w:r>
      <w:r w:rsidR="00A616BF">
        <w:t xml:space="preserve"> Se proyecta la recepción de al menos 31 solicitudes más durante el mes de diciembre, para un total estimado de 377 solicitudes atendidas al cierre de año. </w:t>
      </w:r>
    </w:p>
    <w:p w14:paraId="1BB87334" w14:textId="05C2AEA9" w:rsidR="006C1159" w:rsidRPr="00991A8D" w:rsidRDefault="006C1159" w:rsidP="00BA58F2">
      <w:pPr>
        <w:tabs>
          <w:tab w:val="left" w:pos="426"/>
        </w:tabs>
        <w:spacing w:line="360" w:lineRule="auto"/>
        <w:jc w:val="center"/>
        <w:rPr>
          <w:sz w:val="18"/>
          <w:szCs w:val="18"/>
        </w:rPr>
      </w:pPr>
      <w:r w:rsidRPr="00991A8D">
        <w:rPr>
          <w:rFonts w:eastAsia="Calibri"/>
          <w:sz w:val="18"/>
          <w:szCs w:val="18"/>
        </w:rPr>
        <w:t xml:space="preserve">Tabla </w:t>
      </w:r>
      <w:r w:rsidR="00970267" w:rsidRPr="00991A8D">
        <w:rPr>
          <w:rFonts w:eastAsia="Calibri"/>
          <w:sz w:val="18"/>
          <w:szCs w:val="18"/>
        </w:rPr>
        <w:t>31</w:t>
      </w:r>
      <w:r w:rsidRPr="00991A8D">
        <w:rPr>
          <w:rFonts w:eastAsia="Calibri"/>
          <w:sz w:val="18"/>
          <w:szCs w:val="18"/>
        </w:rPr>
        <w:t xml:space="preserve">. </w:t>
      </w:r>
      <w:r w:rsidRPr="00991A8D">
        <w:rPr>
          <w:sz w:val="18"/>
          <w:szCs w:val="18"/>
        </w:rPr>
        <w:t xml:space="preserve">Cantidad de solicitudes de información pública </w:t>
      </w:r>
      <w:r w:rsidR="00325941" w:rsidRPr="00991A8D">
        <w:rPr>
          <w:sz w:val="18"/>
          <w:szCs w:val="18"/>
        </w:rPr>
        <w:t xml:space="preserve">recibidas por mes </w:t>
      </w:r>
      <w:r w:rsidRPr="00991A8D">
        <w:rPr>
          <w:sz w:val="18"/>
          <w:szCs w:val="18"/>
        </w:rPr>
        <w:t>202</w:t>
      </w:r>
      <w:r w:rsidR="0052606F" w:rsidRPr="00991A8D">
        <w:rPr>
          <w:sz w:val="18"/>
          <w:szCs w:val="18"/>
        </w:rPr>
        <w:t>5</w:t>
      </w:r>
    </w:p>
    <w:tbl>
      <w:tblPr>
        <w:tblW w:w="7441" w:type="dxa"/>
        <w:tblInd w:w="502" w:type="dxa"/>
        <w:tblCellMar>
          <w:left w:w="70" w:type="dxa"/>
          <w:right w:w="70" w:type="dxa"/>
        </w:tblCellMar>
        <w:tblLook w:val="04A0" w:firstRow="1" w:lastRow="0" w:firstColumn="1" w:lastColumn="0" w:noHBand="0" w:noVBand="1"/>
      </w:tblPr>
      <w:tblGrid>
        <w:gridCol w:w="549"/>
        <w:gridCol w:w="547"/>
        <w:gridCol w:w="555"/>
        <w:gridCol w:w="550"/>
        <w:gridCol w:w="556"/>
        <w:gridCol w:w="547"/>
        <w:gridCol w:w="542"/>
        <w:gridCol w:w="550"/>
        <w:gridCol w:w="546"/>
        <w:gridCol w:w="546"/>
        <w:gridCol w:w="550"/>
        <w:gridCol w:w="663"/>
        <w:gridCol w:w="740"/>
      </w:tblGrid>
      <w:tr w:rsidR="00A616BF" w:rsidRPr="00465A16" w14:paraId="1FCB3387" w14:textId="77777777" w:rsidTr="00A616BF">
        <w:trPr>
          <w:trHeight w:val="288"/>
        </w:trPr>
        <w:tc>
          <w:tcPr>
            <w:tcW w:w="549"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C99E947" w14:textId="77777777" w:rsidR="00A616BF" w:rsidRPr="00465A16" w:rsidRDefault="00A616BF" w:rsidP="0036362B">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Ene</w:t>
            </w:r>
          </w:p>
        </w:tc>
        <w:tc>
          <w:tcPr>
            <w:tcW w:w="547" w:type="dxa"/>
            <w:tcBorders>
              <w:top w:val="single" w:sz="4" w:space="0" w:color="auto"/>
              <w:left w:val="nil"/>
              <w:bottom w:val="single" w:sz="4" w:space="0" w:color="auto"/>
              <w:right w:val="single" w:sz="4" w:space="0" w:color="auto"/>
            </w:tcBorders>
            <w:shd w:val="clear" w:color="auto" w:fill="011C50"/>
            <w:vAlign w:val="center"/>
            <w:hideMark/>
          </w:tcPr>
          <w:p w14:paraId="3797567C" w14:textId="77777777" w:rsidR="00A616BF" w:rsidRPr="00465A16" w:rsidRDefault="00A616BF" w:rsidP="0036362B">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Feb</w:t>
            </w:r>
          </w:p>
        </w:tc>
        <w:tc>
          <w:tcPr>
            <w:tcW w:w="555" w:type="dxa"/>
            <w:tcBorders>
              <w:top w:val="single" w:sz="4" w:space="0" w:color="auto"/>
              <w:left w:val="nil"/>
              <w:bottom w:val="single" w:sz="4" w:space="0" w:color="auto"/>
              <w:right w:val="single" w:sz="4" w:space="0" w:color="auto"/>
            </w:tcBorders>
            <w:shd w:val="clear" w:color="auto" w:fill="011C50"/>
            <w:vAlign w:val="center"/>
            <w:hideMark/>
          </w:tcPr>
          <w:p w14:paraId="43DD991B" w14:textId="77777777" w:rsidR="00A616BF" w:rsidRPr="00465A16" w:rsidRDefault="00A616BF" w:rsidP="0036362B">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Mar</w:t>
            </w:r>
          </w:p>
        </w:tc>
        <w:tc>
          <w:tcPr>
            <w:tcW w:w="550" w:type="dxa"/>
            <w:tcBorders>
              <w:top w:val="single" w:sz="4" w:space="0" w:color="auto"/>
              <w:left w:val="nil"/>
              <w:bottom w:val="single" w:sz="4" w:space="0" w:color="auto"/>
              <w:right w:val="single" w:sz="4" w:space="0" w:color="auto"/>
            </w:tcBorders>
            <w:shd w:val="clear" w:color="auto" w:fill="011C50"/>
            <w:vAlign w:val="center"/>
            <w:hideMark/>
          </w:tcPr>
          <w:p w14:paraId="27477448" w14:textId="77777777" w:rsidR="00A616BF" w:rsidRPr="00465A16" w:rsidRDefault="00A616BF" w:rsidP="0036362B">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Abr</w:t>
            </w:r>
          </w:p>
        </w:tc>
        <w:tc>
          <w:tcPr>
            <w:tcW w:w="556" w:type="dxa"/>
            <w:tcBorders>
              <w:top w:val="single" w:sz="4" w:space="0" w:color="auto"/>
              <w:left w:val="nil"/>
              <w:bottom w:val="single" w:sz="4" w:space="0" w:color="auto"/>
              <w:right w:val="single" w:sz="4" w:space="0" w:color="auto"/>
            </w:tcBorders>
            <w:shd w:val="clear" w:color="auto" w:fill="011C50"/>
            <w:vAlign w:val="center"/>
            <w:hideMark/>
          </w:tcPr>
          <w:p w14:paraId="7B44AEF7" w14:textId="77777777" w:rsidR="00A616BF" w:rsidRPr="00465A16" w:rsidRDefault="00A616BF" w:rsidP="0036362B">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May</w:t>
            </w:r>
          </w:p>
        </w:tc>
        <w:tc>
          <w:tcPr>
            <w:tcW w:w="547" w:type="dxa"/>
            <w:tcBorders>
              <w:top w:val="single" w:sz="4" w:space="0" w:color="auto"/>
              <w:left w:val="nil"/>
              <w:bottom w:val="single" w:sz="4" w:space="0" w:color="auto"/>
              <w:right w:val="single" w:sz="4" w:space="0" w:color="auto"/>
            </w:tcBorders>
            <w:shd w:val="clear" w:color="auto" w:fill="011C50"/>
            <w:vAlign w:val="center"/>
            <w:hideMark/>
          </w:tcPr>
          <w:p w14:paraId="14F93E82" w14:textId="77777777" w:rsidR="00A616BF" w:rsidRPr="00465A16" w:rsidRDefault="00A616BF" w:rsidP="0036362B">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Jun</w:t>
            </w:r>
          </w:p>
        </w:tc>
        <w:tc>
          <w:tcPr>
            <w:tcW w:w="542" w:type="dxa"/>
            <w:tcBorders>
              <w:top w:val="single" w:sz="4" w:space="0" w:color="auto"/>
              <w:left w:val="nil"/>
              <w:bottom w:val="single" w:sz="4" w:space="0" w:color="auto"/>
              <w:right w:val="single" w:sz="4" w:space="0" w:color="auto"/>
            </w:tcBorders>
            <w:shd w:val="clear" w:color="auto" w:fill="011C50"/>
            <w:vAlign w:val="center"/>
            <w:hideMark/>
          </w:tcPr>
          <w:p w14:paraId="38DFAF9C" w14:textId="77777777" w:rsidR="00A616BF" w:rsidRPr="00465A16" w:rsidRDefault="00A616BF" w:rsidP="0036362B">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Jul</w:t>
            </w:r>
          </w:p>
        </w:tc>
        <w:tc>
          <w:tcPr>
            <w:tcW w:w="550" w:type="dxa"/>
            <w:tcBorders>
              <w:top w:val="single" w:sz="4" w:space="0" w:color="auto"/>
              <w:left w:val="nil"/>
              <w:bottom w:val="single" w:sz="4" w:space="0" w:color="auto"/>
              <w:right w:val="single" w:sz="4" w:space="0" w:color="auto"/>
            </w:tcBorders>
            <w:shd w:val="clear" w:color="auto" w:fill="011C50"/>
            <w:vAlign w:val="center"/>
            <w:hideMark/>
          </w:tcPr>
          <w:p w14:paraId="7860B7DA" w14:textId="77777777" w:rsidR="00A616BF" w:rsidRPr="00465A16" w:rsidRDefault="00A616BF" w:rsidP="0036362B">
            <w:pPr>
              <w:spacing w:after="0" w:line="240" w:lineRule="auto"/>
              <w:jc w:val="center"/>
              <w:rPr>
                <w:rFonts w:eastAsia="Times New Roman"/>
                <w:b/>
                <w:bCs/>
                <w:color w:val="FFFFFF"/>
                <w:spacing w:val="0"/>
                <w:sz w:val="20"/>
                <w:szCs w:val="20"/>
                <w:lang w:eastAsia="es-DO"/>
              </w:rPr>
            </w:pPr>
            <w:proofErr w:type="spellStart"/>
            <w:r w:rsidRPr="00465A16">
              <w:rPr>
                <w:rFonts w:eastAsia="Times New Roman"/>
                <w:b/>
                <w:bCs/>
                <w:color w:val="FFFFFF"/>
                <w:spacing w:val="0"/>
                <w:sz w:val="20"/>
                <w:szCs w:val="20"/>
                <w:lang w:eastAsia="es-DO"/>
              </w:rPr>
              <w:t>Ago</w:t>
            </w:r>
            <w:proofErr w:type="spellEnd"/>
          </w:p>
        </w:tc>
        <w:tc>
          <w:tcPr>
            <w:tcW w:w="546" w:type="dxa"/>
            <w:tcBorders>
              <w:top w:val="single" w:sz="4" w:space="0" w:color="auto"/>
              <w:left w:val="nil"/>
              <w:bottom w:val="single" w:sz="4" w:space="0" w:color="auto"/>
              <w:right w:val="single" w:sz="4" w:space="0" w:color="auto"/>
            </w:tcBorders>
            <w:shd w:val="clear" w:color="auto" w:fill="011C50"/>
            <w:vAlign w:val="center"/>
            <w:hideMark/>
          </w:tcPr>
          <w:p w14:paraId="317A31A3" w14:textId="77777777" w:rsidR="00A616BF" w:rsidRPr="00465A16" w:rsidRDefault="00A616BF" w:rsidP="0036362B">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Sep</w:t>
            </w:r>
          </w:p>
        </w:tc>
        <w:tc>
          <w:tcPr>
            <w:tcW w:w="546" w:type="dxa"/>
            <w:tcBorders>
              <w:top w:val="single" w:sz="4" w:space="0" w:color="auto"/>
              <w:left w:val="nil"/>
              <w:bottom w:val="single" w:sz="4" w:space="0" w:color="auto"/>
              <w:right w:val="single" w:sz="4" w:space="0" w:color="auto"/>
            </w:tcBorders>
            <w:shd w:val="clear" w:color="auto" w:fill="011C50"/>
            <w:vAlign w:val="center"/>
            <w:hideMark/>
          </w:tcPr>
          <w:p w14:paraId="37CF1567" w14:textId="77777777" w:rsidR="00A616BF" w:rsidRPr="00465A16" w:rsidRDefault="00A616BF" w:rsidP="0036362B">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Oct</w:t>
            </w:r>
          </w:p>
        </w:tc>
        <w:tc>
          <w:tcPr>
            <w:tcW w:w="550" w:type="dxa"/>
            <w:tcBorders>
              <w:top w:val="single" w:sz="4" w:space="0" w:color="auto"/>
              <w:left w:val="nil"/>
              <w:bottom w:val="single" w:sz="4" w:space="0" w:color="auto"/>
              <w:right w:val="single" w:sz="4" w:space="0" w:color="auto"/>
            </w:tcBorders>
            <w:shd w:val="clear" w:color="auto" w:fill="011C50"/>
            <w:vAlign w:val="center"/>
            <w:hideMark/>
          </w:tcPr>
          <w:p w14:paraId="1E74EC6F" w14:textId="77777777" w:rsidR="00A616BF" w:rsidRPr="00465A16" w:rsidRDefault="00A616BF" w:rsidP="0036362B">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Nov</w:t>
            </w:r>
          </w:p>
        </w:tc>
        <w:tc>
          <w:tcPr>
            <w:tcW w:w="663" w:type="dxa"/>
            <w:tcBorders>
              <w:top w:val="single" w:sz="4" w:space="0" w:color="auto"/>
              <w:left w:val="single" w:sz="4" w:space="0" w:color="auto"/>
              <w:bottom w:val="single" w:sz="4" w:space="0" w:color="auto"/>
              <w:right w:val="single" w:sz="4" w:space="0" w:color="auto"/>
            </w:tcBorders>
            <w:shd w:val="clear" w:color="auto" w:fill="011C50"/>
          </w:tcPr>
          <w:p w14:paraId="5C2876C7" w14:textId="5084EEA6" w:rsidR="00A616BF" w:rsidRPr="00465A16" w:rsidRDefault="00A616BF" w:rsidP="0036362B">
            <w:pPr>
              <w:spacing w:after="0" w:line="240" w:lineRule="auto"/>
              <w:jc w:val="center"/>
              <w:rPr>
                <w:rFonts w:eastAsia="Times New Roman"/>
                <w:b/>
                <w:bCs/>
                <w:color w:val="FFFFFF"/>
                <w:spacing w:val="0"/>
                <w:sz w:val="20"/>
                <w:szCs w:val="20"/>
                <w:lang w:eastAsia="es-DO"/>
              </w:rPr>
            </w:pPr>
            <w:r>
              <w:rPr>
                <w:rFonts w:eastAsia="Times New Roman"/>
                <w:b/>
                <w:bCs/>
                <w:color w:val="FFFFFF"/>
                <w:spacing w:val="0"/>
                <w:sz w:val="20"/>
                <w:szCs w:val="20"/>
                <w:lang w:eastAsia="es-DO"/>
              </w:rPr>
              <w:t>Proy. Dic.</w:t>
            </w:r>
          </w:p>
        </w:tc>
        <w:tc>
          <w:tcPr>
            <w:tcW w:w="74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069F13E7" w14:textId="30698BE4" w:rsidR="00A616BF" w:rsidRPr="00465A16" w:rsidRDefault="00A616BF" w:rsidP="0036362B">
            <w:pPr>
              <w:spacing w:after="0" w:line="240" w:lineRule="auto"/>
              <w:jc w:val="center"/>
              <w:rPr>
                <w:rFonts w:eastAsia="Times New Roman"/>
                <w:b/>
                <w:bCs/>
                <w:color w:val="FFFFFF"/>
                <w:spacing w:val="0"/>
                <w:sz w:val="20"/>
                <w:szCs w:val="20"/>
                <w:lang w:eastAsia="es-DO"/>
              </w:rPr>
            </w:pPr>
            <w:r w:rsidRPr="00465A16">
              <w:rPr>
                <w:rFonts w:eastAsia="Times New Roman"/>
                <w:b/>
                <w:bCs/>
                <w:color w:val="FFFFFF"/>
                <w:spacing w:val="0"/>
                <w:sz w:val="20"/>
                <w:szCs w:val="20"/>
                <w:lang w:eastAsia="es-DO"/>
              </w:rPr>
              <w:t xml:space="preserve">Total </w:t>
            </w:r>
          </w:p>
        </w:tc>
      </w:tr>
      <w:tr w:rsidR="00A616BF" w:rsidRPr="00465A16" w14:paraId="2183538D" w14:textId="77777777" w:rsidTr="00A616BF">
        <w:trPr>
          <w:trHeight w:val="312"/>
        </w:trPr>
        <w:tc>
          <w:tcPr>
            <w:tcW w:w="549" w:type="dxa"/>
            <w:tcBorders>
              <w:top w:val="nil"/>
              <w:left w:val="single" w:sz="4" w:space="0" w:color="auto"/>
              <w:bottom w:val="single" w:sz="4" w:space="0" w:color="auto"/>
              <w:right w:val="single" w:sz="4" w:space="0" w:color="auto"/>
            </w:tcBorders>
            <w:vAlign w:val="center"/>
            <w:hideMark/>
          </w:tcPr>
          <w:p w14:paraId="518474C5" w14:textId="49129D97" w:rsidR="00A616BF" w:rsidRPr="00991A8D" w:rsidRDefault="00A616BF" w:rsidP="0052606F">
            <w:pPr>
              <w:spacing w:after="0" w:line="240" w:lineRule="auto"/>
              <w:jc w:val="center"/>
            </w:pPr>
            <w:r w:rsidRPr="00991A8D">
              <w:t>40</w:t>
            </w:r>
          </w:p>
        </w:tc>
        <w:tc>
          <w:tcPr>
            <w:tcW w:w="547" w:type="dxa"/>
            <w:tcBorders>
              <w:top w:val="nil"/>
              <w:left w:val="nil"/>
              <w:bottom w:val="single" w:sz="4" w:space="0" w:color="auto"/>
              <w:right w:val="single" w:sz="4" w:space="0" w:color="auto"/>
            </w:tcBorders>
            <w:vAlign w:val="center"/>
            <w:hideMark/>
          </w:tcPr>
          <w:p w14:paraId="61808248" w14:textId="7EC671A3" w:rsidR="00A616BF" w:rsidRPr="00991A8D" w:rsidRDefault="00A616BF" w:rsidP="0052606F">
            <w:pPr>
              <w:spacing w:after="0" w:line="240" w:lineRule="auto"/>
              <w:jc w:val="center"/>
            </w:pPr>
            <w:r w:rsidRPr="00991A8D">
              <w:t>31</w:t>
            </w:r>
          </w:p>
        </w:tc>
        <w:tc>
          <w:tcPr>
            <w:tcW w:w="555" w:type="dxa"/>
            <w:tcBorders>
              <w:top w:val="nil"/>
              <w:left w:val="nil"/>
              <w:bottom w:val="single" w:sz="4" w:space="0" w:color="auto"/>
              <w:right w:val="single" w:sz="4" w:space="0" w:color="auto"/>
            </w:tcBorders>
            <w:vAlign w:val="center"/>
            <w:hideMark/>
          </w:tcPr>
          <w:p w14:paraId="1A12E065" w14:textId="6213561D" w:rsidR="00A616BF" w:rsidRPr="00991A8D" w:rsidRDefault="00A616BF" w:rsidP="0052606F">
            <w:pPr>
              <w:spacing w:after="0" w:line="240" w:lineRule="auto"/>
              <w:jc w:val="center"/>
            </w:pPr>
            <w:r w:rsidRPr="00991A8D">
              <w:t>31</w:t>
            </w:r>
          </w:p>
        </w:tc>
        <w:tc>
          <w:tcPr>
            <w:tcW w:w="550" w:type="dxa"/>
            <w:tcBorders>
              <w:top w:val="nil"/>
              <w:left w:val="nil"/>
              <w:bottom w:val="single" w:sz="4" w:space="0" w:color="auto"/>
              <w:right w:val="single" w:sz="4" w:space="0" w:color="auto"/>
            </w:tcBorders>
            <w:vAlign w:val="center"/>
            <w:hideMark/>
          </w:tcPr>
          <w:p w14:paraId="61374D2B" w14:textId="723324DC" w:rsidR="00A616BF" w:rsidRPr="00991A8D" w:rsidRDefault="00A616BF" w:rsidP="0052606F">
            <w:pPr>
              <w:spacing w:after="0" w:line="240" w:lineRule="auto"/>
              <w:jc w:val="center"/>
            </w:pPr>
            <w:r w:rsidRPr="00991A8D">
              <w:t>36</w:t>
            </w:r>
          </w:p>
        </w:tc>
        <w:tc>
          <w:tcPr>
            <w:tcW w:w="556" w:type="dxa"/>
            <w:tcBorders>
              <w:top w:val="nil"/>
              <w:left w:val="nil"/>
              <w:bottom w:val="single" w:sz="4" w:space="0" w:color="auto"/>
              <w:right w:val="single" w:sz="4" w:space="0" w:color="auto"/>
            </w:tcBorders>
            <w:vAlign w:val="center"/>
            <w:hideMark/>
          </w:tcPr>
          <w:p w14:paraId="21985998" w14:textId="136A2F4E" w:rsidR="00A616BF" w:rsidRPr="00991A8D" w:rsidRDefault="00A616BF" w:rsidP="0052606F">
            <w:pPr>
              <w:spacing w:after="0" w:line="240" w:lineRule="auto"/>
              <w:jc w:val="center"/>
            </w:pPr>
            <w:r w:rsidRPr="00991A8D">
              <w:t>25</w:t>
            </w:r>
          </w:p>
        </w:tc>
        <w:tc>
          <w:tcPr>
            <w:tcW w:w="547" w:type="dxa"/>
            <w:tcBorders>
              <w:top w:val="nil"/>
              <w:left w:val="nil"/>
              <w:bottom w:val="single" w:sz="4" w:space="0" w:color="auto"/>
              <w:right w:val="single" w:sz="4" w:space="0" w:color="auto"/>
            </w:tcBorders>
            <w:vAlign w:val="center"/>
            <w:hideMark/>
          </w:tcPr>
          <w:p w14:paraId="6CB1D011" w14:textId="48B459BD" w:rsidR="00A616BF" w:rsidRPr="00991A8D" w:rsidRDefault="00A616BF" w:rsidP="0052606F">
            <w:pPr>
              <w:spacing w:after="0" w:line="240" w:lineRule="auto"/>
              <w:jc w:val="center"/>
            </w:pPr>
            <w:r w:rsidRPr="00991A8D">
              <w:t>29</w:t>
            </w:r>
          </w:p>
        </w:tc>
        <w:tc>
          <w:tcPr>
            <w:tcW w:w="542" w:type="dxa"/>
            <w:tcBorders>
              <w:top w:val="nil"/>
              <w:left w:val="nil"/>
              <w:bottom w:val="single" w:sz="4" w:space="0" w:color="auto"/>
              <w:right w:val="single" w:sz="4" w:space="0" w:color="auto"/>
            </w:tcBorders>
            <w:vAlign w:val="center"/>
            <w:hideMark/>
          </w:tcPr>
          <w:p w14:paraId="7C8810B0" w14:textId="38E3120D" w:rsidR="00A616BF" w:rsidRPr="00991A8D" w:rsidRDefault="00A616BF" w:rsidP="0052606F">
            <w:pPr>
              <w:spacing w:after="0" w:line="240" w:lineRule="auto"/>
              <w:jc w:val="center"/>
            </w:pPr>
            <w:r w:rsidRPr="00991A8D">
              <w:t>29</w:t>
            </w:r>
          </w:p>
        </w:tc>
        <w:tc>
          <w:tcPr>
            <w:tcW w:w="550" w:type="dxa"/>
            <w:tcBorders>
              <w:top w:val="nil"/>
              <w:left w:val="nil"/>
              <w:bottom w:val="single" w:sz="4" w:space="0" w:color="auto"/>
              <w:right w:val="single" w:sz="4" w:space="0" w:color="auto"/>
            </w:tcBorders>
            <w:vAlign w:val="center"/>
            <w:hideMark/>
          </w:tcPr>
          <w:p w14:paraId="0AF51B2A" w14:textId="5CEDB489" w:rsidR="00A616BF" w:rsidRPr="00991A8D" w:rsidRDefault="00A616BF" w:rsidP="0052606F">
            <w:pPr>
              <w:spacing w:after="0" w:line="240" w:lineRule="auto"/>
              <w:jc w:val="center"/>
            </w:pPr>
            <w:r w:rsidRPr="00991A8D">
              <w:t>34</w:t>
            </w:r>
          </w:p>
        </w:tc>
        <w:tc>
          <w:tcPr>
            <w:tcW w:w="546" w:type="dxa"/>
            <w:tcBorders>
              <w:top w:val="nil"/>
              <w:left w:val="nil"/>
              <w:bottom w:val="single" w:sz="4" w:space="0" w:color="auto"/>
              <w:right w:val="single" w:sz="4" w:space="0" w:color="auto"/>
            </w:tcBorders>
            <w:vAlign w:val="center"/>
            <w:hideMark/>
          </w:tcPr>
          <w:p w14:paraId="781FCB08" w14:textId="2F751234" w:rsidR="00A616BF" w:rsidRPr="00991A8D" w:rsidRDefault="00A616BF" w:rsidP="0052606F">
            <w:pPr>
              <w:spacing w:after="0" w:line="240" w:lineRule="auto"/>
              <w:jc w:val="center"/>
            </w:pPr>
            <w:r w:rsidRPr="00991A8D">
              <w:t>31</w:t>
            </w:r>
          </w:p>
        </w:tc>
        <w:tc>
          <w:tcPr>
            <w:tcW w:w="546" w:type="dxa"/>
            <w:tcBorders>
              <w:top w:val="nil"/>
              <w:left w:val="nil"/>
              <w:bottom w:val="single" w:sz="4" w:space="0" w:color="auto"/>
              <w:right w:val="single" w:sz="4" w:space="0" w:color="auto"/>
            </w:tcBorders>
            <w:vAlign w:val="center"/>
            <w:hideMark/>
          </w:tcPr>
          <w:p w14:paraId="76BCFB9F" w14:textId="1C6D04B3" w:rsidR="00A616BF" w:rsidRPr="00991A8D" w:rsidRDefault="00A616BF" w:rsidP="0052606F">
            <w:pPr>
              <w:spacing w:after="0" w:line="240" w:lineRule="auto"/>
              <w:jc w:val="center"/>
            </w:pPr>
            <w:r w:rsidRPr="00991A8D">
              <w:t>18</w:t>
            </w:r>
          </w:p>
        </w:tc>
        <w:tc>
          <w:tcPr>
            <w:tcW w:w="550" w:type="dxa"/>
            <w:tcBorders>
              <w:top w:val="single" w:sz="4" w:space="0" w:color="auto"/>
              <w:left w:val="nil"/>
              <w:bottom w:val="single" w:sz="4" w:space="0" w:color="auto"/>
              <w:right w:val="single" w:sz="4" w:space="0" w:color="auto"/>
            </w:tcBorders>
            <w:vAlign w:val="center"/>
            <w:hideMark/>
          </w:tcPr>
          <w:p w14:paraId="4B0DFD92" w14:textId="243BC6E0" w:rsidR="00A616BF" w:rsidRPr="00991A8D" w:rsidRDefault="00A616BF" w:rsidP="0052606F">
            <w:pPr>
              <w:spacing w:after="0" w:line="240" w:lineRule="auto"/>
              <w:jc w:val="center"/>
            </w:pPr>
            <w:r w:rsidRPr="00991A8D">
              <w:t>42</w:t>
            </w:r>
          </w:p>
        </w:tc>
        <w:tc>
          <w:tcPr>
            <w:tcW w:w="663" w:type="dxa"/>
            <w:tcBorders>
              <w:top w:val="single" w:sz="4" w:space="0" w:color="auto"/>
              <w:left w:val="single" w:sz="4" w:space="0" w:color="auto"/>
              <w:bottom w:val="single" w:sz="4" w:space="0" w:color="auto"/>
              <w:right w:val="single" w:sz="4" w:space="0" w:color="auto"/>
            </w:tcBorders>
          </w:tcPr>
          <w:p w14:paraId="171F07F2" w14:textId="7E277C3E" w:rsidR="00A616BF" w:rsidRPr="00685580" w:rsidRDefault="00A616BF" w:rsidP="0052606F">
            <w:pPr>
              <w:spacing w:after="0" w:line="240" w:lineRule="auto"/>
              <w:jc w:val="center"/>
            </w:pPr>
            <w:r w:rsidRPr="00685580">
              <w:t>31</w:t>
            </w:r>
          </w:p>
        </w:tc>
        <w:tc>
          <w:tcPr>
            <w:tcW w:w="740" w:type="dxa"/>
            <w:tcBorders>
              <w:top w:val="single" w:sz="4" w:space="0" w:color="auto"/>
              <w:left w:val="single" w:sz="4" w:space="0" w:color="auto"/>
              <w:bottom w:val="single" w:sz="4" w:space="0" w:color="auto"/>
              <w:right w:val="single" w:sz="4" w:space="0" w:color="auto"/>
            </w:tcBorders>
            <w:noWrap/>
            <w:vAlign w:val="bottom"/>
            <w:hideMark/>
          </w:tcPr>
          <w:p w14:paraId="72C598C9" w14:textId="0BC11F5C" w:rsidR="00A616BF" w:rsidRPr="00991A8D" w:rsidRDefault="00A616BF" w:rsidP="0052606F">
            <w:pPr>
              <w:spacing w:after="0" w:line="240" w:lineRule="auto"/>
              <w:jc w:val="center"/>
              <w:rPr>
                <w:b/>
                <w:bCs/>
              </w:rPr>
            </w:pPr>
            <w:r w:rsidRPr="00991A8D">
              <w:rPr>
                <w:b/>
                <w:bCs/>
              </w:rPr>
              <w:t>3</w:t>
            </w:r>
            <w:r>
              <w:rPr>
                <w:b/>
                <w:bCs/>
              </w:rPr>
              <w:t>77</w:t>
            </w:r>
          </w:p>
        </w:tc>
      </w:tr>
    </w:tbl>
    <w:p w14:paraId="15E25C8D" w14:textId="73011642" w:rsidR="006C1159" w:rsidRPr="0077472F" w:rsidRDefault="006C1159" w:rsidP="00325941">
      <w:pPr>
        <w:spacing w:line="360" w:lineRule="auto"/>
        <w:ind w:left="-142"/>
        <w:jc w:val="center"/>
        <w:rPr>
          <w:i/>
          <w:iCs/>
          <w:sz w:val="18"/>
          <w:szCs w:val="18"/>
        </w:rPr>
      </w:pPr>
      <w:r w:rsidRPr="0077472F">
        <w:rPr>
          <w:i/>
          <w:iCs/>
          <w:sz w:val="18"/>
          <w:szCs w:val="18"/>
        </w:rPr>
        <w:t xml:space="preserve">Fuente. </w:t>
      </w:r>
      <w:r w:rsidR="0052606F" w:rsidRPr="0077472F">
        <w:rPr>
          <w:i/>
          <w:iCs/>
          <w:sz w:val="18"/>
          <w:szCs w:val="18"/>
        </w:rPr>
        <w:t>SAIP</w:t>
      </w:r>
    </w:p>
    <w:p w14:paraId="36487271" w14:textId="586A68EB" w:rsidR="00913499" w:rsidRPr="00991A8D" w:rsidRDefault="009B71E8" w:rsidP="00D65AC0">
      <w:pPr>
        <w:pStyle w:val="Ttulo2"/>
        <w:spacing w:line="360" w:lineRule="auto"/>
        <w:rPr>
          <w:b/>
          <w:bCs/>
          <w:color w:val="767171"/>
        </w:rPr>
      </w:pPr>
      <w:bookmarkStart w:id="44" w:name="_Toc217997946"/>
      <w:r w:rsidRPr="00991A8D">
        <w:rPr>
          <w:b/>
          <w:bCs/>
          <w:color w:val="767171"/>
        </w:rPr>
        <w:t xml:space="preserve">5.3 Resultados </w:t>
      </w:r>
      <w:r w:rsidR="00D65AC0" w:rsidRPr="00991A8D">
        <w:rPr>
          <w:b/>
          <w:bCs/>
          <w:color w:val="767171"/>
        </w:rPr>
        <w:t>S</w:t>
      </w:r>
      <w:r w:rsidRPr="00991A8D">
        <w:rPr>
          <w:b/>
          <w:bCs/>
          <w:color w:val="767171"/>
        </w:rPr>
        <w:t xml:space="preserve">istema de </w:t>
      </w:r>
      <w:r w:rsidR="00D65AC0" w:rsidRPr="00991A8D">
        <w:rPr>
          <w:b/>
          <w:bCs/>
          <w:color w:val="767171"/>
        </w:rPr>
        <w:t>Q</w:t>
      </w:r>
      <w:r w:rsidRPr="00991A8D">
        <w:rPr>
          <w:b/>
          <w:bCs/>
          <w:color w:val="767171"/>
        </w:rPr>
        <w:t xml:space="preserve">uejas, </w:t>
      </w:r>
      <w:r w:rsidR="00D65AC0" w:rsidRPr="00991A8D">
        <w:rPr>
          <w:b/>
          <w:bCs/>
          <w:color w:val="767171"/>
        </w:rPr>
        <w:t>R</w:t>
      </w:r>
      <w:r w:rsidRPr="00991A8D">
        <w:rPr>
          <w:b/>
          <w:bCs/>
          <w:color w:val="767171"/>
        </w:rPr>
        <w:t xml:space="preserve">eclamos y </w:t>
      </w:r>
      <w:r w:rsidR="00D65AC0" w:rsidRPr="00991A8D">
        <w:rPr>
          <w:b/>
          <w:bCs/>
          <w:color w:val="767171"/>
        </w:rPr>
        <w:t>S</w:t>
      </w:r>
      <w:r w:rsidRPr="00991A8D">
        <w:rPr>
          <w:b/>
          <w:bCs/>
          <w:color w:val="767171"/>
        </w:rPr>
        <w:t>ugerencias</w:t>
      </w:r>
      <w:bookmarkEnd w:id="44"/>
    </w:p>
    <w:p w14:paraId="5884A21D" w14:textId="66A62C77" w:rsidR="0052606F" w:rsidRPr="00991A8D" w:rsidRDefault="00D62F34" w:rsidP="00493CDC">
      <w:pPr>
        <w:spacing w:line="360" w:lineRule="auto"/>
        <w:jc w:val="both"/>
      </w:pPr>
      <w:r w:rsidRPr="00991A8D">
        <w:t xml:space="preserve">En el 2025 se actualizó la Política de Gestión de Quejas y Sugerencias, así como la matriz de registro, fortaleciendo este subproceso clave orientado a la satisfacción del usuario. Durante el período, se recibieron 52 incidencias a través del buzón físico, buzón web, correo electrónico y la página institucional, de las cuales el 73.08% correspondió a quejas (38 casos), el 23.08% a sugerencias (12 casos) y el 3.85% a reclamaciones (2 casos). </w:t>
      </w:r>
      <w:r w:rsidR="00BC3391">
        <w:t>Se proyecta el cierre de año con 56 incidencias reportadas, con al menos 4 más para diciembre.</w:t>
      </w:r>
    </w:p>
    <w:p w14:paraId="64D63CDC" w14:textId="7DED56CD" w:rsidR="00853383" w:rsidRPr="00991A8D" w:rsidRDefault="00970267" w:rsidP="00853383">
      <w:pPr>
        <w:spacing w:line="360" w:lineRule="auto"/>
        <w:jc w:val="center"/>
        <w:rPr>
          <w:sz w:val="18"/>
          <w:szCs w:val="18"/>
        </w:rPr>
      </w:pPr>
      <w:r w:rsidRPr="00991A8D">
        <w:rPr>
          <w:sz w:val="18"/>
          <w:szCs w:val="18"/>
        </w:rPr>
        <w:lastRenderedPageBreak/>
        <w:t>Gráfico</w:t>
      </w:r>
      <w:r w:rsidR="00853383" w:rsidRPr="00991A8D">
        <w:rPr>
          <w:sz w:val="18"/>
          <w:szCs w:val="18"/>
        </w:rPr>
        <w:t xml:space="preserve"> </w:t>
      </w:r>
      <w:r w:rsidR="003A262F" w:rsidRPr="00991A8D">
        <w:rPr>
          <w:sz w:val="18"/>
          <w:szCs w:val="18"/>
        </w:rPr>
        <w:t>29</w:t>
      </w:r>
      <w:r w:rsidR="00853383" w:rsidRPr="00991A8D">
        <w:rPr>
          <w:sz w:val="18"/>
          <w:szCs w:val="18"/>
        </w:rPr>
        <w:t>. Incidencias del sistema RQS 2025</w:t>
      </w:r>
    </w:p>
    <w:p w14:paraId="09E9ACD3" w14:textId="2E174B8B" w:rsidR="00853383" w:rsidRPr="00991A8D" w:rsidRDefault="00853383" w:rsidP="00853383">
      <w:pPr>
        <w:spacing w:after="0" w:line="240" w:lineRule="auto"/>
        <w:ind w:left="360"/>
        <w:jc w:val="center"/>
        <w:textAlignment w:val="baseline"/>
        <w:rPr>
          <w:sz w:val="18"/>
          <w:szCs w:val="18"/>
        </w:rPr>
      </w:pPr>
      <w:r w:rsidRPr="001F2FE1">
        <w:rPr>
          <w:noProof/>
          <w:shd w:val="clear" w:color="auto" w:fill="436EBE"/>
        </w:rPr>
        <w:drawing>
          <wp:inline distT="0" distB="0" distL="0" distR="0" wp14:anchorId="4CB0A911" wp14:editId="7C3D5D12">
            <wp:extent cx="4800600" cy="1850572"/>
            <wp:effectExtent l="0" t="0" r="0" b="0"/>
            <wp:docPr id="1088253325" name="Gráfico 1">
              <a:extLst xmlns:a="http://schemas.openxmlformats.org/drawingml/2006/main">
                <a:ext uri="{FF2B5EF4-FFF2-40B4-BE49-F238E27FC236}">
                  <a16:creationId xmlns:a16="http://schemas.microsoft.com/office/drawing/2014/main" id="{87A090E5-24F2-F5DE-5D57-008F7E5D65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0808601" w14:textId="1D3C63AC" w:rsidR="00853383" w:rsidRPr="005370A6" w:rsidRDefault="00853383" w:rsidP="00853383">
      <w:pPr>
        <w:spacing w:line="360" w:lineRule="auto"/>
        <w:jc w:val="center"/>
        <w:rPr>
          <w:i/>
          <w:iCs/>
          <w:sz w:val="18"/>
          <w:szCs w:val="18"/>
        </w:rPr>
      </w:pPr>
      <w:r w:rsidRPr="005370A6">
        <w:rPr>
          <w:i/>
          <w:iCs/>
          <w:sz w:val="18"/>
          <w:szCs w:val="18"/>
        </w:rPr>
        <w:t>Fuente. Memorial Anual División de Calidad en la Gestión.</w:t>
      </w:r>
    </w:p>
    <w:p w14:paraId="7B8F8CB0" w14:textId="469419D7" w:rsidR="00D62F34" w:rsidRPr="00991A8D" w:rsidRDefault="00D62F34" w:rsidP="00493CDC">
      <w:pPr>
        <w:spacing w:line="360" w:lineRule="auto"/>
        <w:jc w:val="both"/>
      </w:pPr>
      <w:r w:rsidRPr="00991A8D">
        <w:t xml:space="preserve">Asimismo, como parte de la mejora continua, se incorporó una nueva categoría denominada “incidencias personales”, que será gestionada juntamente con la Dirección de Recursos Humanos, permitiendo que el área de Calidad concentre sus esfuerzos en la mejora de los servicios institucionales mientras se atienden adecuadamente situaciones particulares del personal. </w:t>
      </w:r>
    </w:p>
    <w:p w14:paraId="4D153240" w14:textId="611ADF8B" w:rsidR="00D62F34" w:rsidRDefault="00D62F34" w:rsidP="00493CDC">
      <w:pPr>
        <w:spacing w:line="360" w:lineRule="auto"/>
        <w:jc w:val="both"/>
      </w:pPr>
      <w:r w:rsidRPr="00991A8D">
        <w:t>Cabe destacar que en el 2025 las quejas relacionadas con los servicios se redujeron en un 9% respecto al año 2024, lo que evidencia una gestión más efectiva, oportuna y centrada en el usuario.</w:t>
      </w:r>
      <w:r w:rsidR="00302162">
        <w:t xml:space="preserve"> </w:t>
      </w:r>
      <w:r w:rsidR="006D126D">
        <w:t xml:space="preserve">Se estima mantener este resultado hasta finalizar el año, según los registros del mes de diciembre. </w:t>
      </w:r>
    </w:p>
    <w:p w14:paraId="160F0FD5" w14:textId="02F8793D" w:rsidR="00913499" w:rsidRDefault="00FA79EC" w:rsidP="00792E95">
      <w:pPr>
        <w:pStyle w:val="Ttulo2"/>
        <w:spacing w:line="360" w:lineRule="auto"/>
        <w:rPr>
          <w:b/>
          <w:bCs/>
          <w:color w:val="767171"/>
        </w:rPr>
      </w:pPr>
      <w:bookmarkStart w:id="45" w:name="_Toc217997947"/>
      <w:r w:rsidRPr="00991A8D">
        <w:rPr>
          <w:b/>
          <w:bCs/>
          <w:color w:val="767171"/>
        </w:rPr>
        <w:t>5.4 Resultados mediciones del portal de transparencia</w:t>
      </w:r>
      <w:bookmarkEnd w:id="45"/>
    </w:p>
    <w:p w14:paraId="31FF1C1E" w14:textId="77777777" w:rsidR="002471BE" w:rsidRDefault="002471BE" w:rsidP="00853383">
      <w:pPr>
        <w:spacing w:line="360" w:lineRule="auto"/>
        <w:jc w:val="both"/>
        <w:rPr>
          <w:rFonts w:eastAsia="Calibri"/>
        </w:rPr>
      </w:pPr>
    </w:p>
    <w:p w14:paraId="22BE86C8" w14:textId="54E360A2" w:rsidR="002C7268" w:rsidRDefault="00853383" w:rsidP="00853383">
      <w:pPr>
        <w:spacing w:line="360" w:lineRule="auto"/>
        <w:jc w:val="both"/>
        <w:rPr>
          <w:rFonts w:eastAsia="Calibri"/>
        </w:rPr>
      </w:pPr>
      <w:r w:rsidRPr="00991A8D">
        <w:rPr>
          <w:rFonts w:eastAsia="Calibri"/>
        </w:rPr>
        <w:t xml:space="preserve">Al corte de octubre 2025, última evaluación reportada por la DIGEIG, esta Contraloría presenta </w:t>
      </w:r>
      <w:r w:rsidR="002C7268">
        <w:rPr>
          <w:rFonts w:eastAsia="Calibri"/>
        </w:rPr>
        <w:t>resultado promedio</w:t>
      </w:r>
      <w:r w:rsidRPr="00991A8D">
        <w:rPr>
          <w:rFonts w:eastAsia="Calibri"/>
        </w:rPr>
        <w:t xml:space="preserve"> en el portal de transparencia de un 93% tomando en cuenta las calificaciones obtenidas</w:t>
      </w:r>
      <w:r w:rsidR="002C7268">
        <w:rPr>
          <w:rFonts w:eastAsia="Calibri"/>
        </w:rPr>
        <w:t xml:space="preserve">, </w:t>
      </w:r>
      <w:r w:rsidRPr="00991A8D">
        <w:rPr>
          <w:rFonts w:eastAsia="Calibri"/>
        </w:rPr>
        <w:t>siendo el mes de agosto el resultado más bajo.</w:t>
      </w:r>
      <w:r w:rsidR="002C7268">
        <w:rPr>
          <w:rFonts w:eastAsia="Calibri"/>
        </w:rPr>
        <w:t xml:space="preserve"> Se estima el cierre de año con este mismo resultado, debido a los resultados proyectados de 96% para los meses de noviembre y diciembre. </w:t>
      </w:r>
    </w:p>
    <w:p w14:paraId="3CB61876" w14:textId="77777777" w:rsidR="002C7268" w:rsidRDefault="002C7268" w:rsidP="00853383">
      <w:pPr>
        <w:spacing w:line="360" w:lineRule="auto"/>
        <w:jc w:val="both"/>
        <w:rPr>
          <w:rFonts w:eastAsia="Calibri"/>
        </w:rPr>
      </w:pPr>
    </w:p>
    <w:p w14:paraId="7CF2CD06" w14:textId="77777777" w:rsidR="002C7268" w:rsidRDefault="002C7268" w:rsidP="00853383">
      <w:pPr>
        <w:spacing w:line="360" w:lineRule="auto"/>
        <w:jc w:val="both"/>
        <w:rPr>
          <w:rFonts w:eastAsia="Calibri"/>
        </w:rPr>
      </w:pPr>
    </w:p>
    <w:p w14:paraId="7F063131" w14:textId="30D52B81" w:rsidR="00853383" w:rsidRPr="00991A8D" w:rsidRDefault="00853383" w:rsidP="00853383">
      <w:pPr>
        <w:spacing w:line="360" w:lineRule="auto"/>
        <w:jc w:val="both"/>
        <w:rPr>
          <w:rFonts w:eastAsia="Calibri"/>
        </w:rPr>
      </w:pPr>
      <w:r w:rsidRPr="00991A8D">
        <w:rPr>
          <w:rFonts w:eastAsia="Calibri"/>
        </w:rPr>
        <w:t xml:space="preserve">Esto se debe a temas de la transferencia de la </w:t>
      </w:r>
      <w:r w:rsidR="00C04694" w:rsidRPr="00991A8D">
        <w:rPr>
          <w:rFonts w:eastAsia="Calibri"/>
        </w:rPr>
        <w:t>documentación</w:t>
      </w:r>
      <w:r w:rsidRPr="00991A8D">
        <w:rPr>
          <w:rFonts w:eastAsia="Calibri"/>
        </w:rPr>
        <w:t xml:space="preserve"> de un procesador de documentos a otro, por directrices de la OGTIC, en esta transferencia de </w:t>
      </w:r>
      <w:r w:rsidR="00C04694" w:rsidRPr="00991A8D">
        <w:rPr>
          <w:rFonts w:eastAsia="Calibri"/>
        </w:rPr>
        <w:t>documentación</w:t>
      </w:r>
      <w:r w:rsidRPr="00991A8D">
        <w:rPr>
          <w:rFonts w:eastAsia="Calibri"/>
        </w:rPr>
        <w:t xml:space="preserve">, mucha de la </w:t>
      </w:r>
      <w:r w:rsidR="00C04694" w:rsidRPr="00991A8D">
        <w:rPr>
          <w:rFonts w:eastAsia="Calibri"/>
        </w:rPr>
        <w:t>información</w:t>
      </w:r>
      <w:r w:rsidRPr="00991A8D">
        <w:rPr>
          <w:rFonts w:eastAsia="Calibri"/>
        </w:rPr>
        <w:t xml:space="preserve"> que se encontraba previamente cargada se vio eliminada. </w:t>
      </w:r>
    </w:p>
    <w:p w14:paraId="56491C4D" w14:textId="1772009B" w:rsidR="00256869" w:rsidRPr="00991A8D" w:rsidRDefault="003A262F" w:rsidP="00256869">
      <w:pPr>
        <w:spacing w:line="360" w:lineRule="auto"/>
        <w:jc w:val="center"/>
        <w:rPr>
          <w:i/>
          <w:iCs/>
          <w:sz w:val="18"/>
          <w:szCs w:val="18"/>
        </w:rPr>
      </w:pPr>
      <w:r w:rsidRPr="00991A8D">
        <w:rPr>
          <w:sz w:val="18"/>
          <w:szCs w:val="18"/>
        </w:rPr>
        <w:t>Gráfico 30</w:t>
      </w:r>
      <w:r w:rsidR="00256869" w:rsidRPr="00991A8D">
        <w:rPr>
          <w:sz w:val="18"/>
          <w:szCs w:val="18"/>
        </w:rPr>
        <w:t>. Comportamiento mensual de las evaluaciones al portal de transparencia 202</w:t>
      </w:r>
      <w:r w:rsidR="00853383" w:rsidRPr="00991A8D">
        <w:rPr>
          <w:sz w:val="18"/>
          <w:szCs w:val="18"/>
        </w:rPr>
        <w:t>5</w:t>
      </w:r>
    </w:p>
    <w:p w14:paraId="77FB927B" w14:textId="4A2C21F7" w:rsidR="00256869" w:rsidRPr="00465A16" w:rsidRDefault="002C7268">
      <w:pPr>
        <w:rPr>
          <w:rFonts w:eastAsia="Calibri"/>
          <w:color w:val="EE0000"/>
        </w:rPr>
      </w:pPr>
      <w:r>
        <w:rPr>
          <w:noProof/>
        </w:rPr>
        <w:drawing>
          <wp:inline distT="0" distB="0" distL="0" distR="0" wp14:anchorId="1A1FEE94" wp14:editId="40A70150">
            <wp:extent cx="5362575" cy="2743200"/>
            <wp:effectExtent l="0" t="0" r="9525" b="0"/>
            <wp:docPr id="1347774066" name="Gráfico 1">
              <a:extLst xmlns:a="http://schemas.openxmlformats.org/drawingml/2006/main">
                <a:ext uri="{FF2B5EF4-FFF2-40B4-BE49-F238E27FC236}">
                  <a16:creationId xmlns:a16="http://schemas.microsoft.com/office/drawing/2014/main" id="{41C61C20-EF1A-AE26-6184-9FEC65A884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92F63AF" w14:textId="38012925" w:rsidR="00256869" w:rsidRPr="0077472F" w:rsidRDefault="00256869" w:rsidP="00256869">
      <w:pPr>
        <w:spacing w:line="360" w:lineRule="auto"/>
        <w:jc w:val="center"/>
        <w:rPr>
          <w:i/>
          <w:iCs/>
          <w:sz w:val="18"/>
          <w:szCs w:val="18"/>
        </w:rPr>
      </w:pPr>
      <w:r w:rsidRPr="0077472F">
        <w:rPr>
          <w:i/>
          <w:iCs/>
          <w:sz w:val="18"/>
          <w:szCs w:val="18"/>
        </w:rPr>
        <w:t>Fuente. Oficina de Libre Acceso a la Información</w:t>
      </w:r>
    </w:p>
    <w:p w14:paraId="2CC58C27" w14:textId="77777777" w:rsidR="00A2147E" w:rsidRPr="00991A8D" w:rsidRDefault="00A2147E">
      <w:pPr>
        <w:rPr>
          <w:rFonts w:eastAsia="Calibri"/>
        </w:rPr>
      </w:pPr>
    </w:p>
    <w:p w14:paraId="5D5BB426" w14:textId="77777777" w:rsidR="004913FE" w:rsidRPr="00465A16" w:rsidRDefault="004913FE">
      <w:pPr>
        <w:rPr>
          <w:rFonts w:eastAsia="Calibri"/>
          <w:color w:val="4C4747"/>
        </w:rPr>
        <w:sectPr w:rsidR="004913FE" w:rsidRPr="00465A16" w:rsidSect="00A0358A">
          <w:pgSz w:w="12240" w:h="15840"/>
          <w:pgMar w:top="1440" w:right="2160" w:bottom="1440" w:left="2127" w:header="720" w:footer="720" w:gutter="0"/>
          <w:cols w:space="720"/>
          <w:docGrid w:linePitch="360"/>
        </w:sectPr>
      </w:pPr>
    </w:p>
    <w:p w14:paraId="30FF63ED" w14:textId="27F562B6" w:rsidR="00DD7615" w:rsidRPr="00FA378C" w:rsidRDefault="00DD7615">
      <w:pPr>
        <w:pStyle w:val="Ttulo1"/>
        <w:numPr>
          <w:ilvl w:val="0"/>
          <w:numId w:val="3"/>
        </w:numPr>
        <w:rPr>
          <w:rFonts w:cs="Times New Roman"/>
          <w:color w:val="767171"/>
        </w:rPr>
      </w:pPr>
      <w:bookmarkStart w:id="46" w:name="_Toc217997948"/>
      <w:r w:rsidRPr="00FA378C">
        <w:rPr>
          <w:rFonts w:cs="Times New Roman"/>
          <w:color w:val="767171"/>
        </w:rPr>
        <w:lastRenderedPageBreak/>
        <w:t>PROYECCIONES AL PRÓXIMO AÑO</w:t>
      </w:r>
      <w:bookmarkEnd w:id="46"/>
    </w:p>
    <w:p w14:paraId="50A93A1D" w14:textId="77777777" w:rsidR="00DD7615" w:rsidRPr="00FA378C" w:rsidRDefault="00DD7615" w:rsidP="00DD7615">
      <w:pPr>
        <w:jc w:val="both"/>
        <w:rPr>
          <w:rFonts w:eastAsia="Calibri"/>
          <w:sz w:val="18"/>
        </w:rPr>
      </w:pPr>
      <w:r w:rsidRPr="00FA378C">
        <w:rPr>
          <w:rFonts w:eastAsia="Calibri"/>
          <w:noProof/>
          <w:sz w:val="18"/>
        </w:rPr>
        <mc:AlternateContent>
          <mc:Choice Requires="wps">
            <w:drawing>
              <wp:anchor distT="0" distB="0" distL="114300" distR="114300" simplePos="0" relativeHeight="251722752" behindDoc="0" locked="0" layoutInCell="1" allowOverlap="1" wp14:anchorId="456CF742" wp14:editId="162F7137">
                <wp:simplePos x="0" y="0"/>
                <wp:positionH relativeFrom="margin">
                  <wp:posOffset>3902075</wp:posOffset>
                </wp:positionH>
                <wp:positionV relativeFrom="paragraph">
                  <wp:posOffset>128905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08F95" id="Straight Connector 11"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7.25pt,10.15pt" to="343.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" strokecolor="#ee2a24" strokeweight="2.25pt">
                <v:stroke joinstyle="miter"/>
                <w10:wrap anchorx="margin"/>
              </v:line>
            </w:pict>
          </mc:Fallback>
        </mc:AlternateContent>
      </w:r>
    </w:p>
    <w:p w14:paraId="07273B29" w14:textId="175F457C" w:rsidR="00DD7615" w:rsidRPr="00FA378C" w:rsidRDefault="00DD7615" w:rsidP="00DD7615">
      <w:pPr>
        <w:jc w:val="center"/>
        <w:rPr>
          <w:rFonts w:eastAsia="Calibri"/>
          <w:szCs w:val="36"/>
        </w:rPr>
      </w:pPr>
      <w:r w:rsidRPr="00FA378C">
        <w:rPr>
          <w:rFonts w:eastAsia="Calibri"/>
          <w:szCs w:val="36"/>
        </w:rPr>
        <w:t xml:space="preserve">Memoria </w:t>
      </w:r>
      <w:r w:rsidR="00F05DF4" w:rsidRPr="00FA378C">
        <w:rPr>
          <w:rFonts w:eastAsia="Calibri"/>
          <w:szCs w:val="36"/>
        </w:rPr>
        <w:t>I</w:t>
      </w:r>
      <w:r w:rsidRPr="00FA378C">
        <w:rPr>
          <w:rFonts w:eastAsia="Calibri"/>
          <w:szCs w:val="36"/>
        </w:rPr>
        <w:t xml:space="preserve">nstitucional </w:t>
      </w:r>
      <w:r w:rsidR="000025D4" w:rsidRPr="00FA378C">
        <w:rPr>
          <w:rFonts w:eastAsia="Calibri"/>
          <w:szCs w:val="36"/>
        </w:rPr>
        <w:t>202</w:t>
      </w:r>
      <w:r w:rsidR="00C14355" w:rsidRPr="00FA378C">
        <w:rPr>
          <w:rFonts w:eastAsia="Calibri"/>
          <w:szCs w:val="36"/>
        </w:rPr>
        <w:t>5</w:t>
      </w:r>
    </w:p>
    <w:p w14:paraId="5A8516B7" w14:textId="646B4D2D" w:rsidR="00BA58F2" w:rsidRPr="00991A8D" w:rsidRDefault="00306236" w:rsidP="00493CDC">
      <w:pPr>
        <w:spacing w:line="360" w:lineRule="auto"/>
        <w:jc w:val="both"/>
        <w:rPr>
          <w:rFonts w:eastAsia="Calibri"/>
        </w:rPr>
      </w:pPr>
      <w:r w:rsidRPr="00991A8D">
        <w:rPr>
          <w:rFonts w:eastAsia="Calibri"/>
        </w:rPr>
        <w:t>Con el propósito de robustecer sus funciones en la fiscalización y control de los recursos públicos, la Contraloría General de la República Dominicana ha definido sus acciones para el año 202</w:t>
      </w:r>
      <w:r w:rsidR="0006640E">
        <w:rPr>
          <w:rFonts w:eastAsia="Calibri"/>
        </w:rPr>
        <w:t>6</w:t>
      </w:r>
      <w:r w:rsidRPr="00991A8D">
        <w:rPr>
          <w:rFonts w:eastAsia="Calibri"/>
        </w:rPr>
        <w:t xml:space="preserve">, como se presenta en la tabla a continuación: </w:t>
      </w:r>
    </w:p>
    <w:p w14:paraId="05D7F76C" w14:textId="5BA35857" w:rsidR="004D62C7" w:rsidRPr="00991A8D" w:rsidRDefault="00BA58F2" w:rsidP="00BA58F2">
      <w:pPr>
        <w:spacing w:line="360" w:lineRule="auto"/>
        <w:jc w:val="center"/>
        <w:rPr>
          <w:rFonts w:eastAsia="Calibri"/>
          <w:sz w:val="18"/>
          <w:szCs w:val="18"/>
        </w:rPr>
      </w:pPr>
      <w:r w:rsidRPr="00991A8D">
        <w:rPr>
          <w:rFonts w:eastAsia="Calibri"/>
          <w:sz w:val="18"/>
          <w:szCs w:val="18"/>
        </w:rPr>
        <w:t xml:space="preserve">Tabla </w:t>
      </w:r>
      <w:r w:rsidR="003A262F" w:rsidRPr="00991A8D">
        <w:rPr>
          <w:rFonts w:eastAsia="Calibri"/>
          <w:sz w:val="18"/>
          <w:szCs w:val="18"/>
        </w:rPr>
        <w:t>32</w:t>
      </w:r>
      <w:r w:rsidRPr="00991A8D">
        <w:rPr>
          <w:rFonts w:eastAsia="Calibri"/>
          <w:sz w:val="18"/>
          <w:szCs w:val="18"/>
        </w:rPr>
        <w:t>. Proyecciones al próximo año</w:t>
      </w:r>
      <w:r w:rsidR="004D62C7" w:rsidRPr="00991A8D">
        <w:rPr>
          <w:sz w:val="18"/>
          <w:szCs w:val="18"/>
        </w:rPr>
        <w:fldChar w:fldCharType="begin"/>
      </w:r>
      <w:r w:rsidR="004D62C7" w:rsidRPr="00991A8D">
        <w:rPr>
          <w:sz w:val="18"/>
          <w:szCs w:val="18"/>
        </w:rPr>
        <w:instrText xml:space="preserve"> LINK Excel.Sheet.12 "Libro1" "Hoja1!F1C1:F8C5" \a \f 4 \h  \* MERGEFORMAT </w:instrText>
      </w:r>
      <w:r w:rsidR="004D62C7" w:rsidRPr="00991A8D">
        <w:rPr>
          <w:sz w:val="18"/>
          <w:szCs w:val="18"/>
        </w:rPr>
        <w:fldChar w:fldCharType="separate"/>
      </w:r>
    </w:p>
    <w:tbl>
      <w:tblPr>
        <w:tblpPr w:leftFromText="141" w:rightFromText="141" w:vertAnchor="text" w:tblpY="1"/>
        <w:tblOverlap w:val="never"/>
        <w:tblW w:w="12890" w:type="dxa"/>
        <w:tblCellMar>
          <w:left w:w="70" w:type="dxa"/>
          <w:right w:w="70" w:type="dxa"/>
        </w:tblCellMar>
        <w:tblLook w:val="04A0" w:firstRow="1" w:lastRow="0" w:firstColumn="1" w:lastColumn="0" w:noHBand="0" w:noVBand="1"/>
      </w:tblPr>
      <w:tblGrid>
        <w:gridCol w:w="2339"/>
        <w:gridCol w:w="2754"/>
        <w:gridCol w:w="2410"/>
        <w:gridCol w:w="3260"/>
        <w:gridCol w:w="2127"/>
      </w:tblGrid>
      <w:tr w:rsidR="00991A8D" w:rsidRPr="00991A8D" w14:paraId="7405CA03" w14:textId="77777777" w:rsidTr="001D4FEA">
        <w:trPr>
          <w:trHeight w:val="696"/>
          <w:tblHeader/>
        </w:trPr>
        <w:tc>
          <w:tcPr>
            <w:tcW w:w="2339" w:type="dxa"/>
            <w:tcBorders>
              <w:top w:val="single" w:sz="8" w:space="0" w:color="auto"/>
              <w:left w:val="single" w:sz="8" w:space="0" w:color="auto"/>
              <w:bottom w:val="nil"/>
              <w:right w:val="single" w:sz="8" w:space="0" w:color="auto"/>
            </w:tcBorders>
            <w:shd w:val="clear" w:color="auto" w:fill="011C50"/>
            <w:vAlign w:val="center"/>
            <w:hideMark/>
          </w:tcPr>
          <w:p w14:paraId="2E94998A" w14:textId="4FDDAA38" w:rsidR="004D62C7" w:rsidRPr="00991A8D" w:rsidRDefault="004D62C7" w:rsidP="004D62C7">
            <w:pPr>
              <w:spacing w:after="0" w:line="240" w:lineRule="auto"/>
              <w:jc w:val="center"/>
              <w:rPr>
                <w:rFonts w:eastAsia="Times New Roman"/>
                <w:b/>
                <w:bCs/>
                <w:color w:val="FFFFFF" w:themeColor="background1"/>
                <w:spacing w:val="0"/>
                <w:lang w:eastAsia="es-DO"/>
              </w:rPr>
            </w:pPr>
            <w:r w:rsidRPr="00991A8D">
              <w:rPr>
                <w:rFonts w:eastAsia="Times New Roman"/>
                <w:b/>
                <w:bCs/>
                <w:color w:val="FFFFFF" w:themeColor="background1"/>
                <w:spacing w:val="0"/>
                <w:lang w:eastAsia="es-DO"/>
              </w:rPr>
              <w:t>Eje Estratégico</w:t>
            </w:r>
          </w:p>
        </w:tc>
        <w:tc>
          <w:tcPr>
            <w:tcW w:w="2754" w:type="dxa"/>
            <w:tcBorders>
              <w:top w:val="single" w:sz="8" w:space="0" w:color="auto"/>
              <w:left w:val="nil"/>
              <w:bottom w:val="nil"/>
              <w:right w:val="single" w:sz="8" w:space="0" w:color="auto"/>
            </w:tcBorders>
            <w:shd w:val="clear" w:color="auto" w:fill="011C50"/>
            <w:vAlign w:val="center"/>
            <w:hideMark/>
          </w:tcPr>
          <w:p w14:paraId="15D2FEEE" w14:textId="77777777" w:rsidR="004D62C7" w:rsidRPr="00991A8D" w:rsidRDefault="004D62C7" w:rsidP="004D62C7">
            <w:pPr>
              <w:spacing w:after="0" w:line="240" w:lineRule="auto"/>
              <w:jc w:val="center"/>
              <w:rPr>
                <w:rFonts w:eastAsia="Times New Roman"/>
                <w:b/>
                <w:bCs/>
                <w:color w:val="FFFFFF" w:themeColor="background1"/>
                <w:spacing w:val="0"/>
                <w:lang w:eastAsia="es-DO"/>
              </w:rPr>
            </w:pPr>
            <w:r w:rsidRPr="00991A8D">
              <w:rPr>
                <w:rFonts w:eastAsia="Times New Roman"/>
                <w:b/>
                <w:bCs/>
                <w:color w:val="FFFFFF" w:themeColor="background1"/>
                <w:spacing w:val="0"/>
                <w:lang w:eastAsia="es-DO"/>
              </w:rPr>
              <w:t>Estrategia</w:t>
            </w:r>
          </w:p>
        </w:tc>
        <w:tc>
          <w:tcPr>
            <w:tcW w:w="2410" w:type="dxa"/>
            <w:tcBorders>
              <w:top w:val="single" w:sz="8" w:space="0" w:color="auto"/>
              <w:left w:val="nil"/>
              <w:bottom w:val="nil"/>
              <w:right w:val="single" w:sz="8" w:space="0" w:color="auto"/>
            </w:tcBorders>
            <w:shd w:val="clear" w:color="auto" w:fill="011C50"/>
            <w:vAlign w:val="center"/>
            <w:hideMark/>
          </w:tcPr>
          <w:p w14:paraId="5A8AA1FD" w14:textId="77777777" w:rsidR="004D62C7" w:rsidRPr="00991A8D" w:rsidRDefault="004D62C7" w:rsidP="004D62C7">
            <w:pPr>
              <w:spacing w:after="0" w:line="240" w:lineRule="auto"/>
              <w:jc w:val="center"/>
              <w:rPr>
                <w:rFonts w:eastAsia="Times New Roman"/>
                <w:b/>
                <w:bCs/>
                <w:color w:val="FFFFFF" w:themeColor="background1"/>
                <w:spacing w:val="0"/>
                <w:lang w:eastAsia="es-DO"/>
              </w:rPr>
            </w:pPr>
            <w:r w:rsidRPr="00991A8D">
              <w:rPr>
                <w:rFonts w:eastAsia="Times New Roman"/>
                <w:b/>
                <w:bCs/>
                <w:color w:val="FFFFFF" w:themeColor="background1"/>
                <w:spacing w:val="0"/>
                <w:lang w:eastAsia="es-DO"/>
              </w:rPr>
              <w:t>Resultado</w:t>
            </w:r>
          </w:p>
        </w:tc>
        <w:tc>
          <w:tcPr>
            <w:tcW w:w="3260" w:type="dxa"/>
            <w:tcBorders>
              <w:top w:val="single" w:sz="8" w:space="0" w:color="auto"/>
              <w:left w:val="nil"/>
              <w:bottom w:val="nil"/>
              <w:right w:val="single" w:sz="8" w:space="0" w:color="auto"/>
            </w:tcBorders>
            <w:shd w:val="clear" w:color="auto" w:fill="011C50"/>
            <w:vAlign w:val="center"/>
            <w:hideMark/>
          </w:tcPr>
          <w:p w14:paraId="1375433A" w14:textId="77777777" w:rsidR="004D62C7" w:rsidRPr="00991A8D" w:rsidRDefault="004D62C7" w:rsidP="004D62C7">
            <w:pPr>
              <w:spacing w:after="0" w:line="240" w:lineRule="auto"/>
              <w:jc w:val="center"/>
              <w:rPr>
                <w:rFonts w:eastAsia="Times New Roman"/>
                <w:b/>
                <w:bCs/>
                <w:color w:val="FFFFFF" w:themeColor="background1"/>
                <w:spacing w:val="0"/>
                <w:lang w:eastAsia="es-DO"/>
              </w:rPr>
            </w:pPr>
            <w:r w:rsidRPr="00991A8D">
              <w:rPr>
                <w:rFonts w:eastAsia="Times New Roman"/>
                <w:b/>
                <w:bCs/>
                <w:color w:val="FFFFFF" w:themeColor="background1"/>
                <w:spacing w:val="0"/>
                <w:lang w:eastAsia="es-DO"/>
              </w:rPr>
              <w:t xml:space="preserve">Indicador </w:t>
            </w:r>
          </w:p>
        </w:tc>
        <w:tc>
          <w:tcPr>
            <w:tcW w:w="2127" w:type="dxa"/>
            <w:tcBorders>
              <w:top w:val="nil"/>
              <w:left w:val="nil"/>
              <w:bottom w:val="nil"/>
              <w:right w:val="single" w:sz="8" w:space="0" w:color="auto"/>
            </w:tcBorders>
            <w:shd w:val="clear" w:color="auto" w:fill="011C50"/>
            <w:vAlign w:val="center"/>
            <w:hideMark/>
          </w:tcPr>
          <w:p w14:paraId="14A0B328" w14:textId="5DA3E70E" w:rsidR="004D62C7" w:rsidRPr="00991A8D" w:rsidRDefault="004D62C7" w:rsidP="004D62C7">
            <w:pPr>
              <w:spacing w:after="0" w:line="240" w:lineRule="auto"/>
              <w:jc w:val="center"/>
              <w:rPr>
                <w:rFonts w:eastAsia="Times New Roman"/>
                <w:b/>
                <w:bCs/>
                <w:color w:val="FFFFFF" w:themeColor="background1"/>
                <w:spacing w:val="0"/>
                <w:lang w:eastAsia="es-DO"/>
              </w:rPr>
            </w:pPr>
            <w:r w:rsidRPr="00991A8D">
              <w:rPr>
                <w:rFonts w:eastAsia="Times New Roman"/>
                <w:b/>
                <w:bCs/>
                <w:color w:val="FFFFFF" w:themeColor="background1"/>
                <w:spacing w:val="0"/>
                <w:lang w:eastAsia="es-DO"/>
              </w:rPr>
              <w:t>Meta 202</w:t>
            </w:r>
            <w:r w:rsidR="0006640E">
              <w:rPr>
                <w:rFonts w:eastAsia="Times New Roman"/>
                <w:b/>
                <w:bCs/>
                <w:color w:val="FFFFFF" w:themeColor="background1"/>
                <w:spacing w:val="0"/>
                <w:lang w:eastAsia="es-DO"/>
              </w:rPr>
              <w:t>6</w:t>
            </w:r>
          </w:p>
        </w:tc>
      </w:tr>
      <w:tr w:rsidR="00991A8D" w:rsidRPr="00991A8D" w14:paraId="4E1B4A2B" w14:textId="77777777" w:rsidTr="004D62C7">
        <w:trPr>
          <w:trHeight w:val="2160"/>
        </w:trPr>
        <w:tc>
          <w:tcPr>
            <w:tcW w:w="2339" w:type="dxa"/>
            <w:vMerge w:val="restart"/>
            <w:tcBorders>
              <w:top w:val="nil"/>
              <w:left w:val="single" w:sz="4" w:space="0" w:color="auto"/>
              <w:bottom w:val="single" w:sz="4" w:space="0" w:color="auto"/>
              <w:right w:val="single" w:sz="4" w:space="0" w:color="auto"/>
            </w:tcBorders>
            <w:vAlign w:val="center"/>
            <w:hideMark/>
          </w:tcPr>
          <w:p w14:paraId="3D5B86A2" w14:textId="77777777" w:rsidR="00441F0E" w:rsidRPr="00991A8D" w:rsidRDefault="00441F0E" w:rsidP="00BA58F2">
            <w:pPr>
              <w:spacing w:after="0" w:line="360" w:lineRule="auto"/>
              <w:rPr>
                <w:rFonts w:eastAsia="Times New Roman"/>
                <w:spacing w:val="0"/>
                <w:lang w:eastAsia="es-DO"/>
              </w:rPr>
            </w:pPr>
          </w:p>
          <w:p w14:paraId="3A492681" w14:textId="77777777" w:rsidR="001D4FEA" w:rsidRPr="00991A8D" w:rsidRDefault="001D4FEA" w:rsidP="00BA58F2">
            <w:pPr>
              <w:spacing w:after="0" w:line="360" w:lineRule="auto"/>
            </w:pPr>
          </w:p>
          <w:p w14:paraId="130CDCB7" w14:textId="67476DB8" w:rsidR="007F3E94" w:rsidRPr="00991A8D" w:rsidRDefault="007F3E94" w:rsidP="00BA58F2">
            <w:pPr>
              <w:spacing w:after="0" w:line="360" w:lineRule="auto"/>
            </w:pPr>
            <w:r w:rsidRPr="00991A8D">
              <w:t>Fiscalización y control de los recursos públicos.</w:t>
            </w:r>
          </w:p>
          <w:p w14:paraId="7EBB7CBB" w14:textId="77777777" w:rsidR="00441F0E" w:rsidRPr="00991A8D" w:rsidRDefault="00441F0E" w:rsidP="00BA58F2">
            <w:pPr>
              <w:spacing w:after="0" w:line="360" w:lineRule="auto"/>
            </w:pPr>
          </w:p>
          <w:p w14:paraId="1E1B53D0" w14:textId="77777777" w:rsidR="00441F0E" w:rsidRPr="00991A8D" w:rsidRDefault="00441F0E" w:rsidP="00BA58F2">
            <w:pPr>
              <w:spacing w:after="0" w:line="360" w:lineRule="auto"/>
              <w:rPr>
                <w:rFonts w:eastAsia="Times New Roman"/>
                <w:spacing w:val="0"/>
                <w:lang w:eastAsia="es-DO"/>
              </w:rPr>
            </w:pPr>
          </w:p>
          <w:p w14:paraId="7FC2F8B4" w14:textId="77777777" w:rsidR="00441F0E" w:rsidRPr="00991A8D" w:rsidRDefault="00441F0E" w:rsidP="00BA58F2">
            <w:pPr>
              <w:spacing w:after="0" w:line="360" w:lineRule="auto"/>
              <w:rPr>
                <w:rFonts w:eastAsia="Times New Roman"/>
                <w:spacing w:val="0"/>
                <w:lang w:eastAsia="es-DO"/>
              </w:rPr>
            </w:pPr>
          </w:p>
          <w:p w14:paraId="330EE5CC" w14:textId="77777777" w:rsidR="003A262F" w:rsidRPr="00991A8D" w:rsidRDefault="003A262F" w:rsidP="00BA58F2">
            <w:pPr>
              <w:spacing w:after="0" w:line="360" w:lineRule="auto"/>
            </w:pPr>
          </w:p>
          <w:p w14:paraId="59FB4636" w14:textId="77777777" w:rsidR="003A262F" w:rsidRPr="00991A8D" w:rsidRDefault="003A262F" w:rsidP="00BA58F2">
            <w:pPr>
              <w:spacing w:after="0" w:line="360" w:lineRule="auto"/>
            </w:pPr>
          </w:p>
          <w:p w14:paraId="712FD4E5" w14:textId="77777777" w:rsidR="003A262F" w:rsidRPr="00991A8D" w:rsidRDefault="003A262F" w:rsidP="00BA58F2">
            <w:pPr>
              <w:spacing w:after="0" w:line="360" w:lineRule="auto"/>
            </w:pPr>
          </w:p>
          <w:p w14:paraId="25931B2B" w14:textId="77777777" w:rsidR="003A262F" w:rsidRPr="00991A8D" w:rsidRDefault="003A262F" w:rsidP="00BA58F2">
            <w:pPr>
              <w:spacing w:after="0" w:line="360" w:lineRule="auto"/>
            </w:pPr>
          </w:p>
          <w:p w14:paraId="3B083EC8" w14:textId="77777777" w:rsidR="00441F0E" w:rsidRPr="00991A8D" w:rsidRDefault="00441F0E" w:rsidP="00BA58F2">
            <w:pPr>
              <w:spacing w:after="0" w:line="360" w:lineRule="auto"/>
              <w:rPr>
                <w:rFonts w:eastAsia="Times New Roman"/>
                <w:spacing w:val="0"/>
                <w:lang w:eastAsia="es-DO"/>
              </w:rPr>
            </w:pPr>
            <w:r w:rsidRPr="00991A8D">
              <w:t>Fiscalización y control de los recursos públicos</w:t>
            </w:r>
            <w:r w:rsidRPr="00991A8D">
              <w:rPr>
                <w:rFonts w:eastAsia="Times New Roman"/>
                <w:spacing w:val="0"/>
                <w:lang w:eastAsia="es-DO"/>
              </w:rPr>
              <w:t>.</w:t>
            </w:r>
          </w:p>
          <w:p w14:paraId="04EDDF43" w14:textId="77777777" w:rsidR="003A262F" w:rsidRPr="00991A8D" w:rsidRDefault="003A262F" w:rsidP="00BA58F2">
            <w:pPr>
              <w:spacing w:after="0" w:line="360" w:lineRule="auto"/>
              <w:rPr>
                <w:rFonts w:eastAsia="Times New Roman"/>
                <w:spacing w:val="0"/>
                <w:lang w:eastAsia="es-DO"/>
              </w:rPr>
            </w:pPr>
          </w:p>
          <w:p w14:paraId="30CF98FF" w14:textId="77777777" w:rsidR="003A262F" w:rsidRPr="00991A8D" w:rsidRDefault="003A262F" w:rsidP="00BA58F2">
            <w:pPr>
              <w:spacing w:after="0" w:line="360" w:lineRule="auto"/>
              <w:rPr>
                <w:rFonts w:eastAsia="Times New Roman"/>
                <w:spacing w:val="0"/>
                <w:lang w:eastAsia="es-DO"/>
              </w:rPr>
            </w:pPr>
          </w:p>
          <w:p w14:paraId="0A8AF850" w14:textId="77777777" w:rsidR="003A262F" w:rsidRPr="00991A8D" w:rsidRDefault="003A262F" w:rsidP="00BA58F2">
            <w:pPr>
              <w:spacing w:after="0" w:line="360" w:lineRule="auto"/>
              <w:rPr>
                <w:rFonts w:eastAsia="Times New Roman"/>
                <w:spacing w:val="0"/>
                <w:lang w:eastAsia="es-DO"/>
              </w:rPr>
            </w:pPr>
          </w:p>
          <w:p w14:paraId="060960D3" w14:textId="77777777" w:rsidR="003A262F" w:rsidRPr="00991A8D" w:rsidRDefault="003A262F" w:rsidP="00BA58F2">
            <w:pPr>
              <w:spacing w:after="0" w:line="360" w:lineRule="auto"/>
              <w:rPr>
                <w:rFonts w:eastAsia="Times New Roman"/>
                <w:spacing w:val="0"/>
                <w:lang w:eastAsia="es-DO"/>
              </w:rPr>
            </w:pPr>
          </w:p>
          <w:p w14:paraId="58A7E13E" w14:textId="77777777" w:rsidR="003A262F" w:rsidRPr="00991A8D" w:rsidRDefault="003A262F" w:rsidP="00BA58F2">
            <w:pPr>
              <w:spacing w:after="0" w:line="360" w:lineRule="auto"/>
              <w:rPr>
                <w:rFonts w:eastAsia="Times New Roman"/>
                <w:spacing w:val="0"/>
                <w:lang w:eastAsia="es-DO"/>
              </w:rPr>
            </w:pPr>
          </w:p>
          <w:p w14:paraId="46AD4610" w14:textId="77777777" w:rsidR="003A262F" w:rsidRPr="00991A8D" w:rsidRDefault="003A262F" w:rsidP="00BA58F2">
            <w:pPr>
              <w:spacing w:after="0" w:line="360" w:lineRule="auto"/>
            </w:pPr>
          </w:p>
          <w:p w14:paraId="5833CC4C" w14:textId="77777777" w:rsidR="003A262F" w:rsidRPr="00991A8D" w:rsidRDefault="003A262F" w:rsidP="00BA58F2">
            <w:pPr>
              <w:spacing w:after="0" w:line="360" w:lineRule="auto"/>
            </w:pPr>
          </w:p>
          <w:p w14:paraId="3D195E28" w14:textId="77777777" w:rsidR="003A262F" w:rsidRPr="00991A8D" w:rsidRDefault="003A262F" w:rsidP="00BA58F2">
            <w:pPr>
              <w:spacing w:after="0" w:line="360" w:lineRule="auto"/>
            </w:pPr>
          </w:p>
          <w:p w14:paraId="408C3358" w14:textId="563151BB" w:rsidR="003A262F" w:rsidRPr="00991A8D" w:rsidRDefault="003A262F" w:rsidP="00BA58F2">
            <w:pPr>
              <w:spacing w:after="0" w:line="360" w:lineRule="auto"/>
              <w:rPr>
                <w:rFonts w:eastAsia="Times New Roman"/>
                <w:spacing w:val="0"/>
                <w:lang w:eastAsia="es-DO"/>
              </w:rPr>
            </w:pPr>
            <w:r w:rsidRPr="00991A8D">
              <w:t>Fiscalización y control de los recursos públicos</w:t>
            </w:r>
            <w:r w:rsidRPr="00991A8D">
              <w:rPr>
                <w:rFonts w:eastAsia="Times New Roman"/>
                <w:spacing w:val="0"/>
                <w:lang w:eastAsia="es-DO"/>
              </w:rPr>
              <w:t>.</w:t>
            </w:r>
          </w:p>
        </w:tc>
        <w:tc>
          <w:tcPr>
            <w:tcW w:w="2754" w:type="dxa"/>
            <w:tcBorders>
              <w:top w:val="nil"/>
              <w:left w:val="nil"/>
              <w:bottom w:val="single" w:sz="4" w:space="0" w:color="auto"/>
              <w:right w:val="single" w:sz="4" w:space="0" w:color="auto"/>
            </w:tcBorders>
            <w:vAlign w:val="center"/>
            <w:hideMark/>
          </w:tcPr>
          <w:p w14:paraId="5F751152" w14:textId="77777777" w:rsidR="003A262F" w:rsidRPr="00991A8D" w:rsidRDefault="003A262F" w:rsidP="00BA58F2">
            <w:pPr>
              <w:spacing w:after="0" w:line="360" w:lineRule="auto"/>
            </w:pPr>
          </w:p>
          <w:p w14:paraId="192CA534" w14:textId="77777777" w:rsidR="001D4FEA" w:rsidRPr="00991A8D" w:rsidRDefault="001D4FEA" w:rsidP="00BA58F2">
            <w:pPr>
              <w:spacing w:after="0" w:line="360" w:lineRule="auto"/>
            </w:pPr>
          </w:p>
          <w:p w14:paraId="67FAF769" w14:textId="3C72BF96" w:rsidR="007F3E94" w:rsidRPr="00991A8D" w:rsidRDefault="007F3E94" w:rsidP="00BA58F2">
            <w:pPr>
              <w:spacing w:after="0" w:line="360" w:lineRule="auto"/>
            </w:pPr>
            <w:r w:rsidRPr="00991A8D">
              <w:t>Aseguramiento de los procesos de control previo.</w:t>
            </w:r>
          </w:p>
          <w:p w14:paraId="6D94661B" w14:textId="77777777" w:rsidR="003A262F" w:rsidRPr="00991A8D" w:rsidRDefault="003A262F" w:rsidP="00BA58F2">
            <w:pPr>
              <w:spacing w:after="0" w:line="360" w:lineRule="auto"/>
              <w:rPr>
                <w:spacing w:val="0"/>
                <w:lang w:eastAsia="es-DO"/>
              </w:rPr>
            </w:pPr>
          </w:p>
          <w:p w14:paraId="285A938C" w14:textId="77777777" w:rsidR="003A262F" w:rsidRPr="00991A8D" w:rsidRDefault="003A262F" w:rsidP="00BA58F2">
            <w:pPr>
              <w:spacing w:after="0" w:line="360" w:lineRule="auto"/>
              <w:rPr>
                <w:spacing w:val="0"/>
                <w:lang w:eastAsia="es-DO"/>
              </w:rPr>
            </w:pPr>
          </w:p>
          <w:p w14:paraId="5D9A8724" w14:textId="77777777" w:rsidR="003A262F" w:rsidRPr="00991A8D" w:rsidRDefault="003A262F" w:rsidP="00BA58F2">
            <w:pPr>
              <w:spacing w:after="0" w:line="360" w:lineRule="auto"/>
              <w:rPr>
                <w:rFonts w:eastAsia="Times New Roman"/>
                <w:spacing w:val="0"/>
                <w:lang w:eastAsia="es-DO"/>
              </w:rPr>
            </w:pPr>
          </w:p>
        </w:tc>
        <w:tc>
          <w:tcPr>
            <w:tcW w:w="2410" w:type="dxa"/>
            <w:tcBorders>
              <w:top w:val="nil"/>
              <w:left w:val="nil"/>
              <w:bottom w:val="single" w:sz="4" w:space="0" w:color="auto"/>
              <w:right w:val="single" w:sz="4" w:space="0" w:color="auto"/>
            </w:tcBorders>
            <w:vAlign w:val="center"/>
            <w:hideMark/>
          </w:tcPr>
          <w:p w14:paraId="0C3F578F" w14:textId="42C82BF5" w:rsidR="007F3E94" w:rsidRPr="00991A8D" w:rsidRDefault="001D4FEA" w:rsidP="00BA58F2">
            <w:pPr>
              <w:spacing w:after="0" w:line="360" w:lineRule="auto"/>
              <w:rPr>
                <w:rFonts w:eastAsia="Times New Roman"/>
                <w:spacing w:val="0"/>
                <w:lang w:eastAsia="es-DO"/>
              </w:rPr>
            </w:pPr>
            <w:r w:rsidRPr="00991A8D">
              <w:t>Asegurado el cumplimiento de los requerimientos del Sistema Nacional de Control Interno.</w:t>
            </w:r>
          </w:p>
        </w:tc>
        <w:tc>
          <w:tcPr>
            <w:tcW w:w="3260" w:type="dxa"/>
            <w:tcBorders>
              <w:top w:val="nil"/>
              <w:left w:val="nil"/>
              <w:bottom w:val="single" w:sz="4" w:space="0" w:color="auto"/>
              <w:right w:val="single" w:sz="4" w:space="0" w:color="auto"/>
            </w:tcBorders>
            <w:vAlign w:val="center"/>
            <w:hideMark/>
          </w:tcPr>
          <w:p w14:paraId="750EB681" w14:textId="23BF22C7" w:rsidR="007F3E94" w:rsidRPr="00991A8D" w:rsidRDefault="007F3E94" w:rsidP="00BA58F2">
            <w:pPr>
              <w:spacing w:after="0" w:line="360" w:lineRule="auto"/>
              <w:rPr>
                <w:rFonts w:eastAsia="Times New Roman"/>
                <w:spacing w:val="0"/>
                <w:lang w:eastAsia="es-DO"/>
              </w:rPr>
            </w:pPr>
            <w:r w:rsidRPr="00991A8D">
              <w:t>Índice de cumplimiento de los compromisos contractuales asumidos entre instituciones públicas y proveedores.</w:t>
            </w:r>
          </w:p>
        </w:tc>
        <w:tc>
          <w:tcPr>
            <w:tcW w:w="2127" w:type="dxa"/>
            <w:tcBorders>
              <w:top w:val="nil"/>
              <w:left w:val="nil"/>
              <w:bottom w:val="single" w:sz="4" w:space="0" w:color="auto"/>
              <w:right w:val="single" w:sz="4" w:space="0" w:color="auto"/>
            </w:tcBorders>
            <w:vAlign w:val="center"/>
            <w:hideMark/>
          </w:tcPr>
          <w:p w14:paraId="507C5D7C" w14:textId="1CF57CA6" w:rsidR="007F3E94" w:rsidRPr="00991A8D" w:rsidRDefault="007F3E94" w:rsidP="007F3E94">
            <w:pPr>
              <w:spacing w:after="0" w:line="240" w:lineRule="auto"/>
              <w:jc w:val="center"/>
              <w:rPr>
                <w:rFonts w:eastAsia="Times New Roman"/>
                <w:spacing w:val="0"/>
                <w:lang w:eastAsia="es-DO"/>
              </w:rPr>
            </w:pPr>
            <w:r w:rsidRPr="00991A8D">
              <w:t>100%</w:t>
            </w:r>
          </w:p>
        </w:tc>
      </w:tr>
      <w:tr w:rsidR="00991A8D" w:rsidRPr="00991A8D" w14:paraId="269CF2F9" w14:textId="77777777" w:rsidTr="004D62C7">
        <w:trPr>
          <w:trHeight w:val="1488"/>
        </w:trPr>
        <w:tc>
          <w:tcPr>
            <w:tcW w:w="2339" w:type="dxa"/>
            <w:vMerge/>
            <w:tcBorders>
              <w:top w:val="nil"/>
              <w:left w:val="single" w:sz="4" w:space="0" w:color="auto"/>
              <w:bottom w:val="single" w:sz="4" w:space="0" w:color="auto"/>
              <w:right w:val="single" w:sz="4" w:space="0" w:color="auto"/>
            </w:tcBorders>
            <w:vAlign w:val="center"/>
            <w:hideMark/>
          </w:tcPr>
          <w:p w14:paraId="07F93196" w14:textId="77777777" w:rsidR="007F3E94" w:rsidRPr="00991A8D" w:rsidRDefault="007F3E94" w:rsidP="003A262F">
            <w:pPr>
              <w:spacing w:after="0" w:line="360" w:lineRule="auto"/>
              <w:rPr>
                <w:rFonts w:eastAsia="Times New Roman"/>
                <w:spacing w:val="0"/>
                <w:lang w:eastAsia="es-DO"/>
              </w:rPr>
            </w:pPr>
          </w:p>
        </w:tc>
        <w:tc>
          <w:tcPr>
            <w:tcW w:w="2754" w:type="dxa"/>
            <w:vMerge w:val="restart"/>
            <w:tcBorders>
              <w:top w:val="nil"/>
              <w:left w:val="single" w:sz="4" w:space="0" w:color="auto"/>
              <w:bottom w:val="single" w:sz="4" w:space="0" w:color="auto"/>
              <w:right w:val="single" w:sz="4" w:space="0" w:color="auto"/>
            </w:tcBorders>
            <w:vAlign w:val="center"/>
            <w:hideMark/>
          </w:tcPr>
          <w:p w14:paraId="7DEFF26C" w14:textId="77777777" w:rsidR="007F3E94" w:rsidRPr="00991A8D" w:rsidRDefault="007F3E94" w:rsidP="003A262F">
            <w:pPr>
              <w:spacing w:after="0" w:line="360" w:lineRule="auto"/>
            </w:pPr>
            <w:r w:rsidRPr="00991A8D">
              <w:t>Ampliación de la cobertura de las auditorías y análisis financiero, fortaleciendo las prácticas profesionales de auditoría.</w:t>
            </w:r>
          </w:p>
        </w:tc>
        <w:tc>
          <w:tcPr>
            <w:tcW w:w="2410" w:type="dxa"/>
            <w:vMerge w:val="restart"/>
            <w:tcBorders>
              <w:top w:val="nil"/>
              <w:left w:val="single" w:sz="4" w:space="0" w:color="auto"/>
              <w:bottom w:val="single" w:sz="4" w:space="0" w:color="auto"/>
              <w:right w:val="single" w:sz="4" w:space="0" w:color="auto"/>
            </w:tcBorders>
            <w:vAlign w:val="center"/>
            <w:hideMark/>
          </w:tcPr>
          <w:p w14:paraId="79341C81" w14:textId="77777777" w:rsidR="007F3E94" w:rsidRPr="00991A8D" w:rsidRDefault="007F3E94" w:rsidP="00BA58F2">
            <w:pPr>
              <w:spacing w:after="0" w:line="360" w:lineRule="auto"/>
            </w:pPr>
            <w:r w:rsidRPr="00991A8D">
              <w:br w:type="page"/>
              <w:t xml:space="preserve">Aumentada la cobertura de las auditorías y de análisis financiero al presupuesto general de la nación.  </w:t>
            </w:r>
          </w:p>
        </w:tc>
        <w:tc>
          <w:tcPr>
            <w:tcW w:w="3260" w:type="dxa"/>
            <w:tcBorders>
              <w:top w:val="nil"/>
              <w:left w:val="nil"/>
              <w:bottom w:val="single" w:sz="4" w:space="0" w:color="auto"/>
              <w:right w:val="single" w:sz="4" w:space="0" w:color="auto"/>
            </w:tcBorders>
            <w:vAlign w:val="center"/>
            <w:hideMark/>
          </w:tcPr>
          <w:p w14:paraId="5F368A0E" w14:textId="26AD4119" w:rsidR="007F3E94" w:rsidRPr="00991A8D" w:rsidRDefault="00C14355" w:rsidP="00BA58F2">
            <w:pPr>
              <w:spacing w:after="0" w:line="360" w:lineRule="auto"/>
              <w:rPr>
                <w:rFonts w:eastAsia="Times New Roman"/>
                <w:spacing w:val="0"/>
                <w:lang w:eastAsia="es-DO"/>
              </w:rPr>
            </w:pPr>
            <w:r w:rsidRPr="00991A8D">
              <w:t>Cantidad de auditorías realizadas a entidades del Sector Público</w:t>
            </w:r>
          </w:p>
        </w:tc>
        <w:tc>
          <w:tcPr>
            <w:tcW w:w="2127" w:type="dxa"/>
            <w:tcBorders>
              <w:top w:val="nil"/>
              <w:left w:val="nil"/>
              <w:bottom w:val="single" w:sz="4" w:space="0" w:color="auto"/>
              <w:right w:val="single" w:sz="4" w:space="0" w:color="auto"/>
            </w:tcBorders>
            <w:vAlign w:val="center"/>
            <w:hideMark/>
          </w:tcPr>
          <w:p w14:paraId="4A5B2B67" w14:textId="0D87F310" w:rsidR="007F3E94" w:rsidRPr="00991A8D" w:rsidRDefault="00C14355" w:rsidP="007F3E94">
            <w:pPr>
              <w:spacing w:after="0" w:line="240" w:lineRule="auto"/>
              <w:jc w:val="center"/>
              <w:rPr>
                <w:rFonts w:eastAsia="Times New Roman"/>
                <w:spacing w:val="0"/>
                <w:lang w:eastAsia="es-DO"/>
              </w:rPr>
            </w:pPr>
            <w:r w:rsidRPr="00991A8D">
              <w:rPr>
                <w:rFonts w:eastAsia="Times New Roman"/>
                <w:spacing w:val="0"/>
                <w:lang w:eastAsia="es-DO"/>
              </w:rPr>
              <w:t>70</w:t>
            </w:r>
          </w:p>
        </w:tc>
      </w:tr>
      <w:tr w:rsidR="00991A8D" w:rsidRPr="00991A8D" w14:paraId="70BCACC7" w14:textId="77777777" w:rsidTr="004D62C7">
        <w:trPr>
          <w:trHeight w:val="2964"/>
        </w:trPr>
        <w:tc>
          <w:tcPr>
            <w:tcW w:w="2339" w:type="dxa"/>
            <w:vMerge/>
            <w:tcBorders>
              <w:top w:val="nil"/>
              <w:left w:val="single" w:sz="4" w:space="0" w:color="auto"/>
              <w:bottom w:val="single" w:sz="4" w:space="0" w:color="auto"/>
              <w:right w:val="single" w:sz="4" w:space="0" w:color="auto"/>
            </w:tcBorders>
            <w:vAlign w:val="center"/>
            <w:hideMark/>
          </w:tcPr>
          <w:p w14:paraId="6E220B27" w14:textId="77777777" w:rsidR="007F3E94" w:rsidRPr="00991A8D" w:rsidRDefault="007F3E94" w:rsidP="007F3E94">
            <w:pPr>
              <w:spacing w:after="0" w:line="240" w:lineRule="auto"/>
              <w:rPr>
                <w:rFonts w:eastAsia="Times New Roman"/>
                <w:spacing w:val="0"/>
                <w:lang w:eastAsia="es-DO"/>
              </w:rPr>
            </w:pPr>
          </w:p>
        </w:tc>
        <w:tc>
          <w:tcPr>
            <w:tcW w:w="2754" w:type="dxa"/>
            <w:vMerge/>
            <w:tcBorders>
              <w:top w:val="nil"/>
              <w:left w:val="single" w:sz="4" w:space="0" w:color="auto"/>
              <w:bottom w:val="single" w:sz="4" w:space="0" w:color="auto"/>
              <w:right w:val="single" w:sz="4" w:space="0" w:color="auto"/>
            </w:tcBorders>
            <w:vAlign w:val="center"/>
            <w:hideMark/>
          </w:tcPr>
          <w:p w14:paraId="2B12C910" w14:textId="77777777" w:rsidR="007F3E94" w:rsidRPr="00991A8D" w:rsidRDefault="007F3E94" w:rsidP="007F3E94">
            <w:pPr>
              <w:spacing w:after="0" w:line="240" w:lineRule="auto"/>
              <w:rPr>
                <w:rFonts w:eastAsia="Times New Roman"/>
                <w:spacing w:val="0"/>
                <w:lang w:eastAsia="es-DO"/>
              </w:rPr>
            </w:pPr>
          </w:p>
        </w:tc>
        <w:tc>
          <w:tcPr>
            <w:tcW w:w="2410" w:type="dxa"/>
            <w:vMerge/>
            <w:tcBorders>
              <w:top w:val="nil"/>
              <w:left w:val="single" w:sz="4" w:space="0" w:color="auto"/>
              <w:bottom w:val="single" w:sz="4" w:space="0" w:color="auto"/>
              <w:right w:val="single" w:sz="4" w:space="0" w:color="auto"/>
            </w:tcBorders>
            <w:vAlign w:val="center"/>
            <w:hideMark/>
          </w:tcPr>
          <w:p w14:paraId="0AB821E3" w14:textId="77777777" w:rsidR="007F3E94" w:rsidRPr="00991A8D" w:rsidRDefault="007F3E94" w:rsidP="007F3E94">
            <w:pPr>
              <w:spacing w:after="0" w:line="240" w:lineRule="auto"/>
              <w:rPr>
                <w:rFonts w:eastAsia="Times New Roman"/>
                <w:spacing w:val="0"/>
                <w:lang w:eastAsia="es-DO"/>
              </w:rPr>
            </w:pPr>
          </w:p>
        </w:tc>
        <w:tc>
          <w:tcPr>
            <w:tcW w:w="3260" w:type="dxa"/>
            <w:tcBorders>
              <w:top w:val="nil"/>
              <w:left w:val="nil"/>
              <w:bottom w:val="single" w:sz="4" w:space="0" w:color="auto"/>
              <w:right w:val="single" w:sz="4" w:space="0" w:color="auto"/>
            </w:tcBorders>
            <w:vAlign w:val="center"/>
            <w:hideMark/>
          </w:tcPr>
          <w:p w14:paraId="54F8C859" w14:textId="237FC1A5" w:rsidR="007F3E94" w:rsidRPr="00991A8D" w:rsidRDefault="007F3E94" w:rsidP="00BA58F2">
            <w:pPr>
              <w:spacing w:after="0" w:line="360" w:lineRule="auto"/>
              <w:rPr>
                <w:rFonts w:eastAsia="Times New Roman"/>
                <w:spacing w:val="0"/>
                <w:lang w:eastAsia="es-DO"/>
              </w:rPr>
            </w:pPr>
            <w:r w:rsidRPr="00991A8D">
              <w:t xml:space="preserve">Porcentaje de análisis de control a los estados financieros y a la ejecución presupuestaria de las instituciones del sector público bajo el ámbito de la ley 10-07, según programación. </w:t>
            </w:r>
          </w:p>
        </w:tc>
        <w:tc>
          <w:tcPr>
            <w:tcW w:w="2127" w:type="dxa"/>
            <w:tcBorders>
              <w:top w:val="nil"/>
              <w:left w:val="nil"/>
              <w:bottom w:val="single" w:sz="4" w:space="0" w:color="auto"/>
              <w:right w:val="single" w:sz="4" w:space="0" w:color="auto"/>
            </w:tcBorders>
            <w:vAlign w:val="center"/>
            <w:hideMark/>
          </w:tcPr>
          <w:p w14:paraId="672AD1BA" w14:textId="3A7D4531" w:rsidR="007F3E94" w:rsidRPr="00991A8D" w:rsidRDefault="007F3E94" w:rsidP="007F3E94">
            <w:pPr>
              <w:spacing w:after="0" w:line="240" w:lineRule="auto"/>
              <w:jc w:val="center"/>
              <w:rPr>
                <w:rFonts w:eastAsia="Times New Roman"/>
                <w:spacing w:val="0"/>
                <w:lang w:eastAsia="es-DO"/>
              </w:rPr>
            </w:pPr>
            <w:r w:rsidRPr="00991A8D">
              <w:t>80%</w:t>
            </w:r>
          </w:p>
        </w:tc>
      </w:tr>
      <w:tr w:rsidR="00991A8D" w:rsidRPr="00991A8D" w14:paraId="571310C7" w14:textId="77777777" w:rsidTr="004D62C7">
        <w:trPr>
          <w:trHeight w:val="3516"/>
        </w:trPr>
        <w:tc>
          <w:tcPr>
            <w:tcW w:w="2339" w:type="dxa"/>
            <w:vMerge/>
            <w:tcBorders>
              <w:top w:val="nil"/>
              <w:left w:val="single" w:sz="4" w:space="0" w:color="auto"/>
              <w:bottom w:val="single" w:sz="4" w:space="0" w:color="auto"/>
              <w:right w:val="single" w:sz="4" w:space="0" w:color="auto"/>
            </w:tcBorders>
            <w:vAlign w:val="center"/>
            <w:hideMark/>
          </w:tcPr>
          <w:p w14:paraId="113D30D4" w14:textId="77777777" w:rsidR="007F3E94" w:rsidRPr="00991A8D" w:rsidRDefault="007F3E94" w:rsidP="007F3E94">
            <w:pPr>
              <w:spacing w:after="0" w:line="240" w:lineRule="auto"/>
              <w:rPr>
                <w:rFonts w:eastAsia="Times New Roman"/>
                <w:spacing w:val="0"/>
                <w:lang w:eastAsia="es-DO"/>
              </w:rPr>
            </w:pPr>
          </w:p>
        </w:tc>
        <w:tc>
          <w:tcPr>
            <w:tcW w:w="2754" w:type="dxa"/>
            <w:tcBorders>
              <w:top w:val="nil"/>
              <w:left w:val="nil"/>
              <w:bottom w:val="single" w:sz="4" w:space="0" w:color="auto"/>
              <w:right w:val="single" w:sz="4" w:space="0" w:color="auto"/>
            </w:tcBorders>
            <w:vAlign w:val="center"/>
            <w:hideMark/>
          </w:tcPr>
          <w:p w14:paraId="7386E318" w14:textId="7BD79B21" w:rsidR="007F3E94" w:rsidRPr="00991A8D" w:rsidRDefault="007F3E94" w:rsidP="00441F0E">
            <w:pPr>
              <w:spacing w:after="0" w:line="360" w:lineRule="auto"/>
            </w:pPr>
            <w:r w:rsidRPr="00991A8D">
              <w:t>Fortalecimiento del Sistema de antifraude.</w:t>
            </w:r>
          </w:p>
        </w:tc>
        <w:tc>
          <w:tcPr>
            <w:tcW w:w="2410" w:type="dxa"/>
            <w:tcBorders>
              <w:top w:val="nil"/>
              <w:left w:val="nil"/>
              <w:bottom w:val="single" w:sz="4" w:space="0" w:color="auto"/>
              <w:right w:val="single" w:sz="4" w:space="0" w:color="auto"/>
            </w:tcBorders>
            <w:vAlign w:val="center"/>
            <w:hideMark/>
          </w:tcPr>
          <w:p w14:paraId="18C304C2" w14:textId="792D0140" w:rsidR="007F3E94" w:rsidRPr="00991A8D" w:rsidRDefault="007F3E94" w:rsidP="00441F0E">
            <w:pPr>
              <w:spacing w:after="0" w:line="360" w:lineRule="auto"/>
              <w:rPr>
                <w:rFonts w:eastAsia="Times New Roman"/>
                <w:spacing w:val="0"/>
                <w:lang w:eastAsia="es-DO"/>
              </w:rPr>
            </w:pPr>
            <w:r w:rsidRPr="00991A8D">
              <w:rPr>
                <w:rFonts w:eastAsia="Times New Roman"/>
                <w:spacing w:val="0"/>
                <w:lang w:eastAsia="es-DO"/>
              </w:rPr>
              <w:t>P</w:t>
            </w:r>
            <w:r w:rsidRPr="00991A8D">
              <w:t>revenid</w:t>
            </w:r>
            <w:r w:rsidR="00C14355" w:rsidRPr="00991A8D">
              <w:t>a</w:t>
            </w:r>
            <w:r w:rsidRPr="00991A8D">
              <w:t xml:space="preserve"> y disuadid</w:t>
            </w:r>
            <w:r w:rsidR="00C14355" w:rsidRPr="00991A8D">
              <w:t xml:space="preserve">a </w:t>
            </w:r>
            <w:r w:rsidRPr="00991A8D">
              <w:t>la comisión de prácticas y/o maniobras fraudulentas y la corrupción administra en el uso y manejo de los recursos públicos.</w:t>
            </w:r>
          </w:p>
        </w:tc>
        <w:tc>
          <w:tcPr>
            <w:tcW w:w="3260" w:type="dxa"/>
            <w:tcBorders>
              <w:top w:val="nil"/>
              <w:left w:val="nil"/>
              <w:bottom w:val="single" w:sz="4" w:space="0" w:color="auto"/>
              <w:right w:val="single" w:sz="4" w:space="0" w:color="auto"/>
            </w:tcBorders>
            <w:vAlign w:val="center"/>
            <w:hideMark/>
          </w:tcPr>
          <w:p w14:paraId="0C9A55D4" w14:textId="54245E37" w:rsidR="007F3E94" w:rsidRPr="00991A8D" w:rsidRDefault="007F3E94" w:rsidP="00441F0E">
            <w:pPr>
              <w:spacing w:after="0" w:line="360" w:lineRule="auto"/>
              <w:rPr>
                <w:rFonts w:eastAsia="Times New Roman"/>
                <w:spacing w:val="0"/>
                <w:lang w:eastAsia="es-DO"/>
              </w:rPr>
            </w:pPr>
            <w:r w:rsidRPr="00991A8D">
              <w:t>Porcentaje de instituciones intervenidas por detección de prácticas y/o maniobras fraudulentas.</w:t>
            </w:r>
          </w:p>
        </w:tc>
        <w:tc>
          <w:tcPr>
            <w:tcW w:w="2127" w:type="dxa"/>
            <w:tcBorders>
              <w:top w:val="nil"/>
              <w:left w:val="nil"/>
              <w:bottom w:val="single" w:sz="4" w:space="0" w:color="auto"/>
              <w:right w:val="single" w:sz="4" w:space="0" w:color="auto"/>
            </w:tcBorders>
            <w:vAlign w:val="center"/>
            <w:hideMark/>
          </w:tcPr>
          <w:p w14:paraId="17DB6735" w14:textId="75C10CE9" w:rsidR="007F3E94" w:rsidRPr="00991A8D" w:rsidRDefault="00C14355" w:rsidP="00441F0E">
            <w:pPr>
              <w:spacing w:after="0" w:line="360" w:lineRule="auto"/>
              <w:jc w:val="center"/>
              <w:rPr>
                <w:rFonts w:eastAsia="Times New Roman"/>
                <w:spacing w:val="0"/>
                <w:lang w:eastAsia="es-DO"/>
              </w:rPr>
            </w:pPr>
            <w:r w:rsidRPr="00991A8D">
              <w:t>50</w:t>
            </w:r>
            <w:r w:rsidR="007F3E94" w:rsidRPr="00991A8D">
              <w:t>%</w:t>
            </w:r>
          </w:p>
        </w:tc>
      </w:tr>
    </w:tbl>
    <w:p w14:paraId="1C7699CD" w14:textId="234F8C16" w:rsidR="00C11BE1" w:rsidRPr="0077472F" w:rsidRDefault="004D62C7" w:rsidP="00CB02BD">
      <w:pPr>
        <w:spacing w:line="360" w:lineRule="auto"/>
        <w:jc w:val="center"/>
        <w:rPr>
          <w:rFonts w:eastAsia="Times New Roman"/>
          <w:i/>
          <w:iCs/>
          <w:spacing w:val="0"/>
          <w:sz w:val="18"/>
          <w:szCs w:val="18"/>
          <w:lang w:eastAsia="es-DO"/>
        </w:rPr>
      </w:pPr>
      <w:r w:rsidRPr="00991A8D">
        <w:rPr>
          <w:rFonts w:eastAsia="Calibri"/>
        </w:rPr>
        <w:fldChar w:fldCharType="end"/>
      </w:r>
      <w:r w:rsidR="00306236" w:rsidRPr="0077472F">
        <w:rPr>
          <w:rFonts w:eastAsia="Times New Roman"/>
          <w:i/>
          <w:iCs/>
          <w:spacing w:val="0"/>
          <w:sz w:val="18"/>
          <w:szCs w:val="18"/>
          <w:lang w:eastAsia="es-DO"/>
        </w:rPr>
        <w:t>Fuente: Dirección de Planificación y Desarrollo</w:t>
      </w:r>
    </w:p>
    <w:p w14:paraId="4F66326C" w14:textId="77777777" w:rsidR="007F2797" w:rsidRPr="00465A16" w:rsidRDefault="007F2797" w:rsidP="00DD7615">
      <w:pPr>
        <w:pStyle w:val="Ttulo1"/>
        <w:rPr>
          <w:rFonts w:cs="Times New Roman"/>
          <w:color w:val="4C4747"/>
        </w:rPr>
        <w:sectPr w:rsidR="007F2797" w:rsidRPr="00465A16" w:rsidSect="004913FE">
          <w:pgSz w:w="15840" w:h="12240" w:orient="landscape"/>
          <w:pgMar w:top="2160" w:right="1440" w:bottom="2160" w:left="1440" w:header="720" w:footer="720" w:gutter="0"/>
          <w:cols w:space="720"/>
          <w:docGrid w:linePitch="360"/>
        </w:sectPr>
      </w:pPr>
    </w:p>
    <w:p w14:paraId="7C36CD13" w14:textId="77777777" w:rsidR="00C11BE1" w:rsidRPr="00465A16" w:rsidRDefault="00C11BE1" w:rsidP="00DD7615">
      <w:pPr>
        <w:pStyle w:val="Ttulo1"/>
        <w:rPr>
          <w:rFonts w:cs="Times New Roman"/>
          <w:color w:val="4C4747"/>
        </w:rPr>
      </w:pPr>
    </w:p>
    <w:p w14:paraId="31C5489D" w14:textId="77777777" w:rsidR="007F2797" w:rsidRPr="00465A16" w:rsidRDefault="007F2797" w:rsidP="007F2797"/>
    <w:p w14:paraId="398D85C3" w14:textId="77777777" w:rsidR="00CB02BD" w:rsidRPr="00465A16" w:rsidRDefault="00CB02BD" w:rsidP="00CB02BD"/>
    <w:p w14:paraId="38FAF112" w14:textId="77777777" w:rsidR="00C11BE1" w:rsidRPr="00465A16" w:rsidRDefault="00C11BE1" w:rsidP="00C11BE1"/>
    <w:p w14:paraId="47220D67" w14:textId="77777777" w:rsidR="00633DB6" w:rsidRPr="00AD49EA" w:rsidRDefault="00633DB6" w:rsidP="00C11BE1"/>
    <w:p w14:paraId="291E62A0" w14:textId="4482C3D6" w:rsidR="00DD7615" w:rsidRPr="00AD49EA" w:rsidRDefault="00DD7615">
      <w:pPr>
        <w:pStyle w:val="Ttulo1"/>
        <w:numPr>
          <w:ilvl w:val="0"/>
          <w:numId w:val="3"/>
        </w:numPr>
        <w:rPr>
          <w:rFonts w:cs="Times New Roman"/>
          <w:color w:val="767171"/>
        </w:rPr>
      </w:pPr>
      <w:bookmarkStart w:id="47" w:name="_Toc217997949"/>
      <w:r w:rsidRPr="00AD49EA">
        <w:rPr>
          <w:rFonts w:cs="Times New Roman"/>
          <w:color w:val="767171"/>
        </w:rPr>
        <w:t>ANEXOS</w:t>
      </w:r>
      <w:bookmarkEnd w:id="47"/>
      <w:r w:rsidRPr="00AD49EA">
        <w:rPr>
          <w:rFonts w:cs="Times New Roman"/>
          <w:color w:val="767171"/>
        </w:rPr>
        <w:t xml:space="preserve"> </w:t>
      </w:r>
    </w:p>
    <w:p w14:paraId="0DBA53BE" w14:textId="679FD3BD" w:rsidR="00DD7615" w:rsidRPr="00AD49EA" w:rsidRDefault="00B868E2" w:rsidP="00DD7615">
      <w:pPr>
        <w:jc w:val="both"/>
        <w:rPr>
          <w:rFonts w:eastAsia="Calibri"/>
          <w:sz w:val="18"/>
        </w:rPr>
      </w:pPr>
      <w:r w:rsidRPr="00AD49EA">
        <w:rPr>
          <w:rFonts w:eastAsia="Calibri"/>
          <w:noProof/>
          <w:sz w:val="18"/>
        </w:rPr>
        <mc:AlternateContent>
          <mc:Choice Requires="wps">
            <w:drawing>
              <wp:anchor distT="0" distB="0" distL="114300" distR="114300" simplePos="0" relativeHeight="251723776" behindDoc="0" locked="0" layoutInCell="1" allowOverlap="1" wp14:anchorId="0E9CB02A" wp14:editId="46569FC2">
                <wp:simplePos x="0" y="0"/>
                <wp:positionH relativeFrom="margin">
                  <wp:posOffset>3950970</wp:posOffset>
                </wp:positionH>
                <wp:positionV relativeFrom="paragraph">
                  <wp:posOffset>17145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914A3" id="Straight Connector 12"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11.1pt,1.35pt" to="347.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" strokecolor="#ee2a24" strokeweight="2.25pt">
                <v:stroke joinstyle="miter"/>
                <w10:wrap anchorx="margin"/>
              </v:line>
            </w:pict>
          </mc:Fallback>
        </mc:AlternateContent>
      </w:r>
    </w:p>
    <w:p w14:paraId="402B5BAB" w14:textId="49B22972" w:rsidR="00C11BE1" w:rsidRPr="00AD49EA" w:rsidRDefault="00DD7615" w:rsidP="00DD7615">
      <w:pPr>
        <w:jc w:val="center"/>
        <w:rPr>
          <w:rFonts w:eastAsia="Calibri"/>
          <w:szCs w:val="36"/>
        </w:rPr>
      </w:pPr>
      <w:r w:rsidRPr="00AD49EA">
        <w:rPr>
          <w:rFonts w:eastAsia="Calibri"/>
          <w:szCs w:val="36"/>
        </w:rPr>
        <w:t xml:space="preserve">Memoria </w:t>
      </w:r>
      <w:r w:rsidR="00F05DF4" w:rsidRPr="00AD49EA">
        <w:rPr>
          <w:rFonts w:eastAsia="Calibri"/>
          <w:szCs w:val="36"/>
        </w:rPr>
        <w:t>I</w:t>
      </w:r>
      <w:r w:rsidRPr="00AD49EA">
        <w:rPr>
          <w:rFonts w:eastAsia="Calibri"/>
          <w:szCs w:val="36"/>
        </w:rPr>
        <w:t xml:space="preserve">nstitucional </w:t>
      </w:r>
      <w:r w:rsidR="000025D4" w:rsidRPr="00AD49EA">
        <w:rPr>
          <w:rFonts w:eastAsia="Calibri"/>
          <w:szCs w:val="36"/>
        </w:rPr>
        <w:t>202</w:t>
      </w:r>
      <w:r w:rsidR="00C312DB" w:rsidRPr="00AD49EA">
        <w:rPr>
          <w:rFonts w:eastAsia="Calibri"/>
          <w:szCs w:val="36"/>
        </w:rPr>
        <w:t>5</w:t>
      </w:r>
    </w:p>
    <w:p w14:paraId="06D81CA8" w14:textId="77777777" w:rsidR="00C11BE1" w:rsidRPr="00AD49EA" w:rsidRDefault="00C11BE1">
      <w:pPr>
        <w:rPr>
          <w:rFonts w:eastAsia="Calibri"/>
          <w:szCs w:val="36"/>
        </w:rPr>
      </w:pPr>
      <w:r w:rsidRPr="00AD49EA">
        <w:rPr>
          <w:rFonts w:eastAsia="Calibri"/>
          <w:szCs w:val="36"/>
        </w:rPr>
        <w:br w:type="page"/>
      </w:r>
    </w:p>
    <w:p w14:paraId="14F72934" w14:textId="77777777" w:rsidR="009D78E7" w:rsidRPr="00465A16" w:rsidRDefault="009D78E7">
      <w:pPr>
        <w:rPr>
          <w:rFonts w:eastAsia="Calibri"/>
          <w:color w:val="4C4747"/>
          <w:szCs w:val="36"/>
        </w:rPr>
        <w:sectPr w:rsidR="009D78E7" w:rsidRPr="00465A16" w:rsidSect="004913FE">
          <w:pgSz w:w="15840" w:h="12240" w:orient="landscape"/>
          <w:pgMar w:top="2160" w:right="1440" w:bottom="2160" w:left="1440" w:header="720" w:footer="720" w:gutter="0"/>
          <w:cols w:space="720"/>
          <w:docGrid w:linePitch="360"/>
        </w:sectPr>
      </w:pPr>
    </w:p>
    <w:p w14:paraId="5CA1EBC4" w14:textId="7255AF91" w:rsidR="00CB37E5" w:rsidRPr="00FA378C" w:rsidRDefault="00C84437" w:rsidP="00C84437">
      <w:pPr>
        <w:pStyle w:val="Ttulo2"/>
        <w:spacing w:line="360" w:lineRule="auto"/>
        <w:jc w:val="center"/>
        <w:rPr>
          <w:b/>
          <w:bCs/>
          <w:color w:val="767171"/>
          <w:szCs w:val="24"/>
        </w:rPr>
      </w:pPr>
      <w:bookmarkStart w:id="48" w:name="_Toc217997950"/>
      <w:r w:rsidRPr="00FA378C">
        <w:rPr>
          <w:b/>
          <w:bCs/>
          <w:color w:val="767171"/>
          <w:szCs w:val="24"/>
        </w:rPr>
        <w:lastRenderedPageBreak/>
        <w:t xml:space="preserve">a. </w:t>
      </w:r>
      <w:r w:rsidR="009D78E7" w:rsidRPr="00FA378C">
        <w:rPr>
          <w:b/>
          <w:bCs/>
          <w:color w:val="767171"/>
          <w:szCs w:val="24"/>
        </w:rPr>
        <w:t>Matriz de logros relevante</w:t>
      </w:r>
      <w:r w:rsidR="006E47BA">
        <w:rPr>
          <w:b/>
          <w:bCs/>
          <w:color w:val="767171"/>
          <w:szCs w:val="24"/>
        </w:rPr>
        <w:t>s</w:t>
      </w:r>
      <w:bookmarkEnd w:id="48"/>
    </w:p>
    <w:tbl>
      <w:tblPr>
        <w:tblW w:w="0" w:type="auto"/>
        <w:tblLayout w:type="fixed"/>
        <w:tblCellMar>
          <w:left w:w="70" w:type="dxa"/>
          <w:right w:w="70" w:type="dxa"/>
        </w:tblCellMar>
        <w:tblLook w:val="04A0" w:firstRow="1" w:lastRow="0" w:firstColumn="1" w:lastColumn="0" w:noHBand="0" w:noVBand="1"/>
      </w:tblPr>
      <w:tblGrid>
        <w:gridCol w:w="1555"/>
        <w:gridCol w:w="1134"/>
        <w:gridCol w:w="1134"/>
        <w:gridCol w:w="1115"/>
        <w:gridCol w:w="1265"/>
        <w:gridCol w:w="1175"/>
        <w:gridCol w:w="1175"/>
        <w:gridCol w:w="1175"/>
        <w:gridCol w:w="1175"/>
        <w:gridCol w:w="1175"/>
        <w:gridCol w:w="1265"/>
        <w:gridCol w:w="1265"/>
        <w:gridCol w:w="1265"/>
        <w:gridCol w:w="1400"/>
      </w:tblGrid>
      <w:tr w:rsidR="009B37C0" w:rsidRPr="009B37C0" w14:paraId="6892D774" w14:textId="77777777" w:rsidTr="00197D2E">
        <w:trPr>
          <w:trHeight w:val="335"/>
          <w:tblHeader/>
        </w:trPr>
        <w:tc>
          <w:tcPr>
            <w:tcW w:w="1555"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4751CF13" w14:textId="77777777" w:rsidR="009B37C0" w:rsidRPr="009B37C0" w:rsidRDefault="009B37C0" w:rsidP="009B37C0">
            <w:pPr>
              <w:spacing w:after="0" w:line="240" w:lineRule="auto"/>
              <w:jc w:val="center"/>
              <w:rPr>
                <w:rFonts w:eastAsia="Times New Roman"/>
                <w:b/>
                <w:bCs/>
                <w:color w:val="FFFFFF"/>
                <w:spacing w:val="0"/>
                <w:sz w:val="18"/>
                <w:szCs w:val="18"/>
                <w:lang w:eastAsia="es-DO"/>
              </w:rPr>
            </w:pPr>
            <w:r w:rsidRPr="009B37C0">
              <w:rPr>
                <w:rFonts w:eastAsia="Times New Roman"/>
                <w:b/>
                <w:bCs/>
                <w:color w:val="FFFFFF"/>
                <w:spacing w:val="0"/>
                <w:sz w:val="18"/>
                <w:szCs w:val="18"/>
                <w:lang w:eastAsia="es-DO"/>
              </w:rPr>
              <w:t>Producto / servicio</w:t>
            </w:r>
          </w:p>
        </w:tc>
        <w:tc>
          <w:tcPr>
            <w:tcW w:w="1134" w:type="dxa"/>
            <w:tcBorders>
              <w:top w:val="single" w:sz="4" w:space="0" w:color="auto"/>
              <w:left w:val="nil"/>
              <w:bottom w:val="single" w:sz="4" w:space="0" w:color="auto"/>
              <w:right w:val="single" w:sz="4" w:space="0" w:color="auto"/>
            </w:tcBorders>
            <w:shd w:val="clear" w:color="auto" w:fill="011C50"/>
            <w:vAlign w:val="center"/>
            <w:hideMark/>
          </w:tcPr>
          <w:p w14:paraId="2881E538" w14:textId="77777777" w:rsidR="009B37C0" w:rsidRPr="009B37C0" w:rsidRDefault="009B37C0" w:rsidP="009B37C0">
            <w:pPr>
              <w:spacing w:after="0" w:line="240" w:lineRule="auto"/>
              <w:jc w:val="center"/>
              <w:rPr>
                <w:rFonts w:eastAsia="Times New Roman"/>
                <w:b/>
                <w:bCs/>
                <w:color w:val="FFFFFF"/>
                <w:spacing w:val="0"/>
                <w:sz w:val="18"/>
                <w:szCs w:val="18"/>
                <w:lang w:eastAsia="es-DO"/>
              </w:rPr>
            </w:pPr>
            <w:r w:rsidRPr="009B37C0">
              <w:rPr>
                <w:rFonts w:eastAsia="Times New Roman"/>
                <w:b/>
                <w:bCs/>
                <w:color w:val="FFFFFF"/>
                <w:spacing w:val="0"/>
                <w:sz w:val="18"/>
                <w:szCs w:val="18"/>
                <w:lang w:eastAsia="es-DO"/>
              </w:rPr>
              <w:t>Enero</w:t>
            </w:r>
          </w:p>
        </w:tc>
        <w:tc>
          <w:tcPr>
            <w:tcW w:w="1134" w:type="dxa"/>
            <w:tcBorders>
              <w:top w:val="single" w:sz="4" w:space="0" w:color="auto"/>
              <w:left w:val="nil"/>
              <w:bottom w:val="single" w:sz="4" w:space="0" w:color="auto"/>
              <w:right w:val="single" w:sz="4" w:space="0" w:color="auto"/>
            </w:tcBorders>
            <w:shd w:val="clear" w:color="auto" w:fill="011C50"/>
            <w:vAlign w:val="center"/>
            <w:hideMark/>
          </w:tcPr>
          <w:p w14:paraId="1A435C9A" w14:textId="77777777" w:rsidR="009B37C0" w:rsidRPr="009B37C0" w:rsidRDefault="009B37C0" w:rsidP="009B37C0">
            <w:pPr>
              <w:spacing w:after="0" w:line="240" w:lineRule="auto"/>
              <w:jc w:val="center"/>
              <w:rPr>
                <w:rFonts w:eastAsia="Times New Roman"/>
                <w:b/>
                <w:bCs/>
                <w:color w:val="FFFFFF"/>
                <w:spacing w:val="0"/>
                <w:sz w:val="18"/>
                <w:szCs w:val="18"/>
                <w:lang w:eastAsia="es-DO"/>
              </w:rPr>
            </w:pPr>
            <w:r w:rsidRPr="009B37C0">
              <w:rPr>
                <w:rFonts w:eastAsia="Times New Roman"/>
                <w:b/>
                <w:bCs/>
                <w:color w:val="FFFFFF"/>
                <w:spacing w:val="0"/>
                <w:sz w:val="18"/>
                <w:szCs w:val="18"/>
                <w:lang w:eastAsia="es-DO"/>
              </w:rPr>
              <w:t>Febrero</w:t>
            </w:r>
          </w:p>
        </w:tc>
        <w:tc>
          <w:tcPr>
            <w:tcW w:w="1115" w:type="dxa"/>
            <w:tcBorders>
              <w:top w:val="single" w:sz="4" w:space="0" w:color="auto"/>
              <w:left w:val="nil"/>
              <w:bottom w:val="single" w:sz="4" w:space="0" w:color="auto"/>
              <w:right w:val="single" w:sz="4" w:space="0" w:color="auto"/>
            </w:tcBorders>
            <w:shd w:val="clear" w:color="auto" w:fill="011C50"/>
            <w:vAlign w:val="center"/>
            <w:hideMark/>
          </w:tcPr>
          <w:p w14:paraId="25444FD2" w14:textId="77777777" w:rsidR="009B37C0" w:rsidRPr="009B37C0" w:rsidRDefault="009B37C0" w:rsidP="009B37C0">
            <w:pPr>
              <w:spacing w:after="0" w:line="240" w:lineRule="auto"/>
              <w:jc w:val="center"/>
              <w:rPr>
                <w:rFonts w:eastAsia="Times New Roman"/>
                <w:b/>
                <w:bCs/>
                <w:color w:val="FFFFFF"/>
                <w:spacing w:val="0"/>
                <w:sz w:val="18"/>
                <w:szCs w:val="18"/>
                <w:lang w:eastAsia="es-DO"/>
              </w:rPr>
            </w:pPr>
            <w:r w:rsidRPr="009B37C0">
              <w:rPr>
                <w:rFonts w:eastAsia="Times New Roman"/>
                <w:b/>
                <w:bCs/>
                <w:color w:val="FFFFFF"/>
                <w:spacing w:val="0"/>
                <w:sz w:val="18"/>
                <w:szCs w:val="18"/>
                <w:lang w:eastAsia="es-DO"/>
              </w:rPr>
              <w:t>Marzo</w:t>
            </w:r>
          </w:p>
        </w:tc>
        <w:tc>
          <w:tcPr>
            <w:tcW w:w="1265" w:type="dxa"/>
            <w:tcBorders>
              <w:top w:val="single" w:sz="4" w:space="0" w:color="auto"/>
              <w:left w:val="nil"/>
              <w:bottom w:val="single" w:sz="4" w:space="0" w:color="auto"/>
              <w:right w:val="single" w:sz="4" w:space="0" w:color="auto"/>
            </w:tcBorders>
            <w:shd w:val="clear" w:color="auto" w:fill="011C50"/>
            <w:vAlign w:val="center"/>
            <w:hideMark/>
          </w:tcPr>
          <w:p w14:paraId="48B6F6E4" w14:textId="77777777" w:rsidR="009B37C0" w:rsidRPr="009B37C0" w:rsidRDefault="009B37C0" w:rsidP="009B37C0">
            <w:pPr>
              <w:spacing w:after="0" w:line="240" w:lineRule="auto"/>
              <w:jc w:val="center"/>
              <w:rPr>
                <w:rFonts w:eastAsia="Times New Roman"/>
                <w:b/>
                <w:bCs/>
                <w:color w:val="FFFFFF"/>
                <w:spacing w:val="0"/>
                <w:sz w:val="18"/>
                <w:szCs w:val="18"/>
                <w:lang w:eastAsia="es-DO"/>
              </w:rPr>
            </w:pPr>
            <w:r w:rsidRPr="009B37C0">
              <w:rPr>
                <w:rFonts w:eastAsia="Times New Roman"/>
                <w:b/>
                <w:bCs/>
                <w:color w:val="FFFFFF"/>
                <w:spacing w:val="0"/>
                <w:sz w:val="18"/>
                <w:szCs w:val="18"/>
                <w:lang w:eastAsia="es-DO"/>
              </w:rPr>
              <w:t>Abril</w:t>
            </w:r>
          </w:p>
        </w:tc>
        <w:tc>
          <w:tcPr>
            <w:tcW w:w="1175" w:type="dxa"/>
            <w:tcBorders>
              <w:top w:val="single" w:sz="4" w:space="0" w:color="auto"/>
              <w:left w:val="nil"/>
              <w:bottom w:val="single" w:sz="4" w:space="0" w:color="auto"/>
              <w:right w:val="single" w:sz="4" w:space="0" w:color="auto"/>
            </w:tcBorders>
            <w:shd w:val="clear" w:color="auto" w:fill="011C50"/>
            <w:vAlign w:val="center"/>
            <w:hideMark/>
          </w:tcPr>
          <w:p w14:paraId="2E2A6D3C" w14:textId="77777777" w:rsidR="009B37C0" w:rsidRPr="009B37C0" w:rsidRDefault="009B37C0" w:rsidP="009B37C0">
            <w:pPr>
              <w:spacing w:after="0" w:line="240" w:lineRule="auto"/>
              <w:jc w:val="center"/>
              <w:rPr>
                <w:rFonts w:eastAsia="Times New Roman"/>
                <w:b/>
                <w:bCs/>
                <w:color w:val="FFFFFF"/>
                <w:spacing w:val="0"/>
                <w:sz w:val="18"/>
                <w:szCs w:val="18"/>
                <w:lang w:eastAsia="es-DO"/>
              </w:rPr>
            </w:pPr>
            <w:r w:rsidRPr="009B37C0">
              <w:rPr>
                <w:rFonts w:eastAsia="Times New Roman"/>
                <w:b/>
                <w:bCs/>
                <w:color w:val="FFFFFF"/>
                <w:spacing w:val="0"/>
                <w:sz w:val="18"/>
                <w:szCs w:val="18"/>
                <w:lang w:eastAsia="es-DO"/>
              </w:rPr>
              <w:t>Mayo</w:t>
            </w:r>
          </w:p>
        </w:tc>
        <w:tc>
          <w:tcPr>
            <w:tcW w:w="1175" w:type="dxa"/>
            <w:tcBorders>
              <w:top w:val="single" w:sz="4" w:space="0" w:color="auto"/>
              <w:left w:val="nil"/>
              <w:bottom w:val="single" w:sz="4" w:space="0" w:color="auto"/>
              <w:right w:val="single" w:sz="4" w:space="0" w:color="auto"/>
            </w:tcBorders>
            <w:shd w:val="clear" w:color="auto" w:fill="011C50"/>
            <w:vAlign w:val="center"/>
            <w:hideMark/>
          </w:tcPr>
          <w:p w14:paraId="2CAD598F" w14:textId="77777777" w:rsidR="009B37C0" w:rsidRPr="009B37C0" w:rsidRDefault="009B37C0" w:rsidP="009B37C0">
            <w:pPr>
              <w:spacing w:after="0" w:line="240" w:lineRule="auto"/>
              <w:jc w:val="center"/>
              <w:rPr>
                <w:rFonts w:eastAsia="Times New Roman"/>
                <w:b/>
                <w:bCs/>
                <w:color w:val="FFFFFF"/>
                <w:spacing w:val="0"/>
                <w:sz w:val="18"/>
                <w:szCs w:val="18"/>
                <w:lang w:eastAsia="es-DO"/>
              </w:rPr>
            </w:pPr>
            <w:r w:rsidRPr="009B37C0">
              <w:rPr>
                <w:rFonts w:eastAsia="Times New Roman"/>
                <w:b/>
                <w:bCs/>
                <w:color w:val="FFFFFF"/>
                <w:spacing w:val="0"/>
                <w:sz w:val="18"/>
                <w:szCs w:val="18"/>
                <w:lang w:eastAsia="es-DO"/>
              </w:rPr>
              <w:t>Junio</w:t>
            </w:r>
          </w:p>
        </w:tc>
        <w:tc>
          <w:tcPr>
            <w:tcW w:w="1175" w:type="dxa"/>
            <w:tcBorders>
              <w:top w:val="single" w:sz="4" w:space="0" w:color="auto"/>
              <w:left w:val="nil"/>
              <w:bottom w:val="single" w:sz="4" w:space="0" w:color="auto"/>
              <w:right w:val="single" w:sz="4" w:space="0" w:color="auto"/>
            </w:tcBorders>
            <w:shd w:val="clear" w:color="auto" w:fill="011C50"/>
            <w:vAlign w:val="center"/>
            <w:hideMark/>
          </w:tcPr>
          <w:p w14:paraId="115196B9" w14:textId="77777777" w:rsidR="009B37C0" w:rsidRPr="009B37C0" w:rsidRDefault="009B37C0" w:rsidP="009B37C0">
            <w:pPr>
              <w:spacing w:after="0" w:line="240" w:lineRule="auto"/>
              <w:jc w:val="center"/>
              <w:rPr>
                <w:rFonts w:eastAsia="Times New Roman"/>
                <w:b/>
                <w:bCs/>
                <w:color w:val="FFFFFF"/>
                <w:spacing w:val="0"/>
                <w:sz w:val="18"/>
                <w:szCs w:val="18"/>
                <w:lang w:eastAsia="es-DO"/>
              </w:rPr>
            </w:pPr>
            <w:r w:rsidRPr="009B37C0">
              <w:rPr>
                <w:rFonts w:eastAsia="Times New Roman"/>
                <w:b/>
                <w:bCs/>
                <w:color w:val="FFFFFF"/>
                <w:spacing w:val="0"/>
                <w:sz w:val="18"/>
                <w:szCs w:val="18"/>
                <w:lang w:eastAsia="es-DO"/>
              </w:rPr>
              <w:t>Julio</w:t>
            </w:r>
          </w:p>
        </w:tc>
        <w:tc>
          <w:tcPr>
            <w:tcW w:w="1175" w:type="dxa"/>
            <w:tcBorders>
              <w:top w:val="single" w:sz="4" w:space="0" w:color="auto"/>
              <w:left w:val="nil"/>
              <w:bottom w:val="single" w:sz="4" w:space="0" w:color="auto"/>
              <w:right w:val="single" w:sz="4" w:space="0" w:color="auto"/>
            </w:tcBorders>
            <w:shd w:val="clear" w:color="auto" w:fill="011C50"/>
            <w:vAlign w:val="center"/>
            <w:hideMark/>
          </w:tcPr>
          <w:p w14:paraId="020FED89" w14:textId="77777777" w:rsidR="009B37C0" w:rsidRPr="009B37C0" w:rsidRDefault="009B37C0" w:rsidP="009B37C0">
            <w:pPr>
              <w:spacing w:after="0" w:line="240" w:lineRule="auto"/>
              <w:jc w:val="center"/>
              <w:rPr>
                <w:rFonts w:eastAsia="Times New Roman"/>
                <w:b/>
                <w:bCs/>
                <w:color w:val="FFFFFF"/>
                <w:spacing w:val="0"/>
                <w:sz w:val="18"/>
                <w:szCs w:val="18"/>
                <w:lang w:eastAsia="es-DO"/>
              </w:rPr>
            </w:pPr>
            <w:r w:rsidRPr="009B37C0">
              <w:rPr>
                <w:rFonts w:eastAsia="Times New Roman"/>
                <w:b/>
                <w:bCs/>
                <w:color w:val="FFFFFF"/>
                <w:spacing w:val="0"/>
                <w:sz w:val="18"/>
                <w:szCs w:val="18"/>
                <w:lang w:eastAsia="es-DO"/>
              </w:rPr>
              <w:t>Agosto</w:t>
            </w:r>
          </w:p>
        </w:tc>
        <w:tc>
          <w:tcPr>
            <w:tcW w:w="1175" w:type="dxa"/>
            <w:tcBorders>
              <w:top w:val="single" w:sz="4" w:space="0" w:color="auto"/>
              <w:left w:val="nil"/>
              <w:bottom w:val="single" w:sz="4" w:space="0" w:color="auto"/>
              <w:right w:val="single" w:sz="4" w:space="0" w:color="auto"/>
            </w:tcBorders>
            <w:shd w:val="clear" w:color="auto" w:fill="011C50"/>
            <w:vAlign w:val="center"/>
            <w:hideMark/>
          </w:tcPr>
          <w:p w14:paraId="38184855" w14:textId="20A93A1D" w:rsidR="009B37C0" w:rsidRPr="009B37C0" w:rsidRDefault="009B37C0" w:rsidP="009B37C0">
            <w:pPr>
              <w:spacing w:after="0" w:line="240" w:lineRule="auto"/>
              <w:jc w:val="center"/>
              <w:rPr>
                <w:rFonts w:eastAsia="Times New Roman"/>
                <w:b/>
                <w:bCs/>
                <w:color w:val="FFFFFF"/>
                <w:spacing w:val="0"/>
                <w:sz w:val="18"/>
                <w:szCs w:val="18"/>
                <w:lang w:eastAsia="es-DO"/>
              </w:rPr>
            </w:pPr>
            <w:r w:rsidRPr="009B37C0">
              <w:rPr>
                <w:rFonts w:eastAsia="Times New Roman"/>
                <w:b/>
                <w:bCs/>
                <w:color w:val="FFFFFF"/>
                <w:spacing w:val="0"/>
                <w:sz w:val="18"/>
                <w:szCs w:val="18"/>
                <w:lang w:eastAsia="es-DO"/>
              </w:rPr>
              <w:t>Sept</w:t>
            </w:r>
          </w:p>
        </w:tc>
        <w:tc>
          <w:tcPr>
            <w:tcW w:w="1265" w:type="dxa"/>
            <w:tcBorders>
              <w:top w:val="single" w:sz="4" w:space="0" w:color="auto"/>
              <w:left w:val="nil"/>
              <w:bottom w:val="single" w:sz="4" w:space="0" w:color="auto"/>
              <w:right w:val="single" w:sz="4" w:space="0" w:color="auto"/>
            </w:tcBorders>
            <w:shd w:val="clear" w:color="auto" w:fill="011C50"/>
            <w:vAlign w:val="center"/>
            <w:hideMark/>
          </w:tcPr>
          <w:p w14:paraId="169BBB20" w14:textId="77777777" w:rsidR="009B37C0" w:rsidRPr="009B37C0" w:rsidRDefault="009B37C0" w:rsidP="009B37C0">
            <w:pPr>
              <w:spacing w:after="0" w:line="240" w:lineRule="auto"/>
              <w:jc w:val="center"/>
              <w:rPr>
                <w:rFonts w:eastAsia="Times New Roman"/>
                <w:b/>
                <w:bCs/>
                <w:color w:val="FFFFFF"/>
                <w:spacing w:val="0"/>
                <w:sz w:val="18"/>
                <w:szCs w:val="18"/>
                <w:lang w:eastAsia="es-DO"/>
              </w:rPr>
            </w:pPr>
            <w:r w:rsidRPr="009B37C0">
              <w:rPr>
                <w:rFonts w:eastAsia="Times New Roman"/>
                <w:b/>
                <w:bCs/>
                <w:color w:val="FFFFFF"/>
                <w:spacing w:val="0"/>
                <w:sz w:val="18"/>
                <w:szCs w:val="18"/>
                <w:lang w:eastAsia="es-DO"/>
              </w:rPr>
              <w:t>Octubre</w:t>
            </w:r>
          </w:p>
        </w:tc>
        <w:tc>
          <w:tcPr>
            <w:tcW w:w="1265" w:type="dxa"/>
            <w:tcBorders>
              <w:top w:val="single" w:sz="4" w:space="0" w:color="auto"/>
              <w:left w:val="nil"/>
              <w:bottom w:val="single" w:sz="4" w:space="0" w:color="auto"/>
              <w:right w:val="single" w:sz="4" w:space="0" w:color="auto"/>
            </w:tcBorders>
            <w:shd w:val="clear" w:color="auto" w:fill="011C50"/>
            <w:vAlign w:val="center"/>
            <w:hideMark/>
          </w:tcPr>
          <w:p w14:paraId="6F6687B9" w14:textId="732E6A96" w:rsidR="009B37C0" w:rsidRPr="009B37C0" w:rsidRDefault="009B37C0" w:rsidP="009B37C0">
            <w:pPr>
              <w:spacing w:after="0" w:line="240" w:lineRule="auto"/>
              <w:jc w:val="center"/>
              <w:rPr>
                <w:rFonts w:eastAsia="Times New Roman"/>
                <w:b/>
                <w:bCs/>
                <w:color w:val="FFFFFF"/>
                <w:spacing w:val="0"/>
                <w:sz w:val="18"/>
                <w:szCs w:val="18"/>
                <w:lang w:eastAsia="es-DO"/>
              </w:rPr>
            </w:pPr>
            <w:r w:rsidRPr="009B37C0">
              <w:rPr>
                <w:rFonts w:eastAsia="Times New Roman"/>
                <w:b/>
                <w:bCs/>
                <w:color w:val="FFFFFF"/>
                <w:spacing w:val="0"/>
                <w:sz w:val="18"/>
                <w:szCs w:val="18"/>
                <w:lang w:eastAsia="es-DO"/>
              </w:rPr>
              <w:t>Nov</w:t>
            </w:r>
          </w:p>
        </w:tc>
        <w:tc>
          <w:tcPr>
            <w:tcW w:w="1265" w:type="dxa"/>
            <w:tcBorders>
              <w:top w:val="single" w:sz="4" w:space="0" w:color="auto"/>
              <w:left w:val="nil"/>
              <w:bottom w:val="single" w:sz="4" w:space="0" w:color="auto"/>
              <w:right w:val="single" w:sz="4" w:space="0" w:color="auto"/>
            </w:tcBorders>
            <w:shd w:val="clear" w:color="auto" w:fill="011C50"/>
            <w:vAlign w:val="center"/>
            <w:hideMark/>
          </w:tcPr>
          <w:p w14:paraId="4B71C0E3" w14:textId="77777777" w:rsidR="009B37C0" w:rsidRPr="009B37C0" w:rsidRDefault="009B37C0" w:rsidP="009B37C0">
            <w:pPr>
              <w:spacing w:after="0" w:line="240" w:lineRule="auto"/>
              <w:jc w:val="center"/>
              <w:rPr>
                <w:rFonts w:eastAsia="Times New Roman"/>
                <w:b/>
                <w:bCs/>
                <w:color w:val="FFFFFF"/>
                <w:spacing w:val="0"/>
                <w:sz w:val="18"/>
                <w:szCs w:val="18"/>
                <w:lang w:eastAsia="es-DO"/>
              </w:rPr>
            </w:pPr>
            <w:r w:rsidRPr="009B37C0">
              <w:rPr>
                <w:rFonts w:eastAsia="Times New Roman"/>
                <w:b/>
                <w:bCs/>
                <w:color w:val="FFFFFF"/>
                <w:spacing w:val="0"/>
                <w:sz w:val="18"/>
                <w:szCs w:val="18"/>
                <w:lang w:eastAsia="es-DO"/>
              </w:rPr>
              <w:t>Diciembre</w:t>
            </w:r>
          </w:p>
        </w:tc>
        <w:tc>
          <w:tcPr>
            <w:tcW w:w="1400" w:type="dxa"/>
            <w:tcBorders>
              <w:top w:val="single" w:sz="4" w:space="0" w:color="auto"/>
              <w:left w:val="nil"/>
              <w:bottom w:val="single" w:sz="4" w:space="0" w:color="auto"/>
              <w:right w:val="single" w:sz="4" w:space="0" w:color="auto"/>
            </w:tcBorders>
            <w:shd w:val="clear" w:color="auto" w:fill="011C50"/>
            <w:vAlign w:val="center"/>
            <w:hideMark/>
          </w:tcPr>
          <w:p w14:paraId="6601A7E5" w14:textId="77777777" w:rsidR="009B37C0" w:rsidRPr="009B37C0" w:rsidRDefault="009B37C0" w:rsidP="009B37C0">
            <w:pPr>
              <w:spacing w:after="0" w:line="240" w:lineRule="auto"/>
              <w:jc w:val="center"/>
              <w:rPr>
                <w:rFonts w:eastAsia="Times New Roman"/>
                <w:b/>
                <w:bCs/>
                <w:color w:val="FFFFFF"/>
                <w:spacing w:val="0"/>
                <w:sz w:val="18"/>
                <w:szCs w:val="18"/>
                <w:lang w:eastAsia="es-DO"/>
              </w:rPr>
            </w:pPr>
            <w:r w:rsidRPr="009B37C0">
              <w:rPr>
                <w:rFonts w:eastAsia="Times New Roman"/>
                <w:b/>
                <w:bCs/>
                <w:color w:val="FFFFFF"/>
                <w:spacing w:val="0"/>
                <w:sz w:val="18"/>
                <w:szCs w:val="18"/>
                <w:lang w:eastAsia="es-DO"/>
              </w:rPr>
              <w:t>Total</w:t>
            </w:r>
            <w:r w:rsidRPr="009B37C0">
              <w:rPr>
                <w:rFonts w:eastAsia="Times New Roman"/>
                <w:b/>
                <w:bCs/>
                <w:color w:val="FFFFFF"/>
                <w:spacing w:val="0"/>
                <w:sz w:val="18"/>
                <w:szCs w:val="18"/>
                <w:lang w:eastAsia="es-DO"/>
              </w:rPr>
              <w:br/>
              <w:t>año 2025</w:t>
            </w:r>
          </w:p>
        </w:tc>
      </w:tr>
      <w:tr w:rsidR="00991A8D" w:rsidRPr="00991A8D" w14:paraId="1899C334" w14:textId="77777777" w:rsidTr="007511DD">
        <w:trPr>
          <w:trHeight w:val="341"/>
        </w:trPr>
        <w:tc>
          <w:tcPr>
            <w:tcW w:w="1555" w:type="dxa"/>
            <w:tcBorders>
              <w:top w:val="nil"/>
              <w:left w:val="single" w:sz="4" w:space="0" w:color="auto"/>
              <w:bottom w:val="single" w:sz="4" w:space="0" w:color="auto"/>
              <w:right w:val="single" w:sz="4" w:space="0" w:color="auto"/>
            </w:tcBorders>
            <w:vAlign w:val="center"/>
            <w:hideMark/>
          </w:tcPr>
          <w:p w14:paraId="6460601E" w14:textId="77777777" w:rsidR="009B37C0" w:rsidRPr="00991A8D" w:rsidRDefault="009B37C0" w:rsidP="009B37C0">
            <w:pPr>
              <w:spacing w:after="0" w:line="240" w:lineRule="auto"/>
              <w:rPr>
                <w:rFonts w:eastAsia="Times New Roman"/>
                <w:spacing w:val="0"/>
                <w:sz w:val="18"/>
                <w:szCs w:val="18"/>
                <w:lang w:eastAsia="es-DO"/>
              </w:rPr>
            </w:pPr>
            <w:r w:rsidRPr="00991A8D">
              <w:rPr>
                <w:rFonts w:eastAsia="Times New Roman"/>
                <w:spacing w:val="0"/>
                <w:sz w:val="18"/>
                <w:szCs w:val="18"/>
                <w:lang w:eastAsia="es-DO"/>
              </w:rPr>
              <w:t>Producto 1 Acción común</w:t>
            </w:r>
          </w:p>
        </w:tc>
        <w:tc>
          <w:tcPr>
            <w:tcW w:w="1134" w:type="dxa"/>
            <w:tcBorders>
              <w:top w:val="nil"/>
              <w:left w:val="nil"/>
              <w:bottom w:val="single" w:sz="4" w:space="0" w:color="auto"/>
              <w:right w:val="single" w:sz="4" w:space="0" w:color="auto"/>
            </w:tcBorders>
            <w:vAlign w:val="center"/>
            <w:hideMark/>
          </w:tcPr>
          <w:p w14:paraId="60545D13"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0</w:t>
            </w:r>
          </w:p>
        </w:tc>
        <w:tc>
          <w:tcPr>
            <w:tcW w:w="1134" w:type="dxa"/>
            <w:tcBorders>
              <w:top w:val="nil"/>
              <w:left w:val="nil"/>
              <w:bottom w:val="single" w:sz="4" w:space="0" w:color="auto"/>
              <w:right w:val="single" w:sz="4" w:space="0" w:color="auto"/>
            </w:tcBorders>
            <w:noWrap/>
            <w:vAlign w:val="center"/>
            <w:hideMark/>
          </w:tcPr>
          <w:p w14:paraId="1F839D9C"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0</w:t>
            </w:r>
          </w:p>
        </w:tc>
        <w:tc>
          <w:tcPr>
            <w:tcW w:w="1115" w:type="dxa"/>
            <w:tcBorders>
              <w:top w:val="nil"/>
              <w:left w:val="nil"/>
              <w:bottom w:val="single" w:sz="4" w:space="0" w:color="auto"/>
              <w:right w:val="single" w:sz="4" w:space="0" w:color="auto"/>
            </w:tcBorders>
            <w:noWrap/>
            <w:vAlign w:val="center"/>
            <w:hideMark/>
          </w:tcPr>
          <w:p w14:paraId="17423F3E"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0</w:t>
            </w:r>
          </w:p>
        </w:tc>
        <w:tc>
          <w:tcPr>
            <w:tcW w:w="1265" w:type="dxa"/>
            <w:tcBorders>
              <w:top w:val="nil"/>
              <w:left w:val="nil"/>
              <w:bottom w:val="single" w:sz="4" w:space="0" w:color="auto"/>
              <w:right w:val="single" w:sz="4" w:space="0" w:color="auto"/>
            </w:tcBorders>
            <w:noWrap/>
            <w:vAlign w:val="center"/>
            <w:hideMark/>
          </w:tcPr>
          <w:p w14:paraId="6380F1A2"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0</w:t>
            </w:r>
          </w:p>
        </w:tc>
        <w:tc>
          <w:tcPr>
            <w:tcW w:w="1175" w:type="dxa"/>
            <w:tcBorders>
              <w:top w:val="nil"/>
              <w:left w:val="nil"/>
              <w:bottom w:val="single" w:sz="4" w:space="0" w:color="auto"/>
              <w:right w:val="single" w:sz="4" w:space="0" w:color="auto"/>
            </w:tcBorders>
            <w:noWrap/>
            <w:vAlign w:val="center"/>
            <w:hideMark/>
          </w:tcPr>
          <w:p w14:paraId="64C2B1F6"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0</w:t>
            </w:r>
          </w:p>
        </w:tc>
        <w:tc>
          <w:tcPr>
            <w:tcW w:w="1175" w:type="dxa"/>
            <w:tcBorders>
              <w:top w:val="nil"/>
              <w:left w:val="nil"/>
              <w:bottom w:val="single" w:sz="4" w:space="0" w:color="auto"/>
              <w:right w:val="single" w:sz="4" w:space="0" w:color="auto"/>
            </w:tcBorders>
            <w:noWrap/>
            <w:vAlign w:val="center"/>
            <w:hideMark/>
          </w:tcPr>
          <w:p w14:paraId="1C32099B"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0</w:t>
            </w:r>
          </w:p>
        </w:tc>
        <w:tc>
          <w:tcPr>
            <w:tcW w:w="1175" w:type="dxa"/>
            <w:tcBorders>
              <w:top w:val="nil"/>
              <w:left w:val="nil"/>
              <w:bottom w:val="single" w:sz="4" w:space="0" w:color="auto"/>
              <w:right w:val="single" w:sz="4" w:space="0" w:color="auto"/>
            </w:tcBorders>
            <w:vAlign w:val="center"/>
            <w:hideMark/>
          </w:tcPr>
          <w:p w14:paraId="46A72D9D"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0</w:t>
            </w:r>
          </w:p>
        </w:tc>
        <w:tc>
          <w:tcPr>
            <w:tcW w:w="1175" w:type="dxa"/>
            <w:tcBorders>
              <w:top w:val="nil"/>
              <w:left w:val="nil"/>
              <w:bottom w:val="single" w:sz="4" w:space="0" w:color="auto"/>
              <w:right w:val="single" w:sz="4" w:space="0" w:color="auto"/>
            </w:tcBorders>
            <w:vAlign w:val="center"/>
            <w:hideMark/>
          </w:tcPr>
          <w:p w14:paraId="168DC39E"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0</w:t>
            </w:r>
          </w:p>
        </w:tc>
        <w:tc>
          <w:tcPr>
            <w:tcW w:w="1175" w:type="dxa"/>
            <w:tcBorders>
              <w:top w:val="nil"/>
              <w:left w:val="nil"/>
              <w:bottom w:val="single" w:sz="4" w:space="0" w:color="auto"/>
              <w:right w:val="single" w:sz="4" w:space="0" w:color="auto"/>
            </w:tcBorders>
            <w:vAlign w:val="center"/>
            <w:hideMark/>
          </w:tcPr>
          <w:p w14:paraId="5796473C"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0</w:t>
            </w:r>
          </w:p>
        </w:tc>
        <w:tc>
          <w:tcPr>
            <w:tcW w:w="1265" w:type="dxa"/>
            <w:tcBorders>
              <w:top w:val="nil"/>
              <w:left w:val="nil"/>
              <w:bottom w:val="single" w:sz="4" w:space="0" w:color="auto"/>
              <w:right w:val="single" w:sz="4" w:space="0" w:color="auto"/>
            </w:tcBorders>
            <w:vAlign w:val="center"/>
            <w:hideMark/>
          </w:tcPr>
          <w:p w14:paraId="3B37A389"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0</w:t>
            </w:r>
          </w:p>
        </w:tc>
        <w:tc>
          <w:tcPr>
            <w:tcW w:w="1265" w:type="dxa"/>
            <w:tcBorders>
              <w:top w:val="nil"/>
              <w:left w:val="nil"/>
              <w:bottom w:val="single" w:sz="4" w:space="0" w:color="auto"/>
              <w:right w:val="single" w:sz="4" w:space="0" w:color="auto"/>
            </w:tcBorders>
            <w:vAlign w:val="center"/>
            <w:hideMark/>
          </w:tcPr>
          <w:p w14:paraId="60899755"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0</w:t>
            </w:r>
          </w:p>
        </w:tc>
        <w:tc>
          <w:tcPr>
            <w:tcW w:w="1265" w:type="dxa"/>
            <w:tcBorders>
              <w:top w:val="nil"/>
              <w:left w:val="nil"/>
              <w:bottom w:val="single" w:sz="4" w:space="0" w:color="auto"/>
              <w:right w:val="single" w:sz="4" w:space="0" w:color="auto"/>
            </w:tcBorders>
            <w:vAlign w:val="center"/>
            <w:hideMark/>
          </w:tcPr>
          <w:p w14:paraId="197F8C8C"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0</w:t>
            </w:r>
          </w:p>
        </w:tc>
        <w:tc>
          <w:tcPr>
            <w:tcW w:w="1400" w:type="dxa"/>
            <w:tcBorders>
              <w:top w:val="nil"/>
              <w:left w:val="nil"/>
              <w:bottom w:val="single" w:sz="4" w:space="0" w:color="auto"/>
              <w:right w:val="single" w:sz="4" w:space="0" w:color="auto"/>
            </w:tcBorders>
            <w:vAlign w:val="center"/>
            <w:hideMark/>
          </w:tcPr>
          <w:p w14:paraId="4D3F8337"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0</w:t>
            </w:r>
          </w:p>
        </w:tc>
      </w:tr>
      <w:tr w:rsidR="00991A8D" w:rsidRPr="00991A8D" w14:paraId="57B50BC3" w14:textId="77777777" w:rsidTr="007511DD">
        <w:trPr>
          <w:trHeight w:val="461"/>
        </w:trPr>
        <w:tc>
          <w:tcPr>
            <w:tcW w:w="1555" w:type="dxa"/>
            <w:tcBorders>
              <w:top w:val="nil"/>
              <w:left w:val="single" w:sz="4" w:space="0" w:color="auto"/>
              <w:bottom w:val="single" w:sz="4" w:space="0" w:color="auto"/>
              <w:right w:val="single" w:sz="4" w:space="0" w:color="auto"/>
            </w:tcBorders>
            <w:vAlign w:val="center"/>
            <w:hideMark/>
          </w:tcPr>
          <w:p w14:paraId="5DE25CC8" w14:textId="31E380B7" w:rsidR="009B37C0" w:rsidRPr="00991A8D" w:rsidRDefault="009B37C0" w:rsidP="009B37C0">
            <w:pPr>
              <w:spacing w:after="0" w:line="240" w:lineRule="auto"/>
              <w:rPr>
                <w:rFonts w:eastAsia="Times New Roman"/>
                <w:spacing w:val="0"/>
                <w:sz w:val="18"/>
                <w:szCs w:val="18"/>
                <w:lang w:eastAsia="es-DO"/>
              </w:rPr>
            </w:pPr>
            <w:r w:rsidRPr="00991A8D">
              <w:rPr>
                <w:rFonts w:eastAsia="Times New Roman"/>
                <w:spacing w:val="0"/>
                <w:sz w:val="18"/>
                <w:szCs w:val="18"/>
                <w:lang w:eastAsia="es-DO"/>
              </w:rPr>
              <w:t xml:space="preserve">Inversión producto 1 </w:t>
            </w:r>
            <w:r w:rsidR="007511DD" w:rsidRPr="00991A8D">
              <w:rPr>
                <w:rFonts w:eastAsia="Times New Roman"/>
                <w:spacing w:val="0"/>
                <w:sz w:val="18"/>
                <w:szCs w:val="18"/>
                <w:lang w:eastAsia="es-DO"/>
              </w:rPr>
              <w:t>en RD$</w:t>
            </w:r>
          </w:p>
        </w:tc>
        <w:tc>
          <w:tcPr>
            <w:tcW w:w="1134" w:type="dxa"/>
            <w:tcBorders>
              <w:top w:val="nil"/>
              <w:left w:val="nil"/>
              <w:bottom w:val="single" w:sz="4" w:space="0" w:color="auto"/>
              <w:right w:val="single" w:sz="4" w:space="0" w:color="auto"/>
            </w:tcBorders>
            <w:vAlign w:val="center"/>
            <w:hideMark/>
          </w:tcPr>
          <w:p w14:paraId="500E5C04"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34,259,004.98</w:t>
            </w:r>
          </w:p>
        </w:tc>
        <w:tc>
          <w:tcPr>
            <w:tcW w:w="1134" w:type="dxa"/>
            <w:tcBorders>
              <w:top w:val="nil"/>
              <w:left w:val="nil"/>
              <w:bottom w:val="single" w:sz="4" w:space="0" w:color="auto"/>
              <w:right w:val="single" w:sz="4" w:space="0" w:color="auto"/>
            </w:tcBorders>
            <w:noWrap/>
            <w:vAlign w:val="center"/>
            <w:hideMark/>
          </w:tcPr>
          <w:p w14:paraId="51ECECDA"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50,316,795.10</w:t>
            </w:r>
          </w:p>
        </w:tc>
        <w:tc>
          <w:tcPr>
            <w:tcW w:w="1115" w:type="dxa"/>
            <w:tcBorders>
              <w:top w:val="nil"/>
              <w:left w:val="nil"/>
              <w:bottom w:val="single" w:sz="4" w:space="0" w:color="auto"/>
              <w:right w:val="single" w:sz="4" w:space="0" w:color="auto"/>
            </w:tcBorders>
            <w:noWrap/>
            <w:vAlign w:val="center"/>
            <w:hideMark/>
          </w:tcPr>
          <w:p w14:paraId="09475A83"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51,162,354.71</w:t>
            </w:r>
          </w:p>
        </w:tc>
        <w:tc>
          <w:tcPr>
            <w:tcW w:w="1265" w:type="dxa"/>
            <w:tcBorders>
              <w:top w:val="nil"/>
              <w:left w:val="nil"/>
              <w:bottom w:val="single" w:sz="4" w:space="0" w:color="auto"/>
              <w:right w:val="single" w:sz="4" w:space="0" w:color="auto"/>
            </w:tcBorders>
            <w:noWrap/>
            <w:vAlign w:val="center"/>
            <w:hideMark/>
          </w:tcPr>
          <w:p w14:paraId="11681BF9"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102,384,469.56</w:t>
            </w:r>
          </w:p>
        </w:tc>
        <w:tc>
          <w:tcPr>
            <w:tcW w:w="1175" w:type="dxa"/>
            <w:tcBorders>
              <w:top w:val="nil"/>
              <w:left w:val="nil"/>
              <w:bottom w:val="single" w:sz="4" w:space="0" w:color="auto"/>
              <w:right w:val="single" w:sz="4" w:space="0" w:color="auto"/>
            </w:tcBorders>
            <w:noWrap/>
            <w:vAlign w:val="center"/>
            <w:hideMark/>
          </w:tcPr>
          <w:p w14:paraId="6205E4C4"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73,013,411.26</w:t>
            </w:r>
          </w:p>
        </w:tc>
        <w:tc>
          <w:tcPr>
            <w:tcW w:w="1175" w:type="dxa"/>
            <w:tcBorders>
              <w:top w:val="nil"/>
              <w:left w:val="nil"/>
              <w:bottom w:val="single" w:sz="4" w:space="0" w:color="auto"/>
              <w:right w:val="single" w:sz="4" w:space="0" w:color="auto"/>
            </w:tcBorders>
            <w:noWrap/>
            <w:vAlign w:val="center"/>
            <w:hideMark/>
          </w:tcPr>
          <w:p w14:paraId="17260DB8"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86,281,385.39</w:t>
            </w:r>
          </w:p>
        </w:tc>
        <w:tc>
          <w:tcPr>
            <w:tcW w:w="1175" w:type="dxa"/>
            <w:tcBorders>
              <w:top w:val="nil"/>
              <w:left w:val="nil"/>
              <w:bottom w:val="single" w:sz="4" w:space="0" w:color="auto"/>
              <w:right w:val="single" w:sz="4" w:space="0" w:color="auto"/>
            </w:tcBorders>
            <w:vAlign w:val="center"/>
            <w:hideMark/>
          </w:tcPr>
          <w:p w14:paraId="29E90F81"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58,473,326.72</w:t>
            </w:r>
          </w:p>
        </w:tc>
        <w:tc>
          <w:tcPr>
            <w:tcW w:w="1175" w:type="dxa"/>
            <w:tcBorders>
              <w:top w:val="nil"/>
              <w:left w:val="nil"/>
              <w:bottom w:val="single" w:sz="4" w:space="0" w:color="auto"/>
              <w:right w:val="single" w:sz="4" w:space="0" w:color="auto"/>
            </w:tcBorders>
            <w:vAlign w:val="center"/>
            <w:hideMark/>
          </w:tcPr>
          <w:p w14:paraId="6D04A286"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76,511,653.68</w:t>
            </w:r>
          </w:p>
        </w:tc>
        <w:tc>
          <w:tcPr>
            <w:tcW w:w="1175" w:type="dxa"/>
            <w:tcBorders>
              <w:top w:val="nil"/>
              <w:left w:val="nil"/>
              <w:bottom w:val="single" w:sz="4" w:space="0" w:color="auto"/>
              <w:right w:val="single" w:sz="4" w:space="0" w:color="auto"/>
            </w:tcBorders>
            <w:vAlign w:val="center"/>
            <w:hideMark/>
          </w:tcPr>
          <w:p w14:paraId="65DBE6A3"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60,766,552.16</w:t>
            </w:r>
          </w:p>
        </w:tc>
        <w:tc>
          <w:tcPr>
            <w:tcW w:w="1265" w:type="dxa"/>
            <w:tcBorders>
              <w:top w:val="nil"/>
              <w:left w:val="nil"/>
              <w:bottom w:val="single" w:sz="4" w:space="0" w:color="auto"/>
              <w:right w:val="single" w:sz="4" w:space="0" w:color="auto"/>
            </w:tcBorders>
            <w:vAlign w:val="center"/>
            <w:hideMark/>
          </w:tcPr>
          <w:p w14:paraId="402BF413"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88,524,037.19</w:t>
            </w:r>
          </w:p>
        </w:tc>
        <w:tc>
          <w:tcPr>
            <w:tcW w:w="1265" w:type="dxa"/>
            <w:tcBorders>
              <w:top w:val="nil"/>
              <w:left w:val="nil"/>
              <w:bottom w:val="single" w:sz="4" w:space="0" w:color="auto"/>
              <w:right w:val="single" w:sz="4" w:space="0" w:color="auto"/>
            </w:tcBorders>
            <w:vAlign w:val="center"/>
            <w:hideMark/>
          </w:tcPr>
          <w:p w14:paraId="713F5637"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77,116,414.20</w:t>
            </w:r>
          </w:p>
        </w:tc>
        <w:tc>
          <w:tcPr>
            <w:tcW w:w="1265" w:type="dxa"/>
            <w:tcBorders>
              <w:top w:val="nil"/>
              <w:left w:val="nil"/>
              <w:bottom w:val="single" w:sz="4" w:space="0" w:color="auto"/>
              <w:right w:val="single" w:sz="4" w:space="0" w:color="auto"/>
            </w:tcBorders>
            <w:vAlign w:val="center"/>
            <w:hideMark/>
          </w:tcPr>
          <w:p w14:paraId="25DB699A"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390,947,620.01</w:t>
            </w:r>
          </w:p>
        </w:tc>
        <w:tc>
          <w:tcPr>
            <w:tcW w:w="1400" w:type="dxa"/>
            <w:tcBorders>
              <w:top w:val="nil"/>
              <w:left w:val="nil"/>
              <w:bottom w:val="single" w:sz="4" w:space="0" w:color="auto"/>
              <w:right w:val="single" w:sz="4" w:space="0" w:color="auto"/>
            </w:tcBorders>
            <w:vAlign w:val="center"/>
            <w:hideMark/>
          </w:tcPr>
          <w:p w14:paraId="6D6F08E4"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1,149,757,024.96</w:t>
            </w:r>
          </w:p>
        </w:tc>
      </w:tr>
      <w:tr w:rsidR="00991A8D" w:rsidRPr="00991A8D" w14:paraId="089E8D43" w14:textId="77777777" w:rsidTr="007511DD">
        <w:trPr>
          <w:trHeight w:val="991"/>
        </w:trPr>
        <w:tc>
          <w:tcPr>
            <w:tcW w:w="1555" w:type="dxa"/>
            <w:tcBorders>
              <w:top w:val="nil"/>
              <w:left w:val="single" w:sz="4" w:space="0" w:color="auto"/>
              <w:bottom w:val="single" w:sz="4" w:space="0" w:color="auto"/>
              <w:right w:val="single" w:sz="4" w:space="0" w:color="auto"/>
            </w:tcBorders>
            <w:vAlign w:val="center"/>
            <w:hideMark/>
          </w:tcPr>
          <w:p w14:paraId="57911845" w14:textId="77777777" w:rsidR="009B37C0" w:rsidRPr="00991A8D" w:rsidRDefault="009B37C0" w:rsidP="009B37C0">
            <w:pPr>
              <w:spacing w:after="0" w:line="240" w:lineRule="auto"/>
              <w:rPr>
                <w:rFonts w:eastAsia="Times New Roman"/>
                <w:spacing w:val="0"/>
                <w:sz w:val="18"/>
                <w:szCs w:val="18"/>
                <w:lang w:eastAsia="es-DO"/>
              </w:rPr>
            </w:pPr>
            <w:r w:rsidRPr="00991A8D">
              <w:rPr>
                <w:rFonts w:eastAsia="Times New Roman"/>
                <w:spacing w:val="0"/>
                <w:sz w:val="18"/>
                <w:szCs w:val="18"/>
                <w:lang w:eastAsia="es-DO"/>
              </w:rPr>
              <w:t>Producto 5921 - Instituciones públicas reciben servicios de auditoría interna</w:t>
            </w:r>
          </w:p>
        </w:tc>
        <w:tc>
          <w:tcPr>
            <w:tcW w:w="1134" w:type="dxa"/>
            <w:tcBorders>
              <w:top w:val="nil"/>
              <w:left w:val="nil"/>
              <w:bottom w:val="single" w:sz="4" w:space="0" w:color="auto"/>
              <w:right w:val="single" w:sz="4" w:space="0" w:color="auto"/>
            </w:tcBorders>
            <w:vAlign w:val="center"/>
            <w:hideMark/>
          </w:tcPr>
          <w:p w14:paraId="745D0680"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w:t>
            </w:r>
          </w:p>
        </w:tc>
        <w:tc>
          <w:tcPr>
            <w:tcW w:w="1134" w:type="dxa"/>
            <w:tcBorders>
              <w:top w:val="nil"/>
              <w:left w:val="nil"/>
              <w:bottom w:val="single" w:sz="4" w:space="0" w:color="auto"/>
              <w:right w:val="single" w:sz="4" w:space="0" w:color="auto"/>
            </w:tcBorders>
            <w:noWrap/>
            <w:vAlign w:val="center"/>
            <w:hideMark/>
          </w:tcPr>
          <w:p w14:paraId="2FCF4ADF"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w:t>
            </w:r>
          </w:p>
        </w:tc>
        <w:tc>
          <w:tcPr>
            <w:tcW w:w="1115" w:type="dxa"/>
            <w:tcBorders>
              <w:top w:val="nil"/>
              <w:left w:val="nil"/>
              <w:bottom w:val="single" w:sz="4" w:space="0" w:color="auto"/>
              <w:right w:val="single" w:sz="4" w:space="0" w:color="auto"/>
            </w:tcBorders>
            <w:noWrap/>
            <w:vAlign w:val="center"/>
            <w:hideMark/>
          </w:tcPr>
          <w:p w14:paraId="3E7815EB"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265" w:type="dxa"/>
            <w:tcBorders>
              <w:top w:val="nil"/>
              <w:left w:val="nil"/>
              <w:bottom w:val="single" w:sz="4" w:space="0" w:color="auto"/>
              <w:right w:val="single" w:sz="4" w:space="0" w:color="auto"/>
            </w:tcBorders>
            <w:noWrap/>
            <w:vAlign w:val="center"/>
            <w:hideMark/>
          </w:tcPr>
          <w:p w14:paraId="1FEDA819"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w:t>
            </w:r>
          </w:p>
        </w:tc>
        <w:tc>
          <w:tcPr>
            <w:tcW w:w="1175" w:type="dxa"/>
            <w:tcBorders>
              <w:top w:val="nil"/>
              <w:left w:val="nil"/>
              <w:bottom w:val="single" w:sz="4" w:space="0" w:color="auto"/>
              <w:right w:val="single" w:sz="4" w:space="0" w:color="auto"/>
            </w:tcBorders>
            <w:noWrap/>
            <w:vAlign w:val="center"/>
            <w:hideMark/>
          </w:tcPr>
          <w:p w14:paraId="7B5684BF"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w:t>
            </w:r>
          </w:p>
        </w:tc>
        <w:tc>
          <w:tcPr>
            <w:tcW w:w="1175" w:type="dxa"/>
            <w:tcBorders>
              <w:top w:val="nil"/>
              <w:left w:val="nil"/>
              <w:bottom w:val="single" w:sz="4" w:space="0" w:color="auto"/>
              <w:right w:val="single" w:sz="4" w:space="0" w:color="auto"/>
            </w:tcBorders>
            <w:noWrap/>
            <w:vAlign w:val="center"/>
            <w:hideMark/>
          </w:tcPr>
          <w:p w14:paraId="412F8008"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175" w:type="dxa"/>
            <w:tcBorders>
              <w:top w:val="nil"/>
              <w:left w:val="nil"/>
              <w:bottom w:val="single" w:sz="4" w:space="0" w:color="auto"/>
              <w:right w:val="single" w:sz="4" w:space="0" w:color="auto"/>
            </w:tcBorders>
            <w:vAlign w:val="center"/>
            <w:hideMark/>
          </w:tcPr>
          <w:p w14:paraId="564F9B6E"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w:t>
            </w:r>
          </w:p>
        </w:tc>
        <w:tc>
          <w:tcPr>
            <w:tcW w:w="1175" w:type="dxa"/>
            <w:tcBorders>
              <w:top w:val="nil"/>
              <w:left w:val="nil"/>
              <w:bottom w:val="single" w:sz="4" w:space="0" w:color="auto"/>
              <w:right w:val="single" w:sz="4" w:space="0" w:color="auto"/>
            </w:tcBorders>
            <w:vAlign w:val="center"/>
            <w:hideMark/>
          </w:tcPr>
          <w:p w14:paraId="470AB3B6"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w:t>
            </w:r>
          </w:p>
        </w:tc>
        <w:tc>
          <w:tcPr>
            <w:tcW w:w="1175" w:type="dxa"/>
            <w:tcBorders>
              <w:top w:val="nil"/>
              <w:left w:val="nil"/>
              <w:bottom w:val="single" w:sz="4" w:space="0" w:color="auto"/>
              <w:right w:val="single" w:sz="4" w:space="0" w:color="auto"/>
            </w:tcBorders>
            <w:vAlign w:val="center"/>
            <w:hideMark/>
          </w:tcPr>
          <w:p w14:paraId="009D246A"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265" w:type="dxa"/>
            <w:tcBorders>
              <w:top w:val="nil"/>
              <w:left w:val="nil"/>
              <w:bottom w:val="single" w:sz="4" w:space="0" w:color="auto"/>
              <w:right w:val="single" w:sz="4" w:space="0" w:color="auto"/>
            </w:tcBorders>
            <w:vAlign w:val="center"/>
            <w:hideMark/>
          </w:tcPr>
          <w:p w14:paraId="278A9B13"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w:t>
            </w:r>
          </w:p>
        </w:tc>
        <w:tc>
          <w:tcPr>
            <w:tcW w:w="1265" w:type="dxa"/>
            <w:tcBorders>
              <w:top w:val="nil"/>
              <w:left w:val="nil"/>
              <w:bottom w:val="single" w:sz="4" w:space="0" w:color="auto"/>
              <w:right w:val="single" w:sz="4" w:space="0" w:color="auto"/>
            </w:tcBorders>
            <w:vAlign w:val="center"/>
            <w:hideMark/>
          </w:tcPr>
          <w:p w14:paraId="0B6BF3F6"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265" w:type="dxa"/>
            <w:tcBorders>
              <w:top w:val="nil"/>
              <w:left w:val="nil"/>
              <w:bottom w:val="single" w:sz="4" w:space="0" w:color="auto"/>
              <w:right w:val="single" w:sz="4" w:space="0" w:color="auto"/>
            </w:tcBorders>
            <w:vAlign w:val="center"/>
            <w:hideMark/>
          </w:tcPr>
          <w:p w14:paraId="477ACAFE"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w:t>
            </w:r>
          </w:p>
        </w:tc>
        <w:tc>
          <w:tcPr>
            <w:tcW w:w="1400" w:type="dxa"/>
            <w:tcBorders>
              <w:top w:val="nil"/>
              <w:left w:val="nil"/>
              <w:bottom w:val="single" w:sz="4" w:space="0" w:color="auto"/>
              <w:right w:val="single" w:sz="4" w:space="0" w:color="auto"/>
            </w:tcBorders>
            <w:vAlign w:val="center"/>
            <w:hideMark/>
          </w:tcPr>
          <w:p w14:paraId="4CCA5152"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52</w:t>
            </w:r>
          </w:p>
        </w:tc>
      </w:tr>
      <w:tr w:rsidR="00991A8D" w:rsidRPr="00991A8D" w14:paraId="0D7A1043" w14:textId="77777777" w:rsidTr="007511DD">
        <w:trPr>
          <w:trHeight w:val="444"/>
        </w:trPr>
        <w:tc>
          <w:tcPr>
            <w:tcW w:w="1555" w:type="dxa"/>
            <w:tcBorders>
              <w:top w:val="nil"/>
              <w:left w:val="single" w:sz="4" w:space="0" w:color="auto"/>
              <w:bottom w:val="single" w:sz="4" w:space="0" w:color="auto"/>
              <w:right w:val="single" w:sz="4" w:space="0" w:color="auto"/>
            </w:tcBorders>
            <w:vAlign w:val="center"/>
            <w:hideMark/>
          </w:tcPr>
          <w:p w14:paraId="11953FAD" w14:textId="77777777" w:rsidR="007511DD" w:rsidRPr="00991A8D" w:rsidRDefault="009B37C0" w:rsidP="009B37C0">
            <w:pPr>
              <w:spacing w:after="0" w:line="240" w:lineRule="auto"/>
              <w:rPr>
                <w:rFonts w:eastAsia="Times New Roman"/>
                <w:spacing w:val="0"/>
                <w:sz w:val="18"/>
                <w:szCs w:val="18"/>
                <w:lang w:eastAsia="es-DO"/>
              </w:rPr>
            </w:pPr>
            <w:r w:rsidRPr="00991A8D">
              <w:rPr>
                <w:rFonts w:eastAsia="Times New Roman"/>
                <w:spacing w:val="0"/>
                <w:sz w:val="18"/>
                <w:szCs w:val="18"/>
                <w:lang w:eastAsia="es-DO"/>
              </w:rPr>
              <w:t>Inversión producto 5921</w:t>
            </w:r>
          </w:p>
          <w:p w14:paraId="459DE7FB" w14:textId="25B87EC1" w:rsidR="009B37C0" w:rsidRPr="00991A8D" w:rsidRDefault="007511DD" w:rsidP="009B37C0">
            <w:pPr>
              <w:spacing w:after="0" w:line="240" w:lineRule="auto"/>
              <w:rPr>
                <w:rFonts w:eastAsia="Times New Roman"/>
                <w:spacing w:val="0"/>
                <w:sz w:val="18"/>
                <w:szCs w:val="18"/>
                <w:lang w:eastAsia="es-DO"/>
              </w:rPr>
            </w:pPr>
            <w:r w:rsidRPr="00991A8D">
              <w:rPr>
                <w:rFonts w:eastAsia="Times New Roman"/>
                <w:spacing w:val="0"/>
                <w:sz w:val="18"/>
                <w:szCs w:val="18"/>
                <w:lang w:eastAsia="es-DO"/>
              </w:rPr>
              <w:t>en RD$</w:t>
            </w:r>
          </w:p>
        </w:tc>
        <w:tc>
          <w:tcPr>
            <w:tcW w:w="1134" w:type="dxa"/>
            <w:tcBorders>
              <w:top w:val="nil"/>
              <w:left w:val="nil"/>
              <w:bottom w:val="single" w:sz="4" w:space="0" w:color="auto"/>
              <w:right w:val="single" w:sz="4" w:space="0" w:color="auto"/>
            </w:tcBorders>
            <w:vAlign w:val="center"/>
            <w:hideMark/>
          </w:tcPr>
          <w:p w14:paraId="55D95B34"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20,259,537.02</w:t>
            </w:r>
          </w:p>
        </w:tc>
        <w:tc>
          <w:tcPr>
            <w:tcW w:w="1134" w:type="dxa"/>
            <w:tcBorders>
              <w:top w:val="nil"/>
              <w:left w:val="nil"/>
              <w:bottom w:val="single" w:sz="4" w:space="0" w:color="auto"/>
              <w:right w:val="single" w:sz="4" w:space="0" w:color="auto"/>
            </w:tcBorders>
            <w:noWrap/>
            <w:vAlign w:val="center"/>
            <w:hideMark/>
          </w:tcPr>
          <w:p w14:paraId="0E8CBDA0"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20,202,660.62</w:t>
            </w:r>
          </w:p>
        </w:tc>
        <w:tc>
          <w:tcPr>
            <w:tcW w:w="1115" w:type="dxa"/>
            <w:tcBorders>
              <w:top w:val="nil"/>
              <w:left w:val="nil"/>
              <w:bottom w:val="single" w:sz="4" w:space="0" w:color="auto"/>
              <w:right w:val="single" w:sz="4" w:space="0" w:color="auto"/>
            </w:tcBorders>
            <w:noWrap/>
            <w:vAlign w:val="center"/>
            <w:hideMark/>
          </w:tcPr>
          <w:p w14:paraId="48534D89"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20,178,449.72</w:t>
            </w:r>
          </w:p>
        </w:tc>
        <w:tc>
          <w:tcPr>
            <w:tcW w:w="1265" w:type="dxa"/>
            <w:tcBorders>
              <w:top w:val="nil"/>
              <w:left w:val="nil"/>
              <w:bottom w:val="single" w:sz="4" w:space="0" w:color="auto"/>
              <w:right w:val="single" w:sz="4" w:space="0" w:color="auto"/>
            </w:tcBorders>
            <w:noWrap/>
            <w:vAlign w:val="center"/>
            <w:hideMark/>
          </w:tcPr>
          <w:p w14:paraId="3ED25344"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25,985,474.25</w:t>
            </w:r>
          </w:p>
        </w:tc>
        <w:tc>
          <w:tcPr>
            <w:tcW w:w="1175" w:type="dxa"/>
            <w:tcBorders>
              <w:top w:val="nil"/>
              <w:left w:val="nil"/>
              <w:bottom w:val="single" w:sz="4" w:space="0" w:color="auto"/>
              <w:right w:val="single" w:sz="4" w:space="0" w:color="auto"/>
            </w:tcBorders>
            <w:noWrap/>
            <w:vAlign w:val="center"/>
            <w:hideMark/>
          </w:tcPr>
          <w:p w14:paraId="25D13105"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19,403,450.06</w:t>
            </w:r>
          </w:p>
        </w:tc>
        <w:tc>
          <w:tcPr>
            <w:tcW w:w="1175" w:type="dxa"/>
            <w:tcBorders>
              <w:top w:val="nil"/>
              <w:left w:val="nil"/>
              <w:bottom w:val="single" w:sz="4" w:space="0" w:color="auto"/>
              <w:right w:val="single" w:sz="4" w:space="0" w:color="auto"/>
            </w:tcBorders>
            <w:noWrap/>
            <w:vAlign w:val="center"/>
            <w:hideMark/>
          </w:tcPr>
          <w:p w14:paraId="65525412"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19,722,565.36</w:t>
            </w:r>
          </w:p>
        </w:tc>
        <w:tc>
          <w:tcPr>
            <w:tcW w:w="1175" w:type="dxa"/>
            <w:tcBorders>
              <w:top w:val="nil"/>
              <w:left w:val="nil"/>
              <w:bottom w:val="single" w:sz="4" w:space="0" w:color="auto"/>
              <w:right w:val="single" w:sz="4" w:space="0" w:color="auto"/>
            </w:tcBorders>
            <w:vAlign w:val="center"/>
            <w:hideMark/>
          </w:tcPr>
          <w:p w14:paraId="22702CC7"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19,078,623.49</w:t>
            </w:r>
          </w:p>
        </w:tc>
        <w:tc>
          <w:tcPr>
            <w:tcW w:w="1175" w:type="dxa"/>
            <w:tcBorders>
              <w:top w:val="nil"/>
              <w:left w:val="nil"/>
              <w:bottom w:val="single" w:sz="4" w:space="0" w:color="auto"/>
              <w:right w:val="single" w:sz="4" w:space="0" w:color="auto"/>
            </w:tcBorders>
            <w:vAlign w:val="center"/>
            <w:hideMark/>
          </w:tcPr>
          <w:p w14:paraId="447299E5"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19,461,842.53</w:t>
            </w:r>
          </w:p>
        </w:tc>
        <w:tc>
          <w:tcPr>
            <w:tcW w:w="1175" w:type="dxa"/>
            <w:tcBorders>
              <w:top w:val="nil"/>
              <w:left w:val="nil"/>
              <w:bottom w:val="single" w:sz="4" w:space="0" w:color="auto"/>
              <w:right w:val="single" w:sz="4" w:space="0" w:color="auto"/>
            </w:tcBorders>
            <w:vAlign w:val="center"/>
            <w:hideMark/>
          </w:tcPr>
          <w:p w14:paraId="7B86CA98"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19,461,842.53</w:t>
            </w:r>
          </w:p>
        </w:tc>
        <w:tc>
          <w:tcPr>
            <w:tcW w:w="1265" w:type="dxa"/>
            <w:tcBorders>
              <w:top w:val="nil"/>
              <w:left w:val="nil"/>
              <w:bottom w:val="single" w:sz="4" w:space="0" w:color="auto"/>
              <w:right w:val="single" w:sz="4" w:space="0" w:color="auto"/>
            </w:tcBorders>
            <w:vAlign w:val="center"/>
            <w:hideMark/>
          </w:tcPr>
          <w:p w14:paraId="7D171257"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41,466,016.13</w:t>
            </w:r>
          </w:p>
        </w:tc>
        <w:tc>
          <w:tcPr>
            <w:tcW w:w="1265" w:type="dxa"/>
            <w:tcBorders>
              <w:top w:val="nil"/>
              <w:left w:val="nil"/>
              <w:bottom w:val="single" w:sz="4" w:space="0" w:color="auto"/>
              <w:right w:val="single" w:sz="4" w:space="0" w:color="auto"/>
            </w:tcBorders>
            <w:vAlign w:val="center"/>
            <w:hideMark/>
          </w:tcPr>
          <w:p w14:paraId="79278DCF"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43,146,041.03</w:t>
            </w:r>
          </w:p>
        </w:tc>
        <w:tc>
          <w:tcPr>
            <w:tcW w:w="1265" w:type="dxa"/>
            <w:tcBorders>
              <w:top w:val="nil"/>
              <w:left w:val="nil"/>
              <w:bottom w:val="single" w:sz="4" w:space="0" w:color="auto"/>
              <w:right w:val="single" w:sz="4" w:space="0" w:color="auto"/>
            </w:tcBorders>
            <w:vAlign w:val="center"/>
            <w:hideMark/>
          </w:tcPr>
          <w:p w14:paraId="7D78484A"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110,724,386.34</w:t>
            </w:r>
          </w:p>
        </w:tc>
        <w:tc>
          <w:tcPr>
            <w:tcW w:w="1400" w:type="dxa"/>
            <w:tcBorders>
              <w:top w:val="nil"/>
              <w:left w:val="nil"/>
              <w:bottom w:val="single" w:sz="4" w:space="0" w:color="auto"/>
              <w:right w:val="single" w:sz="4" w:space="0" w:color="auto"/>
            </w:tcBorders>
            <w:vAlign w:val="center"/>
            <w:hideMark/>
          </w:tcPr>
          <w:p w14:paraId="0A7A3619"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379,090,889.08</w:t>
            </w:r>
          </w:p>
        </w:tc>
      </w:tr>
      <w:tr w:rsidR="00991A8D" w:rsidRPr="00991A8D" w14:paraId="24B754F0" w14:textId="77777777" w:rsidTr="007511DD">
        <w:trPr>
          <w:trHeight w:val="1338"/>
        </w:trPr>
        <w:tc>
          <w:tcPr>
            <w:tcW w:w="1555" w:type="dxa"/>
            <w:tcBorders>
              <w:top w:val="nil"/>
              <w:left w:val="single" w:sz="4" w:space="0" w:color="auto"/>
              <w:bottom w:val="single" w:sz="4" w:space="0" w:color="auto"/>
              <w:right w:val="single" w:sz="4" w:space="0" w:color="auto"/>
            </w:tcBorders>
            <w:vAlign w:val="center"/>
            <w:hideMark/>
          </w:tcPr>
          <w:p w14:paraId="1ECE9024" w14:textId="77777777" w:rsidR="009B37C0" w:rsidRPr="00991A8D" w:rsidRDefault="009B37C0" w:rsidP="009B37C0">
            <w:pPr>
              <w:spacing w:after="0" w:line="240" w:lineRule="auto"/>
              <w:rPr>
                <w:rFonts w:eastAsia="Times New Roman"/>
                <w:spacing w:val="0"/>
                <w:sz w:val="18"/>
                <w:szCs w:val="18"/>
                <w:lang w:eastAsia="es-DO"/>
              </w:rPr>
            </w:pPr>
            <w:r w:rsidRPr="00991A8D">
              <w:rPr>
                <w:rFonts w:eastAsia="Times New Roman"/>
                <w:spacing w:val="0"/>
                <w:sz w:val="18"/>
                <w:szCs w:val="18"/>
                <w:lang w:eastAsia="es-DO"/>
              </w:rPr>
              <w:t>Producto 5925 - Asesoría y capacitación en el fortalecimiento del control interno</w:t>
            </w:r>
          </w:p>
        </w:tc>
        <w:tc>
          <w:tcPr>
            <w:tcW w:w="1134" w:type="dxa"/>
            <w:tcBorders>
              <w:top w:val="nil"/>
              <w:left w:val="nil"/>
              <w:bottom w:val="single" w:sz="4" w:space="0" w:color="auto"/>
              <w:right w:val="single" w:sz="4" w:space="0" w:color="auto"/>
            </w:tcBorders>
            <w:vAlign w:val="center"/>
            <w:hideMark/>
          </w:tcPr>
          <w:p w14:paraId="757C7896"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134" w:type="dxa"/>
            <w:tcBorders>
              <w:top w:val="nil"/>
              <w:left w:val="nil"/>
              <w:bottom w:val="single" w:sz="4" w:space="0" w:color="auto"/>
              <w:right w:val="single" w:sz="4" w:space="0" w:color="auto"/>
            </w:tcBorders>
            <w:noWrap/>
            <w:vAlign w:val="center"/>
            <w:hideMark/>
          </w:tcPr>
          <w:p w14:paraId="432B0595"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115" w:type="dxa"/>
            <w:tcBorders>
              <w:top w:val="nil"/>
              <w:left w:val="nil"/>
              <w:bottom w:val="single" w:sz="4" w:space="0" w:color="auto"/>
              <w:right w:val="single" w:sz="4" w:space="0" w:color="auto"/>
            </w:tcBorders>
            <w:noWrap/>
            <w:vAlign w:val="center"/>
            <w:hideMark/>
          </w:tcPr>
          <w:p w14:paraId="6481FEF7"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265" w:type="dxa"/>
            <w:tcBorders>
              <w:top w:val="nil"/>
              <w:left w:val="nil"/>
              <w:bottom w:val="single" w:sz="4" w:space="0" w:color="auto"/>
              <w:right w:val="single" w:sz="4" w:space="0" w:color="auto"/>
            </w:tcBorders>
            <w:noWrap/>
            <w:vAlign w:val="center"/>
            <w:hideMark/>
          </w:tcPr>
          <w:p w14:paraId="6A1F41C3"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175" w:type="dxa"/>
            <w:tcBorders>
              <w:top w:val="nil"/>
              <w:left w:val="nil"/>
              <w:bottom w:val="single" w:sz="4" w:space="0" w:color="auto"/>
              <w:right w:val="single" w:sz="4" w:space="0" w:color="auto"/>
            </w:tcBorders>
            <w:noWrap/>
            <w:vAlign w:val="center"/>
            <w:hideMark/>
          </w:tcPr>
          <w:p w14:paraId="4C2AD598"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175" w:type="dxa"/>
            <w:tcBorders>
              <w:top w:val="nil"/>
              <w:left w:val="nil"/>
              <w:bottom w:val="single" w:sz="4" w:space="0" w:color="auto"/>
              <w:right w:val="single" w:sz="4" w:space="0" w:color="auto"/>
            </w:tcBorders>
            <w:noWrap/>
            <w:vAlign w:val="center"/>
            <w:hideMark/>
          </w:tcPr>
          <w:p w14:paraId="2250F672"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175" w:type="dxa"/>
            <w:tcBorders>
              <w:top w:val="nil"/>
              <w:left w:val="nil"/>
              <w:bottom w:val="single" w:sz="4" w:space="0" w:color="auto"/>
              <w:right w:val="single" w:sz="4" w:space="0" w:color="auto"/>
            </w:tcBorders>
            <w:vAlign w:val="center"/>
            <w:hideMark/>
          </w:tcPr>
          <w:p w14:paraId="170B3F2B"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175" w:type="dxa"/>
            <w:tcBorders>
              <w:top w:val="nil"/>
              <w:left w:val="nil"/>
              <w:bottom w:val="single" w:sz="4" w:space="0" w:color="auto"/>
              <w:right w:val="single" w:sz="4" w:space="0" w:color="auto"/>
            </w:tcBorders>
            <w:vAlign w:val="center"/>
            <w:hideMark/>
          </w:tcPr>
          <w:p w14:paraId="2583209A"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175" w:type="dxa"/>
            <w:tcBorders>
              <w:top w:val="nil"/>
              <w:left w:val="nil"/>
              <w:bottom w:val="single" w:sz="4" w:space="0" w:color="auto"/>
              <w:right w:val="single" w:sz="4" w:space="0" w:color="auto"/>
            </w:tcBorders>
            <w:vAlign w:val="center"/>
            <w:hideMark/>
          </w:tcPr>
          <w:p w14:paraId="32866E77"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265" w:type="dxa"/>
            <w:tcBorders>
              <w:top w:val="nil"/>
              <w:left w:val="nil"/>
              <w:bottom w:val="single" w:sz="4" w:space="0" w:color="auto"/>
              <w:right w:val="single" w:sz="4" w:space="0" w:color="auto"/>
            </w:tcBorders>
            <w:vAlign w:val="center"/>
            <w:hideMark/>
          </w:tcPr>
          <w:p w14:paraId="6A489FBF"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265" w:type="dxa"/>
            <w:tcBorders>
              <w:top w:val="nil"/>
              <w:left w:val="nil"/>
              <w:bottom w:val="single" w:sz="4" w:space="0" w:color="auto"/>
              <w:right w:val="single" w:sz="4" w:space="0" w:color="auto"/>
            </w:tcBorders>
            <w:vAlign w:val="center"/>
            <w:hideMark/>
          </w:tcPr>
          <w:p w14:paraId="7F255E64"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265" w:type="dxa"/>
            <w:tcBorders>
              <w:top w:val="nil"/>
              <w:left w:val="nil"/>
              <w:bottom w:val="single" w:sz="4" w:space="0" w:color="auto"/>
              <w:right w:val="single" w:sz="4" w:space="0" w:color="auto"/>
            </w:tcBorders>
            <w:vAlign w:val="center"/>
            <w:hideMark/>
          </w:tcPr>
          <w:p w14:paraId="57A313C5"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w:t>
            </w:r>
          </w:p>
        </w:tc>
        <w:tc>
          <w:tcPr>
            <w:tcW w:w="1400" w:type="dxa"/>
            <w:tcBorders>
              <w:top w:val="nil"/>
              <w:left w:val="nil"/>
              <w:bottom w:val="single" w:sz="4" w:space="0" w:color="auto"/>
              <w:right w:val="single" w:sz="4" w:space="0" w:color="auto"/>
            </w:tcBorders>
            <w:vAlign w:val="center"/>
            <w:hideMark/>
          </w:tcPr>
          <w:p w14:paraId="263A46B5"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60</w:t>
            </w:r>
          </w:p>
        </w:tc>
      </w:tr>
      <w:tr w:rsidR="00991A8D" w:rsidRPr="00991A8D" w14:paraId="74067444" w14:textId="77777777" w:rsidTr="007511DD">
        <w:trPr>
          <w:trHeight w:val="468"/>
        </w:trPr>
        <w:tc>
          <w:tcPr>
            <w:tcW w:w="1555" w:type="dxa"/>
            <w:tcBorders>
              <w:top w:val="nil"/>
              <w:left w:val="single" w:sz="4" w:space="0" w:color="auto"/>
              <w:bottom w:val="single" w:sz="4" w:space="0" w:color="auto"/>
              <w:right w:val="single" w:sz="4" w:space="0" w:color="auto"/>
            </w:tcBorders>
            <w:vAlign w:val="center"/>
            <w:hideMark/>
          </w:tcPr>
          <w:p w14:paraId="6895C47E" w14:textId="77777777" w:rsidR="009B37C0" w:rsidRPr="00991A8D" w:rsidRDefault="009B37C0" w:rsidP="009B37C0">
            <w:pPr>
              <w:spacing w:after="0" w:line="240" w:lineRule="auto"/>
              <w:rPr>
                <w:rFonts w:eastAsia="Times New Roman"/>
                <w:spacing w:val="0"/>
                <w:sz w:val="18"/>
                <w:szCs w:val="18"/>
                <w:lang w:eastAsia="es-DO"/>
              </w:rPr>
            </w:pPr>
            <w:r w:rsidRPr="00991A8D">
              <w:rPr>
                <w:rFonts w:eastAsia="Times New Roman"/>
                <w:spacing w:val="0"/>
                <w:sz w:val="18"/>
                <w:szCs w:val="18"/>
                <w:lang w:eastAsia="es-DO"/>
              </w:rPr>
              <w:t>Inversión producto 5925</w:t>
            </w:r>
          </w:p>
          <w:p w14:paraId="28424418" w14:textId="57CBA86D" w:rsidR="007511DD" w:rsidRPr="00991A8D" w:rsidRDefault="007511DD" w:rsidP="009B37C0">
            <w:pPr>
              <w:spacing w:after="0" w:line="240" w:lineRule="auto"/>
              <w:rPr>
                <w:rFonts w:eastAsia="Times New Roman"/>
                <w:spacing w:val="0"/>
                <w:sz w:val="18"/>
                <w:szCs w:val="18"/>
                <w:lang w:eastAsia="es-DO"/>
              </w:rPr>
            </w:pPr>
            <w:r w:rsidRPr="00991A8D">
              <w:rPr>
                <w:rFonts w:eastAsia="Times New Roman"/>
                <w:spacing w:val="0"/>
                <w:sz w:val="18"/>
                <w:szCs w:val="18"/>
                <w:lang w:eastAsia="es-DO"/>
              </w:rPr>
              <w:t xml:space="preserve"> en RD$</w:t>
            </w:r>
          </w:p>
        </w:tc>
        <w:tc>
          <w:tcPr>
            <w:tcW w:w="1134" w:type="dxa"/>
            <w:tcBorders>
              <w:top w:val="nil"/>
              <w:left w:val="nil"/>
              <w:bottom w:val="single" w:sz="4" w:space="0" w:color="auto"/>
              <w:right w:val="single" w:sz="4" w:space="0" w:color="auto"/>
            </w:tcBorders>
            <w:vAlign w:val="center"/>
            <w:hideMark/>
          </w:tcPr>
          <w:p w14:paraId="113B1C72"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3,953,164.14</w:t>
            </w:r>
          </w:p>
        </w:tc>
        <w:tc>
          <w:tcPr>
            <w:tcW w:w="1134" w:type="dxa"/>
            <w:tcBorders>
              <w:top w:val="nil"/>
              <w:left w:val="nil"/>
              <w:bottom w:val="single" w:sz="4" w:space="0" w:color="auto"/>
              <w:right w:val="single" w:sz="4" w:space="0" w:color="auto"/>
            </w:tcBorders>
            <w:noWrap/>
            <w:vAlign w:val="center"/>
            <w:hideMark/>
          </w:tcPr>
          <w:p w14:paraId="23BEFF15"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3,953,164.14</w:t>
            </w:r>
          </w:p>
        </w:tc>
        <w:tc>
          <w:tcPr>
            <w:tcW w:w="1115" w:type="dxa"/>
            <w:tcBorders>
              <w:top w:val="nil"/>
              <w:left w:val="nil"/>
              <w:bottom w:val="single" w:sz="4" w:space="0" w:color="auto"/>
              <w:right w:val="single" w:sz="4" w:space="0" w:color="auto"/>
            </w:tcBorders>
            <w:noWrap/>
            <w:vAlign w:val="center"/>
            <w:hideMark/>
          </w:tcPr>
          <w:p w14:paraId="714C8EE9"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4,188,604.23</w:t>
            </w:r>
          </w:p>
        </w:tc>
        <w:tc>
          <w:tcPr>
            <w:tcW w:w="1265" w:type="dxa"/>
            <w:tcBorders>
              <w:top w:val="nil"/>
              <w:left w:val="nil"/>
              <w:bottom w:val="single" w:sz="4" w:space="0" w:color="auto"/>
              <w:right w:val="single" w:sz="4" w:space="0" w:color="auto"/>
            </w:tcBorders>
            <w:noWrap/>
            <w:vAlign w:val="center"/>
            <w:hideMark/>
          </w:tcPr>
          <w:p w14:paraId="21136906"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7,627,992.76</w:t>
            </w:r>
          </w:p>
        </w:tc>
        <w:tc>
          <w:tcPr>
            <w:tcW w:w="1175" w:type="dxa"/>
            <w:tcBorders>
              <w:top w:val="nil"/>
              <w:left w:val="nil"/>
              <w:bottom w:val="single" w:sz="4" w:space="0" w:color="auto"/>
              <w:right w:val="single" w:sz="4" w:space="0" w:color="auto"/>
            </w:tcBorders>
            <w:noWrap/>
            <w:vAlign w:val="center"/>
            <w:hideMark/>
          </w:tcPr>
          <w:p w14:paraId="00B0BFB5"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4,273,064.83</w:t>
            </w:r>
          </w:p>
        </w:tc>
        <w:tc>
          <w:tcPr>
            <w:tcW w:w="1175" w:type="dxa"/>
            <w:tcBorders>
              <w:top w:val="nil"/>
              <w:left w:val="nil"/>
              <w:bottom w:val="single" w:sz="4" w:space="0" w:color="auto"/>
              <w:right w:val="single" w:sz="4" w:space="0" w:color="auto"/>
            </w:tcBorders>
            <w:noWrap/>
            <w:vAlign w:val="center"/>
            <w:hideMark/>
          </w:tcPr>
          <w:p w14:paraId="17B742E5"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4,526,412.83</w:t>
            </w:r>
          </w:p>
        </w:tc>
        <w:tc>
          <w:tcPr>
            <w:tcW w:w="1175" w:type="dxa"/>
            <w:tcBorders>
              <w:top w:val="nil"/>
              <w:left w:val="nil"/>
              <w:bottom w:val="single" w:sz="4" w:space="0" w:color="auto"/>
              <w:right w:val="single" w:sz="4" w:space="0" w:color="auto"/>
            </w:tcBorders>
            <w:vAlign w:val="center"/>
            <w:hideMark/>
          </w:tcPr>
          <w:p w14:paraId="6C8E1140"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5,189,330.33</w:t>
            </w:r>
          </w:p>
        </w:tc>
        <w:tc>
          <w:tcPr>
            <w:tcW w:w="1175" w:type="dxa"/>
            <w:tcBorders>
              <w:top w:val="nil"/>
              <w:left w:val="nil"/>
              <w:bottom w:val="single" w:sz="4" w:space="0" w:color="auto"/>
              <w:right w:val="single" w:sz="4" w:space="0" w:color="auto"/>
            </w:tcBorders>
            <w:vAlign w:val="center"/>
            <w:hideMark/>
          </w:tcPr>
          <w:p w14:paraId="2138A339"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5,189,330.33</w:t>
            </w:r>
          </w:p>
        </w:tc>
        <w:tc>
          <w:tcPr>
            <w:tcW w:w="1175" w:type="dxa"/>
            <w:tcBorders>
              <w:top w:val="nil"/>
              <w:left w:val="nil"/>
              <w:bottom w:val="single" w:sz="4" w:space="0" w:color="auto"/>
              <w:right w:val="single" w:sz="4" w:space="0" w:color="auto"/>
            </w:tcBorders>
            <w:vAlign w:val="center"/>
            <w:hideMark/>
          </w:tcPr>
          <w:p w14:paraId="14DA9135"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5,189,330.33</w:t>
            </w:r>
          </w:p>
        </w:tc>
        <w:tc>
          <w:tcPr>
            <w:tcW w:w="1265" w:type="dxa"/>
            <w:tcBorders>
              <w:top w:val="nil"/>
              <w:left w:val="nil"/>
              <w:bottom w:val="single" w:sz="4" w:space="0" w:color="auto"/>
              <w:right w:val="single" w:sz="4" w:space="0" w:color="auto"/>
            </w:tcBorders>
            <w:vAlign w:val="center"/>
            <w:hideMark/>
          </w:tcPr>
          <w:p w14:paraId="20016D61"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8,670,944.36</w:t>
            </w:r>
          </w:p>
        </w:tc>
        <w:tc>
          <w:tcPr>
            <w:tcW w:w="1265" w:type="dxa"/>
            <w:tcBorders>
              <w:top w:val="nil"/>
              <w:left w:val="nil"/>
              <w:bottom w:val="single" w:sz="4" w:space="0" w:color="auto"/>
              <w:right w:val="single" w:sz="4" w:space="0" w:color="auto"/>
            </w:tcBorders>
            <w:vAlign w:val="center"/>
            <w:hideMark/>
          </w:tcPr>
          <w:p w14:paraId="71CDF4E2"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9,018,128.64</w:t>
            </w:r>
          </w:p>
        </w:tc>
        <w:tc>
          <w:tcPr>
            <w:tcW w:w="1265" w:type="dxa"/>
            <w:tcBorders>
              <w:top w:val="nil"/>
              <w:left w:val="nil"/>
              <w:bottom w:val="single" w:sz="4" w:space="0" w:color="auto"/>
              <w:right w:val="single" w:sz="4" w:space="0" w:color="auto"/>
            </w:tcBorders>
            <w:vAlign w:val="center"/>
            <w:hideMark/>
          </w:tcPr>
          <w:p w14:paraId="0538695B"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23,090,217.48</w:t>
            </w:r>
          </w:p>
        </w:tc>
        <w:tc>
          <w:tcPr>
            <w:tcW w:w="1400" w:type="dxa"/>
            <w:tcBorders>
              <w:top w:val="nil"/>
              <w:left w:val="nil"/>
              <w:bottom w:val="single" w:sz="4" w:space="0" w:color="auto"/>
              <w:right w:val="single" w:sz="4" w:space="0" w:color="auto"/>
            </w:tcBorders>
            <w:vAlign w:val="center"/>
            <w:hideMark/>
          </w:tcPr>
          <w:p w14:paraId="602E8739"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84,869,684.40</w:t>
            </w:r>
          </w:p>
        </w:tc>
      </w:tr>
      <w:tr w:rsidR="00991A8D" w:rsidRPr="00991A8D" w14:paraId="31B4C815" w14:textId="77777777" w:rsidTr="007511DD">
        <w:trPr>
          <w:trHeight w:val="428"/>
        </w:trPr>
        <w:tc>
          <w:tcPr>
            <w:tcW w:w="1555" w:type="dxa"/>
            <w:tcBorders>
              <w:top w:val="nil"/>
              <w:left w:val="single" w:sz="4" w:space="0" w:color="auto"/>
              <w:bottom w:val="single" w:sz="4" w:space="0" w:color="auto"/>
              <w:right w:val="single" w:sz="4" w:space="0" w:color="auto"/>
            </w:tcBorders>
            <w:vAlign w:val="center"/>
            <w:hideMark/>
          </w:tcPr>
          <w:p w14:paraId="36A73762" w14:textId="77777777" w:rsidR="009B37C0" w:rsidRPr="00991A8D" w:rsidRDefault="009B37C0" w:rsidP="009B37C0">
            <w:pPr>
              <w:spacing w:after="0" w:line="240" w:lineRule="auto"/>
              <w:rPr>
                <w:rFonts w:eastAsia="Times New Roman"/>
                <w:spacing w:val="0"/>
                <w:sz w:val="18"/>
                <w:szCs w:val="18"/>
                <w:lang w:eastAsia="es-DO"/>
              </w:rPr>
            </w:pPr>
            <w:r w:rsidRPr="00991A8D">
              <w:rPr>
                <w:rFonts w:eastAsia="Times New Roman"/>
                <w:spacing w:val="0"/>
                <w:sz w:val="18"/>
                <w:szCs w:val="18"/>
                <w:lang w:eastAsia="es-DO"/>
              </w:rPr>
              <w:t>Producto 5927 - Instituciones públicas con contrato registrado conforme a lo establecido en la Ley 10 - 07 del Sistema Nacional de Control Interno</w:t>
            </w:r>
          </w:p>
        </w:tc>
        <w:tc>
          <w:tcPr>
            <w:tcW w:w="1134" w:type="dxa"/>
            <w:tcBorders>
              <w:top w:val="nil"/>
              <w:left w:val="nil"/>
              <w:bottom w:val="single" w:sz="4" w:space="0" w:color="auto"/>
              <w:right w:val="single" w:sz="4" w:space="0" w:color="auto"/>
            </w:tcBorders>
            <w:vAlign w:val="center"/>
            <w:hideMark/>
          </w:tcPr>
          <w:p w14:paraId="48048CFB"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134" w:type="dxa"/>
            <w:tcBorders>
              <w:top w:val="nil"/>
              <w:left w:val="nil"/>
              <w:bottom w:val="single" w:sz="4" w:space="0" w:color="auto"/>
              <w:right w:val="single" w:sz="4" w:space="0" w:color="auto"/>
            </w:tcBorders>
            <w:noWrap/>
            <w:vAlign w:val="center"/>
            <w:hideMark/>
          </w:tcPr>
          <w:p w14:paraId="71A165FA"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115" w:type="dxa"/>
            <w:tcBorders>
              <w:top w:val="nil"/>
              <w:left w:val="nil"/>
              <w:bottom w:val="single" w:sz="4" w:space="0" w:color="auto"/>
              <w:right w:val="single" w:sz="4" w:space="0" w:color="auto"/>
            </w:tcBorders>
            <w:noWrap/>
            <w:vAlign w:val="center"/>
            <w:hideMark/>
          </w:tcPr>
          <w:p w14:paraId="57D21E22"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265" w:type="dxa"/>
            <w:tcBorders>
              <w:top w:val="nil"/>
              <w:left w:val="nil"/>
              <w:bottom w:val="single" w:sz="4" w:space="0" w:color="auto"/>
              <w:right w:val="single" w:sz="4" w:space="0" w:color="auto"/>
            </w:tcBorders>
            <w:noWrap/>
            <w:vAlign w:val="center"/>
            <w:hideMark/>
          </w:tcPr>
          <w:p w14:paraId="32DAD100"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175" w:type="dxa"/>
            <w:tcBorders>
              <w:top w:val="nil"/>
              <w:left w:val="nil"/>
              <w:bottom w:val="single" w:sz="4" w:space="0" w:color="auto"/>
              <w:right w:val="single" w:sz="4" w:space="0" w:color="auto"/>
            </w:tcBorders>
            <w:noWrap/>
            <w:vAlign w:val="center"/>
            <w:hideMark/>
          </w:tcPr>
          <w:p w14:paraId="0F90ADE4"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175" w:type="dxa"/>
            <w:tcBorders>
              <w:top w:val="nil"/>
              <w:left w:val="nil"/>
              <w:bottom w:val="single" w:sz="4" w:space="0" w:color="auto"/>
              <w:right w:val="single" w:sz="4" w:space="0" w:color="auto"/>
            </w:tcBorders>
            <w:noWrap/>
            <w:vAlign w:val="center"/>
            <w:hideMark/>
          </w:tcPr>
          <w:p w14:paraId="3C6BC2D8"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175" w:type="dxa"/>
            <w:tcBorders>
              <w:top w:val="nil"/>
              <w:left w:val="nil"/>
              <w:bottom w:val="single" w:sz="4" w:space="0" w:color="auto"/>
              <w:right w:val="single" w:sz="4" w:space="0" w:color="auto"/>
            </w:tcBorders>
            <w:vAlign w:val="center"/>
            <w:hideMark/>
          </w:tcPr>
          <w:p w14:paraId="0D1EA918"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175" w:type="dxa"/>
            <w:tcBorders>
              <w:top w:val="nil"/>
              <w:left w:val="nil"/>
              <w:bottom w:val="single" w:sz="4" w:space="0" w:color="auto"/>
              <w:right w:val="single" w:sz="4" w:space="0" w:color="auto"/>
            </w:tcBorders>
            <w:vAlign w:val="center"/>
            <w:hideMark/>
          </w:tcPr>
          <w:p w14:paraId="6C49C247"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175" w:type="dxa"/>
            <w:tcBorders>
              <w:top w:val="nil"/>
              <w:left w:val="nil"/>
              <w:bottom w:val="single" w:sz="4" w:space="0" w:color="auto"/>
              <w:right w:val="single" w:sz="4" w:space="0" w:color="auto"/>
            </w:tcBorders>
            <w:vAlign w:val="center"/>
            <w:hideMark/>
          </w:tcPr>
          <w:p w14:paraId="64AEFF59"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265" w:type="dxa"/>
            <w:tcBorders>
              <w:top w:val="nil"/>
              <w:left w:val="nil"/>
              <w:bottom w:val="single" w:sz="4" w:space="0" w:color="auto"/>
              <w:right w:val="single" w:sz="4" w:space="0" w:color="auto"/>
            </w:tcBorders>
            <w:vAlign w:val="center"/>
            <w:hideMark/>
          </w:tcPr>
          <w:p w14:paraId="2886E65B"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265" w:type="dxa"/>
            <w:tcBorders>
              <w:top w:val="nil"/>
              <w:left w:val="nil"/>
              <w:bottom w:val="single" w:sz="4" w:space="0" w:color="auto"/>
              <w:right w:val="single" w:sz="4" w:space="0" w:color="auto"/>
            </w:tcBorders>
            <w:vAlign w:val="center"/>
            <w:hideMark/>
          </w:tcPr>
          <w:p w14:paraId="5A3FEF8C"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265" w:type="dxa"/>
            <w:tcBorders>
              <w:top w:val="nil"/>
              <w:left w:val="nil"/>
              <w:bottom w:val="single" w:sz="4" w:space="0" w:color="auto"/>
              <w:right w:val="single" w:sz="4" w:space="0" w:color="auto"/>
            </w:tcBorders>
            <w:vAlign w:val="center"/>
            <w:hideMark/>
          </w:tcPr>
          <w:p w14:paraId="61D5BA6E"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400" w:type="dxa"/>
            <w:tcBorders>
              <w:top w:val="nil"/>
              <w:left w:val="nil"/>
              <w:bottom w:val="single" w:sz="4" w:space="0" w:color="auto"/>
              <w:right w:val="single" w:sz="4" w:space="0" w:color="auto"/>
            </w:tcBorders>
            <w:vAlign w:val="center"/>
            <w:hideMark/>
          </w:tcPr>
          <w:p w14:paraId="5F5DEF5E"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r>
      <w:tr w:rsidR="00991A8D" w:rsidRPr="00991A8D" w14:paraId="34B1F145" w14:textId="77777777" w:rsidTr="007511DD">
        <w:trPr>
          <w:trHeight w:val="492"/>
        </w:trPr>
        <w:tc>
          <w:tcPr>
            <w:tcW w:w="1555" w:type="dxa"/>
            <w:tcBorders>
              <w:top w:val="nil"/>
              <w:left w:val="single" w:sz="4" w:space="0" w:color="auto"/>
              <w:bottom w:val="single" w:sz="4" w:space="0" w:color="auto"/>
              <w:right w:val="single" w:sz="4" w:space="0" w:color="auto"/>
            </w:tcBorders>
            <w:vAlign w:val="center"/>
            <w:hideMark/>
          </w:tcPr>
          <w:p w14:paraId="7F6CACC9" w14:textId="3DFEEBF8" w:rsidR="009B37C0" w:rsidRPr="00991A8D" w:rsidRDefault="009B37C0" w:rsidP="009B37C0">
            <w:pPr>
              <w:spacing w:after="0" w:line="240" w:lineRule="auto"/>
              <w:rPr>
                <w:rFonts w:eastAsia="Times New Roman"/>
                <w:spacing w:val="0"/>
                <w:sz w:val="18"/>
                <w:szCs w:val="18"/>
                <w:lang w:eastAsia="es-DO"/>
              </w:rPr>
            </w:pPr>
            <w:r w:rsidRPr="00991A8D">
              <w:rPr>
                <w:rFonts w:eastAsia="Times New Roman"/>
                <w:spacing w:val="0"/>
                <w:sz w:val="18"/>
                <w:szCs w:val="18"/>
                <w:lang w:eastAsia="es-DO"/>
              </w:rPr>
              <w:t>Inversión producto 5927</w:t>
            </w:r>
            <w:r w:rsidR="007511DD" w:rsidRPr="00991A8D">
              <w:rPr>
                <w:rFonts w:eastAsia="Times New Roman"/>
                <w:spacing w:val="0"/>
                <w:sz w:val="18"/>
                <w:szCs w:val="18"/>
                <w:lang w:eastAsia="es-DO"/>
              </w:rPr>
              <w:t xml:space="preserve"> en RD$</w:t>
            </w:r>
          </w:p>
        </w:tc>
        <w:tc>
          <w:tcPr>
            <w:tcW w:w="1134" w:type="dxa"/>
            <w:tcBorders>
              <w:top w:val="nil"/>
              <w:left w:val="nil"/>
              <w:bottom w:val="single" w:sz="4" w:space="0" w:color="auto"/>
              <w:right w:val="single" w:sz="4" w:space="0" w:color="auto"/>
            </w:tcBorders>
            <w:vAlign w:val="center"/>
            <w:hideMark/>
          </w:tcPr>
          <w:p w14:paraId="072D8F16"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2,393,473.49</w:t>
            </w:r>
          </w:p>
        </w:tc>
        <w:tc>
          <w:tcPr>
            <w:tcW w:w="1134" w:type="dxa"/>
            <w:tcBorders>
              <w:top w:val="nil"/>
              <w:left w:val="nil"/>
              <w:bottom w:val="single" w:sz="4" w:space="0" w:color="auto"/>
              <w:right w:val="single" w:sz="4" w:space="0" w:color="auto"/>
            </w:tcBorders>
            <w:noWrap/>
            <w:vAlign w:val="center"/>
            <w:hideMark/>
          </w:tcPr>
          <w:p w14:paraId="79D70067"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2,307,005.99</w:t>
            </w:r>
          </w:p>
        </w:tc>
        <w:tc>
          <w:tcPr>
            <w:tcW w:w="1115" w:type="dxa"/>
            <w:tcBorders>
              <w:top w:val="nil"/>
              <w:left w:val="nil"/>
              <w:bottom w:val="single" w:sz="4" w:space="0" w:color="auto"/>
              <w:right w:val="single" w:sz="4" w:space="0" w:color="auto"/>
            </w:tcBorders>
            <w:noWrap/>
            <w:vAlign w:val="center"/>
            <w:hideMark/>
          </w:tcPr>
          <w:p w14:paraId="48375F36"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2,508,407.68</w:t>
            </w:r>
          </w:p>
        </w:tc>
        <w:tc>
          <w:tcPr>
            <w:tcW w:w="1265" w:type="dxa"/>
            <w:tcBorders>
              <w:top w:val="nil"/>
              <w:left w:val="nil"/>
              <w:bottom w:val="single" w:sz="4" w:space="0" w:color="auto"/>
              <w:right w:val="single" w:sz="4" w:space="0" w:color="auto"/>
            </w:tcBorders>
            <w:noWrap/>
            <w:vAlign w:val="center"/>
            <w:hideMark/>
          </w:tcPr>
          <w:p w14:paraId="0F4C74C2"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4,280,523.48</w:t>
            </w:r>
          </w:p>
        </w:tc>
        <w:tc>
          <w:tcPr>
            <w:tcW w:w="1175" w:type="dxa"/>
            <w:tcBorders>
              <w:top w:val="nil"/>
              <w:left w:val="nil"/>
              <w:bottom w:val="single" w:sz="4" w:space="0" w:color="auto"/>
              <w:right w:val="single" w:sz="4" w:space="0" w:color="auto"/>
            </w:tcBorders>
            <w:noWrap/>
            <w:vAlign w:val="center"/>
            <w:hideMark/>
          </w:tcPr>
          <w:p w14:paraId="0327FDAA"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2,492,440.88</w:t>
            </w:r>
          </w:p>
        </w:tc>
        <w:tc>
          <w:tcPr>
            <w:tcW w:w="1175" w:type="dxa"/>
            <w:tcBorders>
              <w:top w:val="nil"/>
              <w:left w:val="nil"/>
              <w:bottom w:val="single" w:sz="4" w:space="0" w:color="auto"/>
              <w:right w:val="single" w:sz="4" w:space="0" w:color="auto"/>
            </w:tcBorders>
            <w:noWrap/>
            <w:vAlign w:val="center"/>
            <w:hideMark/>
          </w:tcPr>
          <w:p w14:paraId="303B054D"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2,625,024.38</w:t>
            </w:r>
          </w:p>
        </w:tc>
        <w:tc>
          <w:tcPr>
            <w:tcW w:w="1175" w:type="dxa"/>
            <w:tcBorders>
              <w:top w:val="nil"/>
              <w:left w:val="nil"/>
              <w:bottom w:val="single" w:sz="4" w:space="0" w:color="auto"/>
              <w:right w:val="single" w:sz="4" w:space="0" w:color="auto"/>
            </w:tcBorders>
            <w:vAlign w:val="center"/>
            <w:hideMark/>
          </w:tcPr>
          <w:p w14:paraId="63472AB2"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2,588,131.58</w:t>
            </w:r>
          </w:p>
        </w:tc>
        <w:tc>
          <w:tcPr>
            <w:tcW w:w="1175" w:type="dxa"/>
            <w:tcBorders>
              <w:top w:val="nil"/>
              <w:left w:val="nil"/>
              <w:bottom w:val="single" w:sz="4" w:space="0" w:color="auto"/>
              <w:right w:val="single" w:sz="4" w:space="0" w:color="auto"/>
            </w:tcBorders>
            <w:vAlign w:val="center"/>
            <w:hideMark/>
          </w:tcPr>
          <w:p w14:paraId="3C3DE9B2"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2,607,730.88</w:t>
            </w:r>
          </w:p>
        </w:tc>
        <w:tc>
          <w:tcPr>
            <w:tcW w:w="1175" w:type="dxa"/>
            <w:tcBorders>
              <w:top w:val="nil"/>
              <w:left w:val="nil"/>
              <w:bottom w:val="single" w:sz="4" w:space="0" w:color="auto"/>
              <w:right w:val="single" w:sz="4" w:space="0" w:color="auto"/>
            </w:tcBorders>
            <w:vAlign w:val="center"/>
            <w:hideMark/>
          </w:tcPr>
          <w:p w14:paraId="2E3B353F"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2,521,263.38</w:t>
            </w:r>
          </w:p>
        </w:tc>
        <w:tc>
          <w:tcPr>
            <w:tcW w:w="1265" w:type="dxa"/>
            <w:tcBorders>
              <w:top w:val="nil"/>
              <w:left w:val="nil"/>
              <w:bottom w:val="single" w:sz="4" w:space="0" w:color="auto"/>
              <w:right w:val="single" w:sz="4" w:space="0" w:color="auto"/>
            </w:tcBorders>
            <w:vAlign w:val="center"/>
            <w:hideMark/>
          </w:tcPr>
          <w:p w14:paraId="307674B9"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4,989,050.76</w:t>
            </w:r>
          </w:p>
        </w:tc>
        <w:tc>
          <w:tcPr>
            <w:tcW w:w="1265" w:type="dxa"/>
            <w:tcBorders>
              <w:top w:val="nil"/>
              <w:left w:val="nil"/>
              <w:bottom w:val="single" w:sz="4" w:space="0" w:color="auto"/>
              <w:right w:val="single" w:sz="4" w:space="0" w:color="auto"/>
            </w:tcBorders>
            <w:vAlign w:val="center"/>
            <w:hideMark/>
          </w:tcPr>
          <w:p w14:paraId="4B68B7F2"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5,298,620.99</w:t>
            </w:r>
          </w:p>
        </w:tc>
        <w:tc>
          <w:tcPr>
            <w:tcW w:w="1265" w:type="dxa"/>
            <w:tcBorders>
              <w:top w:val="nil"/>
              <w:left w:val="nil"/>
              <w:bottom w:val="single" w:sz="4" w:space="0" w:color="auto"/>
              <w:right w:val="single" w:sz="4" w:space="0" w:color="auto"/>
            </w:tcBorders>
            <w:vAlign w:val="center"/>
            <w:hideMark/>
          </w:tcPr>
          <w:p w14:paraId="0B65977C"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13,032,714.42</w:t>
            </w:r>
          </w:p>
        </w:tc>
        <w:tc>
          <w:tcPr>
            <w:tcW w:w="1400" w:type="dxa"/>
            <w:tcBorders>
              <w:top w:val="nil"/>
              <w:left w:val="nil"/>
              <w:bottom w:val="single" w:sz="4" w:space="0" w:color="auto"/>
              <w:right w:val="single" w:sz="4" w:space="0" w:color="auto"/>
            </w:tcBorders>
            <w:vAlign w:val="center"/>
            <w:hideMark/>
          </w:tcPr>
          <w:p w14:paraId="537117FC"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47,644,387.91</w:t>
            </w:r>
          </w:p>
        </w:tc>
      </w:tr>
      <w:tr w:rsidR="00991A8D" w:rsidRPr="00991A8D" w14:paraId="5E43DC6C" w14:textId="77777777" w:rsidTr="007511DD">
        <w:trPr>
          <w:trHeight w:val="602"/>
        </w:trPr>
        <w:tc>
          <w:tcPr>
            <w:tcW w:w="1555" w:type="dxa"/>
            <w:tcBorders>
              <w:top w:val="nil"/>
              <w:left w:val="single" w:sz="4" w:space="0" w:color="auto"/>
              <w:bottom w:val="single" w:sz="4" w:space="0" w:color="auto"/>
              <w:right w:val="single" w:sz="4" w:space="0" w:color="auto"/>
            </w:tcBorders>
            <w:vAlign w:val="center"/>
            <w:hideMark/>
          </w:tcPr>
          <w:p w14:paraId="2981ABED" w14:textId="5D43ADAC" w:rsidR="009B37C0" w:rsidRPr="00991A8D" w:rsidRDefault="009B37C0" w:rsidP="009B37C0">
            <w:pPr>
              <w:spacing w:after="0" w:line="240" w:lineRule="auto"/>
              <w:rPr>
                <w:rFonts w:eastAsia="Times New Roman"/>
                <w:spacing w:val="0"/>
                <w:sz w:val="18"/>
                <w:szCs w:val="18"/>
                <w:lang w:eastAsia="es-DO"/>
              </w:rPr>
            </w:pPr>
            <w:r w:rsidRPr="00991A8D">
              <w:rPr>
                <w:rFonts w:eastAsia="Times New Roman"/>
                <w:spacing w:val="0"/>
                <w:sz w:val="18"/>
                <w:szCs w:val="18"/>
                <w:lang w:eastAsia="es-DO"/>
              </w:rPr>
              <w:lastRenderedPageBreak/>
              <w:t>Producto 5930 - órdenes de pagos autorizadas conforme a la comprobación del cumplimiento del control previo de las normas vigentes</w:t>
            </w:r>
          </w:p>
        </w:tc>
        <w:tc>
          <w:tcPr>
            <w:tcW w:w="1134" w:type="dxa"/>
            <w:tcBorders>
              <w:top w:val="nil"/>
              <w:left w:val="nil"/>
              <w:bottom w:val="single" w:sz="4" w:space="0" w:color="auto"/>
              <w:right w:val="single" w:sz="4" w:space="0" w:color="auto"/>
            </w:tcBorders>
            <w:vAlign w:val="center"/>
            <w:hideMark/>
          </w:tcPr>
          <w:p w14:paraId="6EAD5DFD"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134" w:type="dxa"/>
            <w:tcBorders>
              <w:top w:val="nil"/>
              <w:left w:val="nil"/>
              <w:bottom w:val="single" w:sz="4" w:space="0" w:color="auto"/>
              <w:right w:val="single" w:sz="4" w:space="0" w:color="auto"/>
            </w:tcBorders>
            <w:noWrap/>
            <w:vAlign w:val="center"/>
            <w:hideMark/>
          </w:tcPr>
          <w:p w14:paraId="0BFBAA46"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115" w:type="dxa"/>
            <w:tcBorders>
              <w:top w:val="nil"/>
              <w:left w:val="nil"/>
              <w:bottom w:val="single" w:sz="4" w:space="0" w:color="auto"/>
              <w:right w:val="single" w:sz="4" w:space="0" w:color="auto"/>
            </w:tcBorders>
            <w:noWrap/>
            <w:vAlign w:val="center"/>
            <w:hideMark/>
          </w:tcPr>
          <w:p w14:paraId="50C0008B"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265" w:type="dxa"/>
            <w:tcBorders>
              <w:top w:val="nil"/>
              <w:left w:val="nil"/>
              <w:bottom w:val="single" w:sz="4" w:space="0" w:color="auto"/>
              <w:right w:val="single" w:sz="4" w:space="0" w:color="auto"/>
            </w:tcBorders>
            <w:noWrap/>
            <w:vAlign w:val="center"/>
            <w:hideMark/>
          </w:tcPr>
          <w:p w14:paraId="70E1A86A"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175" w:type="dxa"/>
            <w:tcBorders>
              <w:top w:val="nil"/>
              <w:left w:val="nil"/>
              <w:bottom w:val="single" w:sz="4" w:space="0" w:color="auto"/>
              <w:right w:val="single" w:sz="4" w:space="0" w:color="auto"/>
            </w:tcBorders>
            <w:noWrap/>
            <w:vAlign w:val="center"/>
            <w:hideMark/>
          </w:tcPr>
          <w:p w14:paraId="1C06D522"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175" w:type="dxa"/>
            <w:tcBorders>
              <w:top w:val="nil"/>
              <w:left w:val="nil"/>
              <w:bottom w:val="single" w:sz="4" w:space="0" w:color="auto"/>
              <w:right w:val="single" w:sz="4" w:space="0" w:color="auto"/>
            </w:tcBorders>
            <w:noWrap/>
            <w:vAlign w:val="center"/>
            <w:hideMark/>
          </w:tcPr>
          <w:p w14:paraId="4D2B3F1C"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175" w:type="dxa"/>
            <w:tcBorders>
              <w:top w:val="nil"/>
              <w:left w:val="nil"/>
              <w:bottom w:val="single" w:sz="4" w:space="0" w:color="auto"/>
              <w:right w:val="single" w:sz="4" w:space="0" w:color="auto"/>
            </w:tcBorders>
            <w:vAlign w:val="center"/>
            <w:hideMark/>
          </w:tcPr>
          <w:p w14:paraId="0F20F323"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175" w:type="dxa"/>
            <w:tcBorders>
              <w:top w:val="nil"/>
              <w:left w:val="nil"/>
              <w:bottom w:val="single" w:sz="4" w:space="0" w:color="auto"/>
              <w:right w:val="single" w:sz="4" w:space="0" w:color="auto"/>
            </w:tcBorders>
            <w:vAlign w:val="center"/>
            <w:hideMark/>
          </w:tcPr>
          <w:p w14:paraId="7E1C30A5"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175" w:type="dxa"/>
            <w:tcBorders>
              <w:top w:val="nil"/>
              <w:left w:val="nil"/>
              <w:bottom w:val="single" w:sz="4" w:space="0" w:color="auto"/>
              <w:right w:val="single" w:sz="4" w:space="0" w:color="auto"/>
            </w:tcBorders>
            <w:vAlign w:val="center"/>
            <w:hideMark/>
          </w:tcPr>
          <w:p w14:paraId="1A832D38"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265" w:type="dxa"/>
            <w:tcBorders>
              <w:top w:val="nil"/>
              <w:left w:val="nil"/>
              <w:bottom w:val="single" w:sz="4" w:space="0" w:color="auto"/>
              <w:right w:val="single" w:sz="4" w:space="0" w:color="auto"/>
            </w:tcBorders>
            <w:vAlign w:val="center"/>
            <w:hideMark/>
          </w:tcPr>
          <w:p w14:paraId="356A79D0"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265" w:type="dxa"/>
            <w:tcBorders>
              <w:top w:val="nil"/>
              <w:left w:val="nil"/>
              <w:bottom w:val="single" w:sz="4" w:space="0" w:color="auto"/>
              <w:right w:val="single" w:sz="4" w:space="0" w:color="auto"/>
            </w:tcBorders>
            <w:vAlign w:val="center"/>
            <w:hideMark/>
          </w:tcPr>
          <w:p w14:paraId="50CFEA71"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265" w:type="dxa"/>
            <w:tcBorders>
              <w:top w:val="nil"/>
              <w:left w:val="nil"/>
              <w:bottom w:val="single" w:sz="4" w:space="0" w:color="auto"/>
              <w:right w:val="single" w:sz="4" w:space="0" w:color="auto"/>
            </w:tcBorders>
            <w:vAlign w:val="center"/>
            <w:hideMark/>
          </w:tcPr>
          <w:p w14:paraId="5361CEA3"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c>
          <w:tcPr>
            <w:tcW w:w="1400" w:type="dxa"/>
            <w:tcBorders>
              <w:top w:val="nil"/>
              <w:left w:val="nil"/>
              <w:bottom w:val="single" w:sz="4" w:space="0" w:color="auto"/>
              <w:right w:val="single" w:sz="4" w:space="0" w:color="auto"/>
            </w:tcBorders>
            <w:vAlign w:val="center"/>
            <w:hideMark/>
          </w:tcPr>
          <w:p w14:paraId="6A411808"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100%</w:t>
            </w:r>
          </w:p>
        </w:tc>
      </w:tr>
      <w:tr w:rsidR="00991A8D" w:rsidRPr="00991A8D" w14:paraId="1CAC94E8" w14:textId="77777777" w:rsidTr="007511DD">
        <w:trPr>
          <w:trHeight w:val="492"/>
        </w:trPr>
        <w:tc>
          <w:tcPr>
            <w:tcW w:w="1555" w:type="dxa"/>
            <w:tcBorders>
              <w:top w:val="nil"/>
              <w:left w:val="single" w:sz="4" w:space="0" w:color="auto"/>
              <w:bottom w:val="single" w:sz="4" w:space="0" w:color="auto"/>
              <w:right w:val="single" w:sz="4" w:space="0" w:color="auto"/>
            </w:tcBorders>
            <w:vAlign w:val="center"/>
            <w:hideMark/>
          </w:tcPr>
          <w:p w14:paraId="6C6BFC30" w14:textId="089FE698" w:rsidR="009B37C0" w:rsidRPr="00991A8D" w:rsidRDefault="009B37C0" w:rsidP="009B37C0">
            <w:pPr>
              <w:spacing w:after="0" w:line="240" w:lineRule="auto"/>
              <w:rPr>
                <w:rFonts w:eastAsia="Times New Roman"/>
                <w:spacing w:val="0"/>
                <w:sz w:val="18"/>
                <w:szCs w:val="18"/>
                <w:lang w:eastAsia="es-DO"/>
              </w:rPr>
            </w:pPr>
            <w:r w:rsidRPr="00991A8D">
              <w:rPr>
                <w:rFonts w:eastAsia="Times New Roman"/>
                <w:spacing w:val="0"/>
                <w:sz w:val="18"/>
                <w:szCs w:val="18"/>
                <w:lang w:eastAsia="es-DO"/>
              </w:rPr>
              <w:t xml:space="preserve">Inversión producto </w:t>
            </w:r>
            <w:proofErr w:type="gramStart"/>
            <w:r w:rsidRPr="00991A8D">
              <w:rPr>
                <w:rFonts w:eastAsia="Times New Roman"/>
                <w:spacing w:val="0"/>
                <w:sz w:val="18"/>
                <w:szCs w:val="18"/>
                <w:lang w:eastAsia="es-DO"/>
              </w:rPr>
              <w:t>5930</w:t>
            </w:r>
            <w:r w:rsidR="007511DD" w:rsidRPr="00991A8D">
              <w:rPr>
                <w:rFonts w:eastAsia="Times New Roman"/>
                <w:spacing w:val="0"/>
                <w:sz w:val="18"/>
                <w:szCs w:val="18"/>
                <w:lang w:eastAsia="es-DO"/>
              </w:rPr>
              <w:t xml:space="preserve">  en</w:t>
            </w:r>
            <w:proofErr w:type="gramEnd"/>
            <w:r w:rsidR="007511DD" w:rsidRPr="00991A8D">
              <w:rPr>
                <w:rFonts w:eastAsia="Times New Roman"/>
                <w:spacing w:val="0"/>
                <w:sz w:val="18"/>
                <w:szCs w:val="18"/>
                <w:lang w:eastAsia="es-DO"/>
              </w:rPr>
              <w:t xml:space="preserve"> RD$</w:t>
            </w:r>
          </w:p>
        </w:tc>
        <w:tc>
          <w:tcPr>
            <w:tcW w:w="1134" w:type="dxa"/>
            <w:tcBorders>
              <w:top w:val="nil"/>
              <w:left w:val="nil"/>
              <w:bottom w:val="single" w:sz="4" w:space="0" w:color="auto"/>
              <w:right w:val="single" w:sz="4" w:space="0" w:color="auto"/>
            </w:tcBorders>
            <w:vAlign w:val="center"/>
            <w:hideMark/>
          </w:tcPr>
          <w:p w14:paraId="05B6BF4B"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89,358,306.86</w:t>
            </w:r>
          </w:p>
        </w:tc>
        <w:tc>
          <w:tcPr>
            <w:tcW w:w="1134" w:type="dxa"/>
            <w:tcBorders>
              <w:top w:val="nil"/>
              <w:left w:val="nil"/>
              <w:bottom w:val="single" w:sz="4" w:space="0" w:color="auto"/>
              <w:right w:val="single" w:sz="4" w:space="0" w:color="auto"/>
            </w:tcBorders>
            <w:noWrap/>
            <w:vAlign w:val="center"/>
            <w:hideMark/>
          </w:tcPr>
          <w:p w14:paraId="4ED54B7B"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88,716,010.41</w:t>
            </w:r>
          </w:p>
        </w:tc>
        <w:tc>
          <w:tcPr>
            <w:tcW w:w="1115" w:type="dxa"/>
            <w:tcBorders>
              <w:top w:val="nil"/>
              <w:left w:val="nil"/>
              <w:bottom w:val="single" w:sz="4" w:space="0" w:color="auto"/>
              <w:right w:val="single" w:sz="4" w:space="0" w:color="auto"/>
            </w:tcBorders>
            <w:noWrap/>
            <w:vAlign w:val="center"/>
            <w:hideMark/>
          </w:tcPr>
          <w:p w14:paraId="67BD801A"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88,750,189.28</w:t>
            </w:r>
          </w:p>
        </w:tc>
        <w:tc>
          <w:tcPr>
            <w:tcW w:w="1265" w:type="dxa"/>
            <w:tcBorders>
              <w:top w:val="nil"/>
              <w:left w:val="nil"/>
              <w:bottom w:val="single" w:sz="4" w:space="0" w:color="auto"/>
              <w:right w:val="single" w:sz="4" w:space="0" w:color="auto"/>
            </w:tcBorders>
            <w:noWrap/>
            <w:vAlign w:val="center"/>
            <w:hideMark/>
          </w:tcPr>
          <w:p w14:paraId="6BE85E27"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164,831,190.77</w:t>
            </w:r>
          </w:p>
        </w:tc>
        <w:tc>
          <w:tcPr>
            <w:tcW w:w="1175" w:type="dxa"/>
            <w:tcBorders>
              <w:top w:val="nil"/>
              <w:left w:val="nil"/>
              <w:bottom w:val="single" w:sz="4" w:space="0" w:color="auto"/>
              <w:right w:val="single" w:sz="4" w:space="0" w:color="auto"/>
            </w:tcBorders>
            <w:noWrap/>
            <w:vAlign w:val="center"/>
            <w:hideMark/>
          </w:tcPr>
          <w:p w14:paraId="4C70EFE9"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90,750,946.81</w:t>
            </w:r>
          </w:p>
        </w:tc>
        <w:tc>
          <w:tcPr>
            <w:tcW w:w="1175" w:type="dxa"/>
            <w:tcBorders>
              <w:top w:val="nil"/>
              <w:left w:val="nil"/>
              <w:bottom w:val="single" w:sz="4" w:space="0" w:color="auto"/>
              <w:right w:val="single" w:sz="4" w:space="0" w:color="auto"/>
            </w:tcBorders>
            <w:noWrap/>
            <w:vAlign w:val="center"/>
            <w:hideMark/>
          </w:tcPr>
          <w:p w14:paraId="23B08D4C"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91,147,718.59</w:t>
            </w:r>
          </w:p>
        </w:tc>
        <w:tc>
          <w:tcPr>
            <w:tcW w:w="1175" w:type="dxa"/>
            <w:tcBorders>
              <w:top w:val="nil"/>
              <w:left w:val="nil"/>
              <w:bottom w:val="single" w:sz="4" w:space="0" w:color="auto"/>
              <w:right w:val="single" w:sz="4" w:space="0" w:color="auto"/>
            </w:tcBorders>
            <w:vAlign w:val="center"/>
            <w:hideMark/>
          </w:tcPr>
          <w:p w14:paraId="4729534F"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91,529,465.99</w:t>
            </w:r>
          </w:p>
        </w:tc>
        <w:tc>
          <w:tcPr>
            <w:tcW w:w="1175" w:type="dxa"/>
            <w:tcBorders>
              <w:top w:val="nil"/>
              <w:left w:val="nil"/>
              <w:bottom w:val="single" w:sz="4" w:space="0" w:color="auto"/>
              <w:right w:val="single" w:sz="4" w:space="0" w:color="auto"/>
            </w:tcBorders>
            <w:vAlign w:val="center"/>
            <w:hideMark/>
          </w:tcPr>
          <w:p w14:paraId="176DC81B"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91,514,696.20</w:t>
            </w:r>
          </w:p>
        </w:tc>
        <w:tc>
          <w:tcPr>
            <w:tcW w:w="1175" w:type="dxa"/>
            <w:tcBorders>
              <w:top w:val="nil"/>
              <w:left w:val="nil"/>
              <w:bottom w:val="single" w:sz="4" w:space="0" w:color="auto"/>
              <w:right w:val="single" w:sz="4" w:space="0" w:color="auto"/>
            </w:tcBorders>
            <w:vAlign w:val="center"/>
            <w:hideMark/>
          </w:tcPr>
          <w:p w14:paraId="69A27572"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91,514,696.20</w:t>
            </w:r>
          </w:p>
        </w:tc>
        <w:tc>
          <w:tcPr>
            <w:tcW w:w="1265" w:type="dxa"/>
            <w:tcBorders>
              <w:top w:val="nil"/>
              <w:left w:val="nil"/>
              <w:bottom w:val="single" w:sz="4" w:space="0" w:color="auto"/>
              <w:right w:val="single" w:sz="4" w:space="0" w:color="auto"/>
            </w:tcBorders>
            <w:vAlign w:val="center"/>
            <w:hideMark/>
          </w:tcPr>
          <w:p w14:paraId="188074C0"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166,129,950.45</w:t>
            </w:r>
          </w:p>
        </w:tc>
        <w:tc>
          <w:tcPr>
            <w:tcW w:w="1265" w:type="dxa"/>
            <w:tcBorders>
              <w:top w:val="nil"/>
              <w:left w:val="nil"/>
              <w:bottom w:val="single" w:sz="4" w:space="0" w:color="auto"/>
              <w:right w:val="single" w:sz="4" w:space="0" w:color="auto"/>
            </w:tcBorders>
            <w:vAlign w:val="center"/>
            <w:hideMark/>
          </w:tcPr>
          <w:p w14:paraId="130BB787"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166,339,023.99</w:t>
            </w:r>
          </w:p>
        </w:tc>
        <w:tc>
          <w:tcPr>
            <w:tcW w:w="1265" w:type="dxa"/>
            <w:tcBorders>
              <w:top w:val="nil"/>
              <w:left w:val="nil"/>
              <w:bottom w:val="single" w:sz="4" w:space="0" w:color="auto"/>
              <w:right w:val="single" w:sz="4" w:space="0" w:color="auto"/>
            </w:tcBorders>
            <w:vAlign w:val="center"/>
            <w:hideMark/>
          </w:tcPr>
          <w:p w14:paraId="438C7E59"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478,889,581.76</w:t>
            </w:r>
          </w:p>
        </w:tc>
        <w:tc>
          <w:tcPr>
            <w:tcW w:w="1400" w:type="dxa"/>
            <w:tcBorders>
              <w:top w:val="nil"/>
              <w:left w:val="nil"/>
              <w:bottom w:val="single" w:sz="4" w:space="0" w:color="auto"/>
              <w:right w:val="single" w:sz="4" w:space="0" w:color="auto"/>
            </w:tcBorders>
            <w:vAlign w:val="center"/>
            <w:hideMark/>
          </w:tcPr>
          <w:p w14:paraId="7FD80108" w14:textId="77777777" w:rsidR="009B37C0" w:rsidRPr="00991A8D" w:rsidRDefault="009B37C0" w:rsidP="009B37C0">
            <w:pPr>
              <w:spacing w:after="0" w:line="240" w:lineRule="auto"/>
              <w:jc w:val="center"/>
              <w:rPr>
                <w:rFonts w:eastAsia="Times New Roman"/>
                <w:spacing w:val="0"/>
                <w:sz w:val="16"/>
                <w:szCs w:val="16"/>
                <w:lang w:eastAsia="es-DO"/>
              </w:rPr>
            </w:pPr>
            <w:r w:rsidRPr="00991A8D">
              <w:rPr>
                <w:rFonts w:eastAsia="Times New Roman"/>
                <w:spacing w:val="0"/>
                <w:sz w:val="16"/>
                <w:szCs w:val="16"/>
                <w:lang w:eastAsia="es-DO"/>
              </w:rPr>
              <w:t>1,699,471,777.31</w:t>
            </w:r>
          </w:p>
        </w:tc>
      </w:tr>
    </w:tbl>
    <w:p w14:paraId="286765AA" w14:textId="2F5AFCF2" w:rsidR="00C84437" w:rsidRPr="0077472F" w:rsidRDefault="00C84437" w:rsidP="007511DD">
      <w:pPr>
        <w:jc w:val="center"/>
        <w:rPr>
          <w:i/>
          <w:iCs/>
          <w:sz w:val="18"/>
          <w:szCs w:val="18"/>
        </w:rPr>
      </w:pPr>
      <w:r w:rsidRPr="0077472F">
        <w:rPr>
          <w:i/>
          <w:iCs/>
          <w:sz w:val="18"/>
          <w:szCs w:val="18"/>
        </w:rPr>
        <w:t>Fuente. Sigef</w:t>
      </w:r>
    </w:p>
    <w:p w14:paraId="748300D8" w14:textId="77777777" w:rsidR="0004594D" w:rsidRPr="0077472F" w:rsidRDefault="0004594D" w:rsidP="0004594D">
      <w:pPr>
        <w:rPr>
          <w:i/>
          <w:iCs/>
        </w:rPr>
      </w:pPr>
    </w:p>
    <w:p w14:paraId="4F77F1D5" w14:textId="636A8096" w:rsidR="0004594D" w:rsidRPr="00991A8D" w:rsidRDefault="0004594D" w:rsidP="0004594D">
      <w:pPr>
        <w:tabs>
          <w:tab w:val="left" w:pos="2314"/>
        </w:tabs>
      </w:pPr>
    </w:p>
    <w:p w14:paraId="4BD1AB52" w14:textId="77777777" w:rsidR="007511DD" w:rsidRDefault="007511DD" w:rsidP="0004594D">
      <w:pPr>
        <w:jc w:val="both"/>
        <w:sectPr w:rsidR="007511DD" w:rsidSect="007511DD">
          <w:pgSz w:w="20163" w:h="12242" w:orient="landscape" w:code="5"/>
          <w:pgMar w:top="2160" w:right="1440" w:bottom="2160" w:left="1440" w:header="720" w:footer="720" w:gutter="0"/>
          <w:cols w:space="720"/>
          <w:docGrid w:linePitch="360"/>
        </w:sectPr>
      </w:pPr>
    </w:p>
    <w:p w14:paraId="7E8259B2" w14:textId="77777777" w:rsidR="007511DD" w:rsidRPr="00FA378C" w:rsidRDefault="007511DD" w:rsidP="007511DD">
      <w:pPr>
        <w:pStyle w:val="Ttulo2"/>
        <w:spacing w:line="360" w:lineRule="auto"/>
        <w:jc w:val="center"/>
        <w:rPr>
          <w:b/>
          <w:bCs/>
          <w:color w:val="767171"/>
          <w:szCs w:val="24"/>
        </w:rPr>
      </w:pPr>
      <w:bookmarkStart w:id="49" w:name="_Toc217997951"/>
      <w:r w:rsidRPr="00FA378C">
        <w:rPr>
          <w:b/>
          <w:bCs/>
          <w:color w:val="767171"/>
          <w:szCs w:val="24"/>
        </w:rPr>
        <w:lastRenderedPageBreak/>
        <w:t>b. Matriz de Gestión Presupuestaria Anual</w:t>
      </w:r>
      <w:bookmarkEnd w:id="49"/>
    </w:p>
    <w:p w14:paraId="4E9CE21E" w14:textId="60196FFE" w:rsidR="00DD7615" w:rsidRPr="00465A16" w:rsidRDefault="00DD7615" w:rsidP="0004594D">
      <w:pPr>
        <w:pStyle w:val="Ttulo2"/>
        <w:jc w:val="center"/>
        <w:rPr>
          <w:rFonts w:cs="Times New Roman"/>
          <w:b/>
          <w:bCs/>
          <w:color w:val="767171"/>
          <w:szCs w:val="24"/>
        </w:rPr>
      </w:pPr>
    </w:p>
    <w:tbl>
      <w:tblPr>
        <w:tblpPr w:leftFromText="141" w:rightFromText="141" w:vertAnchor="page" w:horzAnchor="margin" w:tblpXSpec="center" w:tblpY="3241"/>
        <w:tblW w:w="12864" w:type="dxa"/>
        <w:tblLayout w:type="fixed"/>
        <w:tblCellMar>
          <w:left w:w="70" w:type="dxa"/>
          <w:right w:w="70" w:type="dxa"/>
        </w:tblCellMar>
        <w:tblLook w:val="04A0" w:firstRow="1" w:lastRow="0" w:firstColumn="1" w:lastColumn="0" w:noHBand="0" w:noVBand="1"/>
      </w:tblPr>
      <w:tblGrid>
        <w:gridCol w:w="1555"/>
        <w:gridCol w:w="1984"/>
        <w:gridCol w:w="2410"/>
        <w:gridCol w:w="2268"/>
        <w:gridCol w:w="1523"/>
        <w:gridCol w:w="1350"/>
        <w:gridCol w:w="1774"/>
      </w:tblGrid>
      <w:tr w:rsidR="004913FE" w:rsidRPr="00465A16" w14:paraId="7D4C0579" w14:textId="77777777" w:rsidTr="00EF300A">
        <w:trPr>
          <w:trHeight w:val="1269"/>
        </w:trPr>
        <w:tc>
          <w:tcPr>
            <w:tcW w:w="1555"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7F8BBB6" w14:textId="081F19B5" w:rsidR="004913FE" w:rsidRPr="00465A16" w:rsidRDefault="004913FE" w:rsidP="004913FE">
            <w:pPr>
              <w:spacing w:after="0" w:line="240" w:lineRule="auto"/>
              <w:jc w:val="center"/>
              <w:rPr>
                <w:rFonts w:eastAsia="Times New Roman"/>
                <w:b/>
                <w:bCs/>
                <w:color w:val="FFFFFF"/>
                <w:spacing w:val="0"/>
                <w:lang w:eastAsia="es-DO"/>
              </w:rPr>
            </w:pPr>
            <w:r w:rsidRPr="00465A16">
              <w:rPr>
                <w:b/>
                <w:bCs/>
                <w:color w:val="FFFFFF"/>
              </w:rPr>
              <w:t>Código Programa / Subprograma</w:t>
            </w:r>
          </w:p>
        </w:tc>
        <w:tc>
          <w:tcPr>
            <w:tcW w:w="1984" w:type="dxa"/>
            <w:tcBorders>
              <w:top w:val="single" w:sz="4" w:space="0" w:color="auto"/>
              <w:left w:val="nil"/>
              <w:bottom w:val="single" w:sz="4" w:space="0" w:color="auto"/>
              <w:right w:val="single" w:sz="4" w:space="0" w:color="auto"/>
            </w:tcBorders>
            <w:shd w:val="clear" w:color="auto" w:fill="011C50"/>
            <w:vAlign w:val="center"/>
            <w:hideMark/>
          </w:tcPr>
          <w:p w14:paraId="4C462030" w14:textId="5F010E21" w:rsidR="004913FE" w:rsidRPr="00465A16" w:rsidRDefault="004913FE" w:rsidP="004913FE">
            <w:pPr>
              <w:spacing w:after="0" w:line="240" w:lineRule="auto"/>
              <w:jc w:val="center"/>
              <w:rPr>
                <w:rFonts w:eastAsia="Times New Roman"/>
                <w:b/>
                <w:bCs/>
                <w:color w:val="FFFFFF"/>
                <w:spacing w:val="0"/>
                <w:lang w:eastAsia="es-DO"/>
              </w:rPr>
            </w:pPr>
            <w:r w:rsidRPr="00465A16">
              <w:rPr>
                <w:b/>
                <w:bCs/>
                <w:color w:val="FFFFFF"/>
              </w:rPr>
              <w:t>Nombre del Programa</w:t>
            </w:r>
          </w:p>
        </w:tc>
        <w:tc>
          <w:tcPr>
            <w:tcW w:w="2410" w:type="dxa"/>
            <w:tcBorders>
              <w:top w:val="single" w:sz="4" w:space="0" w:color="auto"/>
              <w:left w:val="nil"/>
              <w:bottom w:val="single" w:sz="4" w:space="0" w:color="auto"/>
              <w:right w:val="single" w:sz="4" w:space="0" w:color="auto"/>
            </w:tcBorders>
            <w:shd w:val="clear" w:color="auto" w:fill="011C50"/>
            <w:vAlign w:val="center"/>
            <w:hideMark/>
          </w:tcPr>
          <w:p w14:paraId="394DC0EE" w14:textId="68E9116A" w:rsidR="004913FE" w:rsidRPr="00465A16" w:rsidRDefault="004913FE" w:rsidP="004913FE">
            <w:pPr>
              <w:spacing w:after="0" w:line="240" w:lineRule="auto"/>
              <w:jc w:val="center"/>
              <w:rPr>
                <w:rFonts w:eastAsia="Times New Roman"/>
                <w:b/>
                <w:bCs/>
                <w:color w:val="FFFFFF"/>
                <w:spacing w:val="0"/>
                <w:lang w:eastAsia="es-DO"/>
              </w:rPr>
            </w:pPr>
            <w:r w:rsidRPr="00465A16">
              <w:rPr>
                <w:b/>
                <w:bCs/>
                <w:color w:val="FFFFFF"/>
              </w:rPr>
              <w:t>Asignación presupuestaria  (RD$)</w:t>
            </w:r>
          </w:p>
        </w:tc>
        <w:tc>
          <w:tcPr>
            <w:tcW w:w="2268" w:type="dxa"/>
            <w:tcBorders>
              <w:top w:val="single" w:sz="4" w:space="0" w:color="auto"/>
              <w:left w:val="nil"/>
              <w:bottom w:val="single" w:sz="4" w:space="0" w:color="auto"/>
              <w:right w:val="single" w:sz="4" w:space="0" w:color="auto"/>
            </w:tcBorders>
            <w:shd w:val="clear" w:color="auto" w:fill="011C50"/>
            <w:vAlign w:val="center"/>
            <w:hideMark/>
          </w:tcPr>
          <w:p w14:paraId="5AFD4A79" w14:textId="77777777" w:rsidR="004913FE" w:rsidRPr="00465A16" w:rsidRDefault="004913FE" w:rsidP="004913FE">
            <w:pPr>
              <w:pStyle w:val="xxmsonormal"/>
              <w:jc w:val="center"/>
              <w:rPr>
                <w:rFonts w:ascii="Times New Roman" w:hAnsi="Times New Roman" w:cs="Times New Roman"/>
                <w:b/>
                <w:bCs/>
                <w:color w:val="FFFFFF"/>
                <w:sz w:val="24"/>
                <w:szCs w:val="24"/>
              </w:rPr>
            </w:pPr>
            <w:r w:rsidRPr="00465A16">
              <w:rPr>
                <w:rFonts w:ascii="Times New Roman" w:hAnsi="Times New Roman" w:cs="Times New Roman"/>
                <w:b/>
                <w:bCs/>
                <w:color w:val="FFFFFF"/>
                <w:sz w:val="24"/>
                <w:szCs w:val="24"/>
              </w:rPr>
              <w:t>Ejecución</w:t>
            </w:r>
          </w:p>
          <w:p w14:paraId="76EF4F16" w14:textId="421EE98F" w:rsidR="004913FE" w:rsidRPr="00465A16" w:rsidRDefault="004913FE" w:rsidP="004913FE">
            <w:pPr>
              <w:spacing w:after="0" w:line="240" w:lineRule="auto"/>
              <w:jc w:val="center"/>
              <w:rPr>
                <w:rFonts w:eastAsia="Times New Roman"/>
                <w:b/>
                <w:bCs/>
                <w:color w:val="FFFFFF"/>
                <w:spacing w:val="0"/>
                <w:lang w:eastAsia="es-DO"/>
              </w:rPr>
            </w:pPr>
            <w:r w:rsidRPr="00465A16">
              <w:rPr>
                <w:b/>
                <w:bCs/>
                <w:color w:val="FFFFFF"/>
              </w:rPr>
              <w:t>(RD$)</w:t>
            </w:r>
          </w:p>
        </w:tc>
        <w:tc>
          <w:tcPr>
            <w:tcW w:w="1523" w:type="dxa"/>
            <w:tcBorders>
              <w:top w:val="single" w:sz="4" w:space="0" w:color="auto"/>
              <w:left w:val="nil"/>
              <w:bottom w:val="single" w:sz="4" w:space="0" w:color="auto"/>
              <w:right w:val="single" w:sz="4" w:space="0" w:color="auto"/>
            </w:tcBorders>
            <w:shd w:val="clear" w:color="auto" w:fill="011C50"/>
            <w:vAlign w:val="center"/>
            <w:hideMark/>
          </w:tcPr>
          <w:p w14:paraId="55B9FD05" w14:textId="22333EE2" w:rsidR="004913FE" w:rsidRPr="00465A16" w:rsidRDefault="004913FE" w:rsidP="004913FE">
            <w:pPr>
              <w:spacing w:after="0" w:line="240" w:lineRule="auto"/>
              <w:jc w:val="center"/>
              <w:rPr>
                <w:rFonts w:eastAsia="Times New Roman"/>
                <w:b/>
                <w:bCs/>
                <w:color w:val="FFFFFF"/>
                <w:spacing w:val="0"/>
                <w:lang w:eastAsia="es-DO"/>
              </w:rPr>
            </w:pPr>
            <w:r w:rsidRPr="00465A16">
              <w:rPr>
                <w:b/>
                <w:bCs/>
                <w:color w:val="FFFFFF"/>
              </w:rPr>
              <w:t>Cantidad de Productos Generados por Programa</w:t>
            </w:r>
          </w:p>
        </w:tc>
        <w:tc>
          <w:tcPr>
            <w:tcW w:w="1350" w:type="dxa"/>
            <w:tcBorders>
              <w:top w:val="single" w:sz="4" w:space="0" w:color="auto"/>
              <w:left w:val="nil"/>
              <w:bottom w:val="single" w:sz="4" w:space="0" w:color="auto"/>
              <w:right w:val="single" w:sz="4" w:space="0" w:color="auto"/>
            </w:tcBorders>
            <w:shd w:val="clear" w:color="auto" w:fill="011C50"/>
            <w:vAlign w:val="center"/>
            <w:hideMark/>
          </w:tcPr>
          <w:p w14:paraId="5B2C96BC" w14:textId="56E88B2D" w:rsidR="004913FE" w:rsidRPr="00465A16" w:rsidRDefault="004913FE" w:rsidP="004913FE">
            <w:pPr>
              <w:spacing w:after="0" w:line="240" w:lineRule="auto"/>
              <w:jc w:val="center"/>
              <w:rPr>
                <w:rFonts w:eastAsia="Times New Roman"/>
                <w:b/>
                <w:bCs/>
                <w:color w:val="FFFFFF"/>
                <w:spacing w:val="0"/>
                <w:lang w:eastAsia="es-DO"/>
              </w:rPr>
            </w:pPr>
            <w:r w:rsidRPr="00465A16">
              <w:rPr>
                <w:b/>
                <w:bCs/>
                <w:color w:val="FFFFFF"/>
              </w:rPr>
              <w:t>Índice de Ejecución %</w:t>
            </w:r>
          </w:p>
        </w:tc>
        <w:tc>
          <w:tcPr>
            <w:tcW w:w="1774" w:type="dxa"/>
            <w:tcBorders>
              <w:top w:val="single" w:sz="4" w:space="0" w:color="auto"/>
              <w:left w:val="nil"/>
              <w:bottom w:val="single" w:sz="4" w:space="0" w:color="auto"/>
              <w:right w:val="single" w:sz="4" w:space="0" w:color="auto"/>
            </w:tcBorders>
            <w:shd w:val="clear" w:color="auto" w:fill="011C50"/>
            <w:vAlign w:val="center"/>
            <w:hideMark/>
          </w:tcPr>
          <w:p w14:paraId="589F960B" w14:textId="7BC2496A" w:rsidR="004913FE" w:rsidRPr="00465A16" w:rsidRDefault="004913FE" w:rsidP="004913FE">
            <w:pPr>
              <w:spacing w:after="0" w:line="240" w:lineRule="auto"/>
              <w:jc w:val="center"/>
              <w:rPr>
                <w:rFonts w:eastAsia="Times New Roman"/>
                <w:b/>
                <w:bCs/>
                <w:color w:val="FFFFFF"/>
                <w:spacing w:val="0"/>
                <w:lang w:eastAsia="es-DO"/>
              </w:rPr>
            </w:pPr>
            <w:r w:rsidRPr="00465A16">
              <w:rPr>
                <w:b/>
                <w:bCs/>
                <w:color w:val="FFFFFF"/>
              </w:rPr>
              <w:t>Participación ejecución por programa (%)</w:t>
            </w:r>
          </w:p>
        </w:tc>
      </w:tr>
      <w:tr w:rsidR="004913FE" w:rsidRPr="00465A16" w14:paraId="376B8764" w14:textId="77777777" w:rsidTr="00EF300A">
        <w:trPr>
          <w:trHeight w:val="722"/>
        </w:trPr>
        <w:tc>
          <w:tcPr>
            <w:tcW w:w="1555" w:type="dxa"/>
            <w:tcBorders>
              <w:top w:val="nil"/>
              <w:left w:val="single" w:sz="4" w:space="0" w:color="auto"/>
              <w:bottom w:val="single" w:sz="4" w:space="0" w:color="auto"/>
              <w:right w:val="single" w:sz="4" w:space="0" w:color="auto"/>
            </w:tcBorders>
            <w:noWrap/>
            <w:vAlign w:val="center"/>
            <w:hideMark/>
          </w:tcPr>
          <w:p w14:paraId="687AFF38" w14:textId="4F764779" w:rsidR="004913FE" w:rsidRPr="00991A8D" w:rsidRDefault="004913FE" w:rsidP="004913FE">
            <w:pPr>
              <w:spacing w:after="0" w:line="240" w:lineRule="auto"/>
              <w:jc w:val="center"/>
              <w:rPr>
                <w:rFonts w:eastAsia="Times New Roman"/>
                <w:spacing w:val="0"/>
                <w:lang w:eastAsia="es-DO"/>
              </w:rPr>
            </w:pPr>
            <w:r w:rsidRPr="00991A8D">
              <w:rPr>
                <w:rFonts w:eastAsia="Times New Roman"/>
              </w:rPr>
              <w:t>11</w:t>
            </w:r>
          </w:p>
        </w:tc>
        <w:tc>
          <w:tcPr>
            <w:tcW w:w="1984" w:type="dxa"/>
            <w:tcBorders>
              <w:top w:val="nil"/>
              <w:left w:val="nil"/>
              <w:bottom w:val="single" w:sz="4" w:space="0" w:color="auto"/>
              <w:right w:val="single" w:sz="4" w:space="0" w:color="auto"/>
            </w:tcBorders>
            <w:vAlign w:val="center"/>
            <w:hideMark/>
          </w:tcPr>
          <w:p w14:paraId="519E08BF" w14:textId="417269B1" w:rsidR="004913FE" w:rsidRPr="00991A8D" w:rsidRDefault="004913FE" w:rsidP="004913FE">
            <w:pPr>
              <w:spacing w:after="0" w:line="240" w:lineRule="auto"/>
              <w:rPr>
                <w:rFonts w:eastAsia="Times New Roman"/>
                <w:spacing w:val="0"/>
                <w:lang w:eastAsia="es-DO"/>
              </w:rPr>
            </w:pPr>
            <w:r w:rsidRPr="00991A8D">
              <w:rPr>
                <w:rFonts w:eastAsia="Times New Roman"/>
              </w:rPr>
              <w:t>Control fiscal</w:t>
            </w:r>
          </w:p>
        </w:tc>
        <w:tc>
          <w:tcPr>
            <w:tcW w:w="2410" w:type="dxa"/>
            <w:tcBorders>
              <w:top w:val="nil"/>
              <w:left w:val="nil"/>
              <w:bottom w:val="single" w:sz="4" w:space="0" w:color="auto"/>
              <w:right w:val="single" w:sz="4" w:space="0" w:color="auto"/>
            </w:tcBorders>
            <w:noWrap/>
            <w:vAlign w:val="center"/>
            <w:hideMark/>
          </w:tcPr>
          <w:p w14:paraId="36C25576" w14:textId="002D9C72" w:rsidR="004913FE" w:rsidRPr="00991A8D" w:rsidRDefault="004913FE" w:rsidP="004913FE">
            <w:pPr>
              <w:spacing w:after="0" w:line="240" w:lineRule="auto"/>
              <w:jc w:val="right"/>
              <w:rPr>
                <w:rFonts w:eastAsia="Times New Roman"/>
                <w:spacing w:val="0"/>
                <w:lang w:eastAsia="es-DO"/>
              </w:rPr>
            </w:pPr>
            <w:r w:rsidRPr="00991A8D">
              <w:rPr>
                <w:rFonts w:eastAsia="Times New Roman"/>
              </w:rPr>
              <w:t>3,062,529,828.58</w:t>
            </w:r>
          </w:p>
        </w:tc>
        <w:tc>
          <w:tcPr>
            <w:tcW w:w="2268" w:type="dxa"/>
            <w:tcBorders>
              <w:top w:val="nil"/>
              <w:left w:val="nil"/>
              <w:bottom w:val="single" w:sz="4" w:space="0" w:color="auto"/>
              <w:right w:val="single" w:sz="4" w:space="0" w:color="auto"/>
            </w:tcBorders>
            <w:noWrap/>
            <w:vAlign w:val="center"/>
            <w:hideMark/>
          </w:tcPr>
          <w:p w14:paraId="5855740C" w14:textId="15AED4DD" w:rsidR="004913FE" w:rsidRPr="00991A8D" w:rsidRDefault="004913FE" w:rsidP="004913FE">
            <w:pPr>
              <w:spacing w:after="0" w:line="240" w:lineRule="auto"/>
              <w:jc w:val="right"/>
              <w:rPr>
                <w:rFonts w:eastAsia="Times New Roman"/>
                <w:spacing w:val="0"/>
                <w:lang w:eastAsia="es-DO"/>
              </w:rPr>
            </w:pPr>
            <w:r w:rsidRPr="00991A8D">
              <w:rPr>
                <w:rFonts w:eastAsia="Times New Roman"/>
              </w:rPr>
              <w:t>2,348,559,111.92</w:t>
            </w:r>
          </w:p>
        </w:tc>
        <w:tc>
          <w:tcPr>
            <w:tcW w:w="1523" w:type="dxa"/>
            <w:tcBorders>
              <w:top w:val="nil"/>
              <w:left w:val="nil"/>
              <w:bottom w:val="single" w:sz="4" w:space="0" w:color="auto"/>
              <w:right w:val="single" w:sz="4" w:space="0" w:color="auto"/>
            </w:tcBorders>
            <w:noWrap/>
            <w:vAlign w:val="center"/>
            <w:hideMark/>
          </w:tcPr>
          <w:p w14:paraId="6151C494" w14:textId="109CBD7A" w:rsidR="004913FE" w:rsidRPr="00991A8D" w:rsidRDefault="004913FE" w:rsidP="004913FE">
            <w:pPr>
              <w:spacing w:after="0" w:line="240" w:lineRule="auto"/>
              <w:jc w:val="center"/>
              <w:rPr>
                <w:rFonts w:eastAsia="Times New Roman"/>
                <w:spacing w:val="0"/>
                <w:lang w:eastAsia="es-DO"/>
              </w:rPr>
            </w:pPr>
            <w:r w:rsidRPr="00991A8D">
              <w:rPr>
                <w:rFonts w:eastAsia="Times New Roman"/>
              </w:rPr>
              <w:t>5</w:t>
            </w:r>
          </w:p>
        </w:tc>
        <w:tc>
          <w:tcPr>
            <w:tcW w:w="1350" w:type="dxa"/>
            <w:tcBorders>
              <w:top w:val="nil"/>
              <w:left w:val="nil"/>
              <w:bottom w:val="single" w:sz="4" w:space="0" w:color="auto"/>
              <w:right w:val="single" w:sz="4" w:space="0" w:color="auto"/>
            </w:tcBorders>
            <w:noWrap/>
            <w:vAlign w:val="center"/>
            <w:hideMark/>
          </w:tcPr>
          <w:p w14:paraId="18EF41E7" w14:textId="52D80856" w:rsidR="004913FE" w:rsidRPr="00991A8D" w:rsidRDefault="004913FE" w:rsidP="004913FE">
            <w:pPr>
              <w:spacing w:after="0" w:line="240" w:lineRule="auto"/>
              <w:jc w:val="right"/>
              <w:rPr>
                <w:rFonts w:eastAsia="Times New Roman"/>
                <w:spacing w:val="0"/>
                <w:lang w:eastAsia="es-DO"/>
              </w:rPr>
            </w:pPr>
            <w:r w:rsidRPr="00991A8D">
              <w:rPr>
                <w:rFonts w:eastAsia="Times New Roman"/>
              </w:rPr>
              <w:t>75.73%</w:t>
            </w:r>
          </w:p>
        </w:tc>
        <w:tc>
          <w:tcPr>
            <w:tcW w:w="1774" w:type="dxa"/>
            <w:tcBorders>
              <w:top w:val="nil"/>
              <w:left w:val="nil"/>
              <w:bottom w:val="single" w:sz="4" w:space="0" w:color="auto"/>
              <w:right w:val="single" w:sz="4" w:space="0" w:color="auto"/>
            </w:tcBorders>
            <w:noWrap/>
            <w:vAlign w:val="center"/>
            <w:hideMark/>
          </w:tcPr>
          <w:p w14:paraId="2DBFF01E" w14:textId="457CB9A1" w:rsidR="004913FE" w:rsidRPr="00991A8D" w:rsidRDefault="004913FE" w:rsidP="004913FE">
            <w:pPr>
              <w:spacing w:after="0" w:line="240" w:lineRule="auto"/>
              <w:jc w:val="right"/>
              <w:rPr>
                <w:rFonts w:eastAsia="Times New Roman"/>
                <w:spacing w:val="0"/>
                <w:lang w:eastAsia="es-DO"/>
              </w:rPr>
            </w:pPr>
            <w:r w:rsidRPr="00991A8D">
              <w:rPr>
                <w:rFonts w:eastAsia="Times New Roman"/>
                <w:b/>
                <w:bCs/>
              </w:rPr>
              <w:t>99.95%</w:t>
            </w:r>
          </w:p>
        </w:tc>
      </w:tr>
      <w:tr w:rsidR="004913FE" w:rsidRPr="00465A16" w14:paraId="3A3AF2DF" w14:textId="77777777" w:rsidTr="00EF300A">
        <w:trPr>
          <w:trHeight w:val="988"/>
        </w:trPr>
        <w:tc>
          <w:tcPr>
            <w:tcW w:w="1555" w:type="dxa"/>
            <w:tcBorders>
              <w:top w:val="nil"/>
              <w:left w:val="single" w:sz="4" w:space="0" w:color="auto"/>
              <w:bottom w:val="single" w:sz="4" w:space="0" w:color="auto"/>
              <w:right w:val="single" w:sz="4" w:space="0" w:color="auto"/>
            </w:tcBorders>
            <w:noWrap/>
            <w:vAlign w:val="center"/>
            <w:hideMark/>
          </w:tcPr>
          <w:p w14:paraId="3335CEA9" w14:textId="2159E1D7" w:rsidR="004913FE" w:rsidRPr="00991A8D" w:rsidRDefault="004913FE" w:rsidP="004913FE">
            <w:pPr>
              <w:spacing w:after="0" w:line="240" w:lineRule="auto"/>
              <w:jc w:val="center"/>
              <w:rPr>
                <w:rFonts w:eastAsia="Times New Roman"/>
                <w:spacing w:val="0"/>
                <w:lang w:eastAsia="es-DO"/>
              </w:rPr>
            </w:pPr>
            <w:r w:rsidRPr="00991A8D">
              <w:rPr>
                <w:rFonts w:eastAsia="Times New Roman"/>
              </w:rPr>
              <w:t>98</w:t>
            </w:r>
          </w:p>
        </w:tc>
        <w:tc>
          <w:tcPr>
            <w:tcW w:w="1984" w:type="dxa"/>
            <w:tcBorders>
              <w:top w:val="nil"/>
              <w:left w:val="nil"/>
              <w:bottom w:val="single" w:sz="4" w:space="0" w:color="auto"/>
              <w:right w:val="single" w:sz="4" w:space="0" w:color="auto"/>
            </w:tcBorders>
            <w:vAlign w:val="center"/>
            <w:hideMark/>
          </w:tcPr>
          <w:p w14:paraId="3246003D" w14:textId="14632FFC" w:rsidR="004913FE" w:rsidRPr="00991A8D" w:rsidRDefault="004913FE" w:rsidP="004913FE">
            <w:pPr>
              <w:spacing w:after="0" w:line="240" w:lineRule="auto"/>
              <w:rPr>
                <w:rFonts w:eastAsia="Times New Roman"/>
                <w:spacing w:val="0"/>
                <w:lang w:eastAsia="es-DO"/>
              </w:rPr>
            </w:pPr>
            <w:r w:rsidRPr="00991A8D">
              <w:rPr>
                <w:rFonts w:eastAsia="Times New Roman"/>
              </w:rPr>
              <w:t>Administración de contribuciones especiales</w:t>
            </w:r>
          </w:p>
        </w:tc>
        <w:tc>
          <w:tcPr>
            <w:tcW w:w="2410" w:type="dxa"/>
            <w:tcBorders>
              <w:top w:val="nil"/>
              <w:left w:val="nil"/>
              <w:bottom w:val="single" w:sz="4" w:space="0" w:color="auto"/>
              <w:right w:val="single" w:sz="4" w:space="0" w:color="auto"/>
            </w:tcBorders>
            <w:noWrap/>
            <w:vAlign w:val="center"/>
            <w:hideMark/>
          </w:tcPr>
          <w:p w14:paraId="4283EBA4" w14:textId="4A4EAF6F" w:rsidR="004913FE" w:rsidRPr="00991A8D" w:rsidRDefault="004913FE" w:rsidP="004913FE">
            <w:pPr>
              <w:spacing w:after="0" w:line="240" w:lineRule="auto"/>
              <w:jc w:val="right"/>
              <w:rPr>
                <w:rFonts w:eastAsia="Times New Roman"/>
                <w:spacing w:val="0"/>
                <w:lang w:eastAsia="es-DO"/>
              </w:rPr>
            </w:pPr>
            <w:r w:rsidRPr="00991A8D">
              <w:rPr>
                <w:rFonts w:eastAsia="Times New Roman"/>
              </w:rPr>
              <w:t>290,000.00</w:t>
            </w:r>
          </w:p>
        </w:tc>
        <w:tc>
          <w:tcPr>
            <w:tcW w:w="2268" w:type="dxa"/>
            <w:tcBorders>
              <w:top w:val="nil"/>
              <w:left w:val="nil"/>
              <w:bottom w:val="single" w:sz="4" w:space="0" w:color="auto"/>
              <w:right w:val="single" w:sz="4" w:space="0" w:color="auto"/>
            </w:tcBorders>
            <w:noWrap/>
            <w:vAlign w:val="center"/>
            <w:hideMark/>
          </w:tcPr>
          <w:p w14:paraId="59F3D75B" w14:textId="53C16039" w:rsidR="004913FE" w:rsidRPr="00991A8D" w:rsidRDefault="004913FE" w:rsidP="004913FE">
            <w:pPr>
              <w:spacing w:after="0" w:line="240" w:lineRule="auto"/>
              <w:jc w:val="right"/>
              <w:rPr>
                <w:rFonts w:eastAsia="Times New Roman"/>
                <w:spacing w:val="0"/>
                <w:lang w:eastAsia="es-DO"/>
              </w:rPr>
            </w:pPr>
            <w:r w:rsidRPr="00991A8D">
              <w:rPr>
                <w:rFonts w:eastAsia="Times New Roman"/>
              </w:rPr>
              <w:t>176,110.48</w:t>
            </w:r>
          </w:p>
        </w:tc>
        <w:tc>
          <w:tcPr>
            <w:tcW w:w="1523" w:type="dxa"/>
            <w:tcBorders>
              <w:top w:val="nil"/>
              <w:left w:val="nil"/>
              <w:bottom w:val="single" w:sz="4" w:space="0" w:color="auto"/>
              <w:right w:val="single" w:sz="4" w:space="0" w:color="auto"/>
            </w:tcBorders>
            <w:noWrap/>
            <w:vAlign w:val="center"/>
            <w:hideMark/>
          </w:tcPr>
          <w:p w14:paraId="7A99A3A8" w14:textId="4875DDDF" w:rsidR="004913FE" w:rsidRPr="00991A8D" w:rsidRDefault="004913FE" w:rsidP="004913FE">
            <w:pPr>
              <w:spacing w:after="0" w:line="240" w:lineRule="auto"/>
              <w:jc w:val="center"/>
              <w:rPr>
                <w:rFonts w:eastAsia="Times New Roman"/>
                <w:spacing w:val="0"/>
                <w:lang w:eastAsia="es-DO"/>
              </w:rPr>
            </w:pPr>
            <w:r w:rsidRPr="00991A8D">
              <w:rPr>
                <w:rFonts w:eastAsia="Times New Roman"/>
              </w:rPr>
              <w:t>1</w:t>
            </w:r>
          </w:p>
        </w:tc>
        <w:tc>
          <w:tcPr>
            <w:tcW w:w="1350" w:type="dxa"/>
            <w:tcBorders>
              <w:top w:val="nil"/>
              <w:left w:val="nil"/>
              <w:bottom w:val="single" w:sz="4" w:space="0" w:color="auto"/>
              <w:right w:val="single" w:sz="4" w:space="0" w:color="auto"/>
            </w:tcBorders>
            <w:noWrap/>
            <w:vAlign w:val="center"/>
            <w:hideMark/>
          </w:tcPr>
          <w:p w14:paraId="73286FEB" w14:textId="25ECE8AE" w:rsidR="004913FE" w:rsidRPr="00991A8D" w:rsidRDefault="004913FE" w:rsidP="004913FE">
            <w:pPr>
              <w:spacing w:after="0" w:line="240" w:lineRule="auto"/>
              <w:jc w:val="right"/>
              <w:rPr>
                <w:rFonts w:eastAsia="Times New Roman"/>
                <w:spacing w:val="0"/>
                <w:lang w:eastAsia="es-DO"/>
              </w:rPr>
            </w:pPr>
            <w:r w:rsidRPr="00991A8D">
              <w:rPr>
                <w:rFonts w:eastAsia="Times New Roman"/>
              </w:rPr>
              <w:t>0.0.01%</w:t>
            </w:r>
          </w:p>
        </w:tc>
        <w:tc>
          <w:tcPr>
            <w:tcW w:w="1774" w:type="dxa"/>
            <w:tcBorders>
              <w:top w:val="nil"/>
              <w:left w:val="nil"/>
              <w:bottom w:val="single" w:sz="4" w:space="0" w:color="auto"/>
              <w:right w:val="single" w:sz="4" w:space="0" w:color="auto"/>
            </w:tcBorders>
            <w:noWrap/>
            <w:vAlign w:val="center"/>
            <w:hideMark/>
          </w:tcPr>
          <w:p w14:paraId="715A8F5E" w14:textId="0019458B" w:rsidR="004913FE" w:rsidRPr="00991A8D" w:rsidRDefault="004913FE" w:rsidP="004913FE">
            <w:pPr>
              <w:spacing w:after="0" w:line="240" w:lineRule="auto"/>
              <w:jc w:val="right"/>
              <w:rPr>
                <w:rFonts w:eastAsia="Times New Roman"/>
                <w:spacing w:val="0"/>
                <w:lang w:eastAsia="es-DO"/>
              </w:rPr>
            </w:pPr>
            <w:r w:rsidRPr="00991A8D">
              <w:rPr>
                <w:rFonts w:eastAsia="Times New Roman"/>
                <w:b/>
                <w:bCs/>
              </w:rPr>
              <w:t>0.05%</w:t>
            </w:r>
          </w:p>
        </w:tc>
      </w:tr>
      <w:tr w:rsidR="005C2300" w:rsidRPr="00465A16" w14:paraId="68EAC100" w14:textId="77777777" w:rsidTr="00EF300A">
        <w:trPr>
          <w:trHeight w:val="381"/>
        </w:trPr>
        <w:tc>
          <w:tcPr>
            <w:tcW w:w="3539" w:type="dxa"/>
            <w:gridSpan w:val="2"/>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02843A3E" w14:textId="77777777" w:rsidR="001501D7" w:rsidRPr="00465A16" w:rsidRDefault="001501D7" w:rsidP="001501D7">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 xml:space="preserve">Totales                  </w:t>
            </w:r>
          </w:p>
        </w:tc>
        <w:tc>
          <w:tcPr>
            <w:tcW w:w="2410" w:type="dxa"/>
            <w:tcBorders>
              <w:top w:val="nil"/>
              <w:left w:val="nil"/>
              <w:bottom w:val="single" w:sz="4" w:space="0" w:color="auto"/>
              <w:right w:val="single" w:sz="4" w:space="0" w:color="auto"/>
            </w:tcBorders>
            <w:shd w:val="clear" w:color="auto" w:fill="011C50"/>
            <w:noWrap/>
            <w:vAlign w:val="center"/>
            <w:hideMark/>
          </w:tcPr>
          <w:p w14:paraId="25BB1F36" w14:textId="77777777" w:rsidR="001501D7" w:rsidRPr="00465A16" w:rsidRDefault="001501D7" w:rsidP="001501D7">
            <w:pPr>
              <w:spacing w:after="0" w:line="240" w:lineRule="auto"/>
              <w:jc w:val="right"/>
              <w:rPr>
                <w:rFonts w:eastAsia="Times New Roman"/>
                <w:b/>
                <w:bCs/>
                <w:color w:val="FFFFFF"/>
                <w:spacing w:val="0"/>
                <w:lang w:eastAsia="es-DO"/>
              </w:rPr>
            </w:pPr>
            <w:r w:rsidRPr="00465A16">
              <w:rPr>
                <w:rFonts w:eastAsia="Times New Roman"/>
                <w:b/>
                <w:bCs/>
                <w:color w:val="FFFFFF"/>
                <w:spacing w:val="0"/>
                <w:lang w:eastAsia="es-DO"/>
              </w:rPr>
              <w:t>2,981,653,805.60</w:t>
            </w:r>
          </w:p>
        </w:tc>
        <w:tc>
          <w:tcPr>
            <w:tcW w:w="2268" w:type="dxa"/>
            <w:tcBorders>
              <w:top w:val="nil"/>
              <w:left w:val="nil"/>
              <w:bottom w:val="single" w:sz="4" w:space="0" w:color="auto"/>
              <w:right w:val="single" w:sz="4" w:space="0" w:color="auto"/>
            </w:tcBorders>
            <w:shd w:val="clear" w:color="auto" w:fill="011C50"/>
            <w:noWrap/>
            <w:vAlign w:val="center"/>
            <w:hideMark/>
          </w:tcPr>
          <w:p w14:paraId="16A9276D" w14:textId="77777777" w:rsidR="001501D7" w:rsidRPr="00465A16" w:rsidRDefault="001501D7" w:rsidP="001501D7">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1,923,638,353.01</w:t>
            </w:r>
          </w:p>
        </w:tc>
        <w:tc>
          <w:tcPr>
            <w:tcW w:w="1523" w:type="dxa"/>
            <w:tcBorders>
              <w:top w:val="nil"/>
              <w:left w:val="nil"/>
              <w:bottom w:val="single" w:sz="4" w:space="0" w:color="auto"/>
              <w:right w:val="single" w:sz="4" w:space="0" w:color="auto"/>
            </w:tcBorders>
            <w:shd w:val="clear" w:color="auto" w:fill="011C50"/>
            <w:noWrap/>
            <w:vAlign w:val="center"/>
            <w:hideMark/>
          </w:tcPr>
          <w:p w14:paraId="725A2BAE" w14:textId="77777777" w:rsidR="001501D7" w:rsidRPr="00465A16" w:rsidRDefault="001501D7" w:rsidP="001501D7">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6</w:t>
            </w:r>
          </w:p>
        </w:tc>
        <w:tc>
          <w:tcPr>
            <w:tcW w:w="1350" w:type="dxa"/>
            <w:tcBorders>
              <w:top w:val="nil"/>
              <w:left w:val="nil"/>
              <w:bottom w:val="single" w:sz="4" w:space="0" w:color="auto"/>
              <w:right w:val="single" w:sz="4" w:space="0" w:color="auto"/>
            </w:tcBorders>
            <w:shd w:val="clear" w:color="auto" w:fill="011C50"/>
            <w:noWrap/>
            <w:vAlign w:val="center"/>
            <w:hideMark/>
          </w:tcPr>
          <w:p w14:paraId="084A9D10" w14:textId="77777777" w:rsidR="001501D7" w:rsidRPr="00465A16" w:rsidRDefault="001501D7" w:rsidP="001501D7">
            <w:pPr>
              <w:spacing w:after="0" w:line="240" w:lineRule="auto"/>
              <w:rPr>
                <w:rFonts w:eastAsia="Times New Roman"/>
                <w:b/>
                <w:bCs/>
                <w:color w:val="FFFFFF"/>
                <w:spacing w:val="0"/>
                <w:lang w:eastAsia="es-DO"/>
              </w:rPr>
            </w:pPr>
            <w:r w:rsidRPr="00465A16">
              <w:rPr>
                <w:rFonts w:eastAsia="Times New Roman"/>
                <w:b/>
                <w:bCs/>
                <w:color w:val="FFFFFF"/>
                <w:spacing w:val="0"/>
                <w:lang w:eastAsia="es-DO"/>
              </w:rPr>
              <w:t> </w:t>
            </w:r>
          </w:p>
        </w:tc>
        <w:tc>
          <w:tcPr>
            <w:tcW w:w="1774" w:type="dxa"/>
            <w:tcBorders>
              <w:top w:val="nil"/>
              <w:left w:val="nil"/>
              <w:bottom w:val="single" w:sz="4" w:space="0" w:color="auto"/>
              <w:right w:val="single" w:sz="4" w:space="0" w:color="auto"/>
            </w:tcBorders>
            <w:shd w:val="clear" w:color="auto" w:fill="011C50"/>
            <w:noWrap/>
            <w:vAlign w:val="center"/>
            <w:hideMark/>
          </w:tcPr>
          <w:p w14:paraId="31782330" w14:textId="77777777" w:rsidR="001501D7" w:rsidRPr="00465A16" w:rsidRDefault="001501D7" w:rsidP="00015E81">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100%</w:t>
            </w:r>
          </w:p>
        </w:tc>
      </w:tr>
    </w:tbl>
    <w:p w14:paraId="52CD97BD" w14:textId="77777777" w:rsidR="007511DD" w:rsidRDefault="007511DD" w:rsidP="00EF300A">
      <w:pPr>
        <w:jc w:val="center"/>
        <w:rPr>
          <w:sz w:val="18"/>
          <w:szCs w:val="18"/>
        </w:rPr>
      </w:pPr>
    </w:p>
    <w:p w14:paraId="13B7A073" w14:textId="69B7FF64" w:rsidR="00F544E0" w:rsidRPr="0077472F" w:rsidRDefault="00AB7CE3" w:rsidP="00EF300A">
      <w:pPr>
        <w:jc w:val="center"/>
        <w:rPr>
          <w:i/>
          <w:iCs/>
          <w:sz w:val="18"/>
          <w:szCs w:val="18"/>
        </w:rPr>
      </w:pPr>
      <w:r w:rsidRPr="0077472F">
        <w:rPr>
          <w:i/>
          <w:iCs/>
          <w:sz w:val="18"/>
          <w:szCs w:val="18"/>
        </w:rPr>
        <w:t xml:space="preserve">Fuente. Informe </w:t>
      </w:r>
      <w:r w:rsidR="001501D7" w:rsidRPr="0077472F">
        <w:rPr>
          <w:i/>
          <w:iCs/>
          <w:sz w:val="18"/>
          <w:szCs w:val="18"/>
        </w:rPr>
        <w:t xml:space="preserve">Anual </w:t>
      </w:r>
      <w:r w:rsidRPr="0077472F">
        <w:rPr>
          <w:i/>
          <w:iCs/>
          <w:sz w:val="18"/>
          <w:szCs w:val="18"/>
        </w:rPr>
        <w:t>DAFI</w:t>
      </w:r>
    </w:p>
    <w:p w14:paraId="012F2395" w14:textId="75723BAA" w:rsidR="00A2147E" w:rsidRPr="00465A16" w:rsidRDefault="00A2147E" w:rsidP="00CD7C10">
      <w:pPr>
        <w:rPr>
          <w:sz w:val="28"/>
          <w:szCs w:val="28"/>
        </w:rPr>
      </w:pPr>
      <w:r w:rsidRPr="00465A16">
        <w:rPr>
          <w:sz w:val="18"/>
          <w:szCs w:val="18"/>
        </w:rPr>
        <w:br w:type="page"/>
      </w:r>
    </w:p>
    <w:p w14:paraId="5E0D6A51" w14:textId="0AFC2BF4" w:rsidR="00F544E0" w:rsidRPr="00FA378C" w:rsidRDefault="00C312DB" w:rsidP="00C84437">
      <w:pPr>
        <w:pStyle w:val="Ttulo2"/>
        <w:spacing w:line="360" w:lineRule="auto"/>
        <w:jc w:val="center"/>
        <w:rPr>
          <w:b/>
          <w:bCs/>
          <w:color w:val="767171"/>
          <w:szCs w:val="24"/>
        </w:rPr>
      </w:pPr>
      <w:bookmarkStart w:id="50" w:name="_Toc217997952"/>
      <w:r w:rsidRPr="00FA378C">
        <w:rPr>
          <w:b/>
          <w:bCs/>
          <w:color w:val="767171"/>
          <w:szCs w:val="24"/>
        </w:rPr>
        <w:lastRenderedPageBreak/>
        <w:t xml:space="preserve">c. </w:t>
      </w:r>
      <w:r w:rsidR="00F544E0" w:rsidRPr="00FA378C">
        <w:rPr>
          <w:b/>
          <w:bCs/>
          <w:color w:val="767171"/>
          <w:szCs w:val="24"/>
        </w:rPr>
        <w:t>Matriz de principales indicadores de POA</w:t>
      </w:r>
      <w:bookmarkEnd w:id="50"/>
    </w:p>
    <w:p w14:paraId="71BE2057" w14:textId="77777777" w:rsidR="00CD7C10" w:rsidRPr="00465A16" w:rsidRDefault="00CD7C10" w:rsidP="00CD7C10">
      <w:pPr>
        <w:pStyle w:val="Prrafodelista"/>
      </w:pPr>
    </w:p>
    <w:tbl>
      <w:tblPr>
        <w:tblW w:w="12597" w:type="dxa"/>
        <w:tblCellMar>
          <w:left w:w="70" w:type="dxa"/>
          <w:right w:w="70" w:type="dxa"/>
        </w:tblCellMar>
        <w:tblLook w:val="04A0" w:firstRow="1" w:lastRow="0" w:firstColumn="1" w:lastColumn="0" w:noHBand="0" w:noVBand="1"/>
      </w:tblPr>
      <w:tblGrid>
        <w:gridCol w:w="610"/>
        <w:gridCol w:w="2001"/>
        <w:gridCol w:w="2099"/>
        <w:gridCol w:w="2001"/>
        <w:gridCol w:w="1572"/>
        <w:gridCol w:w="898"/>
        <w:gridCol w:w="864"/>
        <w:gridCol w:w="1441"/>
        <w:gridCol w:w="1111"/>
      </w:tblGrid>
      <w:tr w:rsidR="00CD7C10" w:rsidRPr="00465A16" w14:paraId="652D4590" w14:textId="77777777" w:rsidTr="00200394">
        <w:trPr>
          <w:cantSplit/>
          <w:trHeight w:val="645"/>
          <w:tblHeader/>
        </w:trPr>
        <w:tc>
          <w:tcPr>
            <w:tcW w:w="61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2A13EA8E" w14:textId="77777777" w:rsidR="00CD7C10" w:rsidRPr="00465A16" w:rsidRDefault="00CD7C10" w:rsidP="00CD7C10">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No.</w:t>
            </w:r>
          </w:p>
        </w:tc>
        <w:tc>
          <w:tcPr>
            <w:tcW w:w="2001" w:type="dxa"/>
            <w:tcBorders>
              <w:top w:val="single" w:sz="4" w:space="0" w:color="auto"/>
              <w:left w:val="nil"/>
              <w:bottom w:val="single" w:sz="4" w:space="0" w:color="auto"/>
              <w:right w:val="single" w:sz="4" w:space="0" w:color="auto"/>
            </w:tcBorders>
            <w:shd w:val="clear" w:color="auto" w:fill="011C50"/>
            <w:vAlign w:val="center"/>
            <w:hideMark/>
          </w:tcPr>
          <w:p w14:paraId="591A0826" w14:textId="77777777" w:rsidR="00CD7C10" w:rsidRPr="00465A16" w:rsidRDefault="00CD7C10" w:rsidP="00CD7C10">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Área</w:t>
            </w:r>
          </w:p>
        </w:tc>
        <w:tc>
          <w:tcPr>
            <w:tcW w:w="2099" w:type="dxa"/>
            <w:tcBorders>
              <w:top w:val="single" w:sz="4" w:space="0" w:color="auto"/>
              <w:left w:val="nil"/>
              <w:bottom w:val="single" w:sz="4" w:space="0" w:color="auto"/>
              <w:right w:val="single" w:sz="4" w:space="0" w:color="auto"/>
            </w:tcBorders>
            <w:shd w:val="clear" w:color="auto" w:fill="011C50"/>
            <w:vAlign w:val="center"/>
            <w:hideMark/>
          </w:tcPr>
          <w:p w14:paraId="56B78D58" w14:textId="77777777" w:rsidR="00CD7C10" w:rsidRPr="00465A16" w:rsidRDefault="00CD7C10" w:rsidP="00CD7C10">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Producto</w:t>
            </w:r>
          </w:p>
        </w:tc>
        <w:tc>
          <w:tcPr>
            <w:tcW w:w="2001" w:type="dxa"/>
            <w:tcBorders>
              <w:top w:val="single" w:sz="4" w:space="0" w:color="auto"/>
              <w:left w:val="nil"/>
              <w:bottom w:val="single" w:sz="4" w:space="0" w:color="auto"/>
              <w:right w:val="single" w:sz="4" w:space="0" w:color="auto"/>
            </w:tcBorders>
            <w:shd w:val="clear" w:color="auto" w:fill="011C50"/>
            <w:vAlign w:val="center"/>
            <w:hideMark/>
          </w:tcPr>
          <w:p w14:paraId="5AB64641" w14:textId="77777777" w:rsidR="00CD7C10" w:rsidRPr="00465A16" w:rsidRDefault="00CD7C10" w:rsidP="00CD7C10">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Nombre del Indicador</w:t>
            </w:r>
          </w:p>
        </w:tc>
        <w:tc>
          <w:tcPr>
            <w:tcW w:w="1572" w:type="dxa"/>
            <w:tcBorders>
              <w:top w:val="single" w:sz="4" w:space="0" w:color="auto"/>
              <w:left w:val="nil"/>
              <w:bottom w:val="single" w:sz="4" w:space="0" w:color="auto"/>
              <w:right w:val="single" w:sz="4" w:space="0" w:color="auto"/>
            </w:tcBorders>
            <w:shd w:val="clear" w:color="auto" w:fill="011C50"/>
            <w:vAlign w:val="center"/>
            <w:hideMark/>
          </w:tcPr>
          <w:p w14:paraId="1DB20AED" w14:textId="77777777" w:rsidR="00CD7C10" w:rsidRPr="00465A16" w:rsidRDefault="00CD7C10" w:rsidP="00CD7C10">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Frecuencia</w:t>
            </w:r>
          </w:p>
        </w:tc>
        <w:tc>
          <w:tcPr>
            <w:tcW w:w="898" w:type="dxa"/>
            <w:tcBorders>
              <w:top w:val="single" w:sz="4" w:space="0" w:color="auto"/>
              <w:left w:val="nil"/>
              <w:bottom w:val="single" w:sz="4" w:space="0" w:color="auto"/>
              <w:right w:val="single" w:sz="4" w:space="0" w:color="auto"/>
            </w:tcBorders>
            <w:shd w:val="clear" w:color="auto" w:fill="011C50"/>
            <w:vAlign w:val="center"/>
            <w:hideMark/>
          </w:tcPr>
          <w:p w14:paraId="5259DB5F" w14:textId="77777777" w:rsidR="00CD7C10" w:rsidRPr="00465A16" w:rsidRDefault="00CD7C10" w:rsidP="00CD7C10">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Línea Base</w:t>
            </w:r>
          </w:p>
        </w:tc>
        <w:tc>
          <w:tcPr>
            <w:tcW w:w="864" w:type="dxa"/>
            <w:tcBorders>
              <w:top w:val="single" w:sz="4" w:space="0" w:color="auto"/>
              <w:left w:val="nil"/>
              <w:bottom w:val="single" w:sz="4" w:space="0" w:color="auto"/>
              <w:right w:val="single" w:sz="4" w:space="0" w:color="auto"/>
            </w:tcBorders>
            <w:shd w:val="clear" w:color="auto" w:fill="011C50"/>
            <w:vAlign w:val="center"/>
            <w:hideMark/>
          </w:tcPr>
          <w:p w14:paraId="5C41AAF8" w14:textId="77777777" w:rsidR="00CD7C10" w:rsidRPr="00465A16" w:rsidRDefault="00CD7C10" w:rsidP="00CD7C10">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Meta</w:t>
            </w:r>
          </w:p>
        </w:tc>
        <w:tc>
          <w:tcPr>
            <w:tcW w:w="1441" w:type="dxa"/>
            <w:tcBorders>
              <w:top w:val="single" w:sz="4" w:space="0" w:color="auto"/>
              <w:left w:val="nil"/>
              <w:bottom w:val="single" w:sz="4" w:space="0" w:color="auto"/>
              <w:right w:val="single" w:sz="4" w:space="0" w:color="auto"/>
            </w:tcBorders>
            <w:shd w:val="clear" w:color="auto" w:fill="011C50"/>
            <w:vAlign w:val="center"/>
            <w:hideMark/>
          </w:tcPr>
          <w:p w14:paraId="5E48D5AB" w14:textId="77777777" w:rsidR="00CD7C10" w:rsidRPr="00465A16" w:rsidRDefault="00CD7C10" w:rsidP="00CD7C10">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Resultado</w:t>
            </w:r>
          </w:p>
        </w:tc>
        <w:tc>
          <w:tcPr>
            <w:tcW w:w="1111" w:type="dxa"/>
            <w:tcBorders>
              <w:top w:val="single" w:sz="4" w:space="0" w:color="auto"/>
              <w:left w:val="nil"/>
              <w:bottom w:val="single" w:sz="4" w:space="0" w:color="auto"/>
              <w:right w:val="single" w:sz="4" w:space="0" w:color="auto"/>
            </w:tcBorders>
            <w:shd w:val="clear" w:color="auto" w:fill="011C50"/>
            <w:vAlign w:val="center"/>
            <w:hideMark/>
          </w:tcPr>
          <w:p w14:paraId="2B39D857" w14:textId="77777777" w:rsidR="00CD7C10" w:rsidRPr="00465A16" w:rsidRDefault="00CD7C10" w:rsidP="00CD7C10">
            <w:pPr>
              <w:spacing w:after="0" w:line="240" w:lineRule="auto"/>
              <w:jc w:val="center"/>
              <w:rPr>
                <w:rFonts w:eastAsia="Times New Roman"/>
                <w:b/>
                <w:bCs/>
                <w:color w:val="FFFFFF"/>
                <w:spacing w:val="0"/>
                <w:lang w:eastAsia="es-DO"/>
              </w:rPr>
            </w:pPr>
            <w:r w:rsidRPr="00465A16">
              <w:rPr>
                <w:rFonts w:eastAsia="Times New Roman"/>
                <w:b/>
                <w:bCs/>
                <w:color w:val="FFFFFF"/>
                <w:spacing w:val="0"/>
                <w:lang w:eastAsia="es-DO"/>
              </w:rPr>
              <w:t>% Avance</w:t>
            </w:r>
          </w:p>
        </w:tc>
      </w:tr>
      <w:tr w:rsidR="00991A8D" w:rsidRPr="00991A8D" w14:paraId="7D2993CD" w14:textId="77777777" w:rsidTr="00C14355">
        <w:trPr>
          <w:trHeight w:val="2248"/>
        </w:trPr>
        <w:tc>
          <w:tcPr>
            <w:tcW w:w="610" w:type="dxa"/>
            <w:vMerge w:val="restart"/>
            <w:tcBorders>
              <w:top w:val="nil"/>
              <w:left w:val="single" w:sz="4" w:space="0" w:color="auto"/>
              <w:bottom w:val="single" w:sz="4" w:space="0" w:color="auto"/>
              <w:right w:val="single" w:sz="4" w:space="0" w:color="auto"/>
            </w:tcBorders>
            <w:vAlign w:val="center"/>
            <w:hideMark/>
          </w:tcPr>
          <w:p w14:paraId="14D29BDA" w14:textId="77777777" w:rsidR="00C14355" w:rsidRPr="00991A8D" w:rsidRDefault="00C14355" w:rsidP="00CD7C10">
            <w:pPr>
              <w:spacing w:after="0" w:line="240" w:lineRule="auto"/>
              <w:jc w:val="center"/>
              <w:rPr>
                <w:rFonts w:eastAsia="Times New Roman"/>
                <w:spacing w:val="0"/>
                <w:lang w:eastAsia="es-DO"/>
              </w:rPr>
            </w:pPr>
            <w:r w:rsidRPr="00991A8D">
              <w:rPr>
                <w:rFonts w:eastAsia="Times New Roman"/>
                <w:spacing w:val="0"/>
                <w:lang w:eastAsia="es-DO"/>
              </w:rPr>
              <w:t>1</w:t>
            </w:r>
          </w:p>
        </w:tc>
        <w:tc>
          <w:tcPr>
            <w:tcW w:w="2001" w:type="dxa"/>
            <w:vMerge w:val="restart"/>
            <w:tcBorders>
              <w:top w:val="nil"/>
              <w:left w:val="single" w:sz="4" w:space="0" w:color="auto"/>
              <w:bottom w:val="single" w:sz="4" w:space="0" w:color="auto"/>
              <w:right w:val="single" w:sz="4" w:space="0" w:color="auto"/>
            </w:tcBorders>
            <w:vAlign w:val="center"/>
            <w:hideMark/>
          </w:tcPr>
          <w:p w14:paraId="0B162DC9" w14:textId="77777777" w:rsidR="00370586" w:rsidRPr="00991A8D" w:rsidRDefault="00370586" w:rsidP="00493CDC">
            <w:pPr>
              <w:pStyle w:val="Sinespaciado"/>
              <w:spacing w:line="360" w:lineRule="auto"/>
              <w:rPr>
                <w:color w:val="767171"/>
                <w:lang w:val="es-DO" w:eastAsia="es-DO"/>
              </w:rPr>
            </w:pPr>
          </w:p>
          <w:p w14:paraId="7C3190A8" w14:textId="77777777" w:rsidR="00370586" w:rsidRPr="00991A8D" w:rsidRDefault="00370586" w:rsidP="00493CDC">
            <w:pPr>
              <w:pStyle w:val="Sinespaciado"/>
              <w:spacing w:line="360" w:lineRule="auto"/>
              <w:rPr>
                <w:color w:val="767171"/>
                <w:lang w:val="es-DO" w:eastAsia="es-DO"/>
              </w:rPr>
            </w:pPr>
          </w:p>
          <w:p w14:paraId="2E23E9CD" w14:textId="77777777" w:rsidR="00370586" w:rsidRPr="00991A8D" w:rsidRDefault="00370586" w:rsidP="00493CDC">
            <w:pPr>
              <w:pStyle w:val="Sinespaciado"/>
              <w:spacing w:line="360" w:lineRule="auto"/>
              <w:rPr>
                <w:color w:val="767171"/>
                <w:lang w:val="es-DO" w:eastAsia="es-DO"/>
              </w:rPr>
            </w:pPr>
          </w:p>
          <w:p w14:paraId="055FAEC8" w14:textId="77777777" w:rsidR="00370586" w:rsidRPr="00991A8D" w:rsidRDefault="00370586" w:rsidP="00493CDC">
            <w:pPr>
              <w:pStyle w:val="Sinespaciado"/>
              <w:spacing w:line="360" w:lineRule="auto"/>
              <w:rPr>
                <w:color w:val="767171"/>
                <w:lang w:val="es-DO" w:eastAsia="es-DO"/>
              </w:rPr>
            </w:pPr>
          </w:p>
          <w:p w14:paraId="147827CC" w14:textId="32CD3464" w:rsidR="00C14355" w:rsidRPr="00991A8D" w:rsidRDefault="00C14355" w:rsidP="00493CDC">
            <w:pPr>
              <w:pStyle w:val="Sinespaciado"/>
              <w:spacing w:line="360" w:lineRule="auto"/>
              <w:rPr>
                <w:color w:val="767171"/>
                <w:lang w:val="es-DO" w:eastAsia="es-DO"/>
              </w:rPr>
            </w:pPr>
            <w:r w:rsidRPr="00991A8D">
              <w:rPr>
                <w:color w:val="767171"/>
                <w:lang w:val="es-DO" w:eastAsia="es-DO"/>
              </w:rPr>
              <w:t>Dirección de Auditoría Interna / Dirección de Auditorías Especiales</w:t>
            </w:r>
          </w:p>
          <w:p w14:paraId="4896A101" w14:textId="77777777" w:rsidR="00370586" w:rsidRPr="00991A8D" w:rsidRDefault="00370586" w:rsidP="00493CDC">
            <w:pPr>
              <w:pStyle w:val="Sinespaciado"/>
              <w:spacing w:line="360" w:lineRule="auto"/>
              <w:rPr>
                <w:color w:val="767171"/>
                <w:lang w:val="es-DO" w:eastAsia="es-DO"/>
              </w:rPr>
            </w:pPr>
          </w:p>
          <w:p w14:paraId="3167691D" w14:textId="77777777" w:rsidR="00370586" w:rsidRPr="00991A8D" w:rsidRDefault="00370586" w:rsidP="00493CDC">
            <w:pPr>
              <w:pStyle w:val="Sinespaciado"/>
              <w:spacing w:line="360" w:lineRule="auto"/>
              <w:rPr>
                <w:color w:val="767171"/>
                <w:lang w:val="es-DO" w:eastAsia="es-DO"/>
              </w:rPr>
            </w:pPr>
          </w:p>
          <w:p w14:paraId="4842F99B" w14:textId="77777777" w:rsidR="00370586" w:rsidRPr="00991A8D" w:rsidRDefault="00370586" w:rsidP="00493CDC">
            <w:pPr>
              <w:pStyle w:val="Sinespaciado"/>
              <w:spacing w:line="360" w:lineRule="auto"/>
              <w:rPr>
                <w:color w:val="767171"/>
                <w:lang w:val="es-DO" w:eastAsia="es-DO"/>
              </w:rPr>
            </w:pPr>
          </w:p>
          <w:p w14:paraId="177FD277" w14:textId="77777777" w:rsidR="00370586" w:rsidRPr="00991A8D" w:rsidRDefault="00370586" w:rsidP="00493CDC">
            <w:pPr>
              <w:pStyle w:val="Sinespaciado"/>
              <w:spacing w:line="360" w:lineRule="auto"/>
              <w:rPr>
                <w:color w:val="767171"/>
                <w:lang w:val="es-DO" w:eastAsia="es-DO"/>
              </w:rPr>
            </w:pPr>
          </w:p>
          <w:p w14:paraId="6EB1BB4E" w14:textId="45B9151F" w:rsidR="00370586" w:rsidRPr="00991A8D" w:rsidRDefault="00370586" w:rsidP="00493CDC">
            <w:pPr>
              <w:pStyle w:val="Sinespaciado"/>
              <w:spacing w:line="360" w:lineRule="auto"/>
              <w:rPr>
                <w:color w:val="767171"/>
                <w:lang w:val="es-DO" w:eastAsia="es-DO"/>
              </w:rPr>
            </w:pPr>
            <w:r w:rsidRPr="00991A8D">
              <w:rPr>
                <w:color w:val="767171"/>
                <w:lang w:val="es-DO" w:eastAsia="es-DO"/>
              </w:rPr>
              <w:t>Unidad Antifraude</w:t>
            </w:r>
          </w:p>
        </w:tc>
        <w:tc>
          <w:tcPr>
            <w:tcW w:w="2099" w:type="dxa"/>
            <w:vMerge w:val="restart"/>
            <w:tcBorders>
              <w:top w:val="nil"/>
              <w:left w:val="nil"/>
              <w:right w:val="single" w:sz="4" w:space="0" w:color="auto"/>
            </w:tcBorders>
            <w:vAlign w:val="center"/>
            <w:hideMark/>
          </w:tcPr>
          <w:p w14:paraId="336B999F" w14:textId="20AD145F" w:rsidR="00C14355" w:rsidRPr="00991A8D" w:rsidRDefault="00C14355" w:rsidP="00493CDC">
            <w:pPr>
              <w:pStyle w:val="Sinespaciado"/>
              <w:spacing w:line="360" w:lineRule="auto"/>
              <w:rPr>
                <w:color w:val="767171"/>
                <w:lang w:val="es-DO" w:eastAsia="es-DO"/>
              </w:rPr>
            </w:pPr>
            <w:r w:rsidRPr="00991A8D">
              <w:rPr>
                <w:color w:val="767171"/>
                <w:lang w:val="es-DO" w:eastAsia="es-DO"/>
              </w:rPr>
              <w:lastRenderedPageBreak/>
              <w:t>Implementación del Plan de Auditoría Interna 2025.</w:t>
            </w:r>
          </w:p>
        </w:tc>
        <w:tc>
          <w:tcPr>
            <w:tcW w:w="2001" w:type="dxa"/>
            <w:tcBorders>
              <w:top w:val="nil"/>
              <w:left w:val="nil"/>
              <w:bottom w:val="single" w:sz="4" w:space="0" w:color="auto"/>
              <w:right w:val="single" w:sz="4" w:space="0" w:color="auto"/>
            </w:tcBorders>
            <w:vAlign w:val="center"/>
            <w:hideMark/>
          </w:tcPr>
          <w:p w14:paraId="41F12D06" w14:textId="19164077" w:rsidR="00C14355" w:rsidRPr="00991A8D" w:rsidRDefault="00C14355" w:rsidP="00493CDC">
            <w:pPr>
              <w:pStyle w:val="Sinespaciado"/>
              <w:spacing w:line="360" w:lineRule="auto"/>
              <w:rPr>
                <w:color w:val="767171"/>
                <w:lang w:val="es-DO" w:eastAsia="es-DO"/>
              </w:rPr>
            </w:pPr>
            <w:r w:rsidRPr="00991A8D">
              <w:rPr>
                <w:color w:val="767171"/>
                <w:lang w:val="es-DO" w:eastAsia="es-DO"/>
              </w:rPr>
              <w:t>Cantidad de Auditorías focalizadas realizadas según el plan de auditoría</w:t>
            </w:r>
          </w:p>
        </w:tc>
        <w:tc>
          <w:tcPr>
            <w:tcW w:w="1572" w:type="dxa"/>
            <w:tcBorders>
              <w:top w:val="nil"/>
              <w:left w:val="nil"/>
              <w:bottom w:val="single" w:sz="4" w:space="0" w:color="auto"/>
              <w:right w:val="single" w:sz="4" w:space="0" w:color="auto"/>
            </w:tcBorders>
            <w:vAlign w:val="center"/>
            <w:hideMark/>
          </w:tcPr>
          <w:p w14:paraId="5C5904DD" w14:textId="77777777" w:rsidR="00C14355" w:rsidRPr="00991A8D" w:rsidRDefault="00C14355" w:rsidP="00493CDC">
            <w:pPr>
              <w:pStyle w:val="Sinespaciado"/>
              <w:spacing w:line="360" w:lineRule="auto"/>
              <w:rPr>
                <w:color w:val="767171"/>
                <w:lang w:val="es-DO" w:eastAsia="es-DO"/>
              </w:rPr>
            </w:pPr>
            <w:r w:rsidRPr="00991A8D">
              <w:rPr>
                <w:color w:val="767171"/>
                <w:lang w:val="es-DO" w:eastAsia="es-DO"/>
              </w:rPr>
              <w:t>Semestral</w:t>
            </w:r>
          </w:p>
        </w:tc>
        <w:tc>
          <w:tcPr>
            <w:tcW w:w="898" w:type="dxa"/>
            <w:tcBorders>
              <w:top w:val="nil"/>
              <w:left w:val="nil"/>
              <w:bottom w:val="single" w:sz="4" w:space="0" w:color="auto"/>
              <w:right w:val="single" w:sz="4" w:space="0" w:color="auto"/>
            </w:tcBorders>
            <w:vAlign w:val="center"/>
            <w:hideMark/>
          </w:tcPr>
          <w:p w14:paraId="5E1C6947" w14:textId="6CD2C058" w:rsidR="00C14355" w:rsidRPr="00991A8D" w:rsidRDefault="00C14355" w:rsidP="00370586">
            <w:pPr>
              <w:spacing w:after="0" w:line="360" w:lineRule="auto"/>
              <w:jc w:val="center"/>
              <w:rPr>
                <w:rFonts w:eastAsia="Times New Roman"/>
                <w:spacing w:val="0"/>
                <w:lang w:eastAsia="es-DO"/>
              </w:rPr>
            </w:pPr>
            <w:r w:rsidRPr="00991A8D">
              <w:rPr>
                <w:rFonts w:eastAsia="Times New Roman"/>
                <w:spacing w:val="0"/>
                <w:lang w:eastAsia="es-DO"/>
              </w:rPr>
              <w:t>N/A</w:t>
            </w:r>
          </w:p>
        </w:tc>
        <w:tc>
          <w:tcPr>
            <w:tcW w:w="864" w:type="dxa"/>
            <w:tcBorders>
              <w:top w:val="nil"/>
              <w:left w:val="nil"/>
              <w:bottom w:val="single" w:sz="4" w:space="0" w:color="auto"/>
              <w:right w:val="single" w:sz="4" w:space="0" w:color="auto"/>
            </w:tcBorders>
            <w:vAlign w:val="center"/>
            <w:hideMark/>
          </w:tcPr>
          <w:p w14:paraId="02FF9E37" w14:textId="7C041C0A" w:rsidR="00C14355" w:rsidRPr="00991A8D" w:rsidRDefault="00C14355" w:rsidP="00370586">
            <w:pPr>
              <w:spacing w:after="0" w:line="360" w:lineRule="auto"/>
              <w:jc w:val="center"/>
              <w:rPr>
                <w:rFonts w:eastAsia="Times New Roman"/>
                <w:spacing w:val="0"/>
                <w:lang w:eastAsia="es-DO"/>
              </w:rPr>
            </w:pPr>
            <w:r w:rsidRPr="00991A8D">
              <w:rPr>
                <w:rFonts w:eastAsia="Times New Roman"/>
                <w:spacing w:val="0"/>
                <w:lang w:eastAsia="es-DO"/>
              </w:rPr>
              <w:t>45</w:t>
            </w:r>
          </w:p>
        </w:tc>
        <w:tc>
          <w:tcPr>
            <w:tcW w:w="1441" w:type="dxa"/>
            <w:tcBorders>
              <w:top w:val="nil"/>
              <w:left w:val="nil"/>
              <w:bottom w:val="single" w:sz="4" w:space="0" w:color="auto"/>
              <w:right w:val="single" w:sz="4" w:space="0" w:color="auto"/>
            </w:tcBorders>
            <w:vAlign w:val="center"/>
          </w:tcPr>
          <w:p w14:paraId="23655A28" w14:textId="551D7729" w:rsidR="00C14355" w:rsidRPr="00991A8D" w:rsidRDefault="00C14355" w:rsidP="00370586">
            <w:pPr>
              <w:spacing w:after="0" w:line="360" w:lineRule="auto"/>
              <w:jc w:val="center"/>
              <w:rPr>
                <w:rFonts w:eastAsia="Times New Roman"/>
                <w:spacing w:val="0"/>
                <w:lang w:eastAsia="es-DO"/>
              </w:rPr>
            </w:pPr>
            <w:r w:rsidRPr="00991A8D">
              <w:rPr>
                <w:rFonts w:eastAsia="Times New Roman"/>
                <w:spacing w:val="0"/>
                <w:lang w:eastAsia="es-DO"/>
              </w:rPr>
              <w:t>24</w:t>
            </w:r>
          </w:p>
        </w:tc>
        <w:tc>
          <w:tcPr>
            <w:tcW w:w="1111" w:type="dxa"/>
            <w:tcBorders>
              <w:top w:val="nil"/>
              <w:left w:val="nil"/>
              <w:bottom w:val="single" w:sz="4" w:space="0" w:color="auto"/>
              <w:right w:val="single" w:sz="4" w:space="0" w:color="auto"/>
            </w:tcBorders>
            <w:vAlign w:val="center"/>
          </w:tcPr>
          <w:p w14:paraId="02407087" w14:textId="3C6C6409" w:rsidR="00C14355" w:rsidRPr="00991A8D" w:rsidRDefault="00C14355" w:rsidP="00370586">
            <w:pPr>
              <w:spacing w:after="0" w:line="360" w:lineRule="auto"/>
              <w:jc w:val="center"/>
              <w:rPr>
                <w:rFonts w:eastAsia="Times New Roman"/>
                <w:spacing w:val="0"/>
                <w:lang w:eastAsia="es-DO"/>
              </w:rPr>
            </w:pPr>
            <w:r w:rsidRPr="00991A8D">
              <w:rPr>
                <w:rFonts w:eastAsia="Times New Roman"/>
                <w:spacing w:val="0"/>
                <w:lang w:eastAsia="es-DO"/>
              </w:rPr>
              <w:t>53%</w:t>
            </w:r>
          </w:p>
        </w:tc>
      </w:tr>
      <w:tr w:rsidR="00991A8D" w:rsidRPr="00991A8D" w14:paraId="18A6F861" w14:textId="77777777" w:rsidTr="006D3889">
        <w:trPr>
          <w:trHeight w:val="2248"/>
        </w:trPr>
        <w:tc>
          <w:tcPr>
            <w:tcW w:w="610" w:type="dxa"/>
            <w:vMerge/>
            <w:tcBorders>
              <w:top w:val="nil"/>
              <w:left w:val="single" w:sz="4" w:space="0" w:color="auto"/>
              <w:bottom w:val="single" w:sz="4" w:space="0" w:color="auto"/>
              <w:right w:val="single" w:sz="4" w:space="0" w:color="auto"/>
            </w:tcBorders>
            <w:vAlign w:val="center"/>
          </w:tcPr>
          <w:p w14:paraId="25E04B50" w14:textId="77777777" w:rsidR="00C14355" w:rsidRPr="00991A8D" w:rsidRDefault="00C14355" w:rsidP="00C14355">
            <w:pPr>
              <w:spacing w:after="0" w:line="240" w:lineRule="auto"/>
              <w:jc w:val="center"/>
              <w:rPr>
                <w:rFonts w:eastAsia="Times New Roman"/>
                <w:spacing w:val="0"/>
                <w:lang w:eastAsia="es-DO"/>
              </w:rPr>
            </w:pPr>
          </w:p>
        </w:tc>
        <w:tc>
          <w:tcPr>
            <w:tcW w:w="2001" w:type="dxa"/>
            <w:vMerge/>
            <w:tcBorders>
              <w:top w:val="nil"/>
              <w:left w:val="single" w:sz="4" w:space="0" w:color="auto"/>
              <w:bottom w:val="single" w:sz="4" w:space="0" w:color="auto"/>
              <w:right w:val="single" w:sz="4" w:space="0" w:color="auto"/>
            </w:tcBorders>
            <w:vAlign w:val="center"/>
          </w:tcPr>
          <w:p w14:paraId="28B5F6A8" w14:textId="77777777" w:rsidR="00C14355" w:rsidRPr="00991A8D" w:rsidRDefault="00C14355" w:rsidP="00493CDC">
            <w:pPr>
              <w:pStyle w:val="Sinespaciado"/>
              <w:spacing w:line="360" w:lineRule="auto"/>
              <w:rPr>
                <w:color w:val="767171"/>
                <w:lang w:val="es-DO" w:eastAsia="es-DO"/>
              </w:rPr>
            </w:pPr>
          </w:p>
        </w:tc>
        <w:tc>
          <w:tcPr>
            <w:tcW w:w="2099" w:type="dxa"/>
            <w:vMerge/>
            <w:tcBorders>
              <w:left w:val="nil"/>
              <w:bottom w:val="single" w:sz="4" w:space="0" w:color="auto"/>
              <w:right w:val="single" w:sz="4" w:space="0" w:color="auto"/>
            </w:tcBorders>
            <w:vAlign w:val="center"/>
          </w:tcPr>
          <w:p w14:paraId="67C46684" w14:textId="77777777" w:rsidR="00C14355" w:rsidRPr="00991A8D" w:rsidRDefault="00C14355" w:rsidP="00493CDC">
            <w:pPr>
              <w:pStyle w:val="Sinespaciado"/>
              <w:spacing w:line="360" w:lineRule="auto"/>
              <w:rPr>
                <w:color w:val="767171"/>
                <w:lang w:val="es-DO" w:eastAsia="es-DO"/>
              </w:rPr>
            </w:pPr>
          </w:p>
        </w:tc>
        <w:tc>
          <w:tcPr>
            <w:tcW w:w="2001" w:type="dxa"/>
            <w:tcBorders>
              <w:top w:val="nil"/>
              <w:left w:val="nil"/>
              <w:bottom w:val="single" w:sz="4" w:space="0" w:color="auto"/>
              <w:right w:val="single" w:sz="4" w:space="0" w:color="auto"/>
            </w:tcBorders>
            <w:vAlign w:val="center"/>
          </w:tcPr>
          <w:p w14:paraId="749DCDD6" w14:textId="0D68FCD7" w:rsidR="00C14355" w:rsidRPr="00991A8D" w:rsidRDefault="00C14355" w:rsidP="00493CDC">
            <w:pPr>
              <w:pStyle w:val="Sinespaciado"/>
              <w:spacing w:line="360" w:lineRule="auto"/>
              <w:rPr>
                <w:color w:val="767171"/>
                <w:lang w:val="es-DO" w:eastAsia="es-DO"/>
              </w:rPr>
            </w:pPr>
            <w:r w:rsidRPr="00991A8D">
              <w:rPr>
                <w:color w:val="767171"/>
                <w:lang w:val="es-DO" w:eastAsia="es-DO"/>
              </w:rPr>
              <w:t>Cantidad de Auditorías realizadas a gobiernos locales según el plan de auditoría.</w:t>
            </w:r>
          </w:p>
        </w:tc>
        <w:tc>
          <w:tcPr>
            <w:tcW w:w="1572" w:type="dxa"/>
            <w:tcBorders>
              <w:top w:val="nil"/>
              <w:left w:val="nil"/>
              <w:bottom w:val="single" w:sz="4" w:space="0" w:color="auto"/>
              <w:right w:val="single" w:sz="4" w:space="0" w:color="auto"/>
            </w:tcBorders>
            <w:vAlign w:val="center"/>
          </w:tcPr>
          <w:p w14:paraId="64EE7C8E" w14:textId="26990F88" w:rsidR="00C14355" w:rsidRPr="00991A8D" w:rsidRDefault="00C14355" w:rsidP="00493CDC">
            <w:pPr>
              <w:pStyle w:val="Sinespaciado"/>
              <w:spacing w:line="360" w:lineRule="auto"/>
              <w:rPr>
                <w:color w:val="767171"/>
                <w:lang w:val="es-DO" w:eastAsia="es-DO"/>
              </w:rPr>
            </w:pPr>
            <w:r w:rsidRPr="00991A8D">
              <w:rPr>
                <w:color w:val="767171"/>
                <w:lang w:val="es-DO" w:eastAsia="es-DO"/>
              </w:rPr>
              <w:t>Anual</w:t>
            </w:r>
          </w:p>
        </w:tc>
        <w:tc>
          <w:tcPr>
            <w:tcW w:w="898" w:type="dxa"/>
            <w:tcBorders>
              <w:top w:val="nil"/>
              <w:left w:val="nil"/>
              <w:bottom w:val="single" w:sz="4" w:space="0" w:color="auto"/>
              <w:right w:val="single" w:sz="4" w:space="0" w:color="auto"/>
            </w:tcBorders>
            <w:vAlign w:val="center"/>
          </w:tcPr>
          <w:p w14:paraId="2C2D507E" w14:textId="517F6B8D" w:rsidR="00C14355" w:rsidRPr="00991A8D" w:rsidRDefault="00C14355" w:rsidP="00370586">
            <w:pPr>
              <w:spacing w:after="0" w:line="360" w:lineRule="auto"/>
              <w:jc w:val="center"/>
              <w:rPr>
                <w:rFonts w:eastAsia="Times New Roman"/>
                <w:spacing w:val="0"/>
                <w:lang w:eastAsia="es-DO"/>
              </w:rPr>
            </w:pPr>
            <w:r w:rsidRPr="00991A8D">
              <w:rPr>
                <w:rFonts w:eastAsia="Times New Roman"/>
                <w:spacing w:val="0"/>
                <w:lang w:eastAsia="es-DO"/>
              </w:rPr>
              <w:t>N/A</w:t>
            </w:r>
          </w:p>
        </w:tc>
        <w:tc>
          <w:tcPr>
            <w:tcW w:w="864" w:type="dxa"/>
            <w:tcBorders>
              <w:top w:val="nil"/>
              <w:left w:val="nil"/>
              <w:bottom w:val="single" w:sz="4" w:space="0" w:color="auto"/>
              <w:right w:val="single" w:sz="4" w:space="0" w:color="auto"/>
            </w:tcBorders>
            <w:vAlign w:val="center"/>
          </w:tcPr>
          <w:p w14:paraId="6175C3BE" w14:textId="11A3658F" w:rsidR="00C14355" w:rsidRPr="00991A8D" w:rsidRDefault="00C14355" w:rsidP="00370586">
            <w:pPr>
              <w:spacing w:after="0" w:line="360" w:lineRule="auto"/>
              <w:jc w:val="center"/>
              <w:rPr>
                <w:rFonts w:eastAsia="Times New Roman"/>
                <w:spacing w:val="0"/>
                <w:lang w:eastAsia="es-DO"/>
              </w:rPr>
            </w:pPr>
            <w:r w:rsidRPr="00991A8D">
              <w:rPr>
                <w:rFonts w:eastAsia="Times New Roman"/>
                <w:spacing w:val="0"/>
                <w:lang w:eastAsia="es-DO"/>
              </w:rPr>
              <w:t>9</w:t>
            </w:r>
          </w:p>
        </w:tc>
        <w:tc>
          <w:tcPr>
            <w:tcW w:w="1441" w:type="dxa"/>
            <w:tcBorders>
              <w:top w:val="nil"/>
              <w:left w:val="nil"/>
              <w:bottom w:val="single" w:sz="4" w:space="0" w:color="auto"/>
              <w:right w:val="single" w:sz="4" w:space="0" w:color="auto"/>
            </w:tcBorders>
            <w:vAlign w:val="center"/>
          </w:tcPr>
          <w:p w14:paraId="7DE34548" w14:textId="79B940AE" w:rsidR="00C14355" w:rsidRPr="00991A8D" w:rsidRDefault="00C14355" w:rsidP="00370586">
            <w:pPr>
              <w:spacing w:after="0" w:line="360" w:lineRule="auto"/>
              <w:jc w:val="center"/>
              <w:rPr>
                <w:rFonts w:eastAsia="Times New Roman"/>
                <w:spacing w:val="0"/>
                <w:lang w:eastAsia="es-DO"/>
              </w:rPr>
            </w:pPr>
            <w:r w:rsidRPr="00991A8D">
              <w:rPr>
                <w:rFonts w:eastAsia="Times New Roman"/>
                <w:spacing w:val="0"/>
                <w:lang w:eastAsia="es-DO"/>
              </w:rPr>
              <w:t>25</w:t>
            </w:r>
          </w:p>
        </w:tc>
        <w:tc>
          <w:tcPr>
            <w:tcW w:w="1111" w:type="dxa"/>
            <w:tcBorders>
              <w:top w:val="nil"/>
              <w:left w:val="nil"/>
              <w:bottom w:val="single" w:sz="4" w:space="0" w:color="auto"/>
              <w:right w:val="single" w:sz="4" w:space="0" w:color="auto"/>
            </w:tcBorders>
            <w:vAlign w:val="center"/>
          </w:tcPr>
          <w:p w14:paraId="12E5E5A0" w14:textId="61FB4AD6" w:rsidR="00C14355" w:rsidRPr="00991A8D" w:rsidRDefault="00370586" w:rsidP="00370586">
            <w:pPr>
              <w:spacing w:after="0" w:line="360" w:lineRule="auto"/>
              <w:jc w:val="center"/>
              <w:rPr>
                <w:rFonts w:eastAsia="Times New Roman"/>
                <w:spacing w:val="0"/>
                <w:lang w:eastAsia="es-DO"/>
              </w:rPr>
            </w:pPr>
            <w:r w:rsidRPr="00991A8D">
              <w:rPr>
                <w:rFonts w:eastAsia="Times New Roman"/>
                <w:spacing w:val="0"/>
                <w:lang w:eastAsia="es-DO"/>
              </w:rPr>
              <w:t>277%</w:t>
            </w:r>
          </w:p>
        </w:tc>
      </w:tr>
      <w:tr w:rsidR="00991A8D" w:rsidRPr="00991A8D" w14:paraId="37DE6A98" w14:textId="77777777" w:rsidTr="00CD7C10">
        <w:trPr>
          <w:trHeight w:val="2174"/>
        </w:trPr>
        <w:tc>
          <w:tcPr>
            <w:tcW w:w="610" w:type="dxa"/>
            <w:vMerge/>
            <w:tcBorders>
              <w:top w:val="nil"/>
              <w:left w:val="single" w:sz="4" w:space="0" w:color="auto"/>
              <w:bottom w:val="single" w:sz="4" w:space="0" w:color="auto"/>
              <w:right w:val="single" w:sz="4" w:space="0" w:color="auto"/>
            </w:tcBorders>
            <w:vAlign w:val="center"/>
            <w:hideMark/>
          </w:tcPr>
          <w:p w14:paraId="3F18187C" w14:textId="77777777" w:rsidR="00C14355" w:rsidRPr="00991A8D" w:rsidRDefault="00C14355" w:rsidP="00C14355">
            <w:pPr>
              <w:spacing w:after="0" w:line="240" w:lineRule="auto"/>
              <w:rPr>
                <w:rFonts w:eastAsia="Times New Roman"/>
                <w:spacing w:val="0"/>
                <w:lang w:eastAsia="es-DO"/>
              </w:rPr>
            </w:pPr>
          </w:p>
        </w:tc>
        <w:tc>
          <w:tcPr>
            <w:tcW w:w="2001" w:type="dxa"/>
            <w:vMerge/>
            <w:tcBorders>
              <w:top w:val="nil"/>
              <w:left w:val="single" w:sz="4" w:space="0" w:color="auto"/>
              <w:bottom w:val="single" w:sz="4" w:space="0" w:color="auto"/>
              <w:right w:val="single" w:sz="4" w:space="0" w:color="auto"/>
            </w:tcBorders>
            <w:vAlign w:val="center"/>
            <w:hideMark/>
          </w:tcPr>
          <w:p w14:paraId="1A7024F1" w14:textId="77777777" w:rsidR="00C14355" w:rsidRPr="00991A8D" w:rsidRDefault="00C14355" w:rsidP="00370586">
            <w:pPr>
              <w:spacing w:after="0" w:line="360" w:lineRule="auto"/>
              <w:rPr>
                <w:rFonts w:eastAsia="Times New Roman"/>
                <w:spacing w:val="0"/>
                <w:lang w:eastAsia="es-DO"/>
              </w:rPr>
            </w:pPr>
          </w:p>
        </w:tc>
        <w:tc>
          <w:tcPr>
            <w:tcW w:w="2099" w:type="dxa"/>
            <w:tcBorders>
              <w:top w:val="nil"/>
              <w:left w:val="nil"/>
              <w:bottom w:val="single" w:sz="4" w:space="0" w:color="auto"/>
              <w:right w:val="single" w:sz="4" w:space="0" w:color="auto"/>
            </w:tcBorders>
            <w:vAlign w:val="center"/>
            <w:hideMark/>
          </w:tcPr>
          <w:p w14:paraId="5B45E77F" w14:textId="77777777" w:rsidR="00C14355" w:rsidRPr="00991A8D" w:rsidRDefault="00C14355" w:rsidP="00370586">
            <w:pPr>
              <w:pStyle w:val="Sinespaciado"/>
              <w:spacing w:line="360" w:lineRule="auto"/>
              <w:rPr>
                <w:color w:val="767171"/>
                <w:lang w:val="es-DO" w:eastAsia="es-DO"/>
              </w:rPr>
            </w:pPr>
            <w:r w:rsidRPr="00991A8D">
              <w:rPr>
                <w:color w:val="767171"/>
                <w:lang w:val="es-DO" w:eastAsia="es-DO"/>
              </w:rPr>
              <w:t>Realizadas las investigaciones de antifraudes en las instituciones del Estado</w:t>
            </w:r>
          </w:p>
        </w:tc>
        <w:tc>
          <w:tcPr>
            <w:tcW w:w="2001" w:type="dxa"/>
            <w:tcBorders>
              <w:top w:val="nil"/>
              <w:left w:val="nil"/>
              <w:bottom w:val="single" w:sz="4" w:space="0" w:color="auto"/>
              <w:right w:val="single" w:sz="4" w:space="0" w:color="auto"/>
            </w:tcBorders>
            <w:vAlign w:val="center"/>
            <w:hideMark/>
          </w:tcPr>
          <w:p w14:paraId="23CEEAF3" w14:textId="787D52EE" w:rsidR="00C14355" w:rsidRPr="00991A8D" w:rsidRDefault="00C14355" w:rsidP="00370586">
            <w:pPr>
              <w:spacing w:after="0" w:line="360" w:lineRule="auto"/>
              <w:rPr>
                <w:rFonts w:eastAsia="Calibri"/>
                <w:lang w:eastAsia="es-DO"/>
              </w:rPr>
            </w:pPr>
            <w:r w:rsidRPr="00991A8D">
              <w:rPr>
                <w:rFonts w:eastAsia="Calibri"/>
                <w:lang w:eastAsia="es-DO"/>
              </w:rPr>
              <w:t xml:space="preserve">Porcentaje de </w:t>
            </w:r>
            <w:r w:rsidR="00370586" w:rsidRPr="00991A8D">
              <w:rPr>
                <w:rFonts w:eastAsia="Calibri"/>
                <w:lang w:eastAsia="es-DO"/>
              </w:rPr>
              <w:t>investigaciones de denuncias cerradas.</w:t>
            </w:r>
            <w:r w:rsidRPr="00991A8D">
              <w:rPr>
                <w:rFonts w:eastAsia="Calibri"/>
                <w:lang w:eastAsia="es-DO"/>
              </w:rPr>
              <w:t xml:space="preserve"> </w:t>
            </w:r>
          </w:p>
        </w:tc>
        <w:tc>
          <w:tcPr>
            <w:tcW w:w="1572" w:type="dxa"/>
            <w:tcBorders>
              <w:top w:val="nil"/>
              <w:left w:val="nil"/>
              <w:bottom w:val="single" w:sz="4" w:space="0" w:color="auto"/>
              <w:right w:val="single" w:sz="4" w:space="0" w:color="auto"/>
            </w:tcBorders>
            <w:vAlign w:val="center"/>
            <w:hideMark/>
          </w:tcPr>
          <w:p w14:paraId="541830C3" w14:textId="77777777" w:rsidR="00C14355" w:rsidRPr="00991A8D" w:rsidRDefault="00C14355" w:rsidP="00370586">
            <w:pPr>
              <w:spacing w:after="0" w:line="360" w:lineRule="auto"/>
              <w:rPr>
                <w:rFonts w:eastAsia="Calibri"/>
                <w:lang w:val="en-US" w:eastAsia="es-DO"/>
              </w:rPr>
            </w:pPr>
            <w:r w:rsidRPr="00991A8D">
              <w:rPr>
                <w:rFonts w:eastAsia="Calibri"/>
                <w:lang w:val="en-US" w:eastAsia="es-DO"/>
              </w:rPr>
              <w:t>Trimestral</w:t>
            </w:r>
          </w:p>
        </w:tc>
        <w:tc>
          <w:tcPr>
            <w:tcW w:w="898" w:type="dxa"/>
            <w:tcBorders>
              <w:top w:val="nil"/>
              <w:left w:val="nil"/>
              <w:bottom w:val="single" w:sz="4" w:space="0" w:color="auto"/>
              <w:right w:val="single" w:sz="4" w:space="0" w:color="auto"/>
            </w:tcBorders>
            <w:vAlign w:val="center"/>
            <w:hideMark/>
          </w:tcPr>
          <w:p w14:paraId="3F13836E" w14:textId="5BEAA01E" w:rsidR="00C14355" w:rsidRPr="00991A8D" w:rsidRDefault="00370586" w:rsidP="00370586">
            <w:pPr>
              <w:spacing w:after="0" w:line="360" w:lineRule="auto"/>
              <w:jc w:val="center"/>
              <w:rPr>
                <w:rFonts w:eastAsia="Calibri"/>
                <w:lang w:val="en-US" w:eastAsia="es-DO"/>
              </w:rPr>
            </w:pPr>
            <w:r w:rsidRPr="00991A8D">
              <w:rPr>
                <w:rFonts w:eastAsia="Calibri"/>
                <w:lang w:val="en-US" w:eastAsia="es-DO"/>
              </w:rPr>
              <w:t>80%</w:t>
            </w:r>
          </w:p>
        </w:tc>
        <w:tc>
          <w:tcPr>
            <w:tcW w:w="864" w:type="dxa"/>
            <w:tcBorders>
              <w:top w:val="nil"/>
              <w:left w:val="nil"/>
              <w:bottom w:val="single" w:sz="4" w:space="0" w:color="auto"/>
              <w:right w:val="single" w:sz="4" w:space="0" w:color="auto"/>
            </w:tcBorders>
            <w:vAlign w:val="center"/>
            <w:hideMark/>
          </w:tcPr>
          <w:p w14:paraId="6AA5DD96" w14:textId="4F6F35A2" w:rsidR="00C14355" w:rsidRPr="00991A8D" w:rsidRDefault="00370586" w:rsidP="00370586">
            <w:pPr>
              <w:spacing w:after="0" w:line="360" w:lineRule="auto"/>
              <w:jc w:val="center"/>
              <w:rPr>
                <w:rFonts w:eastAsia="Calibri"/>
                <w:lang w:val="en-US" w:eastAsia="es-DO"/>
              </w:rPr>
            </w:pPr>
            <w:r w:rsidRPr="00991A8D">
              <w:rPr>
                <w:rFonts w:eastAsia="Calibri"/>
                <w:lang w:val="en-US" w:eastAsia="es-DO"/>
              </w:rPr>
              <w:t>60%</w:t>
            </w:r>
          </w:p>
        </w:tc>
        <w:tc>
          <w:tcPr>
            <w:tcW w:w="1441" w:type="dxa"/>
            <w:tcBorders>
              <w:top w:val="nil"/>
              <w:left w:val="nil"/>
              <w:bottom w:val="single" w:sz="4" w:space="0" w:color="auto"/>
              <w:right w:val="single" w:sz="4" w:space="0" w:color="auto"/>
            </w:tcBorders>
            <w:vAlign w:val="center"/>
            <w:hideMark/>
          </w:tcPr>
          <w:p w14:paraId="7832C065" w14:textId="41E870C2" w:rsidR="00C14355" w:rsidRPr="00991A8D" w:rsidRDefault="00370586" w:rsidP="00370586">
            <w:pPr>
              <w:spacing w:after="0" w:line="360" w:lineRule="auto"/>
              <w:jc w:val="center"/>
              <w:rPr>
                <w:rFonts w:eastAsia="Calibri"/>
                <w:lang w:val="en-US" w:eastAsia="es-DO"/>
              </w:rPr>
            </w:pPr>
            <w:r w:rsidRPr="00991A8D">
              <w:rPr>
                <w:rFonts w:eastAsia="Calibri"/>
                <w:lang w:val="en-US" w:eastAsia="es-DO"/>
              </w:rPr>
              <w:t>45</w:t>
            </w:r>
            <w:r w:rsidR="00C14355" w:rsidRPr="00991A8D">
              <w:rPr>
                <w:rFonts w:eastAsia="Calibri"/>
                <w:lang w:val="en-US" w:eastAsia="es-DO"/>
              </w:rPr>
              <w:t>%</w:t>
            </w:r>
          </w:p>
        </w:tc>
        <w:tc>
          <w:tcPr>
            <w:tcW w:w="1111" w:type="dxa"/>
            <w:tcBorders>
              <w:top w:val="nil"/>
              <w:left w:val="nil"/>
              <w:bottom w:val="single" w:sz="4" w:space="0" w:color="auto"/>
              <w:right w:val="single" w:sz="4" w:space="0" w:color="auto"/>
            </w:tcBorders>
            <w:vAlign w:val="center"/>
            <w:hideMark/>
          </w:tcPr>
          <w:p w14:paraId="4E0BDB07" w14:textId="3AE001B6" w:rsidR="00C14355" w:rsidRPr="00991A8D" w:rsidRDefault="00370586" w:rsidP="00370586">
            <w:pPr>
              <w:spacing w:after="0" w:line="360" w:lineRule="auto"/>
              <w:jc w:val="center"/>
              <w:rPr>
                <w:rFonts w:eastAsia="Calibri"/>
                <w:lang w:val="en-US" w:eastAsia="es-DO"/>
              </w:rPr>
            </w:pPr>
            <w:r w:rsidRPr="00991A8D">
              <w:rPr>
                <w:rFonts w:eastAsia="Calibri"/>
                <w:lang w:val="en-US" w:eastAsia="es-DO"/>
              </w:rPr>
              <w:t>75</w:t>
            </w:r>
            <w:r w:rsidR="00C14355" w:rsidRPr="00991A8D">
              <w:rPr>
                <w:rFonts w:eastAsia="Calibri"/>
                <w:lang w:val="en-US" w:eastAsia="es-DO"/>
              </w:rPr>
              <w:t>%</w:t>
            </w:r>
          </w:p>
        </w:tc>
      </w:tr>
      <w:tr w:rsidR="00991A8D" w:rsidRPr="00991A8D" w14:paraId="239B6526" w14:textId="77777777" w:rsidTr="00CD7C10">
        <w:trPr>
          <w:trHeight w:val="2906"/>
        </w:trPr>
        <w:tc>
          <w:tcPr>
            <w:tcW w:w="610" w:type="dxa"/>
            <w:tcBorders>
              <w:top w:val="nil"/>
              <w:left w:val="single" w:sz="4" w:space="0" w:color="auto"/>
              <w:bottom w:val="single" w:sz="4" w:space="0" w:color="auto"/>
              <w:right w:val="single" w:sz="4" w:space="0" w:color="auto"/>
            </w:tcBorders>
            <w:vAlign w:val="center"/>
            <w:hideMark/>
          </w:tcPr>
          <w:p w14:paraId="6AAC14E5" w14:textId="77777777" w:rsidR="00C14355" w:rsidRPr="00991A8D" w:rsidRDefault="00C14355" w:rsidP="00C14355">
            <w:pPr>
              <w:spacing w:after="0" w:line="240" w:lineRule="auto"/>
              <w:jc w:val="center"/>
              <w:rPr>
                <w:rFonts w:eastAsia="Times New Roman"/>
                <w:spacing w:val="0"/>
                <w:lang w:eastAsia="es-DO"/>
              </w:rPr>
            </w:pPr>
            <w:r w:rsidRPr="00991A8D">
              <w:rPr>
                <w:rFonts w:eastAsia="Times New Roman"/>
                <w:spacing w:val="0"/>
                <w:lang w:eastAsia="es-DO"/>
              </w:rPr>
              <w:t>2</w:t>
            </w:r>
          </w:p>
        </w:tc>
        <w:tc>
          <w:tcPr>
            <w:tcW w:w="2001" w:type="dxa"/>
            <w:tcBorders>
              <w:top w:val="nil"/>
              <w:left w:val="nil"/>
              <w:bottom w:val="single" w:sz="4" w:space="0" w:color="auto"/>
              <w:right w:val="single" w:sz="4" w:space="0" w:color="auto"/>
            </w:tcBorders>
            <w:vAlign w:val="center"/>
            <w:hideMark/>
          </w:tcPr>
          <w:p w14:paraId="66AA8090" w14:textId="77777777" w:rsidR="00C14355" w:rsidRPr="00991A8D" w:rsidRDefault="00C14355" w:rsidP="00370586">
            <w:pPr>
              <w:pStyle w:val="Sinespaciado"/>
              <w:spacing w:line="360" w:lineRule="auto"/>
              <w:rPr>
                <w:color w:val="767171"/>
                <w:lang w:val="es-DO" w:eastAsia="es-DO"/>
              </w:rPr>
            </w:pPr>
            <w:r w:rsidRPr="00991A8D">
              <w:rPr>
                <w:color w:val="767171"/>
                <w:lang w:val="es-DO" w:eastAsia="es-DO"/>
              </w:rPr>
              <w:t>Dirección de unidades de Auditoría Interna Gubernamental</w:t>
            </w:r>
          </w:p>
        </w:tc>
        <w:tc>
          <w:tcPr>
            <w:tcW w:w="2099" w:type="dxa"/>
            <w:tcBorders>
              <w:top w:val="nil"/>
              <w:left w:val="nil"/>
              <w:bottom w:val="single" w:sz="4" w:space="0" w:color="auto"/>
              <w:right w:val="single" w:sz="4" w:space="0" w:color="auto"/>
            </w:tcBorders>
            <w:vAlign w:val="center"/>
            <w:hideMark/>
          </w:tcPr>
          <w:p w14:paraId="3612F951" w14:textId="7B99401A" w:rsidR="00C14355" w:rsidRPr="00991A8D" w:rsidRDefault="00C04694" w:rsidP="00370586">
            <w:pPr>
              <w:pStyle w:val="Sinespaciado"/>
              <w:spacing w:line="360" w:lineRule="auto"/>
              <w:rPr>
                <w:color w:val="767171"/>
                <w:lang w:val="es-DO" w:eastAsia="es-DO"/>
              </w:rPr>
            </w:pPr>
            <w:r w:rsidRPr="00991A8D">
              <w:rPr>
                <w:color w:val="767171"/>
                <w:lang w:val="es-DO" w:eastAsia="es-DO"/>
              </w:rPr>
              <w:t>Ampliación de la cobertura de las Unidades de Auditoría Interna</w:t>
            </w:r>
          </w:p>
        </w:tc>
        <w:tc>
          <w:tcPr>
            <w:tcW w:w="2001" w:type="dxa"/>
            <w:tcBorders>
              <w:top w:val="nil"/>
              <w:left w:val="nil"/>
              <w:bottom w:val="single" w:sz="4" w:space="0" w:color="auto"/>
              <w:right w:val="single" w:sz="4" w:space="0" w:color="auto"/>
            </w:tcBorders>
            <w:vAlign w:val="center"/>
            <w:hideMark/>
          </w:tcPr>
          <w:p w14:paraId="10F36C93" w14:textId="798FAF13" w:rsidR="00C14355" w:rsidRPr="00991A8D" w:rsidRDefault="00C04694" w:rsidP="00C04694">
            <w:pPr>
              <w:pStyle w:val="Sinespaciado"/>
              <w:spacing w:line="360" w:lineRule="auto"/>
              <w:rPr>
                <w:color w:val="767171"/>
                <w:lang w:val="es-DO" w:eastAsia="es-DO"/>
              </w:rPr>
            </w:pPr>
            <w:r w:rsidRPr="00991A8D">
              <w:rPr>
                <w:color w:val="767171"/>
                <w:lang w:val="es-DO" w:eastAsia="es-DO"/>
              </w:rPr>
              <w:t>Cantidad de unidades de auditoría interna aperturadas</w:t>
            </w:r>
          </w:p>
        </w:tc>
        <w:tc>
          <w:tcPr>
            <w:tcW w:w="1572" w:type="dxa"/>
            <w:tcBorders>
              <w:top w:val="nil"/>
              <w:left w:val="nil"/>
              <w:bottom w:val="single" w:sz="4" w:space="0" w:color="auto"/>
              <w:right w:val="single" w:sz="4" w:space="0" w:color="auto"/>
            </w:tcBorders>
            <w:vAlign w:val="center"/>
            <w:hideMark/>
          </w:tcPr>
          <w:p w14:paraId="6598F634" w14:textId="77777777" w:rsidR="00C14355" w:rsidRPr="00991A8D" w:rsidRDefault="00C14355" w:rsidP="00370586">
            <w:pPr>
              <w:pStyle w:val="Sinespaciado"/>
              <w:spacing w:line="360" w:lineRule="auto"/>
              <w:rPr>
                <w:color w:val="767171"/>
                <w:lang w:eastAsia="es-DO"/>
              </w:rPr>
            </w:pPr>
            <w:r w:rsidRPr="00991A8D">
              <w:rPr>
                <w:color w:val="767171"/>
                <w:lang w:eastAsia="es-DO"/>
              </w:rPr>
              <w:t>Trimestral</w:t>
            </w:r>
          </w:p>
        </w:tc>
        <w:tc>
          <w:tcPr>
            <w:tcW w:w="898" w:type="dxa"/>
            <w:tcBorders>
              <w:top w:val="nil"/>
              <w:left w:val="nil"/>
              <w:bottom w:val="single" w:sz="4" w:space="0" w:color="auto"/>
              <w:right w:val="single" w:sz="4" w:space="0" w:color="auto"/>
            </w:tcBorders>
            <w:vAlign w:val="center"/>
            <w:hideMark/>
          </w:tcPr>
          <w:p w14:paraId="382A0893" w14:textId="003358D0" w:rsidR="00C14355" w:rsidRPr="00991A8D" w:rsidRDefault="00C04694" w:rsidP="00370586">
            <w:pPr>
              <w:pStyle w:val="Sinespaciado"/>
              <w:spacing w:line="360" w:lineRule="auto"/>
              <w:rPr>
                <w:color w:val="767171"/>
                <w:lang w:eastAsia="es-DO"/>
              </w:rPr>
            </w:pPr>
            <w:r w:rsidRPr="00991A8D">
              <w:rPr>
                <w:color w:val="767171"/>
                <w:lang w:eastAsia="es-DO"/>
              </w:rPr>
              <w:t>15</w:t>
            </w:r>
          </w:p>
        </w:tc>
        <w:tc>
          <w:tcPr>
            <w:tcW w:w="864" w:type="dxa"/>
            <w:tcBorders>
              <w:top w:val="nil"/>
              <w:left w:val="nil"/>
              <w:bottom w:val="single" w:sz="4" w:space="0" w:color="auto"/>
              <w:right w:val="single" w:sz="4" w:space="0" w:color="auto"/>
            </w:tcBorders>
            <w:vAlign w:val="center"/>
            <w:hideMark/>
          </w:tcPr>
          <w:p w14:paraId="3F97C785" w14:textId="46EB8C47" w:rsidR="00C14355" w:rsidRPr="00991A8D" w:rsidRDefault="00C04694" w:rsidP="00370586">
            <w:pPr>
              <w:pStyle w:val="Sinespaciado"/>
              <w:spacing w:line="360" w:lineRule="auto"/>
              <w:rPr>
                <w:color w:val="767171"/>
                <w:lang w:eastAsia="es-DO"/>
              </w:rPr>
            </w:pPr>
            <w:r w:rsidRPr="00991A8D">
              <w:rPr>
                <w:color w:val="767171"/>
                <w:lang w:eastAsia="es-DO"/>
              </w:rPr>
              <w:t>15</w:t>
            </w:r>
          </w:p>
        </w:tc>
        <w:tc>
          <w:tcPr>
            <w:tcW w:w="1441" w:type="dxa"/>
            <w:tcBorders>
              <w:top w:val="nil"/>
              <w:left w:val="nil"/>
              <w:bottom w:val="single" w:sz="4" w:space="0" w:color="auto"/>
              <w:right w:val="single" w:sz="4" w:space="0" w:color="auto"/>
            </w:tcBorders>
            <w:vAlign w:val="center"/>
            <w:hideMark/>
          </w:tcPr>
          <w:p w14:paraId="3CCE042C" w14:textId="7E5FE94F" w:rsidR="00C14355" w:rsidRPr="00991A8D" w:rsidRDefault="00C04694" w:rsidP="00370586">
            <w:pPr>
              <w:pStyle w:val="Sinespaciado"/>
              <w:spacing w:line="360" w:lineRule="auto"/>
              <w:rPr>
                <w:color w:val="767171"/>
                <w:lang w:eastAsia="es-DO"/>
              </w:rPr>
            </w:pPr>
            <w:r w:rsidRPr="00991A8D">
              <w:rPr>
                <w:color w:val="767171"/>
                <w:lang w:eastAsia="es-DO"/>
              </w:rPr>
              <w:t>11</w:t>
            </w:r>
          </w:p>
        </w:tc>
        <w:tc>
          <w:tcPr>
            <w:tcW w:w="1111" w:type="dxa"/>
            <w:tcBorders>
              <w:top w:val="nil"/>
              <w:left w:val="nil"/>
              <w:bottom w:val="single" w:sz="4" w:space="0" w:color="auto"/>
              <w:right w:val="single" w:sz="4" w:space="0" w:color="auto"/>
            </w:tcBorders>
            <w:vAlign w:val="center"/>
            <w:hideMark/>
          </w:tcPr>
          <w:p w14:paraId="4682D111" w14:textId="77777777" w:rsidR="00C14355" w:rsidRPr="00991A8D" w:rsidRDefault="00C14355" w:rsidP="00370586">
            <w:pPr>
              <w:pStyle w:val="Sinespaciado"/>
              <w:spacing w:line="360" w:lineRule="auto"/>
              <w:rPr>
                <w:color w:val="767171"/>
                <w:lang w:eastAsia="es-DO"/>
              </w:rPr>
            </w:pPr>
            <w:r w:rsidRPr="00991A8D">
              <w:rPr>
                <w:color w:val="767171"/>
                <w:lang w:eastAsia="es-DO"/>
              </w:rPr>
              <w:t>73%</w:t>
            </w:r>
          </w:p>
        </w:tc>
      </w:tr>
      <w:tr w:rsidR="00991A8D" w:rsidRPr="00991A8D" w14:paraId="2B2D6BDC" w14:textId="77777777" w:rsidTr="00CD7C10">
        <w:trPr>
          <w:trHeight w:val="2410"/>
        </w:trPr>
        <w:tc>
          <w:tcPr>
            <w:tcW w:w="610" w:type="dxa"/>
            <w:tcBorders>
              <w:top w:val="nil"/>
              <w:left w:val="single" w:sz="4" w:space="0" w:color="auto"/>
              <w:bottom w:val="single" w:sz="4" w:space="0" w:color="auto"/>
              <w:right w:val="single" w:sz="4" w:space="0" w:color="auto"/>
            </w:tcBorders>
            <w:vAlign w:val="center"/>
          </w:tcPr>
          <w:p w14:paraId="7CFC60C9" w14:textId="77777777" w:rsidR="00161A93" w:rsidRPr="00991A8D" w:rsidRDefault="00161A93" w:rsidP="00C14355">
            <w:pPr>
              <w:spacing w:after="0" w:line="240" w:lineRule="auto"/>
              <w:jc w:val="center"/>
              <w:rPr>
                <w:rFonts w:eastAsia="Times New Roman"/>
                <w:spacing w:val="0"/>
                <w:lang w:eastAsia="es-DO"/>
              </w:rPr>
            </w:pPr>
          </w:p>
        </w:tc>
        <w:tc>
          <w:tcPr>
            <w:tcW w:w="2001" w:type="dxa"/>
            <w:tcBorders>
              <w:top w:val="nil"/>
              <w:left w:val="single" w:sz="4" w:space="0" w:color="auto"/>
              <w:bottom w:val="single" w:sz="4" w:space="0" w:color="auto"/>
              <w:right w:val="single" w:sz="4" w:space="0" w:color="auto"/>
            </w:tcBorders>
            <w:vAlign w:val="center"/>
          </w:tcPr>
          <w:p w14:paraId="791A060A" w14:textId="0C95E66A" w:rsidR="00161A93" w:rsidRPr="00991A8D" w:rsidRDefault="00161A93" w:rsidP="00441F0E">
            <w:pPr>
              <w:spacing w:after="0" w:line="360" w:lineRule="auto"/>
              <w:rPr>
                <w:rFonts w:eastAsia="Times New Roman"/>
                <w:spacing w:val="0"/>
                <w:lang w:eastAsia="es-DO"/>
              </w:rPr>
            </w:pPr>
            <w:r w:rsidRPr="00991A8D">
              <w:rPr>
                <w:rFonts w:eastAsia="Calibri"/>
                <w:lang w:eastAsia="es-DO"/>
              </w:rPr>
              <w:t>Dirección de unidades de Auditoría Interna Gubernamental</w:t>
            </w:r>
          </w:p>
        </w:tc>
        <w:tc>
          <w:tcPr>
            <w:tcW w:w="2099" w:type="dxa"/>
            <w:tcBorders>
              <w:top w:val="nil"/>
              <w:left w:val="nil"/>
              <w:bottom w:val="single" w:sz="4" w:space="0" w:color="auto"/>
              <w:right w:val="single" w:sz="4" w:space="0" w:color="auto"/>
            </w:tcBorders>
            <w:vAlign w:val="center"/>
          </w:tcPr>
          <w:p w14:paraId="766693C2" w14:textId="052CCA15" w:rsidR="00161A93" w:rsidRPr="00991A8D" w:rsidRDefault="00161A93" w:rsidP="00441F0E">
            <w:pPr>
              <w:pStyle w:val="Sinespaciado"/>
              <w:spacing w:line="360" w:lineRule="auto"/>
              <w:rPr>
                <w:color w:val="767171"/>
                <w:lang w:val="es-DO" w:eastAsia="es-DO"/>
              </w:rPr>
            </w:pPr>
            <w:r w:rsidRPr="00991A8D">
              <w:rPr>
                <w:color w:val="767171"/>
                <w:lang w:val="es-DO" w:eastAsia="es-DO"/>
              </w:rPr>
              <w:t>Revisión de los cumplimientos legales de las órdenes de pago directos de las Instituciones Descentralizadas y Autónomas, las instituciones Públicas de la seguridad Social, las empresas Públicas con participación Estatal Mayoritaria</w:t>
            </w:r>
          </w:p>
        </w:tc>
        <w:tc>
          <w:tcPr>
            <w:tcW w:w="2001" w:type="dxa"/>
            <w:tcBorders>
              <w:top w:val="nil"/>
              <w:left w:val="nil"/>
              <w:bottom w:val="single" w:sz="4" w:space="0" w:color="auto"/>
              <w:right w:val="single" w:sz="4" w:space="0" w:color="auto"/>
            </w:tcBorders>
            <w:vAlign w:val="center"/>
          </w:tcPr>
          <w:p w14:paraId="583F697E" w14:textId="219489A3" w:rsidR="00161A93" w:rsidRPr="00991A8D" w:rsidRDefault="00161A93" w:rsidP="00441F0E">
            <w:pPr>
              <w:pStyle w:val="Sinespaciado"/>
              <w:spacing w:line="360" w:lineRule="auto"/>
              <w:rPr>
                <w:color w:val="767171"/>
                <w:lang w:val="es-DO" w:eastAsia="es-DO"/>
              </w:rPr>
            </w:pPr>
            <w:r w:rsidRPr="00991A8D">
              <w:rPr>
                <w:color w:val="767171"/>
                <w:lang w:val="es-DO" w:eastAsia="es-DO"/>
              </w:rPr>
              <w:t>Porcentaje de evaluación del cumplimiento normativo de las órdenes de pagos en los sistemas.</w:t>
            </w:r>
          </w:p>
        </w:tc>
        <w:tc>
          <w:tcPr>
            <w:tcW w:w="1572" w:type="dxa"/>
            <w:tcBorders>
              <w:top w:val="nil"/>
              <w:left w:val="nil"/>
              <w:bottom w:val="single" w:sz="4" w:space="0" w:color="auto"/>
              <w:right w:val="single" w:sz="4" w:space="0" w:color="auto"/>
            </w:tcBorders>
            <w:vAlign w:val="center"/>
          </w:tcPr>
          <w:p w14:paraId="13BEF5E5" w14:textId="5C16D3A9" w:rsidR="00161A93" w:rsidRPr="00991A8D" w:rsidRDefault="00161A93" w:rsidP="00441F0E">
            <w:pPr>
              <w:pStyle w:val="Sinespaciado"/>
              <w:spacing w:line="360" w:lineRule="auto"/>
              <w:rPr>
                <w:color w:val="767171"/>
                <w:lang w:eastAsia="es-DO"/>
              </w:rPr>
            </w:pPr>
            <w:r w:rsidRPr="00991A8D">
              <w:rPr>
                <w:color w:val="767171"/>
                <w:lang w:eastAsia="es-DO"/>
              </w:rPr>
              <w:t xml:space="preserve">Trimestral </w:t>
            </w:r>
          </w:p>
        </w:tc>
        <w:tc>
          <w:tcPr>
            <w:tcW w:w="898" w:type="dxa"/>
            <w:tcBorders>
              <w:top w:val="nil"/>
              <w:left w:val="nil"/>
              <w:bottom w:val="single" w:sz="4" w:space="0" w:color="auto"/>
              <w:right w:val="single" w:sz="4" w:space="0" w:color="auto"/>
            </w:tcBorders>
            <w:vAlign w:val="center"/>
          </w:tcPr>
          <w:p w14:paraId="1FEC13FB" w14:textId="16C5288E" w:rsidR="00161A93" w:rsidRPr="00991A8D" w:rsidRDefault="00161A93" w:rsidP="00441F0E">
            <w:pPr>
              <w:pStyle w:val="Sinespaciado"/>
              <w:spacing w:line="360" w:lineRule="auto"/>
              <w:rPr>
                <w:color w:val="767171"/>
                <w:lang w:eastAsia="es-DO"/>
              </w:rPr>
            </w:pPr>
            <w:r w:rsidRPr="00991A8D">
              <w:rPr>
                <w:color w:val="767171"/>
                <w:lang w:eastAsia="es-DO"/>
              </w:rPr>
              <w:t>100%</w:t>
            </w:r>
          </w:p>
        </w:tc>
        <w:tc>
          <w:tcPr>
            <w:tcW w:w="864" w:type="dxa"/>
            <w:tcBorders>
              <w:top w:val="nil"/>
              <w:left w:val="nil"/>
              <w:bottom w:val="single" w:sz="4" w:space="0" w:color="auto"/>
              <w:right w:val="single" w:sz="4" w:space="0" w:color="auto"/>
            </w:tcBorders>
            <w:vAlign w:val="center"/>
          </w:tcPr>
          <w:p w14:paraId="3EC74A18" w14:textId="6917391B" w:rsidR="00161A93" w:rsidRPr="00991A8D" w:rsidRDefault="00161A93" w:rsidP="00441F0E">
            <w:pPr>
              <w:pStyle w:val="Sinespaciado"/>
              <w:spacing w:line="360" w:lineRule="auto"/>
              <w:rPr>
                <w:color w:val="767171"/>
                <w:lang w:eastAsia="es-DO"/>
              </w:rPr>
            </w:pPr>
            <w:r w:rsidRPr="00991A8D">
              <w:rPr>
                <w:color w:val="767171"/>
                <w:lang w:eastAsia="es-DO"/>
              </w:rPr>
              <w:t>100%</w:t>
            </w:r>
          </w:p>
        </w:tc>
        <w:tc>
          <w:tcPr>
            <w:tcW w:w="1441" w:type="dxa"/>
            <w:tcBorders>
              <w:top w:val="nil"/>
              <w:left w:val="nil"/>
              <w:bottom w:val="single" w:sz="4" w:space="0" w:color="auto"/>
              <w:right w:val="single" w:sz="4" w:space="0" w:color="auto"/>
            </w:tcBorders>
            <w:vAlign w:val="center"/>
          </w:tcPr>
          <w:p w14:paraId="7E724040" w14:textId="48D3C6BE" w:rsidR="00161A93" w:rsidRPr="00991A8D" w:rsidRDefault="00161A93" w:rsidP="00441F0E">
            <w:pPr>
              <w:pStyle w:val="Sinespaciado"/>
              <w:spacing w:line="360" w:lineRule="auto"/>
              <w:rPr>
                <w:color w:val="767171"/>
                <w:lang w:eastAsia="es-DO"/>
              </w:rPr>
            </w:pPr>
            <w:r w:rsidRPr="00991A8D">
              <w:rPr>
                <w:color w:val="767171"/>
                <w:lang w:eastAsia="es-DO"/>
              </w:rPr>
              <w:t>100%</w:t>
            </w:r>
          </w:p>
        </w:tc>
        <w:tc>
          <w:tcPr>
            <w:tcW w:w="1111" w:type="dxa"/>
            <w:tcBorders>
              <w:top w:val="nil"/>
              <w:left w:val="nil"/>
              <w:bottom w:val="single" w:sz="4" w:space="0" w:color="auto"/>
              <w:right w:val="single" w:sz="4" w:space="0" w:color="auto"/>
            </w:tcBorders>
            <w:vAlign w:val="center"/>
          </w:tcPr>
          <w:p w14:paraId="0017C6AC" w14:textId="5D86CA75" w:rsidR="00161A93" w:rsidRPr="00991A8D" w:rsidRDefault="00161A93" w:rsidP="00441F0E">
            <w:pPr>
              <w:pStyle w:val="Sinespaciado"/>
              <w:spacing w:line="360" w:lineRule="auto"/>
              <w:rPr>
                <w:color w:val="767171"/>
                <w:lang w:eastAsia="es-DO"/>
              </w:rPr>
            </w:pPr>
            <w:r w:rsidRPr="00991A8D">
              <w:rPr>
                <w:color w:val="767171"/>
                <w:lang w:eastAsia="es-DO"/>
              </w:rPr>
              <w:t>100%</w:t>
            </w:r>
          </w:p>
        </w:tc>
      </w:tr>
      <w:tr w:rsidR="00991A8D" w:rsidRPr="00991A8D" w14:paraId="1C0F46F7" w14:textId="77777777" w:rsidTr="00CD7C10">
        <w:trPr>
          <w:trHeight w:val="2410"/>
        </w:trPr>
        <w:tc>
          <w:tcPr>
            <w:tcW w:w="610" w:type="dxa"/>
            <w:vMerge w:val="restart"/>
            <w:tcBorders>
              <w:top w:val="nil"/>
              <w:left w:val="single" w:sz="4" w:space="0" w:color="auto"/>
              <w:bottom w:val="single" w:sz="4" w:space="0" w:color="auto"/>
              <w:right w:val="single" w:sz="4" w:space="0" w:color="auto"/>
            </w:tcBorders>
            <w:vAlign w:val="center"/>
            <w:hideMark/>
          </w:tcPr>
          <w:p w14:paraId="1B8432D5" w14:textId="77777777" w:rsidR="00161A93" w:rsidRPr="00991A8D" w:rsidRDefault="00161A93" w:rsidP="00161A93">
            <w:pPr>
              <w:spacing w:after="0" w:line="240" w:lineRule="auto"/>
              <w:jc w:val="center"/>
              <w:rPr>
                <w:rFonts w:eastAsia="Times New Roman"/>
                <w:spacing w:val="0"/>
                <w:lang w:eastAsia="es-DO"/>
              </w:rPr>
            </w:pPr>
            <w:r w:rsidRPr="00991A8D">
              <w:rPr>
                <w:rFonts w:eastAsia="Times New Roman"/>
                <w:spacing w:val="0"/>
                <w:lang w:eastAsia="es-DO"/>
              </w:rPr>
              <w:lastRenderedPageBreak/>
              <w:t>3</w:t>
            </w:r>
          </w:p>
        </w:tc>
        <w:tc>
          <w:tcPr>
            <w:tcW w:w="2001" w:type="dxa"/>
            <w:vMerge w:val="restart"/>
            <w:tcBorders>
              <w:top w:val="nil"/>
              <w:left w:val="single" w:sz="4" w:space="0" w:color="auto"/>
              <w:bottom w:val="single" w:sz="4" w:space="0" w:color="auto"/>
              <w:right w:val="single" w:sz="4" w:space="0" w:color="auto"/>
            </w:tcBorders>
            <w:vAlign w:val="center"/>
            <w:hideMark/>
          </w:tcPr>
          <w:p w14:paraId="0EA9582F" w14:textId="77777777" w:rsidR="00161A93" w:rsidRPr="00991A8D" w:rsidRDefault="00161A93" w:rsidP="00441F0E">
            <w:pPr>
              <w:spacing w:after="0" w:line="360" w:lineRule="auto"/>
              <w:rPr>
                <w:rFonts w:eastAsia="Calibri"/>
                <w:lang w:eastAsia="es-DO"/>
              </w:rPr>
            </w:pPr>
          </w:p>
          <w:p w14:paraId="134A300C" w14:textId="77777777" w:rsidR="00161A93" w:rsidRPr="00991A8D" w:rsidRDefault="00161A93" w:rsidP="00441F0E">
            <w:pPr>
              <w:spacing w:after="0" w:line="360" w:lineRule="auto"/>
              <w:rPr>
                <w:rFonts w:eastAsia="Calibri"/>
                <w:lang w:eastAsia="es-DO"/>
              </w:rPr>
            </w:pPr>
          </w:p>
          <w:p w14:paraId="2E44F26F" w14:textId="77777777" w:rsidR="00493CDC" w:rsidRPr="00991A8D" w:rsidRDefault="00493CDC" w:rsidP="00441F0E">
            <w:pPr>
              <w:spacing w:after="0" w:line="360" w:lineRule="auto"/>
              <w:rPr>
                <w:rFonts w:eastAsia="Calibri"/>
                <w:lang w:eastAsia="es-DO"/>
              </w:rPr>
            </w:pPr>
          </w:p>
          <w:p w14:paraId="19CA1B4D" w14:textId="77777777" w:rsidR="00493CDC" w:rsidRPr="00991A8D" w:rsidRDefault="00493CDC" w:rsidP="00441F0E">
            <w:pPr>
              <w:spacing w:after="0" w:line="360" w:lineRule="auto"/>
              <w:rPr>
                <w:rFonts w:eastAsia="Calibri"/>
                <w:lang w:eastAsia="es-DO"/>
              </w:rPr>
            </w:pPr>
          </w:p>
          <w:p w14:paraId="78A58350" w14:textId="11A8C996" w:rsidR="00161A93" w:rsidRPr="00991A8D" w:rsidRDefault="00161A93" w:rsidP="00441F0E">
            <w:pPr>
              <w:spacing w:after="0" w:line="360" w:lineRule="auto"/>
              <w:rPr>
                <w:rFonts w:eastAsia="Calibri"/>
                <w:lang w:eastAsia="es-DO"/>
              </w:rPr>
            </w:pPr>
            <w:r w:rsidRPr="00991A8D">
              <w:rPr>
                <w:rFonts w:eastAsia="Calibri"/>
                <w:lang w:eastAsia="es-DO"/>
              </w:rPr>
              <w:t>Dirección Desarrollo Normativo</w:t>
            </w:r>
          </w:p>
          <w:p w14:paraId="751CC963" w14:textId="77777777" w:rsidR="00161A93" w:rsidRPr="00991A8D" w:rsidRDefault="00161A93" w:rsidP="00441F0E">
            <w:pPr>
              <w:spacing w:after="0" w:line="360" w:lineRule="auto"/>
              <w:rPr>
                <w:rFonts w:eastAsia="Calibri"/>
                <w:lang w:eastAsia="es-DO"/>
              </w:rPr>
            </w:pPr>
          </w:p>
          <w:p w14:paraId="2789DE96" w14:textId="77777777" w:rsidR="00493CDC" w:rsidRPr="00991A8D" w:rsidRDefault="00493CDC" w:rsidP="00441F0E">
            <w:pPr>
              <w:spacing w:after="0" w:line="360" w:lineRule="auto"/>
              <w:rPr>
                <w:rFonts w:eastAsia="Calibri"/>
                <w:lang w:eastAsia="es-DO"/>
              </w:rPr>
            </w:pPr>
          </w:p>
          <w:p w14:paraId="186788D1" w14:textId="77777777" w:rsidR="00161A93" w:rsidRPr="00991A8D" w:rsidRDefault="00161A93" w:rsidP="00441F0E">
            <w:pPr>
              <w:spacing w:after="0" w:line="360" w:lineRule="auto"/>
              <w:rPr>
                <w:rFonts w:eastAsia="Calibri"/>
                <w:lang w:eastAsia="es-DO"/>
              </w:rPr>
            </w:pPr>
          </w:p>
          <w:p w14:paraId="366D2C1F" w14:textId="77777777" w:rsidR="00886377" w:rsidRPr="00991A8D" w:rsidRDefault="00886377" w:rsidP="00441F0E">
            <w:pPr>
              <w:spacing w:after="0" w:line="360" w:lineRule="auto"/>
              <w:rPr>
                <w:rFonts w:eastAsia="Calibri"/>
                <w:lang w:eastAsia="es-DO"/>
              </w:rPr>
            </w:pPr>
          </w:p>
          <w:p w14:paraId="01535420" w14:textId="77777777" w:rsidR="00493CDC" w:rsidRPr="00991A8D" w:rsidRDefault="00493CDC" w:rsidP="00441F0E">
            <w:pPr>
              <w:spacing w:after="0" w:line="360" w:lineRule="auto"/>
              <w:rPr>
                <w:rFonts w:eastAsia="Calibri"/>
                <w:lang w:eastAsia="es-DO"/>
              </w:rPr>
            </w:pPr>
          </w:p>
          <w:p w14:paraId="4620FDD3" w14:textId="77777777" w:rsidR="00493CDC" w:rsidRPr="00991A8D" w:rsidRDefault="00493CDC" w:rsidP="00441F0E">
            <w:pPr>
              <w:spacing w:after="0" w:line="360" w:lineRule="auto"/>
              <w:rPr>
                <w:rFonts w:eastAsia="Calibri"/>
                <w:lang w:eastAsia="es-DO"/>
              </w:rPr>
            </w:pPr>
          </w:p>
          <w:p w14:paraId="405CC0BE" w14:textId="77777777" w:rsidR="00493CDC" w:rsidRPr="00991A8D" w:rsidRDefault="00493CDC" w:rsidP="00441F0E">
            <w:pPr>
              <w:spacing w:after="0" w:line="360" w:lineRule="auto"/>
              <w:rPr>
                <w:rFonts w:eastAsia="Calibri"/>
                <w:lang w:eastAsia="es-DO"/>
              </w:rPr>
            </w:pPr>
          </w:p>
          <w:p w14:paraId="5B321983" w14:textId="77777777" w:rsidR="00493CDC" w:rsidRPr="00991A8D" w:rsidRDefault="00493CDC" w:rsidP="00441F0E">
            <w:pPr>
              <w:spacing w:after="0" w:line="360" w:lineRule="auto"/>
              <w:rPr>
                <w:rFonts w:eastAsia="Calibri"/>
                <w:lang w:eastAsia="es-DO"/>
              </w:rPr>
            </w:pPr>
          </w:p>
          <w:p w14:paraId="399EC88E" w14:textId="2C099813" w:rsidR="00161A93" w:rsidRPr="00991A8D" w:rsidRDefault="00161A93" w:rsidP="00441F0E">
            <w:pPr>
              <w:spacing w:after="0" w:line="360" w:lineRule="auto"/>
              <w:rPr>
                <w:rFonts w:eastAsia="Calibri"/>
                <w:lang w:eastAsia="es-DO"/>
              </w:rPr>
            </w:pPr>
            <w:r w:rsidRPr="00991A8D">
              <w:rPr>
                <w:rFonts w:eastAsia="Calibri"/>
                <w:lang w:eastAsia="es-DO"/>
              </w:rPr>
              <w:t>Dirección Desarrollo Normativo</w:t>
            </w:r>
          </w:p>
        </w:tc>
        <w:tc>
          <w:tcPr>
            <w:tcW w:w="2099" w:type="dxa"/>
            <w:tcBorders>
              <w:top w:val="nil"/>
              <w:left w:val="nil"/>
              <w:bottom w:val="single" w:sz="4" w:space="0" w:color="auto"/>
              <w:right w:val="single" w:sz="4" w:space="0" w:color="auto"/>
            </w:tcBorders>
            <w:vAlign w:val="center"/>
            <w:hideMark/>
          </w:tcPr>
          <w:p w14:paraId="1B80CBC0" w14:textId="00DCB435" w:rsidR="00161A93" w:rsidRPr="00991A8D" w:rsidRDefault="00161A93" w:rsidP="00441F0E">
            <w:pPr>
              <w:spacing w:after="0" w:line="360" w:lineRule="auto"/>
              <w:rPr>
                <w:rFonts w:eastAsia="Calibri"/>
                <w:lang w:eastAsia="es-DO"/>
              </w:rPr>
            </w:pPr>
            <w:r w:rsidRPr="00991A8D">
              <w:rPr>
                <w:rFonts w:eastAsia="Calibri"/>
                <w:lang w:eastAsia="es-DO"/>
              </w:rPr>
              <w:lastRenderedPageBreak/>
              <w:t>Implementación las Normas Básicas de Control Interno</w:t>
            </w:r>
          </w:p>
        </w:tc>
        <w:tc>
          <w:tcPr>
            <w:tcW w:w="2001" w:type="dxa"/>
            <w:tcBorders>
              <w:top w:val="nil"/>
              <w:left w:val="nil"/>
              <w:bottom w:val="single" w:sz="4" w:space="0" w:color="auto"/>
              <w:right w:val="single" w:sz="4" w:space="0" w:color="auto"/>
            </w:tcBorders>
            <w:vAlign w:val="center"/>
            <w:hideMark/>
          </w:tcPr>
          <w:p w14:paraId="37154843" w14:textId="589D50E0" w:rsidR="00161A93" w:rsidRPr="00991A8D" w:rsidRDefault="00161A93" w:rsidP="00441F0E">
            <w:pPr>
              <w:spacing w:after="0" w:line="360" w:lineRule="auto"/>
              <w:rPr>
                <w:rFonts w:eastAsia="Calibri"/>
                <w:lang w:eastAsia="es-DO"/>
              </w:rPr>
            </w:pPr>
            <w:r w:rsidRPr="00991A8D">
              <w:rPr>
                <w:rFonts w:eastAsia="Calibri"/>
                <w:lang w:eastAsia="es-DO"/>
              </w:rPr>
              <w:t>Cantidad de instituciones incorporadas en NOBACI</w:t>
            </w:r>
          </w:p>
        </w:tc>
        <w:tc>
          <w:tcPr>
            <w:tcW w:w="1572" w:type="dxa"/>
            <w:tcBorders>
              <w:top w:val="nil"/>
              <w:left w:val="nil"/>
              <w:bottom w:val="single" w:sz="4" w:space="0" w:color="auto"/>
              <w:right w:val="single" w:sz="4" w:space="0" w:color="auto"/>
            </w:tcBorders>
            <w:vAlign w:val="center"/>
            <w:hideMark/>
          </w:tcPr>
          <w:p w14:paraId="4681FF11" w14:textId="77777777" w:rsidR="00161A93" w:rsidRPr="00991A8D" w:rsidRDefault="00161A93" w:rsidP="00441F0E">
            <w:pPr>
              <w:spacing w:after="0" w:line="360" w:lineRule="auto"/>
              <w:rPr>
                <w:rFonts w:eastAsia="Calibri"/>
                <w:lang w:eastAsia="es-DO"/>
              </w:rPr>
            </w:pPr>
            <w:r w:rsidRPr="00991A8D">
              <w:rPr>
                <w:rFonts w:eastAsia="Calibri"/>
                <w:lang w:eastAsia="es-DO"/>
              </w:rPr>
              <w:t>Trimestral</w:t>
            </w:r>
          </w:p>
        </w:tc>
        <w:tc>
          <w:tcPr>
            <w:tcW w:w="898" w:type="dxa"/>
            <w:tcBorders>
              <w:top w:val="nil"/>
              <w:left w:val="nil"/>
              <w:bottom w:val="single" w:sz="4" w:space="0" w:color="auto"/>
              <w:right w:val="single" w:sz="4" w:space="0" w:color="auto"/>
            </w:tcBorders>
            <w:vAlign w:val="center"/>
            <w:hideMark/>
          </w:tcPr>
          <w:p w14:paraId="04230905" w14:textId="14C49943" w:rsidR="00161A93" w:rsidRPr="00991A8D" w:rsidRDefault="00161A93" w:rsidP="00441F0E">
            <w:pPr>
              <w:spacing w:after="0" w:line="360" w:lineRule="auto"/>
              <w:jc w:val="center"/>
              <w:rPr>
                <w:rFonts w:eastAsia="Calibri"/>
                <w:lang w:eastAsia="es-DO"/>
              </w:rPr>
            </w:pPr>
            <w:r w:rsidRPr="00991A8D">
              <w:rPr>
                <w:rFonts w:eastAsia="Calibri"/>
                <w:lang w:eastAsia="es-DO"/>
              </w:rPr>
              <w:t>275</w:t>
            </w:r>
          </w:p>
        </w:tc>
        <w:tc>
          <w:tcPr>
            <w:tcW w:w="864" w:type="dxa"/>
            <w:tcBorders>
              <w:top w:val="nil"/>
              <w:left w:val="nil"/>
              <w:bottom w:val="single" w:sz="4" w:space="0" w:color="auto"/>
              <w:right w:val="single" w:sz="4" w:space="0" w:color="auto"/>
            </w:tcBorders>
            <w:vAlign w:val="center"/>
            <w:hideMark/>
          </w:tcPr>
          <w:p w14:paraId="4F1DB020" w14:textId="412AD40B" w:rsidR="00161A93" w:rsidRPr="00991A8D" w:rsidRDefault="00161A93" w:rsidP="00441F0E">
            <w:pPr>
              <w:spacing w:after="0" w:line="360" w:lineRule="auto"/>
              <w:jc w:val="center"/>
              <w:rPr>
                <w:rFonts w:eastAsia="Calibri"/>
                <w:lang w:eastAsia="es-DO"/>
              </w:rPr>
            </w:pPr>
            <w:r w:rsidRPr="00991A8D">
              <w:rPr>
                <w:rFonts w:eastAsia="Calibri"/>
                <w:lang w:eastAsia="es-DO"/>
              </w:rPr>
              <w:t>285</w:t>
            </w:r>
          </w:p>
        </w:tc>
        <w:tc>
          <w:tcPr>
            <w:tcW w:w="1441" w:type="dxa"/>
            <w:tcBorders>
              <w:top w:val="nil"/>
              <w:left w:val="nil"/>
              <w:bottom w:val="single" w:sz="4" w:space="0" w:color="auto"/>
              <w:right w:val="single" w:sz="4" w:space="0" w:color="auto"/>
            </w:tcBorders>
            <w:vAlign w:val="center"/>
            <w:hideMark/>
          </w:tcPr>
          <w:p w14:paraId="40FA9504" w14:textId="086512A3" w:rsidR="00161A93" w:rsidRPr="00991A8D" w:rsidRDefault="00161A93" w:rsidP="00441F0E">
            <w:pPr>
              <w:spacing w:after="0" w:line="360" w:lineRule="auto"/>
              <w:jc w:val="center"/>
              <w:rPr>
                <w:rFonts w:eastAsia="Times New Roman"/>
                <w:spacing w:val="0"/>
                <w:lang w:eastAsia="es-DO"/>
              </w:rPr>
            </w:pPr>
            <w:r w:rsidRPr="00991A8D">
              <w:rPr>
                <w:rFonts w:eastAsia="Times New Roman"/>
                <w:spacing w:val="0"/>
                <w:lang w:eastAsia="es-DO"/>
              </w:rPr>
              <w:t>285</w:t>
            </w:r>
          </w:p>
        </w:tc>
        <w:tc>
          <w:tcPr>
            <w:tcW w:w="1111" w:type="dxa"/>
            <w:tcBorders>
              <w:top w:val="nil"/>
              <w:left w:val="nil"/>
              <w:bottom w:val="single" w:sz="4" w:space="0" w:color="auto"/>
              <w:right w:val="single" w:sz="4" w:space="0" w:color="auto"/>
            </w:tcBorders>
            <w:vAlign w:val="center"/>
            <w:hideMark/>
          </w:tcPr>
          <w:p w14:paraId="683388AD" w14:textId="4647AEF5" w:rsidR="00161A93" w:rsidRPr="00991A8D" w:rsidRDefault="00161A93" w:rsidP="00441F0E">
            <w:pPr>
              <w:spacing w:after="0" w:line="360" w:lineRule="auto"/>
              <w:jc w:val="center"/>
              <w:rPr>
                <w:rFonts w:eastAsia="Times New Roman"/>
                <w:spacing w:val="0"/>
                <w:lang w:eastAsia="es-DO"/>
              </w:rPr>
            </w:pPr>
            <w:r w:rsidRPr="00991A8D">
              <w:rPr>
                <w:rFonts w:eastAsia="Times New Roman"/>
                <w:spacing w:val="0"/>
                <w:lang w:eastAsia="es-DO"/>
              </w:rPr>
              <w:t>100%</w:t>
            </w:r>
          </w:p>
        </w:tc>
      </w:tr>
      <w:tr w:rsidR="00991A8D" w:rsidRPr="00991A8D" w14:paraId="46AB1ECF" w14:textId="77777777" w:rsidTr="00CD7C10">
        <w:trPr>
          <w:trHeight w:val="2410"/>
        </w:trPr>
        <w:tc>
          <w:tcPr>
            <w:tcW w:w="610" w:type="dxa"/>
            <w:vMerge/>
            <w:tcBorders>
              <w:top w:val="nil"/>
              <w:left w:val="single" w:sz="4" w:space="0" w:color="auto"/>
              <w:bottom w:val="single" w:sz="4" w:space="0" w:color="auto"/>
              <w:right w:val="single" w:sz="4" w:space="0" w:color="auto"/>
            </w:tcBorders>
            <w:vAlign w:val="center"/>
          </w:tcPr>
          <w:p w14:paraId="0B7B0CBB" w14:textId="77777777" w:rsidR="00886377" w:rsidRPr="00991A8D" w:rsidRDefault="00886377" w:rsidP="00886377">
            <w:pPr>
              <w:spacing w:after="0" w:line="240" w:lineRule="auto"/>
              <w:jc w:val="center"/>
              <w:rPr>
                <w:rFonts w:eastAsia="Times New Roman"/>
                <w:spacing w:val="0"/>
                <w:lang w:eastAsia="es-DO"/>
              </w:rPr>
            </w:pPr>
          </w:p>
        </w:tc>
        <w:tc>
          <w:tcPr>
            <w:tcW w:w="2001" w:type="dxa"/>
            <w:vMerge/>
            <w:tcBorders>
              <w:top w:val="nil"/>
              <w:left w:val="single" w:sz="4" w:space="0" w:color="auto"/>
              <w:bottom w:val="single" w:sz="4" w:space="0" w:color="auto"/>
              <w:right w:val="single" w:sz="4" w:space="0" w:color="auto"/>
            </w:tcBorders>
            <w:vAlign w:val="center"/>
          </w:tcPr>
          <w:p w14:paraId="0AA42BE4" w14:textId="77777777" w:rsidR="00886377" w:rsidRPr="00991A8D" w:rsidRDefault="00886377" w:rsidP="00441F0E">
            <w:pPr>
              <w:spacing w:after="0" w:line="360" w:lineRule="auto"/>
              <w:rPr>
                <w:rFonts w:eastAsia="Calibri"/>
                <w:lang w:eastAsia="es-DO"/>
              </w:rPr>
            </w:pPr>
          </w:p>
        </w:tc>
        <w:tc>
          <w:tcPr>
            <w:tcW w:w="2099" w:type="dxa"/>
            <w:tcBorders>
              <w:top w:val="nil"/>
              <w:left w:val="nil"/>
              <w:bottom w:val="single" w:sz="4" w:space="0" w:color="auto"/>
              <w:right w:val="single" w:sz="4" w:space="0" w:color="auto"/>
            </w:tcBorders>
            <w:vAlign w:val="center"/>
          </w:tcPr>
          <w:p w14:paraId="57348804" w14:textId="596F467D" w:rsidR="00886377" w:rsidRPr="00991A8D" w:rsidRDefault="00886377" w:rsidP="00441F0E">
            <w:pPr>
              <w:spacing w:after="0" w:line="360" w:lineRule="auto"/>
              <w:rPr>
                <w:rFonts w:eastAsia="Calibri"/>
                <w:lang w:eastAsia="es-DO"/>
              </w:rPr>
            </w:pPr>
            <w:r w:rsidRPr="00991A8D">
              <w:rPr>
                <w:rFonts w:eastAsia="Calibri"/>
                <w:lang w:eastAsia="es-DO"/>
              </w:rPr>
              <w:t>Implementación las Normas Básicas de Control Interno</w:t>
            </w:r>
          </w:p>
        </w:tc>
        <w:tc>
          <w:tcPr>
            <w:tcW w:w="2001" w:type="dxa"/>
            <w:tcBorders>
              <w:top w:val="nil"/>
              <w:left w:val="nil"/>
              <w:bottom w:val="single" w:sz="4" w:space="0" w:color="auto"/>
              <w:right w:val="single" w:sz="4" w:space="0" w:color="auto"/>
            </w:tcBorders>
            <w:vAlign w:val="center"/>
          </w:tcPr>
          <w:p w14:paraId="1552F884" w14:textId="1CF00B92" w:rsidR="00886377" w:rsidRPr="00991A8D" w:rsidRDefault="00886377" w:rsidP="00441F0E">
            <w:pPr>
              <w:spacing w:after="0" w:line="360" w:lineRule="auto"/>
              <w:rPr>
                <w:rFonts w:eastAsia="Calibri"/>
                <w:lang w:eastAsia="es-DO"/>
              </w:rPr>
            </w:pPr>
            <w:r w:rsidRPr="00991A8D">
              <w:rPr>
                <w:rFonts w:eastAsia="Calibri"/>
                <w:lang w:eastAsia="es-DO"/>
              </w:rPr>
              <w:t>Cantidad de instituciones con validación a la implementación de las NOBACI de primer grado.</w:t>
            </w:r>
          </w:p>
        </w:tc>
        <w:tc>
          <w:tcPr>
            <w:tcW w:w="1572" w:type="dxa"/>
            <w:tcBorders>
              <w:top w:val="nil"/>
              <w:left w:val="nil"/>
              <w:bottom w:val="single" w:sz="4" w:space="0" w:color="auto"/>
              <w:right w:val="single" w:sz="4" w:space="0" w:color="auto"/>
            </w:tcBorders>
            <w:vAlign w:val="center"/>
          </w:tcPr>
          <w:p w14:paraId="2B14AB7C" w14:textId="3FF89191" w:rsidR="00886377" w:rsidRPr="00991A8D" w:rsidRDefault="00886377" w:rsidP="00441F0E">
            <w:pPr>
              <w:spacing w:after="0" w:line="360" w:lineRule="auto"/>
              <w:rPr>
                <w:rFonts w:eastAsia="Calibri"/>
                <w:lang w:eastAsia="es-DO"/>
              </w:rPr>
            </w:pPr>
            <w:r w:rsidRPr="00991A8D">
              <w:rPr>
                <w:rFonts w:eastAsia="Calibri"/>
                <w:lang w:eastAsia="es-DO"/>
              </w:rPr>
              <w:t>Trimestral</w:t>
            </w:r>
          </w:p>
        </w:tc>
        <w:tc>
          <w:tcPr>
            <w:tcW w:w="898" w:type="dxa"/>
            <w:tcBorders>
              <w:top w:val="nil"/>
              <w:left w:val="nil"/>
              <w:bottom w:val="single" w:sz="4" w:space="0" w:color="auto"/>
              <w:right w:val="single" w:sz="4" w:space="0" w:color="auto"/>
            </w:tcBorders>
            <w:vAlign w:val="center"/>
          </w:tcPr>
          <w:p w14:paraId="53036B1E" w14:textId="3DF543FD" w:rsidR="00886377" w:rsidRPr="00991A8D" w:rsidRDefault="00886377" w:rsidP="00441F0E">
            <w:pPr>
              <w:spacing w:after="0" w:line="360" w:lineRule="auto"/>
              <w:jc w:val="center"/>
              <w:rPr>
                <w:rFonts w:eastAsia="Calibri"/>
                <w:lang w:eastAsia="es-DO"/>
              </w:rPr>
            </w:pPr>
            <w:r w:rsidRPr="00991A8D">
              <w:rPr>
                <w:rFonts w:eastAsia="Calibri"/>
                <w:lang w:eastAsia="es-DO"/>
              </w:rPr>
              <w:t>34</w:t>
            </w:r>
          </w:p>
        </w:tc>
        <w:tc>
          <w:tcPr>
            <w:tcW w:w="864" w:type="dxa"/>
            <w:tcBorders>
              <w:top w:val="nil"/>
              <w:left w:val="nil"/>
              <w:bottom w:val="single" w:sz="4" w:space="0" w:color="auto"/>
              <w:right w:val="single" w:sz="4" w:space="0" w:color="auto"/>
            </w:tcBorders>
            <w:vAlign w:val="center"/>
          </w:tcPr>
          <w:p w14:paraId="45314B25" w14:textId="053E125C" w:rsidR="00886377" w:rsidRPr="00991A8D" w:rsidRDefault="00886377" w:rsidP="00441F0E">
            <w:pPr>
              <w:spacing w:after="0" w:line="360" w:lineRule="auto"/>
              <w:jc w:val="center"/>
              <w:rPr>
                <w:rFonts w:eastAsia="Calibri"/>
                <w:lang w:eastAsia="es-DO"/>
              </w:rPr>
            </w:pPr>
            <w:r w:rsidRPr="00991A8D">
              <w:rPr>
                <w:rFonts w:eastAsia="Calibri"/>
                <w:lang w:eastAsia="es-DO"/>
              </w:rPr>
              <w:t>42</w:t>
            </w:r>
          </w:p>
        </w:tc>
        <w:tc>
          <w:tcPr>
            <w:tcW w:w="1441" w:type="dxa"/>
            <w:tcBorders>
              <w:top w:val="nil"/>
              <w:left w:val="nil"/>
              <w:bottom w:val="single" w:sz="4" w:space="0" w:color="auto"/>
              <w:right w:val="single" w:sz="4" w:space="0" w:color="auto"/>
            </w:tcBorders>
            <w:vAlign w:val="center"/>
          </w:tcPr>
          <w:p w14:paraId="0F1C9DD7" w14:textId="395317E8" w:rsidR="00886377" w:rsidRPr="00991A8D" w:rsidRDefault="00886377" w:rsidP="00441F0E">
            <w:pPr>
              <w:spacing w:after="0" w:line="360" w:lineRule="auto"/>
              <w:jc w:val="center"/>
              <w:rPr>
                <w:rFonts w:eastAsia="Times New Roman"/>
                <w:spacing w:val="0"/>
                <w:lang w:eastAsia="es-DO"/>
              </w:rPr>
            </w:pPr>
            <w:r w:rsidRPr="00991A8D">
              <w:rPr>
                <w:rFonts w:eastAsia="Times New Roman"/>
                <w:spacing w:val="0"/>
                <w:lang w:eastAsia="es-DO"/>
              </w:rPr>
              <w:t>42</w:t>
            </w:r>
          </w:p>
        </w:tc>
        <w:tc>
          <w:tcPr>
            <w:tcW w:w="1111" w:type="dxa"/>
            <w:tcBorders>
              <w:top w:val="nil"/>
              <w:left w:val="nil"/>
              <w:bottom w:val="single" w:sz="4" w:space="0" w:color="auto"/>
              <w:right w:val="single" w:sz="4" w:space="0" w:color="auto"/>
            </w:tcBorders>
            <w:vAlign w:val="center"/>
          </w:tcPr>
          <w:p w14:paraId="57DFFAF3" w14:textId="43C8F9DF" w:rsidR="00886377" w:rsidRPr="00991A8D" w:rsidRDefault="00886377" w:rsidP="00441F0E">
            <w:pPr>
              <w:spacing w:after="0" w:line="360" w:lineRule="auto"/>
              <w:jc w:val="center"/>
              <w:rPr>
                <w:rFonts w:eastAsia="Times New Roman"/>
                <w:spacing w:val="0"/>
                <w:lang w:eastAsia="es-DO"/>
              </w:rPr>
            </w:pPr>
            <w:r w:rsidRPr="00991A8D">
              <w:rPr>
                <w:rFonts w:eastAsia="Times New Roman"/>
                <w:spacing w:val="0"/>
                <w:lang w:eastAsia="es-DO"/>
              </w:rPr>
              <w:t>100%</w:t>
            </w:r>
          </w:p>
        </w:tc>
      </w:tr>
      <w:tr w:rsidR="00991A8D" w:rsidRPr="00991A8D" w14:paraId="6DAB2703" w14:textId="77777777" w:rsidTr="00161A93">
        <w:trPr>
          <w:trHeight w:val="2397"/>
        </w:trPr>
        <w:tc>
          <w:tcPr>
            <w:tcW w:w="610" w:type="dxa"/>
            <w:vMerge/>
            <w:tcBorders>
              <w:top w:val="nil"/>
              <w:left w:val="single" w:sz="4" w:space="0" w:color="auto"/>
              <w:bottom w:val="single" w:sz="4" w:space="0" w:color="auto"/>
              <w:right w:val="single" w:sz="4" w:space="0" w:color="auto"/>
            </w:tcBorders>
            <w:vAlign w:val="center"/>
            <w:hideMark/>
          </w:tcPr>
          <w:p w14:paraId="11223DB6" w14:textId="77777777" w:rsidR="00886377" w:rsidRPr="00991A8D" w:rsidRDefault="00886377" w:rsidP="00886377">
            <w:pPr>
              <w:spacing w:after="0" w:line="240" w:lineRule="auto"/>
              <w:rPr>
                <w:rFonts w:eastAsia="Times New Roman"/>
                <w:spacing w:val="0"/>
                <w:lang w:eastAsia="es-DO"/>
              </w:rPr>
            </w:pPr>
          </w:p>
        </w:tc>
        <w:tc>
          <w:tcPr>
            <w:tcW w:w="2001" w:type="dxa"/>
            <w:vMerge/>
            <w:tcBorders>
              <w:top w:val="nil"/>
              <w:left w:val="single" w:sz="4" w:space="0" w:color="auto"/>
              <w:bottom w:val="single" w:sz="4" w:space="0" w:color="auto"/>
              <w:right w:val="single" w:sz="4" w:space="0" w:color="auto"/>
            </w:tcBorders>
            <w:vAlign w:val="center"/>
            <w:hideMark/>
          </w:tcPr>
          <w:p w14:paraId="69A629A2" w14:textId="77777777" w:rsidR="00886377" w:rsidRPr="00991A8D" w:rsidRDefault="00886377" w:rsidP="00441F0E">
            <w:pPr>
              <w:spacing w:after="0" w:line="360" w:lineRule="auto"/>
              <w:rPr>
                <w:rFonts w:eastAsia="Times New Roman"/>
                <w:spacing w:val="0"/>
                <w:lang w:eastAsia="es-DO"/>
              </w:rPr>
            </w:pPr>
          </w:p>
        </w:tc>
        <w:tc>
          <w:tcPr>
            <w:tcW w:w="2099" w:type="dxa"/>
            <w:tcBorders>
              <w:top w:val="nil"/>
              <w:left w:val="nil"/>
              <w:bottom w:val="single" w:sz="4" w:space="0" w:color="auto"/>
              <w:right w:val="single" w:sz="4" w:space="0" w:color="auto"/>
            </w:tcBorders>
            <w:vAlign w:val="center"/>
          </w:tcPr>
          <w:p w14:paraId="269826BC" w14:textId="3A07A200" w:rsidR="00886377" w:rsidRPr="00991A8D" w:rsidRDefault="00886377" w:rsidP="00441F0E">
            <w:pPr>
              <w:spacing w:after="0" w:line="360" w:lineRule="auto"/>
              <w:rPr>
                <w:rFonts w:eastAsia="Calibri"/>
                <w:lang w:eastAsia="es-DO"/>
              </w:rPr>
            </w:pPr>
            <w:r w:rsidRPr="00991A8D">
              <w:rPr>
                <w:rFonts w:eastAsia="Calibri"/>
                <w:lang w:eastAsia="es-DO"/>
              </w:rPr>
              <w:t>Evaluación del Índice de Control Interno</w:t>
            </w:r>
          </w:p>
        </w:tc>
        <w:tc>
          <w:tcPr>
            <w:tcW w:w="2001" w:type="dxa"/>
            <w:tcBorders>
              <w:top w:val="nil"/>
              <w:left w:val="nil"/>
              <w:bottom w:val="single" w:sz="4" w:space="0" w:color="auto"/>
              <w:right w:val="single" w:sz="4" w:space="0" w:color="auto"/>
            </w:tcBorders>
            <w:vAlign w:val="center"/>
          </w:tcPr>
          <w:p w14:paraId="3612CFF1" w14:textId="36FA0131" w:rsidR="00886377" w:rsidRPr="00991A8D" w:rsidRDefault="00886377" w:rsidP="00441F0E">
            <w:pPr>
              <w:spacing w:after="0" w:line="360" w:lineRule="auto"/>
              <w:rPr>
                <w:rFonts w:eastAsia="Calibri"/>
                <w:lang w:eastAsia="es-DO"/>
              </w:rPr>
            </w:pPr>
            <w:r w:rsidRPr="00991A8D">
              <w:rPr>
                <w:rFonts w:eastAsia="Calibri"/>
                <w:lang w:eastAsia="es-DO"/>
              </w:rPr>
              <w:t>Cantidad de instituciones incorporadas en ICI</w:t>
            </w:r>
          </w:p>
        </w:tc>
        <w:tc>
          <w:tcPr>
            <w:tcW w:w="1572" w:type="dxa"/>
            <w:tcBorders>
              <w:top w:val="nil"/>
              <w:left w:val="nil"/>
              <w:bottom w:val="single" w:sz="4" w:space="0" w:color="auto"/>
              <w:right w:val="single" w:sz="4" w:space="0" w:color="auto"/>
            </w:tcBorders>
            <w:vAlign w:val="center"/>
          </w:tcPr>
          <w:p w14:paraId="0AC01BA2" w14:textId="17645C3A" w:rsidR="00886377" w:rsidRPr="00991A8D" w:rsidRDefault="00886377" w:rsidP="00441F0E">
            <w:pPr>
              <w:spacing w:after="0" w:line="360" w:lineRule="auto"/>
              <w:jc w:val="center"/>
              <w:rPr>
                <w:rFonts w:eastAsia="Calibri"/>
                <w:lang w:eastAsia="es-DO"/>
              </w:rPr>
            </w:pPr>
            <w:r w:rsidRPr="00991A8D">
              <w:rPr>
                <w:rFonts w:eastAsia="Calibri"/>
                <w:lang w:eastAsia="es-DO"/>
              </w:rPr>
              <w:t>Trimestral</w:t>
            </w:r>
          </w:p>
        </w:tc>
        <w:tc>
          <w:tcPr>
            <w:tcW w:w="898" w:type="dxa"/>
            <w:tcBorders>
              <w:top w:val="nil"/>
              <w:left w:val="nil"/>
              <w:bottom w:val="single" w:sz="4" w:space="0" w:color="auto"/>
              <w:right w:val="single" w:sz="4" w:space="0" w:color="auto"/>
            </w:tcBorders>
            <w:vAlign w:val="center"/>
          </w:tcPr>
          <w:p w14:paraId="06F0C97B" w14:textId="4FC6629E" w:rsidR="00886377" w:rsidRPr="00991A8D" w:rsidRDefault="00886377" w:rsidP="00441F0E">
            <w:pPr>
              <w:spacing w:after="0" w:line="360" w:lineRule="auto"/>
              <w:jc w:val="center"/>
              <w:rPr>
                <w:rFonts w:eastAsia="Calibri"/>
                <w:lang w:eastAsia="es-DO"/>
              </w:rPr>
            </w:pPr>
            <w:r w:rsidRPr="00991A8D">
              <w:rPr>
                <w:rFonts w:eastAsia="Calibri"/>
                <w:lang w:eastAsia="es-DO"/>
              </w:rPr>
              <w:t>150</w:t>
            </w:r>
          </w:p>
        </w:tc>
        <w:tc>
          <w:tcPr>
            <w:tcW w:w="864" w:type="dxa"/>
            <w:tcBorders>
              <w:top w:val="nil"/>
              <w:left w:val="nil"/>
              <w:bottom w:val="single" w:sz="4" w:space="0" w:color="auto"/>
              <w:right w:val="single" w:sz="4" w:space="0" w:color="auto"/>
            </w:tcBorders>
            <w:vAlign w:val="center"/>
          </w:tcPr>
          <w:p w14:paraId="5E6E2CED" w14:textId="273E6564" w:rsidR="00886377" w:rsidRPr="00991A8D" w:rsidRDefault="00886377" w:rsidP="00441F0E">
            <w:pPr>
              <w:spacing w:after="0" w:line="360" w:lineRule="auto"/>
              <w:jc w:val="center"/>
              <w:rPr>
                <w:rFonts w:eastAsia="Times New Roman"/>
                <w:spacing w:val="0"/>
                <w:lang w:eastAsia="es-DO"/>
              </w:rPr>
            </w:pPr>
            <w:r w:rsidRPr="00991A8D">
              <w:rPr>
                <w:rFonts w:eastAsia="Times New Roman"/>
                <w:spacing w:val="0"/>
                <w:lang w:eastAsia="es-DO"/>
              </w:rPr>
              <w:t>162</w:t>
            </w:r>
          </w:p>
        </w:tc>
        <w:tc>
          <w:tcPr>
            <w:tcW w:w="1441" w:type="dxa"/>
            <w:tcBorders>
              <w:top w:val="nil"/>
              <w:left w:val="nil"/>
              <w:bottom w:val="single" w:sz="4" w:space="0" w:color="auto"/>
              <w:right w:val="single" w:sz="4" w:space="0" w:color="auto"/>
            </w:tcBorders>
            <w:vAlign w:val="center"/>
          </w:tcPr>
          <w:p w14:paraId="43BE779C" w14:textId="1707686B" w:rsidR="00886377" w:rsidRPr="00991A8D" w:rsidRDefault="00A231C8" w:rsidP="00441F0E">
            <w:pPr>
              <w:spacing w:after="0" w:line="360" w:lineRule="auto"/>
              <w:jc w:val="center"/>
              <w:rPr>
                <w:rFonts w:eastAsia="Times New Roman"/>
                <w:spacing w:val="0"/>
                <w:lang w:eastAsia="es-DO"/>
              </w:rPr>
            </w:pPr>
            <w:r w:rsidRPr="00991A8D">
              <w:rPr>
                <w:rFonts w:eastAsia="Times New Roman"/>
                <w:spacing w:val="0"/>
                <w:lang w:eastAsia="es-DO"/>
              </w:rPr>
              <w:t>158</w:t>
            </w:r>
          </w:p>
        </w:tc>
        <w:tc>
          <w:tcPr>
            <w:tcW w:w="1111" w:type="dxa"/>
            <w:tcBorders>
              <w:top w:val="nil"/>
              <w:left w:val="nil"/>
              <w:bottom w:val="single" w:sz="4" w:space="0" w:color="auto"/>
              <w:right w:val="single" w:sz="4" w:space="0" w:color="auto"/>
            </w:tcBorders>
            <w:vAlign w:val="center"/>
          </w:tcPr>
          <w:p w14:paraId="7CFF6AA5" w14:textId="195A5876" w:rsidR="00886377" w:rsidRPr="00991A8D" w:rsidRDefault="00A231C8" w:rsidP="00441F0E">
            <w:pPr>
              <w:spacing w:after="0" w:line="360" w:lineRule="auto"/>
              <w:jc w:val="center"/>
              <w:rPr>
                <w:rFonts w:eastAsia="Times New Roman"/>
                <w:spacing w:val="0"/>
                <w:lang w:eastAsia="es-DO"/>
              </w:rPr>
            </w:pPr>
            <w:r w:rsidRPr="00991A8D">
              <w:rPr>
                <w:rFonts w:eastAsia="Times New Roman"/>
                <w:spacing w:val="0"/>
                <w:lang w:eastAsia="es-DO"/>
              </w:rPr>
              <w:t>98%</w:t>
            </w:r>
          </w:p>
        </w:tc>
      </w:tr>
      <w:tr w:rsidR="00991A8D" w:rsidRPr="00991A8D" w14:paraId="1896BB8E" w14:textId="77777777" w:rsidTr="00CD7C10">
        <w:trPr>
          <w:trHeight w:val="2733"/>
        </w:trPr>
        <w:tc>
          <w:tcPr>
            <w:tcW w:w="610" w:type="dxa"/>
            <w:tcBorders>
              <w:top w:val="nil"/>
              <w:left w:val="single" w:sz="4" w:space="0" w:color="auto"/>
              <w:bottom w:val="single" w:sz="4" w:space="0" w:color="auto"/>
              <w:right w:val="single" w:sz="4" w:space="0" w:color="auto"/>
            </w:tcBorders>
            <w:vAlign w:val="center"/>
            <w:hideMark/>
          </w:tcPr>
          <w:p w14:paraId="5A048DA8" w14:textId="77777777" w:rsidR="00886377" w:rsidRPr="00991A8D" w:rsidRDefault="00886377" w:rsidP="00886377">
            <w:pPr>
              <w:spacing w:after="0" w:line="240" w:lineRule="auto"/>
              <w:jc w:val="center"/>
              <w:rPr>
                <w:rFonts w:eastAsia="Times New Roman"/>
                <w:spacing w:val="0"/>
                <w:lang w:eastAsia="es-DO"/>
              </w:rPr>
            </w:pPr>
            <w:r w:rsidRPr="00991A8D">
              <w:rPr>
                <w:rFonts w:eastAsia="Times New Roman"/>
                <w:spacing w:val="0"/>
                <w:lang w:eastAsia="es-DO"/>
              </w:rPr>
              <w:t>4</w:t>
            </w:r>
          </w:p>
        </w:tc>
        <w:tc>
          <w:tcPr>
            <w:tcW w:w="2001" w:type="dxa"/>
            <w:tcBorders>
              <w:top w:val="nil"/>
              <w:left w:val="nil"/>
              <w:bottom w:val="single" w:sz="4" w:space="0" w:color="auto"/>
              <w:right w:val="single" w:sz="4" w:space="0" w:color="auto"/>
            </w:tcBorders>
            <w:vAlign w:val="center"/>
            <w:hideMark/>
          </w:tcPr>
          <w:p w14:paraId="7BBB51B3" w14:textId="77777777" w:rsidR="00886377" w:rsidRPr="00991A8D" w:rsidRDefault="00886377" w:rsidP="00441F0E">
            <w:pPr>
              <w:spacing w:after="0" w:line="360" w:lineRule="auto"/>
              <w:rPr>
                <w:rFonts w:eastAsia="Calibri"/>
                <w:lang w:eastAsia="es-DO"/>
              </w:rPr>
            </w:pPr>
            <w:r w:rsidRPr="00991A8D">
              <w:rPr>
                <w:rFonts w:eastAsia="Calibri"/>
                <w:lang w:eastAsia="es-DO"/>
              </w:rPr>
              <w:t xml:space="preserve">Dirección de Revisión y Control de Calidad </w:t>
            </w:r>
          </w:p>
        </w:tc>
        <w:tc>
          <w:tcPr>
            <w:tcW w:w="2099" w:type="dxa"/>
            <w:tcBorders>
              <w:top w:val="nil"/>
              <w:left w:val="nil"/>
              <w:bottom w:val="single" w:sz="4" w:space="0" w:color="auto"/>
              <w:right w:val="single" w:sz="4" w:space="0" w:color="auto"/>
            </w:tcBorders>
            <w:vAlign w:val="center"/>
            <w:hideMark/>
          </w:tcPr>
          <w:p w14:paraId="5C3A40E7" w14:textId="77777777" w:rsidR="00886377" w:rsidRPr="00991A8D" w:rsidRDefault="00886377" w:rsidP="00441F0E">
            <w:pPr>
              <w:spacing w:after="0" w:line="360" w:lineRule="auto"/>
              <w:rPr>
                <w:rFonts w:eastAsia="Calibri"/>
                <w:lang w:eastAsia="es-DO"/>
              </w:rPr>
            </w:pPr>
            <w:r w:rsidRPr="00991A8D">
              <w:rPr>
                <w:rFonts w:eastAsia="Calibri"/>
                <w:lang w:eastAsia="es-DO"/>
              </w:rPr>
              <w:t>Autorizadas las órdenes de pagos de las instituciones públicas.</w:t>
            </w:r>
          </w:p>
        </w:tc>
        <w:tc>
          <w:tcPr>
            <w:tcW w:w="2001" w:type="dxa"/>
            <w:tcBorders>
              <w:top w:val="nil"/>
              <w:left w:val="nil"/>
              <w:bottom w:val="single" w:sz="4" w:space="0" w:color="auto"/>
              <w:right w:val="single" w:sz="4" w:space="0" w:color="auto"/>
            </w:tcBorders>
            <w:vAlign w:val="center"/>
            <w:hideMark/>
          </w:tcPr>
          <w:p w14:paraId="41D8C7F1" w14:textId="77777777" w:rsidR="00886377" w:rsidRPr="00991A8D" w:rsidRDefault="00886377" w:rsidP="00441F0E">
            <w:pPr>
              <w:spacing w:after="0" w:line="360" w:lineRule="auto"/>
              <w:rPr>
                <w:rFonts w:eastAsia="Calibri"/>
                <w:lang w:eastAsia="es-DO"/>
              </w:rPr>
            </w:pPr>
            <w:r w:rsidRPr="00991A8D">
              <w:rPr>
                <w:rFonts w:eastAsia="Calibri"/>
                <w:lang w:eastAsia="es-DO"/>
              </w:rPr>
              <w:t>Porcentaje de certificaciones de cargo procesadas en el plazo establecido (según carta compromiso).</w:t>
            </w:r>
          </w:p>
        </w:tc>
        <w:tc>
          <w:tcPr>
            <w:tcW w:w="1572" w:type="dxa"/>
            <w:tcBorders>
              <w:top w:val="nil"/>
              <w:left w:val="nil"/>
              <w:bottom w:val="single" w:sz="4" w:space="0" w:color="auto"/>
              <w:right w:val="single" w:sz="4" w:space="0" w:color="auto"/>
            </w:tcBorders>
            <w:vAlign w:val="center"/>
            <w:hideMark/>
          </w:tcPr>
          <w:p w14:paraId="347B4337" w14:textId="77777777" w:rsidR="00886377" w:rsidRPr="00991A8D" w:rsidRDefault="00886377" w:rsidP="00441F0E">
            <w:pPr>
              <w:spacing w:after="0" w:line="360" w:lineRule="auto"/>
              <w:rPr>
                <w:rFonts w:eastAsia="Calibri"/>
                <w:lang w:eastAsia="es-DO"/>
              </w:rPr>
            </w:pPr>
            <w:r w:rsidRPr="00991A8D">
              <w:rPr>
                <w:rFonts w:eastAsia="Calibri"/>
                <w:lang w:eastAsia="es-DO"/>
              </w:rPr>
              <w:t>Trimestral</w:t>
            </w:r>
          </w:p>
        </w:tc>
        <w:tc>
          <w:tcPr>
            <w:tcW w:w="898" w:type="dxa"/>
            <w:tcBorders>
              <w:top w:val="nil"/>
              <w:left w:val="nil"/>
              <w:bottom w:val="single" w:sz="4" w:space="0" w:color="auto"/>
              <w:right w:val="single" w:sz="4" w:space="0" w:color="auto"/>
            </w:tcBorders>
            <w:vAlign w:val="center"/>
            <w:hideMark/>
          </w:tcPr>
          <w:p w14:paraId="77CE6693" w14:textId="77777777" w:rsidR="00886377" w:rsidRPr="00991A8D" w:rsidRDefault="00886377" w:rsidP="00441F0E">
            <w:pPr>
              <w:spacing w:after="0" w:line="360" w:lineRule="auto"/>
              <w:jc w:val="center"/>
              <w:rPr>
                <w:rFonts w:eastAsia="Times New Roman"/>
                <w:spacing w:val="0"/>
                <w:lang w:eastAsia="es-DO"/>
              </w:rPr>
            </w:pPr>
            <w:r w:rsidRPr="00991A8D">
              <w:rPr>
                <w:rFonts w:eastAsia="Times New Roman"/>
                <w:spacing w:val="0"/>
                <w:lang w:eastAsia="es-DO"/>
              </w:rPr>
              <w:t>100%</w:t>
            </w:r>
          </w:p>
        </w:tc>
        <w:tc>
          <w:tcPr>
            <w:tcW w:w="864" w:type="dxa"/>
            <w:tcBorders>
              <w:top w:val="nil"/>
              <w:left w:val="nil"/>
              <w:bottom w:val="single" w:sz="4" w:space="0" w:color="auto"/>
              <w:right w:val="single" w:sz="4" w:space="0" w:color="auto"/>
            </w:tcBorders>
            <w:vAlign w:val="center"/>
            <w:hideMark/>
          </w:tcPr>
          <w:p w14:paraId="44420E30" w14:textId="77777777" w:rsidR="00886377" w:rsidRPr="00991A8D" w:rsidRDefault="00886377" w:rsidP="00441F0E">
            <w:pPr>
              <w:spacing w:after="0" w:line="360" w:lineRule="auto"/>
              <w:jc w:val="center"/>
              <w:rPr>
                <w:rFonts w:eastAsia="Times New Roman"/>
                <w:spacing w:val="0"/>
                <w:lang w:eastAsia="es-DO"/>
              </w:rPr>
            </w:pPr>
            <w:r w:rsidRPr="00991A8D">
              <w:rPr>
                <w:rFonts w:eastAsia="Times New Roman"/>
                <w:spacing w:val="0"/>
                <w:lang w:eastAsia="es-DO"/>
              </w:rPr>
              <w:t>100%</w:t>
            </w:r>
          </w:p>
        </w:tc>
        <w:tc>
          <w:tcPr>
            <w:tcW w:w="1441" w:type="dxa"/>
            <w:tcBorders>
              <w:top w:val="nil"/>
              <w:left w:val="nil"/>
              <w:bottom w:val="single" w:sz="4" w:space="0" w:color="auto"/>
              <w:right w:val="single" w:sz="4" w:space="0" w:color="auto"/>
            </w:tcBorders>
            <w:vAlign w:val="center"/>
            <w:hideMark/>
          </w:tcPr>
          <w:p w14:paraId="352719C9" w14:textId="77777777" w:rsidR="00886377" w:rsidRPr="00991A8D" w:rsidRDefault="00886377" w:rsidP="00441F0E">
            <w:pPr>
              <w:spacing w:after="0" w:line="360" w:lineRule="auto"/>
              <w:jc w:val="center"/>
              <w:rPr>
                <w:rFonts w:eastAsia="Times New Roman"/>
                <w:spacing w:val="0"/>
                <w:lang w:eastAsia="es-DO"/>
              </w:rPr>
            </w:pPr>
            <w:r w:rsidRPr="00991A8D">
              <w:rPr>
                <w:rFonts w:eastAsia="Times New Roman"/>
                <w:spacing w:val="0"/>
                <w:lang w:eastAsia="es-DO"/>
              </w:rPr>
              <w:t>100%</w:t>
            </w:r>
          </w:p>
        </w:tc>
        <w:tc>
          <w:tcPr>
            <w:tcW w:w="1111" w:type="dxa"/>
            <w:tcBorders>
              <w:top w:val="nil"/>
              <w:left w:val="nil"/>
              <w:bottom w:val="single" w:sz="4" w:space="0" w:color="auto"/>
              <w:right w:val="single" w:sz="4" w:space="0" w:color="auto"/>
            </w:tcBorders>
            <w:vAlign w:val="center"/>
            <w:hideMark/>
          </w:tcPr>
          <w:p w14:paraId="3814FF66" w14:textId="77777777" w:rsidR="00886377" w:rsidRPr="00991A8D" w:rsidRDefault="00886377" w:rsidP="00886377">
            <w:pPr>
              <w:spacing w:after="0" w:line="240" w:lineRule="auto"/>
              <w:jc w:val="center"/>
              <w:rPr>
                <w:rFonts w:eastAsia="Times New Roman"/>
                <w:spacing w:val="0"/>
                <w:lang w:eastAsia="es-DO"/>
              </w:rPr>
            </w:pPr>
            <w:r w:rsidRPr="00991A8D">
              <w:rPr>
                <w:rFonts w:eastAsia="Times New Roman"/>
                <w:spacing w:val="0"/>
                <w:lang w:eastAsia="es-DO"/>
              </w:rPr>
              <w:t>100%</w:t>
            </w:r>
          </w:p>
        </w:tc>
      </w:tr>
      <w:tr w:rsidR="00991A8D" w:rsidRPr="00991A8D" w14:paraId="24E92A1F" w14:textId="77777777" w:rsidTr="00CD7C10">
        <w:trPr>
          <w:trHeight w:val="3776"/>
        </w:trPr>
        <w:tc>
          <w:tcPr>
            <w:tcW w:w="610" w:type="dxa"/>
            <w:tcBorders>
              <w:top w:val="nil"/>
              <w:left w:val="single" w:sz="4" w:space="0" w:color="auto"/>
              <w:bottom w:val="single" w:sz="4" w:space="0" w:color="auto"/>
              <w:right w:val="single" w:sz="4" w:space="0" w:color="auto"/>
            </w:tcBorders>
            <w:vAlign w:val="center"/>
            <w:hideMark/>
          </w:tcPr>
          <w:p w14:paraId="69A605B5" w14:textId="77777777" w:rsidR="00886377" w:rsidRPr="00991A8D" w:rsidRDefault="00886377" w:rsidP="00886377">
            <w:pPr>
              <w:spacing w:after="0" w:line="240" w:lineRule="auto"/>
              <w:jc w:val="center"/>
              <w:rPr>
                <w:rFonts w:eastAsia="Times New Roman"/>
                <w:spacing w:val="0"/>
                <w:lang w:eastAsia="es-DO"/>
              </w:rPr>
            </w:pPr>
            <w:r w:rsidRPr="00991A8D">
              <w:rPr>
                <w:rFonts w:eastAsia="Times New Roman"/>
                <w:spacing w:val="0"/>
                <w:lang w:eastAsia="es-DO"/>
              </w:rPr>
              <w:lastRenderedPageBreak/>
              <w:t>5</w:t>
            </w:r>
          </w:p>
        </w:tc>
        <w:tc>
          <w:tcPr>
            <w:tcW w:w="2001" w:type="dxa"/>
            <w:tcBorders>
              <w:top w:val="nil"/>
              <w:left w:val="nil"/>
              <w:bottom w:val="single" w:sz="4" w:space="0" w:color="auto"/>
              <w:right w:val="single" w:sz="4" w:space="0" w:color="auto"/>
            </w:tcBorders>
            <w:vAlign w:val="center"/>
            <w:hideMark/>
          </w:tcPr>
          <w:p w14:paraId="2135E9C4" w14:textId="3E5F012D" w:rsidR="00886377" w:rsidRPr="00991A8D" w:rsidRDefault="00886377" w:rsidP="00441F0E">
            <w:pPr>
              <w:spacing w:after="0" w:line="360" w:lineRule="auto"/>
              <w:rPr>
                <w:rFonts w:eastAsia="Calibri"/>
                <w:lang w:eastAsia="es-DO"/>
              </w:rPr>
            </w:pPr>
            <w:r w:rsidRPr="00991A8D">
              <w:rPr>
                <w:rFonts w:eastAsia="Calibri"/>
                <w:lang w:eastAsia="es-DO"/>
              </w:rPr>
              <w:t>Departamento de</w:t>
            </w:r>
            <w:r w:rsidR="00A231C8" w:rsidRPr="00991A8D">
              <w:rPr>
                <w:rFonts w:eastAsia="Calibri"/>
                <w:lang w:eastAsia="es-DO"/>
              </w:rPr>
              <w:t xml:space="preserve"> Registro de Contratos</w:t>
            </w:r>
          </w:p>
        </w:tc>
        <w:tc>
          <w:tcPr>
            <w:tcW w:w="2099" w:type="dxa"/>
            <w:tcBorders>
              <w:top w:val="nil"/>
              <w:left w:val="nil"/>
              <w:bottom w:val="single" w:sz="4" w:space="0" w:color="auto"/>
              <w:right w:val="single" w:sz="4" w:space="0" w:color="auto"/>
            </w:tcBorders>
            <w:vAlign w:val="center"/>
            <w:hideMark/>
          </w:tcPr>
          <w:p w14:paraId="2C55C518" w14:textId="011E55FB" w:rsidR="00886377" w:rsidRPr="00991A8D" w:rsidRDefault="00A231C8" w:rsidP="00441F0E">
            <w:pPr>
              <w:spacing w:after="0" w:line="360" w:lineRule="auto"/>
              <w:rPr>
                <w:rFonts w:eastAsia="Calibri"/>
                <w:lang w:eastAsia="es-DO"/>
              </w:rPr>
            </w:pPr>
            <w:r w:rsidRPr="00991A8D">
              <w:rPr>
                <w:rFonts w:eastAsia="Calibri"/>
                <w:lang w:eastAsia="es-DO"/>
              </w:rPr>
              <w:t>Registro de contratos según tipo (bienes y servicios, becas personales, becas institucionales, convenios institucionales y obras).</w:t>
            </w:r>
          </w:p>
        </w:tc>
        <w:tc>
          <w:tcPr>
            <w:tcW w:w="2001" w:type="dxa"/>
            <w:tcBorders>
              <w:top w:val="nil"/>
              <w:left w:val="nil"/>
              <w:bottom w:val="single" w:sz="4" w:space="0" w:color="auto"/>
              <w:right w:val="single" w:sz="4" w:space="0" w:color="auto"/>
            </w:tcBorders>
            <w:vAlign w:val="center"/>
            <w:hideMark/>
          </w:tcPr>
          <w:p w14:paraId="7176E8BB" w14:textId="243608C3" w:rsidR="00886377" w:rsidRPr="00991A8D" w:rsidRDefault="00886377" w:rsidP="00441F0E">
            <w:pPr>
              <w:spacing w:after="0" w:line="360" w:lineRule="auto"/>
              <w:rPr>
                <w:rFonts w:eastAsia="Calibri"/>
                <w:lang w:eastAsia="es-DO"/>
              </w:rPr>
            </w:pPr>
            <w:r w:rsidRPr="00991A8D">
              <w:rPr>
                <w:rFonts w:eastAsia="Calibri"/>
                <w:lang w:eastAsia="es-DO"/>
              </w:rPr>
              <w:t>Porcentaje de certificaciones del registro de contrato procesadas en el plazo establecido en carta compromiso al ciudadano</w:t>
            </w:r>
            <w:r w:rsidR="00A231C8" w:rsidRPr="00991A8D">
              <w:rPr>
                <w:rFonts w:eastAsia="Calibri"/>
                <w:lang w:eastAsia="es-DO"/>
              </w:rPr>
              <w:t>.</w:t>
            </w:r>
          </w:p>
        </w:tc>
        <w:tc>
          <w:tcPr>
            <w:tcW w:w="1572" w:type="dxa"/>
            <w:tcBorders>
              <w:top w:val="nil"/>
              <w:left w:val="nil"/>
              <w:bottom w:val="single" w:sz="4" w:space="0" w:color="auto"/>
              <w:right w:val="single" w:sz="4" w:space="0" w:color="auto"/>
            </w:tcBorders>
            <w:vAlign w:val="center"/>
            <w:hideMark/>
          </w:tcPr>
          <w:p w14:paraId="79CB44EB" w14:textId="77777777" w:rsidR="00886377" w:rsidRPr="00991A8D" w:rsidRDefault="00886377" w:rsidP="00441F0E">
            <w:pPr>
              <w:spacing w:after="0" w:line="360" w:lineRule="auto"/>
              <w:rPr>
                <w:rFonts w:eastAsia="Calibri"/>
                <w:lang w:eastAsia="es-DO"/>
              </w:rPr>
            </w:pPr>
            <w:r w:rsidRPr="00991A8D">
              <w:rPr>
                <w:rFonts w:eastAsia="Calibri"/>
                <w:lang w:eastAsia="es-DO"/>
              </w:rPr>
              <w:t>Trimestral</w:t>
            </w:r>
          </w:p>
        </w:tc>
        <w:tc>
          <w:tcPr>
            <w:tcW w:w="898" w:type="dxa"/>
            <w:tcBorders>
              <w:top w:val="nil"/>
              <w:left w:val="nil"/>
              <w:bottom w:val="single" w:sz="4" w:space="0" w:color="auto"/>
              <w:right w:val="single" w:sz="4" w:space="0" w:color="auto"/>
            </w:tcBorders>
            <w:vAlign w:val="center"/>
            <w:hideMark/>
          </w:tcPr>
          <w:p w14:paraId="061FD64C" w14:textId="688F8E4F" w:rsidR="00886377" w:rsidRPr="00991A8D" w:rsidRDefault="00A231C8" w:rsidP="00441F0E">
            <w:pPr>
              <w:spacing w:after="0" w:line="360" w:lineRule="auto"/>
              <w:jc w:val="center"/>
              <w:rPr>
                <w:rFonts w:eastAsia="Times New Roman"/>
                <w:spacing w:val="0"/>
                <w:lang w:eastAsia="es-DO"/>
              </w:rPr>
            </w:pPr>
            <w:r w:rsidRPr="00991A8D">
              <w:rPr>
                <w:rFonts w:eastAsia="Times New Roman"/>
                <w:spacing w:val="0"/>
                <w:lang w:eastAsia="es-DO"/>
              </w:rPr>
              <w:t>99</w:t>
            </w:r>
            <w:r w:rsidR="00886377" w:rsidRPr="00991A8D">
              <w:rPr>
                <w:rFonts w:eastAsia="Times New Roman"/>
                <w:spacing w:val="0"/>
                <w:lang w:eastAsia="es-DO"/>
              </w:rPr>
              <w:t>%</w:t>
            </w:r>
          </w:p>
        </w:tc>
        <w:tc>
          <w:tcPr>
            <w:tcW w:w="864" w:type="dxa"/>
            <w:tcBorders>
              <w:top w:val="nil"/>
              <w:left w:val="nil"/>
              <w:bottom w:val="single" w:sz="4" w:space="0" w:color="auto"/>
              <w:right w:val="single" w:sz="4" w:space="0" w:color="auto"/>
            </w:tcBorders>
            <w:vAlign w:val="center"/>
            <w:hideMark/>
          </w:tcPr>
          <w:p w14:paraId="0E6CDCE2" w14:textId="77777777" w:rsidR="00886377" w:rsidRPr="00991A8D" w:rsidRDefault="00886377" w:rsidP="00441F0E">
            <w:pPr>
              <w:spacing w:after="0" w:line="360" w:lineRule="auto"/>
              <w:jc w:val="center"/>
              <w:rPr>
                <w:rFonts w:eastAsia="Times New Roman"/>
                <w:spacing w:val="0"/>
                <w:lang w:eastAsia="es-DO"/>
              </w:rPr>
            </w:pPr>
            <w:r w:rsidRPr="00991A8D">
              <w:rPr>
                <w:rFonts w:eastAsia="Times New Roman"/>
                <w:spacing w:val="0"/>
                <w:lang w:eastAsia="es-DO"/>
              </w:rPr>
              <w:t>100%</w:t>
            </w:r>
          </w:p>
        </w:tc>
        <w:tc>
          <w:tcPr>
            <w:tcW w:w="1441" w:type="dxa"/>
            <w:tcBorders>
              <w:top w:val="nil"/>
              <w:left w:val="nil"/>
              <w:bottom w:val="single" w:sz="4" w:space="0" w:color="auto"/>
              <w:right w:val="single" w:sz="4" w:space="0" w:color="auto"/>
            </w:tcBorders>
            <w:vAlign w:val="center"/>
            <w:hideMark/>
          </w:tcPr>
          <w:p w14:paraId="01627138" w14:textId="43A1CC1D" w:rsidR="00886377" w:rsidRPr="00991A8D" w:rsidRDefault="00A231C8" w:rsidP="00441F0E">
            <w:pPr>
              <w:spacing w:after="0" w:line="360" w:lineRule="auto"/>
              <w:jc w:val="center"/>
              <w:rPr>
                <w:rFonts w:eastAsia="Times New Roman"/>
                <w:spacing w:val="0"/>
                <w:lang w:eastAsia="es-DO"/>
              </w:rPr>
            </w:pPr>
            <w:r w:rsidRPr="00991A8D">
              <w:rPr>
                <w:rFonts w:eastAsia="Times New Roman"/>
                <w:spacing w:val="0"/>
                <w:lang w:eastAsia="es-DO"/>
              </w:rPr>
              <w:t>99.67</w:t>
            </w:r>
            <w:r w:rsidR="00886377" w:rsidRPr="00991A8D">
              <w:rPr>
                <w:rFonts w:eastAsia="Times New Roman"/>
                <w:spacing w:val="0"/>
                <w:lang w:eastAsia="es-DO"/>
              </w:rPr>
              <w:t>%</w:t>
            </w:r>
          </w:p>
        </w:tc>
        <w:tc>
          <w:tcPr>
            <w:tcW w:w="1111" w:type="dxa"/>
            <w:tcBorders>
              <w:top w:val="nil"/>
              <w:left w:val="nil"/>
              <w:bottom w:val="single" w:sz="4" w:space="0" w:color="auto"/>
              <w:right w:val="single" w:sz="4" w:space="0" w:color="auto"/>
            </w:tcBorders>
            <w:vAlign w:val="center"/>
            <w:hideMark/>
          </w:tcPr>
          <w:p w14:paraId="389E1DC7" w14:textId="39B2BEC8" w:rsidR="00886377" w:rsidRPr="00991A8D" w:rsidRDefault="00A231C8" w:rsidP="00441F0E">
            <w:pPr>
              <w:spacing w:after="0" w:line="360" w:lineRule="auto"/>
              <w:jc w:val="center"/>
              <w:rPr>
                <w:rFonts w:eastAsia="Times New Roman"/>
                <w:spacing w:val="0"/>
                <w:lang w:eastAsia="es-DO"/>
              </w:rPr>
            </w:pPr>
            <w:r w:rsidRPr="00991A8D">
              <w:rPr>
                <w:rFonts w:eastAsia="Times New Roman"/>
                <w:spacing w:val="0"/>
                <w:lang w:eastAsia="es-DO"/>
              </w:rPr>
              <w:t>99.67</w:t>
            </w:r>
            <w:r w:rsidR="00886377" w:rsidRPr="00991A8D">
              <w:rPr>
                <w:rFonts w:eastAsia="Times New Roman"/>
                <w:spacing w:val="0"/>
                <w:lang w:eastAsia="es-DO"/>
              </w:rPr>
              <w:t>%</w:t>
            </w:r>
          </w:p>
        </w:tc>
      </w:tr>
    </w:tbl>
    <w:p w14:paraId="24BCC36F" w14:textId="7D49592B" w:rsidR="00C84437" w:rsidRPr="0077472F" w:rsidRDefault="00C84437" w:rsidP="00C84437">
      <w:pPr>
        <w:jc w:val="center"/>
        <w:rPr>
          <w:i/>
          <w:iCs/>
          <w:sz w:val="18"/>
          <w:szCs w:val="18"/>
        </w:rPr>
      </w:pPr>
      <w:r w:rsidRPr="0077472F">
        <w:rPr>
          <w:i/>
          <w:iCs/>
          <w:sz w:val="18"/>
          <w:szCs w:val="18"/>
        </w:rPr>
        <w:t>Fuente. Informe evaluación POA</w:t>
      </w:r>
    </w:p>
    <w:p w14:paraId="5DDA72C6" w14:textId="77777777" w:rsidR="00CD7C10" w:rsidRPr="0077472F" w:rsidRDefault="00CD7C10" w:rsidP="00CD7C10">
      <w:pPr>
        <w:pStyle w:val="Prrafodelista"/>
        <w:rPr>
          <w:i/>
          <w:iCs/>
        </w:rPr>
      </w:pPr>
    </w:p>
    <w:p w14:paraId="04DA97CB" w14:textId="77777777" w:rsidR="00F544E0" w:rsidRPr="00991A8D" w:rsidRDefault="00F544E0">
      <w:pPr>
        <w:rPr>
          <w:sz w:val="18"/>
          <w:szCs w:val="18"/>
        </w:rPr>
      </w:pPr>
    </w:p>
    <w:p w14:paraId="64FBE907" w14:textId="77777777" w:rsidR="007511DD" w:rsidRDefault="007511DD" w:rsidP="00F544E0">
      <w:pPr>
        <w:rPr>
          <w:b/>
          <w:bCs/>
          <w:sz w:val="28"/>
          <w:szCs w:val="28"/>
        </w:rPr>
        <w:sectPr w:rsidR="007511DD" w:rsidSect="007511DD">
          <w:pgSz w:w="15842" w:h="12242" w:orient="landscape" w:code="1"/>
          <w:pgMar w:top="2160" w:right="1440" w:bottom="2160" w:left="1440" w:header="720" w:footer="720" w:gutter="0"/>
          <w:cols w:space="720"/>
          <w:docGrid w:linePitch="360"/>
        </w:sectPr>
      </w:pPr>
    </w:p>
    <w:p w14:paraId="6846FAAD" w14:textId="68DC461A" w:rsidR="00F544E0" w:rsidRPr="00FA378C" w:rsidRDefault="00C312DB" w:rsidP="00C84437">
      <w:pPr>
        <w:pStyle w:val="Ttulo2"/>
        <w:spacing w:line="360" w:lineRule="auto"/>
        <w:jc w:val="center"/>
        <w:rPr>
          <w:b/>
          <w:bCs/>
          <w:color w:val="767171"/>
          <w:szCs w:val="24"/>
        </w:rPr>
      </w:pPr>
      <w:bookmarkStart w:id="51" w:name="_Toc217997953"/>
      <w:r w:rsidRPr="00FA378C">
        <w:rPr>
          <w:b/>
          <w:bCs/>
          <w:color w:val="767171"/>
          <w:szCs w:val="24"/>
        </w:rPr>
        <w:lastRenderedPageBreak/>
        <w:t xml:space="preserve">d. </w:t>
      </w:r>
      <w:r w:rsidR="00862236" w:rsidRPr="00FA378C">
        <w:rPr>
          <w:b/>
          <w:bCs/>
          <w:color w:val="767171"/>
          <w:szCs w:val="24"/>
        </w:rPr>
        <w:t>Resumen del plan de compras</w:t>
      </w:r>
      <w:bookmarkEnd w:id="51"/>
    </w:p>
    <w:p w14:paraId="3C733111" w14:textId="77777777" w:rsidR="00493CDC" w:rsidRPr="00493CDC" w:rsidRDefault="00493CDC" w:rsidP="00493CDC"/>
    <w:tbl>
      <w:tblPr>
        <w:tblW w:w="8080" w:type="dxa"/>
        <w:jc w:val="center"/>
        <w:tblLayout w:type="fixed"/>
        <w:tblCellMar>
          <w:left w:w="0" w:type="dxa"/>
          <w:right w:w="0" w:type="dxa"/>
        </w:tblCellMar>
        <w:tblLook w:val="01E0" w:firstRow="1" w:lastRow="1" w:firstColumn="1" w:lastColumn="1" w:noHBand="0" w:noVBand="0"/>
      </w:tblPr>
      <w:tblGrid>
        <w:gridCol w:w="4111"/>
        <w:gridCol w:w="3969"/>
      </w:tblGrid>
      <w:tr w:rsidR="004913FE" w:rsidRPr="00465A16" w14:paraId="3363A084" w14:textId="77777777" w:rsidTr="008E13FC">
        <w:trPr>
          <w:trHeight w:hRule="exact" w:val="429"/>
          <w:jc w:val="center"/>
        </w:trPr>
        <w:tc>
          <w:tcPr>
            <w:tcW w:w="8080" w:type="dxa"/>
            <w:gridSpan w:val="2"/>
            <w:tcBorders>
              <w:top w:val="nil"/>
              <w:left w:val="nil"/>
              <w:bottom w:val="single" w:sz="4" w:space="0" w:color="auto"/>
              <w:right w:val="nil"/>
            </w:tcBorders>
            <w:shd w:val="clear" w:color="auto" w:fill="011C50"/>
            <w:vAlign w:val="center"/>
          </w:tcPr>
          <w:p w14:paraId="34015D43" w14:textId="77777777" w:rsidR="004913FE" w:rsidRPr="00465A16" w:rsidRDefault="004913FE" w:rsidP="008E13FC">
            <w:pPr>
              <w:spacing w:before="38" w:after="0"/>
              <w:jc w:val="center"/>
              <w:rPr>
                <w:color w:val="4B4646"/>
              </w:rPr>
            </w:pPr>
            <w:bookmarkStart w:id="52" w:name="_Hlk216191202"/>
            <w:r w:rsidRPr="00465A16">
              <w:rPr>
                <w:b/>
                <w:color w:val="FFFFFF" w:themeColor="background1"/>
                <w:position w:val="-1"/>
              </w:rPr>
              <w:t>D</w:t>
            </w:r>
            <w:r w:rsidRPr="00465A16">
              <w:rPr>
                <w:b/>
                <w:color w:val="FFFFFF" w:themeColor="background1"/>
                <w:spacing w:val="-1"/>
                <w:position w:val="-1"/>
              </w:rPr>
              <w:t>A</w:t>
            </w:r>
            <w:r w:rsidRPr="00465A16">
              <w:rPr>
                <w:b/>
                <w:color w:val="FFFFFF" w:themeColor="background1"/>
                <w:position w:val="-1"/>
              </w:rPr>
              <w:t>TOS</w:t>
            </w:r>
            <w:r w:rsidRPr="00465A16">
              <w:rPr>
                <w:b/>
                <w:color w:val="FFFFFF" w:themeColor="background1"/>
                <w:spacing w:val="1"/>
                <w:position w:val="-1"/>
              </w:rPr>
              <w:t xml:space="preserve"> </w:t>
            </w:r>
            <w:r w:rsidRPr="00465A16">
              <w:rPr>
                <w:b/>
                <w:color w:val="FFFFFF" w:themeColor="background1"/>
                <w:position w:val="-1"/>
              </w:rPr>
              <w:t>DE C</w:t>
            </w:r>
            <w:r w:rsidRPr="00465A16">
              <w:rPr>
                <w:b/>
                <w:color w:val="FFFFFF" w:themeColor="background1"/>
                <w:spacing w:val="-1"/>
                <w:position w:val="-1"/>
              </w:rPr>
              <w:t>A</w:t>
            </w:r>
            <w:r w:rsidRPr="00465A16">
              <w:rPr>
                <w:b/>
                <w:color w:val="FFFFFF" w:themeColor="background1"/>
                <w:position w:val="-1"/>
              </w:rPr>
              <w:t>BECE</w:t>
            </w:r>
            <w:r w:rsidRPr="00465A16">
              <w:rPr>
                <w:b/>
                <w:color w:val="FFFFFF" w:themeColor="background1"/>
                <w:spacing w:val="-3"/>
                <w:position w:val="-1"/>
              </w:rPr>
              <w:t>R</w:t>
            </w:r>
            <w:r w:rsidRPr="00465A16">
              <w:rPr>
                <w:b/>
                <w:color w:val="FFFFFF" w:themeColor="background1"/>
                <w:position w:val="-1"/>
              </w:rPr>
              <w:t>A</w:t>
            </w:r>
            <w:r w:rsidRPr="00465A16">
              <w:rPr>
                <w:b/>
                <w:color w:val="FFFFFF" w:themeColor="background1"/>
                <w:spacing w:val="1"/>
                <w:position w:val="-1"/>
              </w:rPr>
              <w:t xml:space="preserve"> </w:t>
            </w:r>
            <w:r w:rsidRPr="00465A16">
              <w:rPr>
                <w:b/>
                <w:color w:val="FFFFFF" w:themeColor="background1"/>
                <w:position w:val="-1"/>
              </w:rPr>
              <w:t>P</w:t>
            </w:r>
            <w:r w:rsidRPr="00465A16">
              <w:rPr>
                <w:b/>
                <w:color w:val="FFFFFF" w:themeColor="background1"/>
                <w:spacing w:val="-1"/>
                <w:position w:val="-1"/>
              </w:rPr>
              <w:t>A</w:t>
            </w:r>
            <w:r w:rsidRPr="00465A16">
              <w:rPr>
                <w:b/>
                <w:color w:val="FFFFFF" w:themeColor="background1"/>
                <w:position w:val="-1"/>
              </w:rPr>
              <w:t>CC</w:t>
            </w:r>
          </w:p>
        </w:tc>
      </w:tr>
      <w:tr w:rsidR="004913FE" w:rsidRPr="00465A16" w14:paraId="6DF49B3B" w14:textId="77777777" w:rsidTr="008E13FC">
        <w:trPr>
          <w:trHeight w:hRule="exact" w:val="350"/>
          <w:jc w:val="center"/>
        </w:trPr>
        <w:tc>
          <w:tcPr>
            <w:tcW w:w="4111" w:type="dxa"/>
            <w:tcBorders>
              <w:top w:val="single" w:sz="4" w:space="0" w:color="auto"/>
              <w:left w:val="single" w:sz="4" w:space="0" w:color="auto"/>
              <w:bottom w:val="single" w:sz="4" w:space="0" w:color="auto"/>
              <w:right w:val="single" w:sz="4" w:space="0" w:color="auto"/>
            </w:tcBorders>
          </w:tcPr>
          <w:p w14:paraId="1011C53E" w14:textId="77777777" w:rsidR="004913FE" w:rsidRPr="00991A8D" w:rsidRDefault="004913FE" w:rsidP="008E13FC">
            <w:pPr>
              <w:spacing w:before="38"/>
              <w:ind w:left="70"/>
            </w:pPr>
            <w:bookmarkStart w:id="53" w:name="_Hlk141276758"/>
            <w:r w:rsidRPr="00991A8D">
              <w:t xml:space="preserve">Monto </w:t>
            </w:r>
            <w:r w:rsidRPr="00991A8D">
              <w:rPr>
                <w:spacing w:val="-1"/>
              </w:rPr>
              <w:t>e</w:t>
            </w:r>
            <w:r w:rsidRPr="00991A8D">
              <w:t>st</w:t>
            </w:r>
            <w:r w:rsidRPr="00991A8D">
              <w:rPr>
                <w:spacing w:val="1"/>
              </w:rPr>
              <w:t>i</w:t>
            </w:r>
            <w:r w:rsidRPr="00991A8D">
              <w:t>mado total</w:t>
            </w:r>
          </w:p>
        </w:tc>
        <w:tc>
          <w:tcPr>
            <w:tcW w:w="3969" w:type="dxa"/>
            <w:tcBorders>
              <w:top w:val="single" w:sz="4" w:space="0" w:color="auto"/>
              <w:left w:val="single" w:sz="4" w:space="0" w:color="auto"/>
              <w:bottom w:val="single" w:sz="4" w:space="0" w:color="auto"/>
              <w:right w:val="single" w:sz="4" w:space="0" w:color="auto"/>
            </w:tcBorders>
          </w:tcPr>
          <w:p w14:paraId="14C89479" w14:textId="77777777" w:rsidR="004913FE" w:rsidRPr="00991A8D" w:rsidRDefault="004913FE" w:rsidP="008E13FC">
            <w:pPr>
              <w:spacing w:before="38"/>
              <w:ind w:left="1205"/>
            </w:pPr>
            <w:r w:rsidRPr="00991A8D">
              <w:t>373,620,715.66</w:t>
            </w:r>
          </w:p>
        </w:tc>
      </w:tr>
      <w:tr w:rsidR="004913FE" w:rsidRPr="00465A16" w14:paraId="0D7D3761" w14:textId="77777777" w:rsidTr="008E13FC">
        <w:trPr>
          <w:trHeight w:hRule="exact" w:val="324"/>
          <w:jc w:val="center"/>
        </w:trPr>
        <w:tc>
          <w:tcPr>
            <w:tcW w:w="4111" w:type="dxa"/>
            <w:tcBorders>
              <w:top w:val="single" w:sz="4" w:space="0" w:color="auto"/>
              <w:left w:val="single" w:sz="4" w:space="0" w:color="auto"/>
              <w:bottom w:val="single" w:sz="4" w:space="0" w:color="auto"/>
              <w:right w:val="single" w:sz="4" w:space="0" w:color="auto"/>
            </w:tcBorders>
          </w:tcPr>
          <w:p w14:paraId="5BF405E4" w14:textId="77777777" w:rsidR="004913FE" w:rsidRPr="00991A8D" w:rsidRDefault="004913FE" w:rsidP="008E13FC">
            <w:pPr>
              <w:spacing w:before="12"/>
              <w:ind w:left="70"/>
            </w:pPr>
            <w:r w:rsidRPr="00991A8D">
              <w:t>Monto to</w:t>
            </w:r>
            <w:r w:rsidRPr="00991A8D">
              <w:rPr>
                <w:spacing w:val="1"/>
              </w:rPr>
              <w:t>t</w:t>
            </w:r>
            <w:r w:rsidRPr="00991A8D">
              <w:rPr>
                <w:spacing w:val="-1"/>
              </w:rPr>
              <w:t>a</w:t>
            </w:r>
            <w:r w:rsidRPr="00991A8D">
              <w:t>l cont</w:t>
            </w:r>
            <w:r w:rsidRPr="00991A8D">
              <w:rPr>
                <w:spacing w:val="-1"/>
              </w:rPr>
              <w:t>ra</w:t>
            </w:r>
            <w:r w:rsidRPr="00991A8D">
              <w:t>tado</w:t>
            </w:r>
          </w:p>
        </w:tc>
        <w:tc>
          <w:tcPr>
            <w:tcW w:w="3969" w:type="dxa"/>
            <w:tcBorders>
              <w:top w:val="single" w:sz="4" w:space="0" w:color="auto"/>
              <w:left w:val="single" w:sz="4" w:space="0" w:color="auto"/>
              <w:bottom w:val="single" w:sz="4" w:space="0" w:color="auto"/>
              <w:right w:val="single" w:sz="4" w:space="0" w:color="auto"/>
            </w:tcBorders>
          </w:tcPr>
          <w:p w14:paraId="3B92E58D" w14:textId="77777777" w:rsidR="004913FE" w:rsidRPr="00991A8D" w:rsidRDefault="004913FE" w:rsidP="008E13FC">
            <w:pPr>
              <w:spacing w:before="12"/>
              <w:ind w:left="1176"/>
            </w:pPr>
            <w:r w:rsidRPr="00991A8D">
              <w:t>235,608,551.98</w:t>
            </w:r>
          </w:p>
        </w:tc>
      </w:tr>
      <w:tr w:rsidR="004913FE" w:rsidRPr="00465A16" w14:paraId="673EE687" w14:textId="77777777" w:rsidTr="008E13FC">
        <w:trPr>
          <w:trHeight w:hRule="exact" w:val="272"/>
          <w:jc w:val="center"/>
        </w:trPr>
        <w:tc>
          <w:tcPr>
            <w:tcW w:w="4111" w:type="dxa"/>
            <w:tcBorders>
              <w:top w:val="single" w:sz="4" w:space="0" w:color="auto"/>
              <w:left w:val="single" w:sz="4" w:space="0" w:color="auto"/>
              <w:bottom w:val="single" w:sz="4" w:space="0" w:color="auto"/>
              <w:right w:val="single" w:sz="4" w:space="0" w:color="auto"/>
            </w:tcBorders>
            <w:vAlign w:val="center"/>
          </w:tcPr>
          <w:p w14:paraId="17C23FF5" w14:textId="77777777" w:rsidR="004913FE" w:rsidRPr="00991A8D" w:rsidRDefault="004913FE" w:rsidP="008E13FC">
            <w:pPr>
              <w:ind w:left="70"/>
            </w:pPr>
            <w:r w:rsidRPr="00991A8D">
              <w:t>C</w:t>
            </w:r>
            <w:r w:rsidRPr="00991A8D">
              <w:rPr>
                <w:spacing w:val="-1"/>
              </w:rPr>
              <w:t>a</w:t>
            </w:r>
            <w:r w:rsidRPr="00991A8D">
              <w:t>nt</w:t>
            </w:r>
            <w:r w:rsidRPr="00991A8D">
              <w:rPr>
                <w:spacing w:val="1"/>
              </w:rPr>
              <w:t>i</w:t>
            </w:r>
            <w:r w:rsidRPr="00991A8D">
              <w:t>d</w:t>
            </w:r>
            <w:r w:rsidRPr="00991A8D">
              <w:rPr>
                <w:spacing w:val="-1"/>
              </w:rPr>
              <w:t>a</w:t>
            </w:r>
            <w:r w:rsidRPr="00991A8D">
              <w:t>d de</w:t>
            </w:r>
            <w:r w:rsidRPr="00991A8D">
              <w:rPr>
                <w:spacing w:val="-1"/>
              </w:rPr>
              <w:t xml:space="preserve"> </w:t>
            </w:r>
            <w:r w:rsidRPr="00991A8D">
              <w:t>proc</w:t>
            </w:r>
            <w:r w:rsidRPr="00991A8D">
              <w:rPr>
                <w:spacing w:val="-1"/>
              </w:rPr>
              <w:t>e</w:t>
            </w:r>
            <w:r w:rsidRPr="00991A8D">
              <w:t>sos r</w:t>
            </w:r>
            <w:r w:rsidRPr="00991A8D">
              <w:rPr>
                <w:spacing w:val="1"/>
              </w:rPr>
              <w:t>e</w:t>
            </w:r>
            <w:r w:rsidRPr="00991A8D">
              <w:t>gis</w:t>
            </w:r>
            <w:r w:rsidRPr="00991A8D">
              <w:rPr>
                <w:spacing w:val="1"/>
              </w:rPr>
              <w:t>t</w:t>
            </w:r>
            <w:r w:rsidRPr="00991A8D">
              <w:t>r</w:t>
            </w:r>
            <w:r w:rsidRPr="00991A8D">
              <w:rPr>
                <w:spacing w:val="-2"/>
              </w:rPr>
              <w:t>a</w:t>
            </w:r>
            <w:r w:rsidRPr="00991A8D">
              <w:t>dos</w:t>
            </w:r>
          </w:p>
        </w:tc>
        <w:tc>
          <w:tcPr>
            <w:tcW w:w="3969" w:type="dxa"/>
            <w:tcBorders>
              <w:top w:val="single" w:sz="4" w:space="0" w:color="auto"/>
              <w:left w:val="single" w:sz="4" w:space="0" w:color="auto"/>
              <w:bottom w:val="single" w:sz="4" w:space="0" w:color="auto"/>
              <w:right w:val="single" w:sz="4" w:space="0" w:color="auto"/>
            </w:tcBorders>
            <w:vAlign w:val="center"/>
          </w:tcPr>
          <w:p w14:paraId="121C6AEE" w14:textId="77777777" w:rsidR="004913FE" w:rsidRPr="00991A8D" w:rsidRDefault="004913FE" w:rsidP="008E13FC">
            <w:pPr>
              <w:ind w:right="1599"/>
              <w:jc w:val="center"/>
            </w:pPr>
            <w:r w:rsidRPr="00991A8D">
              <w:t xml:space="preserve">                    213</w:t>
            </w:r>
          </w:p>
        </w:tc>
      </w:tr>
      <w:tr w:rsidR="004913FE" w:rsidRPr="00465A16" w14:paraId="6E66AD34" w14:textId="77777777" w:rsidTr="008E13FC">
        <w:trPr>
          <w:trHeight w:hRule="exact" w:val="324"/>
          <w:jc w:val="center"/>
        </w:trPr>
        <w:tc>
          <w:tcPr>
            <w:tcW w:w="4111" w:type="dxa"/>
            <w:tcBorders>
              <w:top w:val="single" w:sz="4" w:space="0" w:color="auto"/>
              <w:left w:val="single" w:sz="4" w:space="0" w:color="auto"/>
              <w:bottom w:val="single" w:sz="4" w:space="0" w:color="auto"/>
              <w:right w:val="single" w:sz="4" w:space="0" w:color="auto"/>
            </w:tcBorders>
          </w:tcPr>
          <w:p w14:paraId="731EC07A" w14:textId="77777777" w:rsidR="004913FE" w:rsidRPr="00991A8D" w:rsidRDefault="004913FE" w:rsidP="008E13FC">
            <w:pPr>
              <w:spacing w:before="12"/>
              <w:ind w:left="70"/>
            </w:pPr>
            <w:r w:rsidRPr="00991A8D">
              <w:t>C</w:t>
            </w:r>
            <w:r w:rsidRPr="00991A8D">
              <w:rPr>
                <w:spacing w:val="-1"/>
              </w:rPr>
              <w:t>a</w:t>
            </w:r>
            <w:r w:rsidRPr="00991A8D">
              <w:t>pí</w:t>
            </w:r>
            <w:r w:rsidRPr="00991A8D">
              <w:rPr>
                <w:spacing w:val="1"/>
              </w:rPr>
              <w:t>t</w:t>
            </w:r>
            <w:r w:rsidRPr="00991A8D">
              <w:t>ulo</w:t>
            </w:r>
          </w:p>
        </w:tc>
        <w:tc>
          <w:tcPr>
            <w:tcW w:w="3969" w:type="dxa"/>
            <w:tcBorders>
              <w:top w:val="single" w:sz="4" w:space="0" w:color="auto"/>
              <w:left w:val="single" w:sz="4" w:space="0" w:color="auto"/>
              <w:bottom w:val="single" w:sz="4" w:space="0" w:color="auto"/>
              <w:right w:val="single" w:sz="4" w:space="0" w:color="auto"/>
            </w:tcBorders>
          </w:tcPr>
          <w:p w14:paraId="7DCAF6B0" w14:textId="77777777" w:rsidR="004913FE" w:rsidRPr="00991A8D" w:rsidRDefault="004913FE" w:rsidP="008E13FC">
            <w:pPr>
              <w:ind w:right="1599"/>
              <w:jc w:val="center"/>
            </w:pPr>
            <w:r w:rsidRPr="00991A8D">
              <w:t xml:space="preserve">                   0201</w:t>
            </w:r>
          </w:p>
        </w:tc>
      </w:tr>
      <w:tr w:rsidR="004913FE" w:rsidRPr="00465A16" w14:paraId="2F518E51" w14:textId="77777777" w:rsidTr="008E13FC">
        <w:trPr>
          <w:trHeight w:hRule="exact" w:val="388"/>
          <w:jc w:val="center"/>
        </w:trPr>
        <w:tc>
          <w:tcPr>
            <w:tcW w:w="4111" w:type="dxa"/>
            <w:tcBorders>
              <w:top w:val="single" w:sz="4" w:space="0" w:color="auto"/>
              <w:left w:val="single" w:sz="4" w:space="0" w:color="auto"/>
              <w:bottom w:val="single" w:sz="4" w:space="0" w:color="auto"/>
              <w:right w:val="single" w:sz="4" w:space="0" w:color="auto"/>
            </w:tcBorders>
            <w:vAlign w:val="center"/>
          </w:tcPr>
          <w:p w14:paraId="740F9A0D" w14:textId="77777777" w:rsidR="004913FE" w:rsidRPr="00991A8D" w:rsidRDefault="004913FE" w:rsidP="008E13FC">
            <w:pPr>
              <w:spacing w:before="15" w:after="0"/>
              <w:ind w:left="70"/>
            </w:pPr>
            <w:r w:rsidRPr="00991A8D">
              <w:rPr>
                <w:spacing w:val="1"/>
              </w:rPr>
              <w:t>S</w:t>
            </w:r>
            <w:r w:rsidRPr="00991A8D">
              <w:t>ubcapítulo</w:t>
            </w:r>
          </w:p>
        </w:tc>
        <w:tc>
          <w:tcPr>
            <w:tcW w:w="3969" w:type="dxa"/>
            <w:tcBorders>
              <w:top w:val="single" w:sz="4" w:space="0" w:color="auto"/>
              <w:left w:val="single" w:sz="4" w:space="0" w:color="auto"/>
              <w:bottom w:val="single" w:sz="4" w:space="0" w:color="auto"/>
              <w:right w:val="single" w:sz="4" w:space="0" w:color="auto"/>
            </w:tcBorders>
            <w:vAlign w:val="center"/>
          </w:tcPr>
          <w:p w14:paraId="1595CFCC" w14:textId="77777777" w:rsidR="004913FE" w:rsidRPr="00991A8D" w:rsidRDefault="004913FE" w:rsidP="008E13FC">
            <w:pPr>
              <w:spacing w:before="15"/>
              <w:ind w:right="1719"/>
              <w:jc w:val="center"/>
            </w:pPr>
            <w:r w:rsidRPr="00991A8D">
              <w:t xml:space="preserve">                   04</w:t>
            </w:r>
          </w:p>
        </w:tc>
      </w:tr>
      <w:tr w:rsidR="004913FE" w:rsidRPr="00465A16" w14:paraId="110EA156" w14:textId="77777777" w:rsidTr="008E13FC">
        <w:trPr>
          <w:trHeight w:hRule="exact" w:val="324"/>
          <w:jc w:val="center"/>
        </w:trPr>
        <w:tc>
          <w:tcPr>
            <w:tcW w:w="4111" w:type="dxa"/>
            <w:tcBorders>
              <w:top w:val="single" w:sz="4" w:space="0" w:color="auto"/>
              <w:left w:val="single" w:sz="4" w:space="0" w:color="auto"/>
              <w:bottom w:val="single" w:sz="4" w:space="0" w:color="auto"/>
              <w:right w:val="single" w:sz="4" w:space="0" w:color="auto"/>
            </w:tcBorders>
          </w:tcPr>
          <w:p w14:paraId="66CD7EA8" w14:textId="77777777" w:rsidR="004913FE" w:rsidRPr="00991A8D" w:rsidRDefault="004913FE" w:rsidP="008E13FC">
            <w:pPr>
              <w:spacing w:before="12"/>
              <w:ind w:left="70"/>
            </w:pPr>
            <w:r w:rsidRPr="00991A8D">
              <w:t>Unid</w:t>
            </w:r>
            <w:r w:rsidRPr="00991A8D">
              <w:rPr>
                <w:spacing w:val="-1"/>
              </w:rPr>
              <w:t>a</w:t>
            </w:r>
            <w:r w:rsidRPr="00991A8D">
              <w:t xml:space="preserve">d </w:t>
            </w:r>
            <w:r w:rsidRPr="00991A8D">
              <w:rPr>
                <w:spacing w:val="-1"/>
              </w:rPr>
              <w:t>e</w:t>
            </w:r>
            <w:r w:rsidRPr="00991A8D">
              <w:t>je</w:t>
            </w:r>
            <w:r w:rsidRPr="00991A8D">
              <w:rPr>
                <w:spacing w:val="-1"/>
              </w:rPr>
              <w:t>c</w:t>
            </w:r>
            <w:r w:rsidRPr="00991A8D">
              <w:t>uto</w:t>
            </w:r>
            <w:r w:rsidRPr="00991A8D">
              <w:rPr>
                <w:spacing w:val="2"/>
              </w:rPr>
              <w:t>r</w:t>
            </w:r>
            <w:r w:rsidRPr="00991A8D">
              <w:t>a</w:t>
            </w:r>
          </w:p>
        </w:tc>
        <w:tc>
          <w:tcPr>
            <w:tcW w:w="3969" w:type="dxa"/>
            <w:tcBorders>
              <w:top w:val="single" w:sz="4" w:space="0" w:color="auto"/>
              <w:left w:val="single" w:sz="4" w:space="0" w:color="auto"/>
              <w:bottom w:val="single" w:sz="4" w:space="0" w:color="auto"/>
              <w:right w:val="single" w:sz="4" w:space="0" w:color="auto"/>
            </w:tcBorders>
          </w:tcPr>
          <w:p w14:paraId="7480ECF0" w14:textId="77777777" w:rsidR="004913FE" w:rsidRPr="00991A8D" w:rsidRDefault="004913FE" w:rsidP="008E13FC">
            <w:pPr>
              <w:spacing w:before="12"/>
              <w:ind w:right="1719"/>
              <w:jc w:val="center"/>
            </w:pPr>
            <w:r w:rsidRPr="00991A8D">
              <w:t xml:space="preserve">                    0001</w:t>
            </w:r>
          </w:p>
        </w:tc>
      </w:tr>
      <w:tr w:rsidR="004913FE" w:rsidRPr="00465A16" w14:paraId="74BE2F9D" w14:textId="77777777" w:rsidTr="008E13FC">
        <w:trPr>
          <w:trHeight w:hRule="exact" w:val="541"/>
          <w:jc w:val="center"/>
        </w:trPr>
        <w:tc>
          <w:tcPr>
            <w:tcW w:w="4111" w:type="dxa"/>
            <w:tcBorders>
              <w:top w:val="single" w:sz="4" w:space="0" w:color="auto"/>
              <w:left w:val="single" w:sz="4" w:space="0" w:color="auto"/>
              <w:bottom w:val="single" w:sz="4" w:space="0" w:color="auto"/>
              <w:right w:val="single" w:sz="4" w:space="0" w:color="auto"/>
            </w:tcBorders>
            <w:vAlign w:val="center"/>
          </w:tcPr>
          <w:p w14:paraId="79501450" w14:textId="77777777" w:rsidR="004913FE" w:rsidRPr="00991A8D" w:rsidRDefault="004913FE" w:rsidP="008E13FC">
            <w:pPr>
              <w:spacing w:after="0"/>
            </w:pPr>
            <w:r w:rsidRPr="00991A8D">
              <w:t xml:space="preserve"> Unid</w:t>
            </w:r>
            <w:r w:rsidRPr="00991A8D">
              <w:rPr>
                <w:spacing w:val="-1"/>
              </w:rPr>
              <w:t>a</w:t>
            </w:r>
            <w:r w:rsidRPr="00991A8D">
              <w:t>d de</w:t>
            </w:r>
            <w:r w:rsidRPr="00991A8D">
              <w:rPr>
                <w:spacing w:val="-1"/>
              </w:rPr>
              <w:t xml:space="preserve"> c</w:t>
            </w:r>
            <w:r w:rsidRPr="00991A8D">
              <w:t>omp</w:t>
            </w:r>
            <w:r w:rsidRPr="00991A8D">
              <w:rPr>
                <w:spacing w:val="2"/>
              </w:rPr>
              <w:t>r</w:t>
            </w:r>
            <w:r w:rsidRPr="00991A8D">
              <w:t>a</w:t>
            </w:r>
          </w:p>
        </w:tc>
        <w:tc>
          <w:tcPr>
            <w:tcW w:w="3969" w:type="dxa"/>
            <w:tcBorders>
              <w:top w:val="single" w:sz="4" w:space="0" w:color="auto"/>
              <w:left w:val="single" w:sz="4" w:space="0" w:color="auto"/>
              <w:bottom w:val="single" w:sz="4" w:space="0" w:color="auto"/>
              <w:right w:val="single" w:sz="4" w:space="0" w:color="auto"/>
            </w:tcBorders>
            <w:vAlign w:val="center"/>
          </w:tcPr>
          <w:p w14:paraId="10284A7C" w14:textId="77777777" w:rsidR="004913FE" w:rsidRPr="00991A8D" w:rsidRDefault="004913FE" w:rsidP="008E13FC">
            <w:pPr>
              <w:spacing w:after="0"/>
              <w:ind w:right="501"/>
              <w:jc w:val="center"/>
              <w:rPr>
                <w:sz w:val="22"/>
                <w:szCs w:val="22"/>
              </w:rPr>
            </w:pPr>
            <w:r w:rsidRPr="00991A8D">
              <w:rPr>
                <w:sz w:val="22"/>
                <w:szCs w:val="22"/>
              </w:rPr>
              <w:t>Contraloría General de la Rep.</w:t>
            </w:r>
          </w:p>
        </w:tc>
      </w:tr>
      <w:tr w:rsidR="004913FE" w:rsidRPr="00465A16" w14:paraId="63D9CDBF" w14:textId="77777777" w:rsidTr="008E13FC">
        <w:trPr>
          <w:trHeight w:hRule="exact" w:val="326"/>
          <w:jc w:val="center"/>
        </w:trPr>
        <w:tc>
          <w:tcPr>
            <w:tcW w:w="4111" w:type="dxa"/>
            <w:tcBorders>
              <w:top w:val="single" w:sz="4" w:space="0" w:color="auto"/>
              <w:left w:val="single" w:sz="4" w:space="0" w:color="auto"/>
              <w:bottom w:val="single" w:sz="4" w:space="0" w:color="auto"/>
              <w:right w:val="single" w:sz="4" w:space="0" w:color="auto"/>
            </w:tcBorders>
          </w:tcPr>
          <w:p w14:paraId="3F359F8F" w14:textId="77777777" w:rsidR="004913FE" w:rsidRPr="00991A8D" w:rsidRDefault="004913FE" w:rsidP="008E13FC">
            <w:pPr>
              <w:spacing w:before="15"/>
              <w:ind w:left="70"/>
            </w:pPr>
            <w:r w:rsidRPr="00991A8D">
              <w:t xml:space="preserve">Año </w:t>
            </w:r>
            <w:r w:rsidRPr="00991A8D">
              <w:rPr>
                <w:spacing w:val="-1"/>
              </w:rPr>
              <w:t>f</w:t>
            </w:r>
            <w:r w:rsidRPr="00991A8D">
              <w:t>isc</w:t>
            </w:r>
            <w:r w:rsidRPr="00991A8D">
              <w:rPr>
                <w:spacing w:val="-1"/>
              </w:rPr>
              <w:t>a</w:t>
            </w:r>
            <w:r w:rsidRPr="00991A8D">
              <w:t>l</w:t>
            </w:r>
          </w:p>
        </w:tc>
        <w:tc>
          <w:tcPr>
            <w:tcW w:w="3969" w:type="dxa"/>
            <w:tcBorders>
              <w:top w:val="single" w:sz="4" w:space="0" w:color="auto"/>
              <w:left w:val="single" w:sz="4" w:space="0" w:color="auto"/>
              <w:bottom w:val="single" w:sz="4" w:space="0" w:color="auto"/>
              <w:right w:val="single" w:sz="4" w:space="0" w:color="auto"/>
            </w:tcBorders>
          </w:tcPr>
          <w:p w14:paraId="0736FECE" w14:textId="77777777" w:rsidR="004913FE" w:rsidRPr="00991A8D" w:rsidRDefault="004913FE" w:rsidP="008E13FC">
            <w:pPr>
              <w:spacing w:after="0"/>
            </w:pPr>
            <w:r w:rsidRPr="00991A8D">
              <w:t xml:space="preserve">                    2025</w:t>
            </w:r>
          </w:p>
        </w:tc>
      </w:tr>
      <w:tr w:rsidR="004913FE" w:rsidRPr="00465A16" w14:paraId="3354C893" w14:textId="77777777" w:rsidTr="008E13FC">
        <w:trPr>
          <w:trHeight w:hRule="exact" w:val="324"/>
          <w:jc w:val="center"/>
        </w:trPr>
        <w:tc>
          <w:tcPr>
            <w:tcW w:w="4111" w:type="dxa"/>
            <w:tcBorders>
              <w:top w:val="single" w:sz="4" w:space="0" w:color="auto"/>
              <w:left w:val="single" w:sz="4" w:space="0" w:color="auto"/>
              <w:bottom w:val="single" w:sz="4" w:space="0" w:color="auto"/>
              <w:right w:val="single" w:sz="4" w:space="0" w:color="auto"/>
            </w:tcBorders>
          </w:tcPr>
          <w:p w14:paraId="35B6F8F8" w14:textId="77777777" w:rsidR="004913FE" w:rsidRPr="00465A16" w:rsidRDefault="004913FE" w:rsidP="008E13FC">
            <w:pPr>
              <w:spacing w:before="12"/>
              <w:ind w:left="70"/>
              <w:rPr>
                <w:color w:val="4C4747"/>
              </w:rPr>
            </w:pPr>
            <w:r w:rsidRPr="00991A8D">
              <w:rPr>
                <w:spacing w:val="-1"/>
              </w:rPr>
              <w:t>Fec</w:t>
            </w:r>
            <w:r w:rsidRPr="00991A8D">
              <w:rPr>
                <w:spacing w:val="2"/>
              </w:rPr>
              <w:t>h</w:t>
            </w:r>
            <w:r w:rsidRPr="00991A8D">
              <w:t>a</w:t>
            </w:r>
            <w:r w:rsidRPr="00991A8D">
              <w:rPr>
                <w:spacing w:val="-1"/>
              </w:rPr>
              <w:t xml:space="preserve"> a</w:t>
            </w:r>
            <w:r w:rsidRPr="00991A8D">
              <w:t>pro</w:t>
            </w:r>
            <w:r w:rsidRPr="00991A8D">
              <w:rPr>
                <w:spacing w:val="1"/>
              </w:rPr>
              <w:t>b</w:t>
            </w:r>
            <w:r w:rsidRPr="00991A8D">
              <w:rPr>
                <w:spacing w:val="-1"/>
              </w:rPr>
              <w:t>ac</w:t>
            </w:r>
            <w:r w:rsidRPr="00991A8D">
              <w:t>ión</w:t>
            </w:r>
          </w:p>
        </w:tc>
        <w:tc>
          <w:tcPr>
            <w:tcW w:w="3969" w:type="dxa"/>
            <w:tcBorders>
              <w:top w:val="single" w:sz="4" w:space="0" w:color="auto"/>
              <w:left w:val="single" w:sz="4" w:space="0" w:color="auto"/>
              <w:bottom w:val="single" w:sz="4" w:space="0" w:color="auto"/>
              <w:right w:val="single" w:sz="4" w:space="0" w:color="auto"/>
            </w:tcBorders>
          </w:tcPr>
          <w:p w14:paraId="477A211A" w14:textId="77777777" w:rsidR="004913FE" w:rsidRPr="00465A16" w:rsidRDefault="004913FE" w:rsidP="008E13FC">
            <w:pPr>
              <w:spacing w:after="0"/>
              <w:rPr>
                <w:color w:val="4C4747"/>
              </w:rPr>
            </w:pPr>
          </w:p>
        </w:tc>
      </w:tr>
      <w:tr w:rsidR="004913FE" w:rsidRPr="00465A16" w14:paraId="3EF11D42" w14:textId="77777777" w:rsidTr="008E13FC">
        <w:trPr>
          <w:trHeight w:hRule="exact" w:val="499"/>
          <w:jc w:val="center"/>
        </w:trPr>
        <w:tc>
          <w:tcPr>
            <w:tcW w:w="8080" w:type="dxa"/>
            <w:gridSpan w:val="2"/>
            <w:tcBorders>
              <w:top w:val="single" w:sz="4" w:space="0" w:color="auto"/>
              <w:left w:val="single" w:sz="4" w:space="0" w:color="auto"/>
              <w:bottom w:val="single" w:sz="4" w:space="0" w:color="auto"/>
              <w:right w:val="single" w:sz="4" w:space="0" w:color="auto"/>
            </w:tcBorders>
            <w:shd w:val="clear" w:color="auto" w:fill="011C50"/>
            <w:vAlign w:val="center"/>
          </w:tcPr>
          <w:p w14:paraId="569F78FB" w14:textId="77777777" w:rsidR="004913FE" w:rsidRPr="00465A16" w:rsidRDefault="004913FE" w:rsidP="008E13FC">
            <w:pPr>
              <w:spacing w:after="0"/>
              <w:jc w:val="center"/>
              <w:rPr>
                <w:color w:val="FFFFFF" w:themeColor="background1"/>
              </w:rPr>
            </w:pPr>
            <w:r w:rsidRPr="00465A16">
              <w:rPr>
                <w:b/>
                <w:color w:val="FFFFFF" w:themeColor="background1"/>
                <w:spacing w:val="-1"/>
              </w:rPr>
              <w:t>MONTOS ESTIMADOS SEGÚN OBJETO DE CONTRATACIÓN</w:t>
            </w:r>
          </w:p>
        </w:tc>
      </w:tr>
      <w:tr w:rsidR="004913FE" w:rsidRPr="00465A16" w14:paraId="0134BD3F" w14:textId="77777777" w:rsidTr="008E13FC">
        <w:trPr>
          <w:trHeight w:hRule="exact" w:val="315"/>
          <w:jc w:val="center"/>
        </w:trPr>
        <w:tc>
          <w:tcPr>
            <w:tcW w:w="4111" w:type="dxa"/>
            <w:tcBorders>
              <w:top w:val="single" w:sz="4" w:space="0" w:color="auto"/>
              <w:left w:val="single" w:sz="4" w:space="0" w:color="auto"/>
              <w:bottom w:val="single" w:sz="4" w:space="0" w:color="auto"/>
              <w:right w:val="single" w:sz="4" w:space="0" w:color="auto"/>
            </w:tcBorders>
            <w:vAlign w:val="center"/>
          </w:tcPr>
          <w:p w14:paraId="42FC5248" w14:textId="77777777" w:rsidR="004913FE" w:rsidRPr="00991A8D" w:rsidRDefault="004913FE" w:rsidP="008E13FC">
            <w:pPr>
              <w:spacing w:after="0"/>
              <w:ind w:left="70"/>
            </w:pPr>
            <w:r w:rsidRPr="00991A8D">
              <w:rPr>
                <w:spacing w:val="-2"/>
              </w:rPr>
              <w:t>B</w:t>
            </w:r>
            <w:r w:rsidRPr="00991A8D">
              <w:t>ien</w:t>
            </w:r>
            <w:r w:rsidRPr="00991A8D">
              <w:rPr>
                <w:spacing w:val="-1"/>
              </w:rPr>
              <w:t>e</w:t>
            </w:r>
            <w:r w:rsidRPr="00991A8D">
              <w:t>s</w:t>
            </w:r>
          </w:p>
        </w:tc>
        <w:tc>
          <w:tcPr>
            <w:tcW w:w="3969" w:type="dxa"/>
            <w:tcBorders>
              <w:top w:val="single" w:sz="4" w:space="0" w:color="auto"/>
              <w:left w:val="single" w:sz="4" w:space="0" w:color="auto"/>
              <w:bottom w:val="single" w:sz="4" w:space="0" w:color="auto"/>
              <w:right w:val="single" w:sz="4" w:space="0" w:color="auto"/>
            </w:tcBorders>
            <w:vAlign w:val="center"/>
          </w:tcPr>
          <w:p w14:paraId="64ED5DCF" w14:textId="77777777" w:rsidR="004913FE" w:rsidRPr="00991A8D" w:rsidRDefault="004913FE" w:rsidP="008E13FC">
            <w:pPr>
              <w:spacing w:after="0"/>
              <w:jc w:val="center"/>
            </w:pPr>
            <w:r w:rsidRPr="00991A8D">
              <w:t>95,664,807.16</w:t>
            </w:r>
          </w:p>
        </w:tc>
      </w:tr>
      <w:tr w:rsidR="004913FE" w:rsidRPr="00465A16" w14:paraId="1D1708A5" w14:textId="77777777" w:rsidTr="008E13FC">
        <w:trPr>
          <w:trHeight w:hRule="exact" w:val="324"/>
          <w:jc w:val="center"/>
        </w:trPr>
        <w:tc>
          <w:tcPr>
            <w:tcW w:w="4111" w:type="dxa"/>
            <w:tcBorders>
              <w:top w:val="single" w:sz="4" w:space="0" w:color="auto"/>
              <w:left w:val="single" w:sz="4" w:space="0" w:color="auto"/>
              <w:bottom w:val="single" w:sz="4" w:space="0" w:color="auto"/>
              <w:right w:val="single" w:sz="4" w:space="0" w:color="auto"/>
            </w:tcBorders>
            <w:vAlign w:val="center"/>
          </w:tcPr>
          <w:p w14:paraId="5F4CD4B4" w14:textId="77777777" w:rsidR="004913FE" w:rsidRPr="00991A8D" w:rsidRDefault="004913FE" w:rsidP="008E13FC">
            <w:pPr>
              <w:spacing w:after="0"/>
              <w:ind w:left="70"/>
            </w:pPr>
            <w:r w:rsidRPr="00991A8D">
              <w:t>Ob</w:t>
            </w:r>
            <w:r w:rsidRPr="00991A8D">
              <w:rPr>
                <w:spacing w:val="-1"/>
              </w:rPr>
              <w:t>ra</w:t>
            </w:r>
            <w:r w:rsidRPr="00991A8D">
              <w:t>s</w:t>
            </w:r>
          </w:p>
        </w:tc>
        <w:tc>
          <w:tcPr>
            <w:tcW w:w="3969" w:type="dxa"/>
            <w:tcBorders>
              <w:top w:val="single" w:sz="4" w:space="0" w:color="auto"/>
              <w:left w:val="single" w:sz="4" w:space="0" w:color="auto"/>
              <w:bottom w:val="single" w:sz="4" w:space="0" w:color="auto"/>
              <w:right w:val="single" w:sz="4" w:space="0" w:color="auto"/>
            </w:tcBorders>
            <w:vAlign w:val="center"/>
          </w:tcPr>
          <w:p w14:paraId="2188EDC9" w14:textId="77777777" w:rsidR="004913FE" w:rsidRPr="00991A8D" w:rsidRDefault="004913FE" w:rsidP="008E13FC">
            <w:pPr>
              <w:spacing w:after="0"/>
              <w:jc w:val="center"/>
            </w:pPr>
          </w:p>
        </w:tc>
      </w:tr>
      <w:tr w:rsidR="004913FE" w:rsidRPr="00465A16" w14:paraId="603DEBF5" w14:textId="77777777" w:rsidTr="008E13FC">
        <w:trPr>
          <w:trHeight w:hRule="exact" w:val="326"/>
          <w:jc w:val="center"/>
        </w:trPr>
        <w:tc>
          <w:tcPr>
            <w:tcW w:w="4111" w:type="dxa"/>
            <w:tcBorders>
              <w:top w:val="single" w:sz="4" w:space="0" w:color="auto"/>
              <w:left w:val="single" w:sz="4" w:space="0" w:color="auto"/>
              <w:bottom w:val="single" w:sz="4" w:space="0" w:color="auto"/>
              <w:right w:val="single" w:sz="4" w:space="0" w:color="auto"/>
            </w:tcBorders>
            <w:vAlign w:val="center"/>
          </w:tcPr>
          <w:p w14:paraId="17B36681" w14:textId="77777777" w:rsidR="004913FE" w:rsidRPr="00991A8D" w:rsidRDefault="004913FE" w:rsidP="008E13FC">
            <w:pPr>
              <w:spacing w:after="0"/>
              <w:ind w:left="70"/>
            </w:pPr>
            <w:r w:rsidRPr="00991A8D">
              <w:rPr>
                <w:spacing w:val="1"/>
              </w:rPr>
              <w:t>S</w:t>
            </w:r>
            <w:r w:rsidRPr="00991A8D">
              <w:rPr>
                <w:spacing w:val="-1"/>
              </w:rPr>
              <w:t>e</w:t>
            </w:r>
            <w:r w:rsidRPr="00991A8D">
              <w:t>rvi</w:t>
            </w:r>
            <w:r w:rsidRPr="00991A8D">
              <w:rPr>
                <w:spacing w:val="-1"/>
              </w:rPr>
              <w:t>c</w:t>
            </w:r>
            <w:r w:rsidRPr="00991A8D">
              <w:t>ios</w:t>
            </w:r>
          </w:p>
        </w:tc>
        <w:tc>
          <w:tcPr>
            <w:tcW w:w="3969" w:type="dxa"/>
            <w:tcBorders>
              <w:top w:val="single" w:sz="4" w:space="0" w:color="auto"/>
              <w:left w:val="single" w:sz="4" w:space="0" w:color="auto"/>
              <w:bottom w:val="single" w:sz="4" w:space="0" w:color="auto"/>
              <w:right w:val="single" w:sz="4" w:space="0" w:color="auto"/>
            </w:tcBorders>
            <w:vAlign w:val="center"/>
          </w:tcPr>
          <w:p w14:paraId="58701E0E" w14:textId="77777777" w:rsidR="004913FE" w:rsidRPr="00991A8D" w:rsidRDefault="004913FE" w:rsidP="008E13FC">
            <w:pPr>
              <w:spacing w:after="0"/>
              <w:jc w:val="center"/>
            </w:pPr>
            <w:r w:rsidRPr="00991A8D">
              <w:t>112,542,085.82</w:t>
            </w:r>
          </w:p>
        </w:tc>
      </w:tr>
      <w:tr w:rsidR="004913FE" w:rsidRPr="00465A16" w14:paraId="35EA33BC" w14:textId="77777777" w:rsidTr="008E13FC">
        <w:trPr>
          <w:trHeight w:hRule="exact" w:val="324"/>
          <w:jc w:val="center"/>
        </w:trPr>
        <w:tc>
          <w:tcPr>
            <w:tcW w:w="4111" w:type="dxa"/>
            <w:tcBorders>
              <w:top w:val="single" w:sz="4" w:space="0" w:color="auto"/>
              <w:left w:val="single" w:sz="4" w:space="0" w:color="auto"/>
              <w:bottom w:val="single" w:sz="4" w:space="0" w:color="auto"/>
              <w:right w:val="single" w:sz="4" w:space="0" w:color="auto"/>
            </w:tcBorders>
            <w:vAlign w:val="center"/>
          </w:tcPr>
          <w:p w14:paraId="4291ECEC" w14:textId="77777777" w:rsidR="004913FE" w:rsidRPr="00991A8D" w:rsidRDefault="004913FE" w:rsidP="008E13FC">
            <w:pPr>
              <w:spacing w:after="0"/>
              <w:ind w:left="70"/>
            </w:pPr>
            <w:r w:rsidRPr="00991A8D">
              <w:rPr>
                <w:spacing w:val="1"/>
              </w:rPr>
              <w:t>S</w:t>
            </w:r>
            <w:r w:rsidRPr="00991A8D">
              <w:rPr>
                <w:spacing w:val="-1"/>
              </w:rPr>
              <w:t>e</w:t>
            </w:r>
            <w:r w:rsidRPr="00991A8D">
              <w:t>rvi</w:t>
            </w:r>
            <w:r w:rsidRPr="00991A8D">
              <w:rPr>
                <w:spacing w:val="-1"/>
              </w:rPr>
              <w:t>c</w:t>
            </w:r>
            <w:r w:rsidRPr="00991A8D">
              <w:t>ios:</w:t>
            </w:r>
            <w:r w:rsidRPr="00991A8D">
              <w:rPr>
                <w:spacing w:val="1"/>
              </w:rPr>
              <w:t xml:space="preserve"> </w:t>
            </w:r>
            <w:r w:rsidRPr="00991A8D">
              <w:rPr>
                <w:spacing w:val="-1"/>
              </w:rPr>
              <w:t>c</w:t>
            </w:r>
            <w:r w:rsidRPr="00991A8D">
              <w:t>onsultoría</w:t>
            </w:r>
          </w:p>
        </w:tc>
        <w:tc>
          <w:tcPr>
            <w:tcW w:w="3969" w:type="dxa"/>
            <w:tcBorders>
              <w:top w:val="single" w:sz="4" w:space="0" w:color="auto"/>
              <w:left w:val="single" w:sz="4" w:space="0" w:color="auto"/>
              <w:bottom w:val="single" w:sz="4" w:space="0" w:color="auto"/>
              <w:right w:val="single" w:sz="4" w:space="0" w:color="auto"/>
            </w:tcBorders>
            <w:vAlign w:val="center"/>
          </w:tcPr>
          <w:p w14:paraId="733AE82E" w14:textId="77777777" w:rsidR="004913FE" w:rsidRPr="00991A8D" w:rsidRDefault="004913FE" w:rsidP="008E13FC">
            <w:pPr>
              <w:spacing w:after="0"/>
              <w:jc w:val="center"/>
            </w:pPr>
            <w:r w:rsidRPr="00991A8D">
              <w:t>1,410,757.00</w:t>
            </w:r>
          </w:p>
        </w:tc>
      </w:tr>
      <w:tr w:rsidR="004913FE" w:rsidRPr="00465A16" w14:paraId="5C62428D" w14:textId="77777777" w:rsidTr="008E13FC">
        <w:trPr>
          <w:trHeight w:hRule="exact" w:val="704"/>
          <w:jc w:val="center"/>
        </w:trPr>
        <w:tc>
          <w:tcPr>
            <w:tcW w:w="4111" w:type="dxa"/>
            <w:tcBorders>
              <w:top w:val="single" w:sz="4" w:space="0" w:color="auto"/>
              <w:left w:val="single" w:sz="4" w:space="0" w:color="auto"/>
              <w:bottom w:val="single" w:sz="4" w:space="0" w:color="auto"/>
              <w:right w:val="single" w:sz="4" w:space="0" w:color="auto"/>
            </w:tcBorders>
            <w:vAlign w:val="center"/>
          </w:tcPr>
          <w:p w14:paraId="74CF730F" w14:textId="77777777" w:rsidR="004913FE" w:rsidRPr="00991A8D" w:rsidRDefault="004913FE" w:rsidP="008E13FC">
            <w:pPr>
              <w:spacing w:after="0"/>
              <w:ind w:left="70"/>
              <w:rPr>
                <w:spacing w:val="1"/>
              </w:rPr>
            </w:pPr>
            <w:r w:rsidRPr="00991A8D">
              <w:rPr>
                <w:spacing w:val="1"/>
              </w:rPr>
              <w:t xml:space="preserve">Servicios: consultoría basada en la calidad de los Servicios                                                                       </w:t>
            </w:r>
          </w:p>
        </w:tc>
        <w:tc>
          <w:tcPr>
            <w:tcW w:w="3969" w:type="dxa"/>
            <w:tcBorders>
              <w:top w:val="single" w:sz="4" w:space="0" w:color="auto"/>
              <w:left w:val="single" w:sz="4" w:space="0" w:color="auto"/>
              <w:bottom w:val="single" w:sz="4" w:space="0" w:color="auto"/>
              <w:right w:val="single" w:sz="4" w:space="0" w:color="auto"/>
            </w:tcBorders>
            <w:vAlign w:val="center"/>
          </w:tcPr>
          <w:p w14:paraId="557DF664" w14:textId="77777777" w:rsidR="004913FE" w:rsidRPr="00991A8D" w:rsidRDefault="004913FE" w:rsidP="008E13FC">
            <w:pPr>
              <w:spacing w:after="0"/>
              <w:jc w:val="center"/>
            </w:pPr>
          </w:p>
        </w:tc>
      </w:tr>
      <w:tr w:rsidR="004913FE" w:rsidRPr="00465A16" w14:paraId="5986FF5F" w14:textId="77777777" w:rsidTr="008E13FC">
        <w:trPr>
          <w:trHeight w:hRule="exact" w:val="417"/>
          <w:jc w:val="center"/>
        </w:trPr>
        <w:tc>
          <w:tcPr>
            <w:tcW w:w="4111" w:type="dxa"/>
            <w:tcBorders>
              <w:top w:val="single" w:sz="4" w:space="0" w:color="auto"/>
              <w:left w:val="single" w:sz="4" w:space="0" w:color="auto"/>
              <w:bottom w:val="single" w:sz="4" w:space="0" w:color="auto"/>
              <w:right w:val="single" w:sz="4" w:space="0" w:color="auto"/>
            </w:tcBorders>
            <w:vAlign w:val="center"/>
          </w:tcPr>
          <w:p w14:paraId="40A00E76" w14:textId="77777777" w:rsidR="004913FE" w:rsidRPr="00991A8D" w:rsidRDefault="004913FE" w:rsidP="008E13FC">
            <w:pPr>
              <w:spacing w:after="0"/>
              <w:ind w:left="70"/>
              <w:rPr>
                <w:spacing w:val="1"/>
              </w:rPr>
            </w:pPr>
            <w:r w:rsidRPr="00991A8D">
              <w:rPr>
                <w:spacing w:val="1"/>
              </w:rPr>
              <w:t>MiPymes</w:t>
            </w:r>
          </w:p>
        </w:tc>
        <w:tc>
          <w:tcPr>
            <w:tcW w:w="3969" w:type="dxa"/>
            <w:tcBorders>
              <w:top w:val="single" w:sz="4" w:space="0" w:color="auto"/>
              <w:left w:val="single" w:sz="4" w:space="0" w:color="auto"/>
              <w:bottom w:val="single" w:sz="4" w:space="0" w:color="auto"/>
              <w:right w:val="single" w:sz="4" w:space="0" w:color="auto"/>
            </w:tcBorders>
            <w:vAlign w:val="center"/>
          </w:tcPr>
          <w:p w14:paraId="5757ACA4" w14:textId="77777777" w:rsidR="004913FE" w:rsidRPr="00991A8D" w:rsidRDefault="004913FE" w:rsidP="008E13FC">
            <w:pPr>
              <w:spacing w:after="0"/>
              <w:jc w:val="center"/>
              <w:rPr>
                <w:spacing w:val="1"/>
              </w:rPr>
            </w:pPr>
            <w:r w:rsidRPr="00991A8D">
              <w:rPr>
                <w:spacing w:val="1"/>
              </w:rPr>
              <w:t>52,402,074.91</w:t>
            </w:r>
          </w:p>
        </w:tc>
      </w:tr>
      <w:tr w:rsidR="004913FE" w:rsidRPr="00465A16" w14:paraId="29B42E1A" w14:textId="77777777" w:rsidTr="008E13FC">
        <w:trPr>
          <w:trHeight w:hRule="exact" w:val="421"/>
          <w:jc w:val="center"/>
        </w:trPr>
        <w:tc>
          <w:tcPr>
            <w:tcW w:w="4111" w:type="dxa"/>
            <w:tcBorders>
              <w:top w:val="single" w:sz="4" w:space="0" w:color="auto"/>
              <w:left w:val="single" w:sz="4" w:space="0" w:color="auto"/>
              <w:bottom w:val="single" w:sz="4" w:space="0" w:color="auto"/>
              <w:right w:val="single" w:sz="4" w:space="0" w:color="auto"/>
            </w:tcBorders>
            <w:vAlign w:val="center"/>
          </w:tcPr>
          <w:p w14:paraId="2AFFB9A7" w14:textId="77777777" w:rsidR="004913FE" w:rsidRPr="00991A8D" w:rsidRDefault="004913FE" w:rsidP="008E13FC">
            <w:pPr>
              <w:spacing w:after="0"/>
              <w:ind w:left="70"/>
              <w:rPr>
                <w:spacing w:val="1"/>
              </w:rPr>
            </w:pPr>
            <w:r w:rsidRPr="00991A8D">
              <w:rPr>
                <w:spacing w:val="1"/>
              </w:rPr>
              <w:t>MiPymes mujer</w:t>
            </w:r>
          </w:p>
        </w:tc>
        <w:tc>
          <w:tcPr>
            <w:tcW w:w="3969" w:type="dxa"/>
            <w:tcBorders>
              <w:top w:val="single" w:sz="4" w:space="0" w:color="auto"/>
              <w:left w:val="single" w:sz="4" w:space="0" w:color="auto"/>
              <w:bottom w:val="single" w:sz="4" w:space="0" w:color="auto"/>
              <w:right w:val="single" w:sz="4" w:space="0" w:color="auto"/>
            </w:tcBorders>
            <w:vAlign w:val="center"/>
          </w:tcPr>
          <w:p w14:paraId="2F8202DA" w14:textId="77777777" w:rsidR="004913FE" w:rsidRPr="00991A8D" w:rsidRDefault="004913FE" w:rsidP="008E13FC">
            <w:pPr>
              <w:spacing w:after="0"/>
              <w:jc w:val="center"/>
              <w:rPr>
                <w:spacing w:val="1"/>
              </w:rPr>
            </w:pPr>
            <w:r w:rsidRPr="00991A8D">
              <w:rPr>
                <w:spacing w:val="1"/>
              </w:rPr>
              <w:t>18,044,604.00</w:t>
            </w:r>
          </w:p>
        </w:tc>
      </w:tr>
      <w:tr w:rsidR="004913FE" w:rsidRPr="00465A16" w14:paraId="6EFDB0F3" w14:textId="77777777" w:rsidTr="008E13FC">
        <w:trPr>
          <w:trHeight w:hRule="exact" w:val="451"/>
          <w:jc w:val="center"/>
        </w:trPr>
        <w:tc>
          <w:tcPr>
            <w:tcW w:w="4111" w:type="dxa"/>
            <w:tcBorders>
              <w:top w:val="single" w:sz="4" w:space="0" w:color="auto"/>
              <w:left w:val="single" w:sz="4" w:space="0" w:color="auto"/>
              <w:bottom w:val="single" w:sz="4" w:space="0" w:color="auto"/>
              <w:right w:val="single" w:sz="4" w:space="0" w:color="auto"/>
            </w:tcBorders>
            <w:vAlign w:val="center"/>
          </w:tcPr>
          <w:p w14:paraId="00596B2C" w14:textId="77777777" w:rsidR="004913FE" w:rsidRPr="00991A8D" w:rsidRDefault="004913FE" w:rsidP="008E13FC">
            <w:pPr>
              <w:spacing w:after="0"/>
              <w:ind w:left="70"/>
              <w:rPr>
                <w:spacing w:val="1"/>
              </w:rPr>
            </w:pPr>
            <w:r w:rsidRPr="00991A8D">
              <w:rPr>
                <w:spacing w:val="1"/>
              </w:rPr>
              <w:t>No MiPymes</w:t>
            </w:r>
          </w:p>
        </w:tc>
        <w:tc>
          <w:tcPr>
            <w:tcW w:w="3969" w:type="dxa"/>
            <w:tcBorders>
              <w:top w:val="single" w:sz="4" w:space="0" w:color="auto"/>
              <w:left w:val="single" w:sz="4" w:space="0" w:color="auto"/>
              <w:bottom w:val="single" w:sz="4" w:space="0" w:color="auto"/>
              <w:right w:val="single" w:sz="4" w:space="0" w:color="auto"/>
            </w:tcBorders>
            <w:vAlign w:val="center"/>
          </w:tcPr>
          <w:p w14:paraId="017134A8" w14:textId="77777777" w:rsidR="004913FE" w:rsidRPr="00991A8D" w:rsidRDefault="004913FE" w:rsidP="008E13FC">
            <w:pPr>
              <w:spacing w:after="0"/>
              <w:jc w:val="center"/>
              <w:rPr>
                <w:spacing w:val="1"/>
              </w:rPr>
            </w:pPr>
            <w:r w:rsidRPr="00991A8D">
              <w:rPr>
                <w:spacing w:val="1"/>
              </w:rPr>
              <w:t>165,161,873.07</w:t>
            </w:r>
          </w:p>
        </w:tc>
      </w:tr>
      <w:tr w:rsidR="004913FE" w:rsidRPr="00465A16" w14:paraId="10834440" w14:textId="77777777" w:rsidTr="008E13FC">
        <w:trPr>
          <w:trHeight w:hRule="exact" w:val="411"/>
          <w:jc w:val="center"/>
        </w:trPr>
        <w:tc>
          <w:tcPr>
            <w:tcW w:w="8080" w:type="dxa"/>
            <w:gridSpan w:val="2"/>
            <w:tcBorders>
              <w:top w:val="single" w:sz="4" w:space="0" w:color="auto"/>
              <w:left w:val="single" w:sz="4" w:space="0" w:color="auto"/>
              <w:bottom w:val="single" w:sz="4" w:space="0" w:color="auto"/>
              <w:right w:val="single" w:sz="4" w:space="0" w:color="auto"/>
            </w:tcBorders>
            <w:shd w:val="clear" w:color="auto" w:fill="011C50"/>
            <w:vAlign w:val="center"/>
          </w:tcPr>
          <w:p w14:paraId="157A5107" w14:textId="77777777" w:rsidR="004913FE" w:rsidRPr="00465A16" w:rsidRDefault="004913FE" w:rsidP="008E13FC">
            <w:pPr>
              <w:spacing w:after="0"/>
              <w:jc w:val="center"/>
              <w:rPr>
                <w:color w:val="FFFFFF" w:themeColor="background1"/>
                <w:spacing w:val="1"/>
              </w:rPr>
            </w:pPr>
            <w:r w:rsidRPr="00465A16">
              <w:rPr>
                <w:b/>
                <w:color w:val="FFFFFF" w:themeColor="background1"/>
                <w:spacing w:val="-1"/>
              </w:rPr>
              <w:t>M</w:t>
            </w:r>
            <w:r w:rsidRPr="00465A16">
              <w:rPr>
                <w:b/>
                <w:color w:val="FFFFFF" w:themeColor="background1"/>
              </w:rPr>
              <w:t>ONTOS</w:t>
            </w:r>
            <w:r w:rsidRPr="00465A16">
              <w:rPr>
                <w:b/>
                <w:color w:val="FFFFFF" w:themeColor="background1"/>
                <w:spacing w:val="1"/>
              </w:rPr>
              <w:t xml:space="preserve"> </w:t>
            </w:r>
            <w:r w:rsidRPr="00465A16">
              <w:rPr>
                <w:b/>
                <w:color w:val="FFFFFF" w:themeColor="background1"/>
              </w:rPr>
              <w:t>E</w:t>
            </w:r>
            <w:r w:rsidRPr="00465A16">
              <w:rPr>
                <w:b/>
                <w:color w:val="FFFFFF" w:themeColor="background1"/>
                <w:spacing w:val="1"/>
              </w:rPr>
              <w:t>S</w:t>
            </w:r>
            <w:r w:rsidRPr="00465A16">
              <w:rPr>
                <w:b/>
                <w:color w:val="FFFFFF" w:themeColor="background1"/>
                <w:spacing w:val="-2"/>
              </w:rPr>
              <w:t>T</w:t>
            </w:r>
            <w:r w:rsidRPr="00465A16">
              <w:rPr>
                <w:b/>
                <w:color w:val="FFFFFF" w:themeColor="background1"/>
              </w:rPr>
              <w:t>I</w:t>
            </w:r>
            <w:r w:rsidRPr="00465A16">
              <w:rPr>
                <w:b/>
                <w:color w:val="FFFFFF" w:themeColor="background1"/>
                <w:spacing w:val="-1"/>
              </w:rPr>
              <w:t>M</w:t>
            </w:r>
            <w:r w:rsidRPr="00465A16">
              <w:rPr>
                <w:b/>
                <w:color w:val="FFFFFF" w:themeColor="background1"/>
              </w:rPr>
              <w:t>A</w:t>
            </w:r>
            <w:r w:rsidRPr="00465A16">
              <w:rPr>
                <w:b/>
                <w:color w:val="FFFFFF" w:themeColor="background1"/>
                <w:spacing w:val="-1"/>
              </w:rPr>
              <w:t>D</w:t>
            </w:r>
            <w:r w:rsidRPr="00465A16">
              <w:rPr>
                <w:b/>
                <w:color w:val="FFFFFF" w:themeColor="background1"/>
              </w:rPr>
              <w:t>OS</w:t>
            </w:r>
            <w:r w:rsidRPr="00465A16">
              <w:rPr>
                <w:b/>
                <w:color w:val="FFFFFF" w:themeColor="background1"/>
                <w:spacing w:val="1"/>
              </w:rPr>
              <w:t xml:space="preserve"> S</w:t>
            </w:r>
            <w:r w:rsidRPr="00465A16">
              <w:rPr>
                <w:b/>
                <w:color w:val="FFFFFF" w:themeColor="background1"/>
              </w:rPr>
              <w:t>E</w:t>
            </w:r>
            <w:r w:rsidRPr="00465A16">
              <w:rPr>
                <w:b/>
                <w:color w:val="FFFFFF" w:themeColor="background1"/>
                <w:spacing w:val="-2"/>
              </w:rPr>
              <w:t>G</w:t>
            </w:r>
            <w:r w:rsidRPr="00465A16">
              <w:rPr>
                <w:b/>
                <w:color w:val="FFFFFF" w:themeColor="background1"/>
              </w:rPr>
              <w:t>ÚN</w:t>
            </w:r>
            <w:r w:rsidRPr="00465A16">
              <w:rPr>
                <w:b/>
                <w:color w:val="FFFFFF" w:themeColor="background1"/>
                <w:spacing w:val="-1"/>
              </w:rPr>
              <w:t xml:space="preserve"> </w:t>
            </w:r>
            <w:r w:rsidRPr="00465A16">
              <w:rPr>
                <w:b/>
                <w:color w:val="FFFFFF" w:themeColor="background1"/>
              </w:rPr>
              <w:t>TI</w:t>
            </w:r>
            <w:r w:rsidRPr="00465A16">
              <w:rPr>
                <w:b/>
                <w:color w:val="FFFFFF" w:themeColor="background1"/>
                <w:spacing w:val="-2"/>
              </w:rPr>
              <w:t>P</w:t>
            </w:r>
            <w:r w:rsidRPr="00465A16">
              <w:rPr>
                <w:b/>
                <w:color w:val="FFFFFF" w:themeColor="background1"/>
              </w:rPr>
              <w:t>O DE</w:t>
            </w:r>
            <w:r w:rsidRPr="00465A16">
              <w:rPr>
                <w:b/>
                <w:color w:val="FFFFFF" w:themeColor="background1"/>
                <w:spacing w:val="3"/>
              </w:rPr>
              <w:t xml:space="preserve"> </w:t>
            </w:r>
            <w:r w:rsidRPr="00465A16">
              <w:rPr>
                <w:b/>
                <w:color w:val="FFFFFF" w:themeColor="background1"/>
                <w:spacing w:val="-3"/>
              </w:rPr>
              <w:t>P</w:t>
            </w:r>
            <w:r w:rsidRPr="00465A16">
              <w:rPr>
                <w:b/>
                <w:color w:val="FFFFFF" w:themeColor="background1"/>
                <w:spacing w:val="2"/>
              </w:rPr>
              <w:t>R</w:t>
            </w:r>
            <w:r w:rsidRPr="00465A16">
              <w:rPr>
                <w:b/>
                <w:color w:val="FFFFFF" w:themeColor="background1"/>
              </w:rPr>
              <w:t>OCEDI</w:t>
            </w:r>
            <w:r w:rsidRPr="00465A16">
              <w:rPr>
                <w:b/>
                <w:color w:val="FFFFFF" w:themeColor="background1"/>
                <w:spacing w:val="-1"/>
              </w:rPr>
              <w:t>M</w:t>
            </w:r>
            <w:r w:rsidRPr="00465A16">
              <w:rPr>
                <w:b/>
                <w:color w:val="FFFFFF" w:themeColor="background1"/>
              </w:rPr>
              <w:t>I</w:t>
            </w:r>
            <w:r w:rsidRPr="00465A16">
              <w:rPr>
                <w:b/>
                <w:color w:val="FFFFFF" w:themeColor="background1"/>
                <w:spacing w:val="1"/>
              </w:rPr>
              <w:t>E</w:t>
            </w:r>
            <w:r w:rsidRPr="00465A16">
              <w:rPr>
                <w:b/>
                <w:color w:val="FFFFFF" w:themeColor="background1"/>
              </w:rPr>
              <w:t>NTO</w:t>
            </w:r>
          </w:p>
        </w:tc>
      </w:tr>
      <w:tr w:rsidR="00991A8D" w:rsidRPr="00991A8D" w14:paraId="7971238D" w14:textId="77777777" w:rsidTr="008E13FC">
        <w:trPr>
          <w:trHeight w:hRule="exact" w:val="437"/>
          <w:jc w:val="center"/>
        </w:trPr>
        <w:tc>
          <w:tcPr>
            <w:tcW w:w="4111" w:type="dxa"/>
            <w:tcBorders>
              <w:top w:val="single" w:sz="4" w:space="0" w:color="auto"/>
              <w:left w:val="single" w:sz="4" w:space="0" w:color="auto"/>
              <w:bottom w:val="single" w:sz="4" w:space="0" w:color="auto"/>
              <w:right w:val="single" w:sz="4" w:space="0" w:color="auto"/>
            </w:tcBorders>
            <w:vAlign w:val="center"/>
          </w:tcPr>
          <w:p w14:paraId="16DE0266" w14:textId="77777777" w:rsidR="004913FE" w:rsidRPr="00991A8D" w:rsidRDefault="004913FE" w:rsidP="008E13FC">
            <w:pPr>
              <w:spacing w:after="0"/>
              <w:ind w:left="70"/>
              <w:rPr>
                <w:spacing w:val="1"/>
              </w:rPr>
            </w:pPr>
            <w:r w:rsidRPr="00991A8D">
              <w:t>Compr</w:t>
            </w:r>
            <w:r w:rsidRPr="00991A8D">
              <w:rPr>
                <w:spacing w:val="-1"/>
              </w:rPr>
              <w:t>a</w:t>
            </w:r>
            <w:r w:rsidRPr="00991A8D">
              <w:t>s por d</w:t>
            </w:r>
            <w:r w:rsidRPr="00991A8D">
              <w:rPr>
                <w:spacing w:val="-1"/>
              </w:rPr>
              <w:t>e</w:t>
            </w:r>
            <w:r w:rsidRPr="00991A8D">
              <w:t>b</w:t>
            </w:r>
            <w:r w:rsidRPr="00991A8D">
              <w:rPr>
                <w:spacing w:val="-1"/>
              </w:rPr>
              <w:t>a</w:t>
            </w:r>
            <w:r w:rsidRPr="00991A8D">
              <w:t>jo del</w:t>
            </w:r>
            <w:r w:rsidRPr="00991A8D">
              <w:rPr>
                <w:spacing w:val="2"/>
              </w:rPr>
              <w:t xml:space="preserve"> </w:t>
            </w:r>
            <w:r w:rsidRPr="00991A8D">
              <w:t>umbr</w:t>
            </w:r>
            <w:r w:rsidRPr="00991A8D">
              <w:rPr>
                <w:spacing w:val="-1"/>
              </w:rPr>
              <w:t>a</w:t>
            </w:r>
            <w:r w:rsidRPr="00991A8D">
              <w:t>l</w:t>
            </w:r>
          </w:p>
        </w:tc>
        <w:tc>
          <w:tcPr>
            <w:tcW w:w="3969" w:type="dxa"/>
            <w:tcBorders>
              <w:top w:val="single" w:sz="4" w:space="0" w:color="auto"/>
              <w:left w:val="single" w:sz="4" w:space="0" w:color="auto"/>
              <w:bottom w:val="single" w:sz="4" w:space="0" w:color="auto"/>
              <w:right w:val="single" w:sz="4" w:space="0" w:color="auto"/>
            </w:tcBorders>
            <w:vAlign w:val="center"/>
          </w:tcPr>
          <w:p w14:paraId="5E0ED0E7" w14:textId="77777777" w:rsidR="004913FE" w:rsidRPr="00991A8D" w:rsidRDefault="004913FE" w:rsidP="008E13FC">
            <w:pPr>
              <w:spacing w:after="0"/>
              <w:jc w:val="center"/>
              <w:rPr>
                <w:spacing w:val="1"/>
              </w:rPr>
            </w:pPr>
            <w:r w:rsidRPr="00991A8D">
              <w:rPr>
                <w:spacing w:val="1"/>
              </w:rPr>
              <w:t>16,916,964.91</w:t>
            </w:r>
          </w:p>
        </w:tc>
      </w:tr>
      <w:tr w:rsidR="00991A8D" w:rsidRPr="00991A8D" w14:paraId="47F30D7C" w14:textId="77777777" w:rsidTr="008E13FC">
        <w:trPr>
          <w:trHeight w:hRule="exact" w:val="437"/>
          <w:jc w:val="center"/>
        </w:trPr>
        <w:tc>
          <w:tcPr>
            <w:tcW w:w="4111" w:type="dxa"/>
            <w:tcBorders>
              <w:top w:val="single" w:sz="4" w:space="0" w:color="auto"/>
              <w:left w:val="single" w:sz="4" w:space="0" w:color="auto"/>
              <w:bottom w:val="single" w:sz="4" w:space="0" w:color="auto"/>
              <w:right w:val="single" w:sz="4" w:space="0" w:color="auto"/>
            </w:tcBorders>
            <w:vAlign w:val="center"/>
          </w:tcPr>
          <w:p w14:paraId="046DDF2C" w14:textId="77777777" w:rsidR="004913FE" w:rsidRPr="00991A8D" w:rsidRDefault="004913FE" w:rsidP="008E13FC">
            <w:pPr>
              <w:spacing w:after="0"/>
              <w:ind w:left="70"/>
              <w:rPr>
                <w:spacing w:val="1"/>
              </w:rPr>
            </w:pPr>
            <w:r w:rsidRPr="00991A8D">
              <w:t>Compra</w:t>
            </w:r>
            <w:r w:rsidRPr="00991A8D">
              <w:rPr>
                <w:spacing w:val="-1"/>
              </w:rPr>
              <w:t xml:space="preserve"> </w:t>
            </w:r>
            <w:r w:rsidRPr="00991A8D">
              <w:t>menor</w:t>
            </w:r>
          </w:p>
        </w:tc>
        <w:tc>
          <w:tcPr>
            <w:tcW w:w="3969" w:type="dxa"/>
            <w:tcBorders>
              <w:top w:val="single" w:sz="4" w:space="0" w:color="auto"/>
              <w:left w:val="single" w:sz="4" w:space="0" w:color="auto"/>
              <w:bottom w:val="single" w:sz="4" w:space="0" w:color="auto"/>
              <w:right w:val="single" w:sz="4" w:space="0" w:color="auto"/>
            </w:tcBorders>
            <w:vAlign w:val="center"/>
          </w:tcPr>
          <w:p w14:paraId="061753B5" w14:textId="77777777" w:rsidR="004913FE" w:rsidRPr="00991A8D" w:rsidRDefault="004913FE" w:rsidP="008E13FC">
            <w:pPr>
              <w:spacing w:after="0"/>
              <w:jc w:val="center"/>
              <w:rPr>
                <w:spacing w:val="1"/>
              </w:rPr>
            </w:pPr>
            <w:r w:rsidRPr="00991A8D">
              <w:rPr>
                <w:spacing w:val="1"/>
              </w:rPr>
              <w:t>50,494,625.91</w:t>
            </w:r>
          </w:p>
        </w:tc>
      </w:tr>
      <w:tr w:rsidR="00991A8D" w:rsidRPr="00991A8D" w14:paraId="63A7BADD" w14:textId="77777777" w:rsidTr="008E13FC">
        <w:trPr>
          <w:trHeight w:hRule="exact" w:val="414"/>
          <w:jc w:val="center"/>
        </w:trPr>
        <w:tc>
          <w:tcPr>
            <w:tcW w:w="4111" w:type="dxa"/>
            <w:tcBorders>
              <w:top w:val="single" w:sz="4" w:space="0" w:color="auto"/>
              <w:left w:val="single" w:sz="4" w:space="0" w:color="auto"/>
              <w:bottom w:val="single" w:sz="4" w:space="0" w:color="auto"/>
              <w:right w:val="single" w:sz="4" w:space="0" w:color="auto"/>
            </w:tcBorders>
            <w:vAlign w:val="center"/>
          </w:tcPr>
          <w:p w14:paraId="525939DE" w14:textId="77777777" w:rsidR="004913FE" w:rsidRPr="00991A8D" w:rsidRDefault="004913FE" w:rsidP="008E13FC">
            <w:pPr>
              <w:spacing w:after="0"/>
              <w:ind w:left="70"/>
              <w:rPr>
                <w:spacing w:val="1"/>
              </w:rPr>
            </w:pPr>
            <w:r w:rsidRPr="00991A8D">
              <w:t>Compa</w:t>
            </w:r>
            <w:r w:rsidRPr="00991A8D">
              <w:rPr>
                <w:spacing w:val="-1"/>
              </w:rPr>
              <w:t>rac</w:t>
            </w:r>
            <w:r w:rsidRPr="00991A8D">
              <w:t>ión de p</w:t>
            </w:r>
            <w:r w:rsidRPr="00991A8D">
              <w:rPr>
                <w:spacing w:val="1"/>
              </w:rPr>
              <w:t>r</w:t>
            </w:r>
            <w:r w:rsidRPr="00991A8D">
              <w:rPr>
                <w:spacing w:val="-1"/>
              </w:rPr>
              <w:t>ec</w:t>
            </w:r>
            <w:r w:rsidRPr="00991A8D">
              <w:t>ios</w:t>
            </w:r>
          </w:p>
        </w:tc>
        <w:tc>
          <w:tcPr>
            <w:tcW w:w="3969" w:type="dxa"/>
            <w:tcBorders>
              <w:top w:val="single" w:sz="4" w:space="0" w:color="auto"/>
              <w:left w:val="single" w:sz="4" w:space="0" w:color="auto"/>
              <w:bottom w:val="single" w:sz="4" w:space="0" w:color="auto"/>
              <w:right w:val="single" w:sz="4" w:space="0" w:color="auto"/>
            </w:tcBorders>
            <w:vAlign w:val="center"/>
          </w:tcPr>
          <w:p w14:paraId="440DE219" w14:textId="77777777" w:rsidR="004913FE" w:rsidRPr="00991A8D" w:rsidRDefault="004913FE" w:rsidP="008E13FC">
            <w:pPr>
              <w:spacing w:after="0"/>
              <w:jc w:val="center"/>
              <w:rPr>
                <w:spacing w:val="1"/>
              </w:rPr>
            </w:pPr>
            <w:r w:rsidRPr="00991A8D">
              <w:rPr>
                <w:spacing w:val="1"/>
              </w:rPr>
              <w:t>13,351,657.00</w:t>
            </w:r>
          </w:p>
        </w:tc>
      </w:tr>
      <w:tr w:rsidR="00991A8D" w:rsidRPr="00991A8D" w14:paraId="32594FB4" w14:textId="77777777" w:rsidTr="008E13FC">
        <w:trPr>
          <w:trHeight w:hRule="exact" w:val="434"/>
          <w:jc w:val="center"/>
        </w:trPr>
        <w:tc>
          <w:tcPr>
            <w:tcW w:w="4111" w:type="dxa"/>
            <w:tcBorders>
              <w:top w:val="single" w:sz="4" w:space="0" w:color="auto"/>
              <w:left w:val="single" w:sz="4" w:space="0" w:color="auto"/>
              <w:bottom w:val="single" w:sz="4" w:space="0" w:color="auto"/>
              <w:right w:val="single" w:sz="4" w:space="0" w:color="auto"/>
            </w:tcBorders>
            <w:vAlign w:val="center"/>
          </w:tcPr>
          <w:p w14:paraId="34B88BB3" w14:textId="77777777" w:rsidR="004913FE" w:rsidRPr="00991A8D" w:rsidRDefault="004913FE" w:rsidP="008E13FC">
            <w:pPr>
              <w:spacing w:after="0"/>
              <w:ind w:left="70"/>
              <w:rPr>
                <w:spacing w:val="1"/>
              </w:rPr>
            </w:pPr>
            <w:r w:rsidRPr="00991A8D">
              <w:rPr>
                <w:spacing w:val="-3"/>
              </w:rPr>
              <w:t>L</w:t>
            </w:r>
            <w:r w:rsidRPr="00991A8D">
              <w:t>icit</w:t>
            </w:r>
            <w:r w:rsidRPr="00991A8D">
              <w:rPr>
                <w:spacing w:val="2"/>
              </w:rPr>
              <w:t>a</w:t>
            </w:r>
            <w:r w:rsidRPr="00991A8D">
              <w:rPr>
                <w:spacing w:val="-1"/>
              </w:rPr>
              <w:t>c</w:t>
            </w:r>
            <w:r w:rsidRPr="00991A8D">
              <w:t>ión púb</w:t>
            </w:r>
            <w:r w:rsidRPr="00991A8D">
              <w:rPr>
                <w:spacing w:val="1"/>
              </w:rPr>
              <w:t>l</w:t>
            </w:r>
            <w:r w:rsidRPr="00991A8D">
              <w:t>ica</w:t>
            </w:r>
          </w:p>
        </w:tc>
        <w:tc>
          <w:tcPr>
            <w:tcW w:w="3969" w:type="dxa"/>
            <w:tcBorders>
              <w:top w:val="single" w:sz="4" w:space="0" w:color="auto"/>
              <w:left w:val="single" w:sz="4" w:space="0" w:color="auto"/>
              <w:bottom w:val="single" w:sz="4" w:space="0" w:color="auto"/>
              <w:right w:val="single" w:sz="4" w:space="0" w:color="auto"/>
            </w:tcBorders>
            <w:vAlign w:val="center"/>
          </w:tcPr>
          <w:p w14:paraId="26D41C95" w14:textId="77777777" w:rsidR="004913FE" w:rsidRPr="00991A8D" w:rsidRDefault="004913FE" w:rsidP="008E13FC">
            <w:pPr>
              <w:spacing w:after="0"/>
              <w:jc w:val="center"/>
              <w:rPr>
                <w:spacing w:val="1"/>
              </w:rPr>
            </w:pPr>
            <w:r w:rsidRPr="00991A8D">
              <w:rPr>
                <w:spacing w:val="1"/>
              </w:rPr>
              <w:t>123,854,238.16</w:t>
            </w:r>
          </w:p>
        </w:tc>
      </w:tr>
    </w:tbl>
    <w:p w14:paraId="5D40E7E0" w14:textId="77777777" w:rsidR="00493CDC" w:rsidRPr="00991A8D" w:rsidRDefault="00493CDC">
      <w:r w:rsidRPr="00991A8D">
        <w:br w:type="page"/>
      </w:r>
    </w:p>
    <w:tbl>
      <w:tblPr>
        <w:tblW w:w="8080" w:type="dxa"/>
        <w:jc w:val="center"/>
        <w:tblLayout w:type="fixed"/>
        <w:tblCellMar>
          <w:left w:w="0" w:type="dxa"/>
          <w:right w:w="0" w:type="dxa"/>
        </w:tblCellMar>
        <w:tblLook w:val="01E0" w:firstRow="1" w:lastRow="1" w:firstColumn="1" w:lastColumn="1" w:noHBand="0" w:noVBand="0"/>
      </w:tblPr>
      <w:tblGrid>
        <w:gridCol w:w="4111"/>
        <w:gridCol w:w="3969"/>
      </w:tblGrid>
      <w:tr w:rsidR="00991A8D" w:rsidRPr="00991A8D" w14:paraId="49C19D92" w14:textId="77777777" w:rsidTr="008E13FC">
        <w:trPr>
          <w:trHeight w:hRule="exact" w:val="399"/>
          <w:jc w:val="center"/>
        </w:trPr>
        <w:tc>
          <w:tcPr>
            <w:tcW w:w="8080" w:type="dxa"/>
            <w:gridSpan w:val="2"/>
            <w:tcBorders>
              <w:top w:val="single" w:sz="4" w:space="0" w:color="auto"/>
              <w:left w:val="single" w:sz="4" w:space="0" w:color="auto"/>
              <w:bottom w:val="single" w:sz="4" w:space="0" w:color="auto"/>
              <w:right w:val="single" w:sz="4" w:space="0" w:color="auto"/>
            </w:tcBorders>
            <w:shd w:val="clear" w:color="auto" w:fill="011C50"/>
            <w:vAlign w:val="center"/>
          </w:tcPr>
          <w:p w14:paraId="2753827C" w14:textId="408C3102" w:rsidR="004913FE" w:rsidRPr="0043318B" w:rsidRDefault="004913FE" w:rsidP="008E13FC">
            <w:pPr>
              <w:spacing w:after="0"/>
              <w:jc w:val="center"/>
              <w:rPr>
                <w:color w:val="FFFFFF" w:themeColor="background1"/>
              </w:rPr>
            </w:pPr>
            <w:r w:rsidRPr="0043318B">
              <w:rPr>
                <w:b/>
                <w:color w:val="FFFFFF" w:themeColor="background1"/>
                <w:spacing w:val="-1"/>
              </w:rPr>
              <w:lastRenderedPageBreak/>
              <w:t>M</w:t>
            </w:r>
            <w:r w:rsidRPr="0043318B">
              <w:rPr>
                <w:b/>
                <w:color w:val="FFFFFF" w:themeColor="background1"/>
              </w:rPr>
              <w:t>ONTOS</w:t>
            </w:r>
            <w:r w:rsidRPr="0043318B">
              <w:rPr>
                <w:b/>
                <w:color w:val="FFFFFF" w:themeColor="background1"/>
                <w:spacing w:val="1"/>
              </w:rPr>
              <w:t xml:space="preserve"> </w:t>
            </w:r>
            <w:r w:rsidRPr="0043318B">
              <w:rPr>
                <w:b/>
                <w:color w:val="FFFFFF" w:themeColor="background1"/>
              </w:rPr>
              <w:t>E</w:t>
            </w:r>
            <w:r w:rsidRPr="0043318B">
              <w:rPr>
                <w:b/>
                <w:color w:val="FFFFFF" w:themeColor="background1"/>
                <w:spacing w:val="1"/>
              </w:rPr>
              <w:t>S</w:t>
            </w:r>
            <w:r w:rsidRPr="0043318B">
              <w:rPr>
                <w:b/>
                <w:color w:val="FFFFFF" w:themeColor="background1"/>
                <w:spacing w:val="-2"/>
              </w:rPr>
              <w:t>T</w:t>
            </w:r>
            <w:r w:rsidRPr="0043318B">
              <w:rPr>
                <w:b/>
                <w:color w:val="FFFFFF" w:themeColor="background1"/>
              </w:rPr>
              <w:t>I</w:t>
            </w:r>
            <w:r w:rsidRPr="0043318B">
              <w:rPr>
                <w:b/>
                <w:color w:val="FFFFFF" w:themeColor="background1"/>
                <w:spacing w:val="-1"/>
              </w:rPr>
              <w:t>M</w:t>
            </w:r>
            <w:r w:rsidRPr="0043318B">
              <w:rPr>
                <w:b/>
                <w:color w:val="FFFFFF" w:themeColor="background1"/>
              </w:rPr>
              <w:t>A</w:t>
            </w:r>
            <w:r w:rsidRPr="0043318B">
              <w:rPr>
                <w:b/>
                <w:color w:val="FFFFFF" w:themeColor="background1"/>
                <w:spacing w:val="-1"/>
              </w:rPr>
              <w:t>D</w:t>
            </w:r>
            <w:r w:rsidRPr="0043318B">
              <w:rPr>
                <w:b/>
                <w:color w:val="FFFFFF" w:themeColor="background1"/>
              </w:rPr>
              <w:t>OS</w:t>
            </w:r>
            <w:r w:rsidRPr="0043318B">
              <w:rPr>
                <w:b/>
                <w:color w:val="FFFFFF" w:themeColor="background1"/>
                <w:spacing w:val="1"/>
              </w:rPr>
              <w:t xml:space="preserve"> S</w:t>
            </w:r>
            <w:r w:rsidRPr="0043318B">
              <w:rPr>
                <w:b/>
                <w:color w:val="FFFFFF" w:themeColor="background1"/>
              </w:rPr>
              <w:t>E</w:t>
            </w:r>
            <w:r w:rsidRPr="0043318B">
              <w:rPr>
                <w:b/>
                <w:color w:val="FFFFFF" w:themeColor="background1"/>
                <w:spacing w:val="-2"/>
              </w:rPr>
              <w:t>G</w:t>
            </w:r>
            <w:r w:rsidRPr="0043318B">
              <w:rPr>
                <w:b/>
                <w:color w:val="FFFFFF" w:themeColor="background1"/>
              </w:rPr>
              <w:t>ÚN</w:t>
            </w:r>
            <w:r w:rsidRPr="0043318B">
              <w:rPr>
                <w:b/>
                <w:color w:val="FFFFFF" w:themeColor="background1"/>
                <w:spacing w:val="-1"/>
              </w:rPr>
              <w:t xml:space="preserve"> </w:t>
            </w:r>
            <w:r w:rsidRPr="0043318B">
              <w:rPr>
                <w:b/>
                <w:color w:val="FFFFFF" w:themeColor="background1"/>
              </w:rPr>
              <w:t>TI</w:t>
            </w:r>
            <w:r w:rsidRPr="0043318B">
              <w:rPr>
                <w:b/>
                <w:color w:val="FFFFFF" w:themeColor="background1"/>
                <w:spacing w:val="-2"/>
              </w:rPr>
              <w:t>P</w:t>
            </w:r>
            <w:r w:rsidRPr="0043318B">
              <w:rPr>
                <w:b/>
                <w:color w:val="FFFFFF" w:themeColor="background1"/>
              </w:rPr>
              <w:t>O DE</w:t>
            </w:r>
            <w:r w:rsidRPr="0043318B">
              <w:rPr>
                <w:b/>
                <w:color w:val="FFFFFF" w:themeColor="background1"/>
                <w:spacing w:val="3"/>
              </w:rPr>
              <w:t xml:space="preserve"> </w:t>
            </w:r>
            <w:r w:rsidRPr="0043318B">
              <w:rPr>
                <w:b/>
                <w:color w:val="FFFFFF" w:themeColor="background1"/>
                <w:spacing w:val="-3"/>
              </w:rPr>
              <w:t>P</w:t>
            </w:r>
            <w:r w:rsidRPr="0043318B">
              <w:rPr>
                <w:b/>
                <w:color w:val="FFFFFF" w:themeColor="background1"/>
                <w:spacing w:val="2"/>
              </w:rPr>
              <w:t>R</w:t>
            </w:r>
            <w:r w:rsidRPr="0043318B">
              <w:rPr>
                <w:b/>
                <w:color w:val="FFFFFF" w:themeColor="background1"/>
              </w:rPr>
              <w:t>OCEDI</w:t>
            </w:r>
            <w:r w:rsidRPr="0043318B">
              <w:rPr>
                <w:b/>
                <w:color w:val="FFFFFF" w:themeColor="background1"/>
                <w:spacing w:val="-1"/>
              </w:rPr>
              <w:t>M</w:t>
            </w:r>
            <w:r w:rsidRPr="0043318B">
              <w:rPr>
                <w:b/>
                <w:color w:val="FFFFFF" w:themeColor="background1"/>
              </w:rPr>
              <w:t>I</w:t>
            </w:r>
            <w:r w:rsidRPr="0043318B">
              <w:rPr>
                <w:b/>
                <w:color w:val="FFFFFF" w:themeColor="background1"/>
                <w:spacing w:val="1"/>
              </w:rPr>
              <w:t>E</w:t>
            </w:r>
            <w:r w:rsidRPr="0043318B">
              <w:rPr>
                <w:b/>
                <w:color w:val="FFFFFF" w:themeColor="background1"/>
              </w:rPr>
              <w:t>NTO</w:t>
            </w:r>
          </w:p>
        </w:tc>
      </w:tr>
      <w:tr w:rsidR="00991A8D" w:rsidRPr="00991A8D" w14:paraId="77FC916A" w14:textId="77777777" w:rsidTr="008E13FC">
        <w:trPr>
          <w:trHeight w:hRule="exact" w:val="434"/>
          <w:jc w:val="center"/>
        </w:trPr>
        <w:tc>
          <w:tcPr>
            <w:tcW w:w="4111" w:type="dxa"/>
            <w:tcBorders>
              <w:top w:val="single" w:sz="4" w:space="0" w:color="auto"/>
              <w:left w:val="single" w:sz="4" w:space="0" w:color="auto"/>
              <w:bottom w:val="single" w:sz="4" w:space="0" w:color="auto"/>
              <w:right w:val="single" w:sz="4" w:space="0" w:color="auto"/>
            </w:tcBorders>
            <w:vAlign w:val="center"/>
          </w:tcPr>
          <w:p w14:paraId="23C6D1AB" w14:textId="77777777" w:rsidR="004913FE" w:rsidRPr="00991A8D" w:rsidRDefault="004913FE" w:rsidP="008E13FC">
            <w:pPr>
              <w:spacing w:after="0"/>
              <w:ind w:left="70"/>
            </w:pPr>
            <w:r w:rsidRPr="00991A8D">
              <w:t>Licitación pública internacional.</w:t>
            </w:r>
          </w:p>
        </w:tc>
        <w:tc>
          <w:tcPr>
            <w:tcW w:w="3969" w:type="dxa"/>
            <w:tcBorders>
              <w:top w:val="single" w:sz="4" w:space="0" w:color="auto"/>
              <w:left w:val="single" w:sz="4" w:space="0" w:color="auto"/>
              <w:bottom w:val="single" w:sz="4" w:space="0" w:color="auto"/>
              <w:right w:val="single" w:sz="4" w:space="0" w:color="auto"/>
            </w:tcBorders>
            <w:vAlign w:val="center"/>
          </w:tcPr>
          <w:p w14:paraId="1D66489E" w14:textId="77777777" w:rsidR="004913FE" w:rsidRPr="00991A8D" w:rsidRDefault="004913FE" w:rsidP="008E13FC">
            <w:pPr>
              <w:spacing w:after="0"/>
              <w:jc w:val="center"/>
            </w:pPr>
          </w:p>
        </w:tc>
      </w:tr>
      <w:tr w:rsidR="00991A8D" w:rsidRPr="00991A8D" w14:paraId="41A69F17" w14:textId="77777777" w:rsidTr="008E13FC">
        <w:trPr>
          <w:trHeight w:hRule="exact" w:val="434"/>
          <w:jc w:val="center"/>
        </w:trPr>
        <w:tc>
          <w:tcPr>
            <w:tcW w:w="4111" w:type="dxa"/>
            <w:tcBorders>
              <w:top w:val="single" w:sz="4" w:space="0" w:color="auto"/>
              <w:left w:val="single" w:sz="4" w:space="0" w:color="auto"/>
              <w:bottom w:val="single" w:sz="4" w:space="0" w:color="auto"/>
              <w:right w:val="single" w:sz="4" w:space="0" w:color="auto"/>
            </w:tcBorders>
            <w:vAlign w:val="center"/>
          </w:tcPr>
          <w:p w14:paraId="2F637C4E" w14:textId="77777777" w:rsidR="004913FE" w:rsidRPr="00991A8D" w:rsidRDefault="004913FE" w:rsidP="008E13FC">
            <w:pPr>
              <w:spacing w:after="0"/>
              <w:ind w:left="70"/>
            </w:pPr>
            <w:r w:rsidRPr="00991A8D">
              <w:t>Licitación restringida.</w:t>
            </w:r>
          </w:p>
        </w:tc>
        <w:tc>
          <w:tcPr>
            <w:tcW w:w="3969" w:type="dxa"/>
            <w:tcBorders>
              <w:top w:val="single" w:sz="4" w:space="0" w:color="auto"/>
              <w:left w:val="single" w:sz="4" w:space="0" w:color="auto"/>
              <w:bottom w:val="single" w:sz="4" w:space="0" w:color="auto"/>
              <w:right w:val="single" w:sz="4" w:space="0" w:color="auto"/>
            </w:tcBorders>
            <w:vAlign w:val="center"/>
          </w:tcPr>
          <w:p w14:paraId="16A48C4A" w14:textId="77777777" w:rsidR="004913FE" w:rsidRPr="00991A8D" w:rsidRDefault="004913FE" w:rsidP="008E13FC">
            <w:pPr>
              <w:spacing w:after="0"/>
              <w:jc w:val="center"/>
            </w:pPr>
          </w:p>
        </w:tc>
      </w:tr>
      <w:tr w:rsidR="004913FE" w:rsidRPr="00465A16" w14:paraId="0C74F7B8" w14:textId="77777777" w:rsidTr="008E13FC">
        <w:trPr>
          <w:trHeight w:hRule="exact" w:val="441"/>
          <w:jc w:val="center"/>
        </w:trPr>
        <w:tc>
          <w:tcPr>
            <w:tcW w:w="8080" w:type="dxa"/>
            <w:gridSpan w:val="2"/>
            <w:tcBorders>
              <w:top w:val="single" w:sz="4" w:space="0" w:color="auto"/>
              <w:left w:val="single" w:sz="4" w:space="0" w:color="auto"/>
              <w:bottom w:val="single" w:sz="4" w:space="0" w:color="auto"/>
              <w:right w:val="single" w:sz="4" w:space="0" w:color="auto"/>
            </w:tcBorders>
            <w:shd w:val="clear" w:color="auto" w:fill="011C50"/>
            <w:vAlign w:val="center"/>
          </w:tcPr>
          <w:p w14:paraId="303215A4" w14:textId="1E0C6786" w:rsidR="004913FE" w:rsidRPr="00465A16" w:rsidRDefault="004913FE" w:rsidP="008E13FC">
            <w:pPr>
              <w:spacing w:after="0"/>
              <w:jc w:val="center"/>
              <w:rPr>
                <w:color w:val="FFFFFF" w:themeColor="background1"/>
              </w:rPr>
            </w:pPr>
            <w:r w:rsidRPr="00465A16">
              <w:br w:type="page"/>
            </w:r>
            <w:r w:rsidRPr="00197D2E">
              <w:rPr>
                <w:b/>
                <w:color w:val="FFFFFF" w:themeColor="background1"/>
                <w:spacing w:val="-1"/>
                <w:shd w:val="clear" w:color="auto" w:fill="011C50"/>
              </w:rPr>
              <w:t>M</w:t>
            </w:r>
            <w:r w:rsidRPr="00197D2E">
              <w:rPr>
                <w:b/>
                <w:color w:val="FFFFFF" w:themeColor="background1"/>
                <w:shd w:val="clear" w:color="auto" w:fill="011C50"/>
              </w:rPr>
              <w:t>ONTOS</w:t>
            </w:r>
            <w:r w:rsidRPr="00197D2E">
              <w:rPr>
                <w:b/>
                <w:color w:val="FFFFFF" w:themeColor="background1"/>
                <w:spacing w:val="1"/>
                <w:shd w:val="clear" w:color="auto" w:fill="011C50"/>
              </w:rPr>
              <w:t xml:space="preserve"> </w:t>
            </w:r>
            <w:r w:rsidRPr="00197D2E">
              <w:rPr>
                <w:b/>
                <w:color w:val="FFFFFF" w:themeColor="background1"/>
                <w:shd w:val="clear" w:color="auto" w:fill="011C50"/>
              </w:rPr>
              <w:t>E</w:t>
            </w:r>
            <w:r w:rsidRPr="00197D2E">
              <w:rPr>
                <w:b/>
                <w:color w:val="FFFFFF" w:themeColor="background1"/>
                <w:spacing w:val="1"/>
                <w:shd w:val="clear" w:color="auto" w:fill="011C50"/>
              </w:rPr>
              <w:t>S</w:t>
            </w:r>
            <w:r w:rsidRPr="00197D2E">
              <w:rPr>
                <w:b/>
                <w:color w:val="FFFFFF" w:themeColor="background1"/>
                <w:spacing w:val="-2"/>
                <w:shd w:val="clear" w:color="auto" w:fill="011C50"/>
              </w:rPr>
              <w:t>T</w:t>
            </w:r>
            <w:r w:rsidRPr="00197D2E">
              <w:rPr>
                <w:b/>
                <w:color w:val="FFFFFF" w:themeColor="background1"/>
                <w:shd w:val="clear" w:color="auto" w:fill="011C50"/>
              </w:rPr>
              <w:t>I</w:t>
            </w:r>
            <w:r w:rsidRPr="00197D2E">
              <w:rPr>
                <w:b/>
                <w:color w:val="FFFFFF" w:themeColor="background1"/>
                <w:spacing w:val="-1"/>
                <w:shd w:val="clear" w:color="auto" w:fill="011C50"/>
              </w:rPr>
              <w:t>M</w:t>
            </w:r>
            <w:r w:rsidRPr="00197D2E">
              <w:rPr>
                <w:b/>
                <w:color w:val="FFFFFF" w:themeColor="background1"/>
                <w:shd w:val="clear" w:color="auto" w:fill="011C50"/>
              </w:rPr>
              <w:t>A</w:t>
            </w:r>
            <w:r w:rsidRPr="00197D2E">
              <w:rPr>
                <w:b/>
                <w:color w:val="FFFFFF" w:themeColor="background1"/>
                <w:spacing w:val="-1"/>
                <w:shd w:val="clear" w:color="auto" w:fill="011C50"/>
              </w:rPr>
              <w:t>D</w:t>
            </w:r>
            <w:r w:rsidRPr="00197D2E">
              <w:rPr>
                <w:b/>
                <w:color w:val="FFFFFF" w:themeColor="background1"/>
                <w:shd w:val="clear" w:color="auto" w:fill="011C50"/>
              </w:rPr>
              <w:t>OS</w:t>
            </w:r>
            <w:r w:rsidRPr="00197D2E">
              <w:rPr>
                <w:b/>
                <w:color w:val="FFFFFF" w:themeColor="background1"/>
                <w:spacing w:val="1"/>
                <w:shd w:val="clear" w:color="auto" w:fill="011C50"/>
              </w:rPr>
              <w:t xml:space="preserve"> S</w:t>
            </w:r>
            <w:r w:rsidRPr="00197D2E">
              <w:rPr>
                <w:b/>
                <w:color w:val="FFFFFF" w:themeColor="background1"/>
                <w:shd w:val="clear" w:color="auto" w:fill="011C50"/>
              </w:rPr>
              <w:t>E</w:t>
            </w:r>
            <w:r w:rsidRPr="00197D2E">
              <w:rPr>
                <w:b/>
                <w:color w:val="FFFFFF" w:themeColor="background1"/>
                <w:spacing w:val="-2"/>
                <w:shd w:val="clear" w:color="auto" w:fill="011C50"/>
              </w:rPr>
              <w:t>G</w:t>
            </w:r>
            <w:r w:rsidRPr="00197D2E">
              <w:rPr>
                <w:b/>
                <w:color w:val="FFFFFF" w:themeColor="background1"/>
                <w:shd w:val="clear" w:color="auto" w:fill="011C50"/>
              </w:rPr>
              <w:t>ÚN</w:t>
            </w:r>
            <w:r w:rsidRPr="00197D2E">
              <w:rPr>
                <w:b/>
                <w:color w:val="FFFFFF" w:themeColor="background1"/>
                <w:spacing w:val="-1"/>
                <w:shd w:val="clear" w:color="auto" w:fill="011C50"/>
              </w:rPr>
              <w:t xml:space="preserve"> </w:t>
            </w:r>
            <w:r w:rsidRPr="00197D2E">
              <w:rPr>
                <w:b/>
                <w:color w:val="FFFFFF" w:themeColor="background1"/>
                <w:shd w:val="clear" w:color="auto" w:fill="011C50"/>
              </w:rPr>
              <w:t>TI</w:t>
            </w:r>
            <w:r w:rsidRPr="00197D2E">
              <w:rPr>
                <w:b/>
                <w:color w:val="FFFFFF" w:themeColor="background1"/>
                <w:spacing w:val="-2"/>
                <w:shd w:val="clear" w:color="auto" w:fill="011C50"/>
              </w:rPr>
              <w:t>P</w:t>
            </w:r>
            <w:r w:rsidRPr="00197D2E">
              <w:rPr>
                <w:b/>
                <w:color w:val="FFFFFF" w:themeColor="background1"/>
                <w:shd w:val="clear" w:color="auto" w:fill="011C50"/>
              </w:rPr>
              <w:t>O DE</w:t>
            </w:r>
            <w:r w:rsidRPr="00197D2E">
              <w:rPr>
                <w:b/>
                <w:color w:val="FFFFFF" w:themeColor="background1"/>
                <w:spacing w:val="3"/>
                <w:shd w:val="clear" w:color="auto" w:fill="011C50"/>
              </w:rPr>
              <w:t xml:space="preserve"> </w:t>
            </w:r>
            <w:r w:rsidRPr="00197D2E">
              <w:rPr>
                <w:b/>
                <w:color w:val="FFFFFF" w:themeColor="background1"/>
                <w:spacing w:val="-3"/>
                <w:shd w:val="clear" w:color="auto" w:fill="011C50"/>
              </w:rPr>
              <w:t>P</w:t>
            </w:r>
            <w:r w:rsidRPr="00197D2E">
              <w:rPr>
                <w:b/>
                <w:color w:val="FFFFFF" w:themeColor="background1"/>
                <w:spacing w:val="2"/>
                <w:shd w:val="clear" w:color="auto" w:fill="011C50"/>
              </w:rPr>
              <w:t>R</w:t>
            </w:r>
            <w:r w:rsidRPr="00197D2E">
              <w:rPr>
                <w:b/>
                <w:color w:val="FFFFFF" w:themeColor="background1"/>
                <w:shd w:val="clear" w:color="auto" w:fill="011C50"/>
              </w:rPr>
              <w:t>OCEDI</w:t>
            </w:r>
            <w:r w:rsidRPr="00197D2E">
              <w:rPr>
                <w:b/>
                <w:color w:val="FFFFFF" w:themeColor="background1"/>
                <w:spacing w:val="-1"/>
                <w:shd w:val="clear" w:color="auto" w:fill="011C50"/>
              </w:rPr>
              <w:t>M</w:t>
            </w:r>
            <w:r w:rsidRPr="00197D2E">
              <w:rPr>
                <w:b/>
                <w:color w:val="FFFFFF" w:themeColor="background1"/>
                <w:shd w:val="clear" w:color="auto" w:fill="011C50"/>
              </w:rPr>
              <w:t>I</w:t>
            </w:r>
            <w:r w:rsidRPr="00197D2E">
              <w:rPr>
                <w:b/>
                <w:color w:val="FFFFFF" w:themeColor="background1"/>
                <w:spacing w:val="1"/>
                <w:shd w:val="clear" w:color="auto" w:fill="011C50"/>
              </w:rPr>
              <w:t>E</w:t>
            </w:r>
            <w:r w:rsidRPr="00197D2E">
              <w:rPr>
                <w:b/>
                <w:color w:val="FFFFFF" w:themeColor="background1"/>
                <w:shd w:val="clear" w:color="auto" w:fill="011C50"/>
              </w:rPr>
              <w:t>NTO</w:t>
            </w:r>
          </w:p>
        </w:tc>
      </w:tr>
      <w:tr w:rsidR="00991A8D" w:rsidRPr="00991A8D" w14:paraId="06982E68" w14:textId="77777777" w:rsidTr="008E13FC">
        <w:trPr>
          <w:trHeight w:hRule="exact" w:val="434"/>
          <w:jc w:val="center"/>
        </w:trPr>
        <w:tc>
          <w:tcPr>
            <w:tcW w:w="4111" w:type="dxa"/>
            <w:tcBorders>
              <w:top w:val="single" w:sz="4" w:space="0" w:color="auto"/>
              <w:left w:val="single" w:sz="4" w:space="0" w:color="auto"/>
              <w:bottom w:val="single" w:sz="4" w:space="0" w:color="auto"/>
              <w:right w:val="single" w:sz="4" w:space="0" w:color="auto"/>
            </w:tcBorders>
            <w:vAlign w:val="center"/>
          </w:tcPr>
          <w:p w14:paraId="7E4FF7BA" w14:textId="77777777" w:rsidR="004913FE" w:rsidRPr="00991A8D" w:rsidRDefault="004913FE" w:rsidP="008E13FC">
            <w:pPr>
              <w:spacing w:after="0"/>
              <w:ind w:left="70"/>
            </w:pPr>
            <w:r w:rsidRPr="00991A8D">
              <w:t>Sorteo de obras.</w:t>
            </w:r>
          </w:p>
        </w:tc>
        <w:tc>
          <w:tcPr>
            <w:tcW w:w="3969" w:type="dxa"/>
            <w:tcBorders>
              <w:top w:val="single" w:sz="4" w:space="0" w:color="auto"/>
              <w:left w:val="single" w:sz="4" w:space="0" w:color="auto"/>
              <w:bottom w:val="single" w:sz="4" w:space="0" w:color="auto"/>
              <w:right w:val="single" w:sz="4" w:space="0" w:color="auto"/>
            </w:tcBorders>
            <w:vAlign w:val="center"/>
          </w:tcPr>
          <w:p w14:paraId="5CDF8903" w14:textId="77777777" w:rsidR="004913FE" w:rsidRPr="00991A8D" w:rsidRDefault="004913FE" w:rsidP="008E13FC">
            <w:pPr>
              <w:spacing w:after="0"/>
              <w:jc w:val="center"/>
            </w:pPr>
          </w:p>
        </w:tc>
      </w:tr>
      <w:tr w:rsidR="00991A8D" w:rsidRPr="00991A8D" w14:paraId="1998924D" w14:textId="77777777" w:rsidTr="008E13FC">
        <w:trPr>
          <w:trHeight w:hRule="exact" w:val="725"/>
          <w:jc w:val="center"/>
        </w:trPr>
        <w:tc>
          <w:tcPr>
            <w:tcW w:w="4111" w:type="dxa"/>
            <w:tcBorders>
              <w:top w:val="single" w:sz="4" w:space="0" w:color="auto"/>
              <w:left w:val="single" w:sz="4" w:space="0" w:color="auto"/>
              <w:bottom w:val="single" w:sz="4" w:space="0" w:color="auto"/>
              <w:right w:val="single" w:sz="4" w:space="0" w:color="auto"/>
            </w:tcBorders>
            <w:vAlign w:val="center"/>
          </w:tcPr>
          <w:p w14:paraId="1738F7FE" w14:textId="77777777" w:rsidR="004913FE" w:rsidRPr="00991A8D" w:rsidRDefault="004913FE" w:rsidP="008E13FC">
            <w:pPr>
              <w:spacing w:after="0"/>
              <w:ind w:left="70"/>
            </w:pPr>
            <w:r w:rsidRPr="00991A8D">
              <w:t>Excepción - bienes o servicios con exclusividad.</w:t>
            </w:r>
          </w:p>
        </w:tc>
        <w:tc>
          <w:tcPr>
            <w:tcW w:w="3969" w:type="dxa"/>
            <w:tcBorders>
              <w:top w:val="single" w:sz="4" w:space="0" w:color="auto"/>
              <w:left w:val="single" w:sz="4" w:space="0" w:color="auto"/>
              <w:bottom w:val="single" w:sz="4" w:space="0" w:color="auto"/>
              <w:right w:val="single" w:sz="4" w:space="0" w:color="auto"/>
            </w:tcBorders>
            <w:vAlign w:val="center"/>
          </w:tcPr>
          <w:p w14:paraId="7F8E8531" w14:textId="77777777" w:rsidR="004913FE" w:rsidRPr="00991A8D" w:rsidRDefault="004913FE" w:rsidP="008E13FC">
            <w:pPr>
              <w:spacing w:after="0"/>
              <w:jc w:val="center"/>
            </w:pPr>
          </w:p>
        </w:tc>
      </w:tr>
      <w:tr w:rsidR="00991A8D" w:rsidRPr="00991A8D" w14:paraId="0AB1632F" w14:textId="77777777" w:rsidTr="00AA72B6">
        <w:trPr>
          <w:trHeight w:hRule="exact" w:val="1096"/>
          <w:jc w:val="center"/>
        </w:trPr>
        <w:tc>
          <w:tcPr>
            <w:tcW w:w="4111" w:type="dxa"/>
            <w:tcBorders>
              <w:top w:val="single" w:sz="4" w:space="0" w:color="auto"/>
              <w:left w:val="single" w:sz="4" w:space="0" w:color="auto"/>
              <w:bottom w:val="single" w:sz="4" w:space="0" w:color="auto"/>
              <w:right w:val="single" w:sz="4" w:space="0" w:color="auto"/>
            </w:tcBorders>
            <w:vAlign w:val="center"/>
          </w:tcPr>
          <w:p w14:paraId="0D316439" w14:textId="77777777" w:rsidR="004913FE" w:rsidRPr="00991A8D" w:rsidRDefault="004913FE" w:rsidP="008E13FC">
            <w:pPr>
              <w:spacing w:after="0"/>
              <w:ind w:left="70"/>
            </w:pPr>
            <w:r w:rsidRPr="00991A8D">
              <w:t>Excepción - construcción, instalación o adquisición de oficinas para el servicio exterior.</w:t>
            </w:r>
          </w:p>
        </w:tc>
        <w:tc>
          <w:tcPr>
            <w:tcW w:w="3969" w:type="dxa"/>
            <w:tcBorders>
              <w:top w:val="single" w:sz="4" w:space="0" w:color="auto"/>
              <w:left w:val="single" w:sz="4" w:space="0" w:color="auto"/>
              <w:bottom w:val="single" w:sz="4" w:space="0" w:color="auto"/>
              <w:right w:val="single" w:sz="4" w:space="0" w:color="auto"/>
            </w:tcBorders>
            <w:vAlign w:val="center"/>
          </w:tcPr>
          <w:p w14:paraId="3ADEA6CA" w14:textId="77777777" w:rsidR="004913FE" w:rsidRPr="00991A8D" w:rsidRDefault="004913FE" w:rsidP="008E13FC">
            <w:pPr>
              <w:spacing w:after="0"/>
              <w:jc w:val="center"/>
            </w:pPr>
          </w:p>
        </w:tc>
      </w:tr>
      <w:tr w:rsidR="00991A8D" w:rsidRPr="00991A8D" w14:paraId="2101EA8C" w14:textId="77777777" w:rsidTr="008E13FC">
        <w:trPr>
          <w:trHeight w:hRule="exact" w:val="1124"/>
          <w:jc w:val="center"/>
        </w:trPr>
        <w:tc>
          <w:tcPr>
            <w:tcW w:w="4111" w:type="dxa"/>
            <w:tcBorders>
              <w:top w:val="single" w:sz="4" w:space="0" w:color="auto"/>
              <w:left w:val="single" w:sz="4" w:space="0" w:color="auto"/>
              <w:bottom w:val="single" w:sz="4" w:space="0" w:color="auto"/>
              <w:right w:val="single" w:sz="4" w:space="0" w:color="auto"/>
            </w:tcBorders>
            <w:vAlign w:val="center"/>
          </w:tcPr>
          <w:p w14:paraId="5236C6B5" w14:textId="77777777" w:rsidR="004913FE" w:rsidRPr="00991A8D" w:rsidRDefault="004913FE" w:rsidP="008E13FC">
            <w:pPr>
              <w:spacing w:after="0"/>
              <w:ind w:left="70"/>
            </w:pPr>
            <w:r w:rsidRPr="00991A8D">
              <w:t>Excepción - contratación de publicidad a través de medios de comunicación social.</w:t>
            </w:r>
          </w:p>
        </w:tc>
        <w:tc>
          <w:tcPr>
            <w:tcW w:w="3969" w:type="dxa"/>
            <w:tcBorders>
              <w:top w:val="single" w:sz="4" w:space="0" w:color="auto"/>
              <w:left w:val="single" w:sz="4" w:space="0" w:color="auto"/>
              <w:bottom w:val="single" w:sz="4" w:space="0" w:color="auto"/>
              <w:right w:val="single" w:sz="4" w:space="0" w:color="auto"/>
            </w:tcBorders>
            <w:vAlign w:val="center"/>
          </w:tcPr>
          <w:p w14:paraId="1A71F648" w14:textId="77777777" w:rsidR="004913FE" w:rsidRPr="00991A8D" w:rsidRDefault="004913FE" w:rsidP="008E13FC">
            <w:pPr>
              <w:spacing w:after="0"/>
              <w:jc w:val="center"/>
            </w:pPr>
            <w:r w:rsidRPr="00991A8D">
              <w:t>19,413,321.00</w:t>
            </w:r>
          </w:p>
        </w:tc>
      </w:tr>
      <w:tr w:rsidR="00991A8D" w:rsidRPr="00991A8D" w14:paraId="1DA56E1E" w14:textId="77777777" w:rsidTr="008E13FC">
        <w:trPr>
          <w:trHeight w:hRule="exact" w:val="1126"/>
          <w:jc w:val="center"/>
        </w:trPr>
        <w:tc>
          <w:tcPr>
            <w:tcW w:w="4111" w:type="dxa"/>
            <w:tcBorders>
              <w:top w:val="single" w:sz="4" w:space="0" w:color="auto"/>
              <w:left w:val="single" w:sz="4" w:space="0" w:color="auto"/>
              <w:bottom w:val="single" w:sz="4" w:space="0" w:color="auto"/>
              <w:right w:val="single" w:sz="4" w:space="0" w:color="auto"/>
            </w:tcBorders>
            <w:vAlign w:val="center"/>
          </w:tcPr>
          <w:p w14:paraId="618FADC9" w14:textId="77777777" w:rsidR="004913FE" w:rsidRPr="00991A8D" w:rsidRDefault="004913FE" w:rsidP="008E13FC">
            <w:pPr>
              <w:spacing w:after="0"/>
              <w:ind w:left="70"/>
            </w:pPr>
            <w:r w:rsidRPr="00991A8D">
              <w:t>Excepción - obras científicas, técnicas, artísticas, o restauración de monumentos históricos.</w:t>
            </w:r>
          </w:p>
        </w:tc>
        <w:tc>
          <w:tcPr>
            <w:tcW w:w="3969" w:type="dxa"/>
            <w:tcBorders>
              <w:top w:val="single" w:sz="4" w:space="0" w:color="auto"/>
              <w:left w:val="single" w:sz="4" w:space="0" w:color="auto"/>
              <w:bottom w:val="single" w:sz="4" w:space="0" w:color="auto"/>
              <w:right w:val="single" w:sz="4" w:space="0" w:color="auto"/>
            </w:tcBorders>
            <w:vAlign w:val="center"/>
          </w:tcPr>
          <w:p w14:paraId="600AE94F" w14:textId="77777777" w:rsidR="004913FE" w:rsidRPr="00991A8D" w:rsidRDefault="004913FE" w:rsidP="008E13FC">
            <w:pPr>
              <w:spacing w:after="0"/>
              <w:jc w:val="center"/>
            </w:pPr>
          </w:p>
        </w:tc>
      </w:tr>
      <w:tr w:rsidR="00991A8D" w:rsidRPr="00991A8D" w14:paraId="47C079E1" w14:textId="77777777" w:rsidTr="008E13FC">
        <w:trPr>
          <w:trHeight w:hRule="exact" w:val="717"/>
          <w:jc w:val="center"/>
        </w:trPr>
        <w:tc>
          <w:tcPr>
            <w:tcW w:w="4111" w:type="dxa"/>
            <w:tcBorders>
              <w:top w:val="single" w:sz="4" w:space="0" w:color="auto"/>
              <w:left w:val="single" w:sz="4" w:space="0" w:color="auto"/>
              <w:bottom w:val="single" w:sz="4" w:space="0" w:color="auto"/>
              <w:right w:val="single" w:sz="4" w:space="0" w:color="auto"/>
            </w:tcBorders>
            <w:vAlign w:val="center"/>
          </w:tcPr>
          <w:p w14:paraId="6E7E3662" w14:textId="77777777" w:rsidR="004913FE" w:rsidRPr="00991A8D" w:rsidRDefault="004913FE" w:rsidP="008E13FC">
            <w:pPr>
              <w:spacing w:after="0"/>
              <w:ind w:left="70"/>
            </w:pPr>
            <w:r w:rsidRPr="00991A8D">
              <w:t>Excepción - proveedor único</w:t>
            </w:r>
          </w:p>
        </w:tc>
        <w:tc>
          <w:tcPr>
            <w:tcW w:w="3969" w:type="dxa"/>
            <w:tcBorders>
              <w:top w:val="single" w:sz="4" w:space="0" w:color="auto"/>
              <w:left w:val="single" w:sz="4" w:space="0" w:color="auto"/>
              <w:bottom w:val="single" w:sz="4" w:space="0" w:color="auto"/>
              <w:right w:val="single" w:sz="4" w:space="0" w:color="auto"/>
            </w:tcBorders>
            <w:vAlign w:val="center"/>
          </w:tcPr>
          <w:p w14:paraId="7AF9445C" w14:textId="77777777" w:rsidR="004913FE" w:rsidRPr="00991A8D" w:rsidRDefault="004913FE" w:rsidP="008E13FC">
            <w:pPr>
              <w:spacing w:after="0"/>
              <w:jc w:val="center"/>
            </w:pPr>
            <w:r w:rsidRPr="00991A8D">
              <w:t>11,577,745.00</w:t>
            </w:r>
          </w:p>
        </w:tc>
      </w:tr>
      <w:tr w:rsidR="00991A8D" w:rsidRPr="00991A8D" w14:paraId="73536F7A" w14:textId="77777777" w:rsidTr="00AA72B6">
        <w:trPr>
          <w:trHeight w:hRule="exact" w:val="1281"/>
          <w:jc w:val="center"/>
        </w:trPr>
        <w:tc>
          <w:tcPr>
            <w:tcW w:w="4111" w:type="dxa"/>
            <w:tcBorders>
              <w:top w:val="single" w:sz="4" w:space="0" w:color="auto"/>
              <w:left w:val="single" w:sz="4" w:space="0" w:color="auto"/>
              <w:bottom w:val="single" w:sz="4" w:space="0" w:color="auto"/>
              <w:right w:val="single" w:sz="4" w:space="0" w:color="auto"/>
            </w:tcBorders>
            <w:vAlign w:val="center"/>
          </w:tcPr>
          <w:p w14:paraId="3E107B57" w14:textId="77777777" w:rsidR="004913FE" w:rsidRPr="00991A8D" w:rsidRDefault="004913FE" w:rsidP="008E13FC">
            <w:pPr>
              <w:spacing w:after="0"/>
              <w:ind w:left="70"/>
            </w:pPr>
            <w:r w:rsidRPr="00991A8D">
              <w:t>Excepción - rescisión de contratos cuya terminación no exceda el 40 % del monto total del proyecto, obra o servicio.</w:t>
            </w:r>
          </w:p>
        </w:tc>
        <w:tc>
          <w:tcPr>
            <w:tcW w:w="3969" w:type="dxa"/>
            <w:tcBorders>
              <w:top w:val="single" w:sz="4" w:space="0" w:color="auto"/>
              <w:left w:val="single" w:sz="4" w:space="0" w:color="auto"/>
              <w:bottom w:val="single" w:sz="4" w:space="0" w:color="auto"/>
              <w:right w:val="single" w:sz="4" w:space="0" w:color="auto"/>
            </w:tcBorders>
            <w:vAlign w:val="center"/>
          </w:tcPr>
          <w:p w14:paraId="195880D7" w14:textId="77777777" w:rsidR="004913FE" w:rsidRPr="00991A8D" w:rsidRDefault="004913FE" w:rsidP="008E13FC">
            <w:pPr>
              <w:spacing w:after="0"/>
              <w:jc w:val="center"/>
            </w:pPr>
          </w:p>
        </w:tc>
      </w:tr>
      <w:tr w:rsidR="00991A8D" w:rsidRPr="00991A8D" w14:paraId="162FC7CC" w14:textId="77777777" w:rsidTr="008E13FC">
        <w:trPr>
          <w:trHeight w:hRule="exact" w:val="994"/>
          <w:jc w:val="center"/>
        </w:trPr>
        <w:tc>
          <w:tcPr>
            <w:tcW w:w="4111" w:type="dxa"/>
            <w:tcBorders>
              <w:top w:val="single" w:sz="4" w:space="0" w:color="auto"/>
              <w:left w:val="single" w:sz="4" w:space="0" w:color="auto"/>
              <w:bottom w:val="single" w:sz="4" w:space="0" w:color="auto"/>
              <w:right w:val="single" w:sz="4" w:space="0" w:color="auto"/>
            </w:tcBorders>
            <w:vAlign w:val="center"/>
          </w:tcPr>
          <w:p w14:paraId="62E87E13" w14:textId="77777777" w:rsidR="004913FE" w:rsidRPr="00991A8D" w:rsidRDefault="004913FE" w:rsidP="008E13FC">
            <w:pPr>
              <w:spacing w:after="0"/>
              <w:ind w:left="70"/>
            </w:pPr>
            <w:r w:rsidRPr="00991A8D">
              <w:t>Compra y contratación de combustible</w:t>
            </w:r>
          </w:p>
        </w:tc>
        <w:tc>
          <w:tcPr>
            <w:tcW w:w="3969" w:type="dxa"/>
            <w:tcBorders>
              <w:top w:val="single" w:sz="4" w:space="0" w:color="auto"/>
              <w:left w:val="single" w:sz="4" w:space="0" w:color="auto"/>
              <w:bottom w:val="single" w:sz="4" w:space="0" w:color="auto"/>
              <w:right w:val="single" w:sz="4" w:space="0" w:color="auto"/>
            </w:tcBorders>
            <w:vAlign w:val="center"/>
          </w:tcPr>
          <w:p w14:paraId="0C398854" w14:textId="77777777" w:rsidR="004913FE" w:rsidRPr="00991A8D" w:rsidRDefault="004913FE" w:rsidP="008E13FC">
            <w:pPr>
              <w:spacing w:after="0"/>
              <w:jc w:val="center"/>
            </w:pPr>
            <w:r w:rsidRPr="00991A8D">
              <w:t>25,990,902.00</w:t>
            </w:r>
          </w:p>
        </w:tc>
      </w:tr>
    </w:tbl>
    <w:bookmarkEnd w:id="52"/>
    <w:bookmarkEnd w:id="53"/>
    <w:p w14:paraId="4682BE2B" w14:textId="73812D61" w:rsidR="0067333E" w:rsidRPr="0077472F" w:rsidRDefault="0042514C" w:rsidP="0042514C">
      <w:pPr>
        <w:jc w:val="center"/>
        <w:rPr>
          <w:i/>
          <w:iCs/>
          <w:sz w:val="18"/>
          <w:szCs w:val="18"/>
        </w:rPr>
      </w:pPr>
      <w:r w:rsidRPr="0077472F">
        <w:rPr>
          <w:i/>
          <w:iCs/>
          <w:sz w:val="18"/>
          <w:szCs w:val="18"/>
        </w:rPr>
        <w:t>Fuente: Dirección Administrativa Financiera</w:t>
      </w:r>
    </w:p>
    <w:sectPr w:rsidR="0067333E" w:rsidRPr="0077472F" w:rsidSect="007511DD">
      <w:pgSz w:w="12242" w:h="15842" w:code="1"/>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F2F81" w14:textId="77777777" w:rsidR="00021D5F" w:rsidRPr="00C14355" w:rsidRDefault="00021D5F" w:rsidP="00E84651">
      <w:pPr>
        <w:spacing w:after="0" w:line="240" w:lineRule="auto"/>
      </w:pPr>
      <w:r w:rsidRPr="00C14355">
        <w:separator/>
      </w:r>
    </w:p>
  </w:endnote>
  <w:endnote w:type="continuationSeparator" w:id="0">
    <w:p w14:paraId="32D6B7CA" w14:textId="77777777" w:rsidR="00021D5F" w:rsidRPr="00C14355" w:rsidRDefault="00021D5F" w:rsidP="00E84651">
      <w:pPr>
        <w:spacing w:after="0" w:line="240" w:lineRule="auto"/>
      </w:pPr>
      <w:r w:rsidRPr="00C143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tifex CF Light">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Content>
      <w:p w14:paraId="1A9E6193" w14:textId="53F74689" w:rsidR="00425CF6" w:rsidRPr="00C14355" w:rsidRDefault="00425CF6">
        <w:pPr>
          <w:pStyle w:val="Piedepgina"/>
          <w:jc w:val="center"/>
        </w:pPr>
        <w:r w:rsidRPr="00C14355">
          <w:fldChar w:fldCharType="begin"/>
        </w:r>
        <w:r w:rsidRPr="00C14355">
          <w:instrText xml:space="preserve"> PAGE   \* MERGEFORMAT </w:instrText>
        </w:r>
        <w:r w:rsidRPr="00C14355">
          <w:fldChar w:fldCharType="separate"/>
        </w:r>
        <w:r w:rsidRPr="00C14355">
          <w:t>2</w:t>
        </w:r>
        <w:r w:rsidRPr="00C14355">
          <w:fldChar w:fldCharType="end"/>
        </w:r>
      </w:p>
    </w:sdtContent>
  </w:sdt>
  <w:p w14:paraId="5882525B" w14:textId="77777777" w:rsidR="00425CF6" w:rsidRPr="00C14355"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Content>
      <w:p w14:paraId="76783BEA" w14:textId="3B2E45C0" w:rsidR="0021106F" w:rsidRPr="00C14355" w:rsidRDefault="007C6071" w:rsidP="0021106F">
        <w:pPr>
          <w:pStyle w:val="Piedepgina"/>
          <w:jc w:val="center"/>
        </w:pPr>
        <w:r w:rsidRPr="00C14355">
          <w:rPr>
            <w:noProof/>
          </w:rPr>
          <w:drawing>
            <wp:anchor distT="0" distB="0" distL="114300" distR="114300" simplePos="0" relativeHeight="251658240" behindDoc="0" locked="0" layoutInCell="1" allowOverlap="1" wp14:anchorId="54F82055" wp14:editId="08E078D7">
              <wp:simplePos x="0" y="0"/>
              <wp:positionH relativeFrom="margin">
                <wp:align>center</wp:align>
              </wp:positionH>
              <wp:positionV relativeFrom="paragraph">
                <wp:posOffset>-198120</wp:posOffset>
              </wp:positionV>
              <wp:extent cx="2995930" cy="408305"/>
              <wp:effectExtent l="0" t="0" r="0" b="0"/>
              <wp:wrapSquare wrapText="bothSides"/>
              <wp:docPr id="86586119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C14355" w:rsidRDefault="007C6071" w:rsidP="0021106F">
        <w:pPr>
          <w:pStyle w:val="Piedepgina"/>
          <w:jc w:val="center"/>
          <w:rPr>
            <w:color w:val="7F7F7F" w:themeColor="text1" w:themeTint="80"/>
          </w:rPr>
        </w:pPr>
      </w:p>
      <w:p w14:paraId="2B095E5E" w14:textId="53193BFC" w:rsidR="006E3F08" w:rsidRPr="00C14355" w:rsidRDefault="006E3F08" w:rsidP="00FB7EE3">
        <w:pPr>
          <w:pStyle w:val="Piedepgina"/>
          <w:jc w:val="center"/>
        </w:pPr>
        <w:r w:rsidRPr="00C14355">
          <w:rPr>
            <w:color w:val="7F7F7F" w:themeColor="text1" w:themeTint="80"/>
          </w:rPr>
          <w:fldChar w:fldCharType="begin"/>
        </w:r>
        <w:r w:rsidRPr="00C14355">
          <w:rPr>
            <w:color w:val="7F7F7F" w:themeColor="text1" w:themeTint="80"/>
          </w:rPr>
          <w:instrText xml:space="preserve"> PAGE   \* MERGEFORMAT </w:instrText>
        </w:r>
        <w:r w:rsidRPr="00C14355">
          <w:rPr>
            <w:color w:val="7F7F7F" w:themeColor="text1" w:themeTint="80"/>
          </w:rPr>
          <w:fldChar w:fldCharType="separate"/>
        </w:r>
        <w:r w:rsidR="007A267B" w:rsidRPr="00C14355">
          <w:rPr>
            <w:color w:val="7F7F7F" w:themeColor="text1" w:themeTint="80"/>
          </w:rPr>
          <w:t>8</w:t>
        </w:r>
        <w:r w:rsidRPr="00C14355">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4E35F" w14:textId="77777777" w:rsidR="00021D5F" w:rsidRPr="00C14355" w:rsidRDefault="00021D5F" w:rsidP="00E84651">
      <w:pPr>
        <w:spacing w:after="0" w:line="240" w:lineRule="auto"/>
      </w:pPr>
      <w:r w:rsidRPr="00C14355">
        <w:separator/>
      </w:r>
    </w:p>
  </w:footnote>
  <w:footnote w:type="continuationSeparator" w:id="0">
    <w:p w14:paraId="714B1853" w14:textId="77777777" w:rsidR="00021D5F" w:rsidRPr="00C14355" w:rsidRDefault="00021D5F" w:rsidP="00E84651">
      <w:pPr>
        <w:spacing w:after="0" w:line="240" w:lineRule="auto"/>
      </w:pPr>
      <w:r w:rsidRPr="00C143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Pr="00C14355"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2F9E"/>
    <w:multiLevelType w:val="hybridMultilevel"/>
    <w:tmpl w:val="08F290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5676CAC"/>
    <w:multiLevelType w:val="hybridMultilevel"/>
    <w:tmpl w:val="93627A2E"/>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 w15:restartNumberingAfterBreak="0">
    <w:nsid w:val="060C2080"/>
    <w:multiLevelType w:val="hybridMultilevel"/>
    <w:tmpl w:val="3252D976"/>
    <w:lvl w:ilvl="0" w:tplc="1C0A0003">
      <w:start w:val="1"/>
      <w:numFmt w:val="bullet"/>
      <w:lvlText w:val="o"/>
      <w:lvlJc w:val="left"/>
      <w:pPr>
        <w:ind w:left="578" w:hanging="360"/>
      </w:pPr>
      <w:rPr>
        <w:rFonts w:ascii="Courier New" w:hAnsi="Courier New" w:cs="Courier New" w:hint="default"/>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3" w15:restartNumberingAfterBreak="0">
    <w:nsid w:val="08305684"/>
    <w:multiLevelType w:val="hybridMultilevel"/>
    <w:tmpl w:val="6A28F846"/>
    <w:lvl w:ilvl="0" w:tplc="1C0A0003">
      <w:start w:val="1"/>
      <w:numFmt w:val="bullet"/>
      <w:lvlText w:val="o"/>
      <w:lvlJc w:val="left"/>
      <w:pPr>
        <w:ind w:left="578" w:hanging="360"/>
      </w:pPr>
      <w:rPr>
        <w:rFonts w:ascii="Courier New" w:hAnsi="Courier New" w:cs="Courier New"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4" w15:restartNumberingAfterBreak="0">
    <w:nsid w:val="084456B8"/>
    <w:multiLevelType w:val="multilevel"/>
    <w:tmpl w:val="13D2C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D4272"/>
    <w:multiLevelType w:val="hybridMultilevel"/>
    <w:tmpl w:val="93640AE0"/>
    <w:lvl w:ilvl="0" w:tplc="1C0A0003">
      <w:start w:val="1"/>
      <w:numFmt w:val="bullet"/>
      <w:lvlText w:val="o"/>
      <w:lvlJc w:val="left"/>
      <w:pPr>
        <w:ind w:left="578" w:hanging="360"/>
      </w:pPr>
      <w:rPr>
        <w:rFonts w:ascii="Courier New" w:hAnsi="Courier New" w:cs="Courier New" w:hint="default"/>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6" w15:restartNumberingAfterBreak="0">
    <w:nsid w:val="117448A7"/>
    <w:multiLevelType w:val="hybridMultilevel"/>
    <w:tmpl w:val="0ED201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77A5892"/>
    <w:multiLevelType w:val="hybridMultilevel"/>
    <w:tmpl w:val="5C524BC0"/>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7C81587"/>
    <w:multiLevelType w:val="multilevel"/>
    <w:tmpl w:val="38FA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283D61"/>
    <w:multiLevelType w:val="hybridMultilevel"/>
    <w:tmpl w:val="E066467C"/>
    <w:lvl w:ilvl="0" w:tplc="1C0A0001">
      <w:start w:val="1"/>
      <w:numFmt w:val="bullet"/>
      <w:lvlText w:val=""/>
      <w:lvlJc w:val="left"/>
      <w:pPr>
        <w:ind w:left="862" w:hanging="360"/>
      </w:pPr>
      <w:rPr>
        <w:rFonts w:ascii="Symbol" w:hAnsi="Symbol" w:hint="default"/>
      </w:rPr>
    </w:lvl>
    <w:lvl w:ilvl="1" w:tplc="1C0A0003" w:tentative="1">
      <w:start w:val="1"/>
      <w:numFmt w:val="bullet"/>
      <w:lvlText w:val="o"/>
      <w:lvlJc w:val="left"/>
      <w:pPr>
        <w:ind w:left="1582" w:hanging="360"/>
      </w:pPr>
      <w:rPr>
        <w:rFonts w:ascii="Courier New" w:hAnsi="Courier New" w:cs="Courier New" w:hint="default"/>
      </w:rPr>
    </w:lvl>
    <w:lvl w:ilvl="2" w:tplc="1C0A0005" w:tentative="1">
      <w:start w:val="1"/>
      <w:numFmt w:val="bullet"/>
      <w:lvlText w:val=""/>
      <w:lvlJc w:val="left"/>
      <w:pPr>
        <w:ind w:left="2302" w:hanging="360"/>
      </w:pPr>
      <w:rPr>
        <w:rFonts w:ascii="Wingdings" w:hAnsi="Wingdings" w:hint="default"/>
      </w:rPr>
    </w:lvl>
    <w:lvl w:ilvl="3" w:tplc="1C0A0001" w:tentative="1">
      <w:start w:val="1"/>
      <w:numFmt w:val="bullet"/>
      <w:lvlText w:val=""/>
      <w:lvlJc w:val="left"/>
      <w:pPr>
        <w:ind w:left="3022" w:hanging="360"/>
      </w:pPr>
      <w:rPr>
        <w:rFonts w:ascii="Symbol" w:hAnsi="Symbol" w:hint="default"/>
      </w:rPr>
    </w:lvl>
    <w:lvl w:ilvl="4" w:tplc="1C0A0003" w:tentative="1">
      <w:start w:val="1"/>
      <w:numFmt w:val="bullet"/>
      <w:lvlText w:val="o"/>
      <w:lvlJc w:val="left"/>
      <w:pPr>
        <w:ind w:left="3742" w:hanging="360"/>
      </w:pPr>
      <w:rPr>
        <w:rFonts w:ascii="Courier New" w:hAnsi="Courier New" w:cs="Courier New" w:hint="default"/>
      </w:rPr>
    </w:lvl>
    <w:lvl w:ilvl="5" w:tplc="1C0A0005" w:tentative="1">
      <w:start w:val="1"/>
      <w:numFmt w:val="bullet"/>
      <w:lvlText w:val=""/>
      <w:lvlJc w:val="left"/>
      <w:pPr>
        <w:ind w:left="4462" w:hanging="360"/>
      </w:pPr>
      <w:rPr>
        <w:rFonts w:ascii="Wingdings" w:hAnsi="Wingdings" w:hint="default"/>
      </w:rPr>
    </w:lvl>
    <w:lvl w:ilvl="6" w:tplc="1C0A0001" w:tentative="1">
      <w:start w:val="1"/>
      <w:numFmt w:val="bullet"/>
      <w:lvlText w:val=""/>
      <w:lvlJc w:val="left"/>
      <w:pPr>
        <w:ind w:left="5182" w:hanging="360"/>
      </w:pPr>
      <w:rPr>
        <w:rFonts w:ascii="Symbol" w:hAnsi="Symbol" w:hint="default"/>
      </w:rPr>
    </w:lvl>
    <w:lvl w:ilvl="7" w:tplc="1C0A0003" w:tentative="1">
      <w:start w:val="1"/>
      <w:numFmt w:val="bullet"/>
      <w:lvlText w:val="o"/>
      <w:lvlJc w:val="left"/>
      <w:pPr>
        <w:ind w:left="5902" w:hanging="360"/>
      </w:pPr>
      <w:rPr>
        <w:rFonts w:ascii="Courier New" w:hAnsi="Courier New" w:cs="Courier New" w:hint="default"/>
      </w:rPr>
    </w:lvl>
    <w:lvl w:ilvl="8" w:tplc="1C0A0005" w:tentative="1">
      <w:start w:val="1"/>
      <w:numFmt w:val="bullet"/>
      <w:lvlText w:val=""/>
      <w:lvlJc w:val="left"/>
      <w:pPr>
        <w:ind w:left="6622" w:hanging="360"/>
      </w:pPr>
      <w:rPr>
        <w:rFonts w:ascii="Wingdings" w:hAnsi="Wingdings" w:hint="default"/>
      </w:rPr>
    </w:lvl>
  </w:abstractNum>
  <w:abstractNum w:abstractNumId="10" w15:restartNumberingAfterBreak="0">
    <w:nsid w:val="25556031"/>
    <w:multiLevelType w:val="hybridMultilevel"/>
    <w:tmpl w:val="EAB23BBC"/>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76A57F9"/>
    <w:multiLevelType w:val="hybridMultilevel"/>
    <w:tmpl w:val="0A9C43D8"/>
    <w:lvl w:ilvl="0" w:tplc="1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8463421"/>
    <w:multiLevelType w:val="hybridMultilevel"/>
    <w:tmpl w:val="CB02AD2E"/>
    <w:lvl w:ilvl="0" w:tplc="8D58FB92">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0E03C8"/>
    <w:multiLevelType w:val="hybridMultilevel"/>
    <w:tmpl w:val="9208C734"/>
    <w:lvl w:ilvl="0" w:tplc="1C0A0003">
      <w:start w:val="1"/>
      <w:numFmt w:val="bullet"/>
      <w:lvlText w:val="o"/>
      <w:lvlJc w:val="left"/>
      <w:pPr>
        <w:ind w:left="1004" w:hanging="360"/>
      </w:pPr>
      <w:rPr>
        <w:rFonts w:ascii="Courier New" w:hAnsi="Courier New" w:cs="Courier New"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4" w15:restartNumberingAfterBreak="0">
    <w:nsid w:val="2A943C1C"/>
    <w:multiLevelType w:val="hybridMultilevel"/>
    <w:tmpl w:val="64E408CA"/>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AB06674"/>
    <w:multiLevelType w:val="hybridMultilevel"/>
    <w:tmpl w:val="56F2185A"/>
    <w:lvl w:ilvl="0" w:tplc="8D58FB92">
      <w:start w:val="1"/>
      <w:numFmt w:val="bullet"/>
      <w:lvlText w:val=""/>
      <w:lvlJc w:val="left"/>
      <w:pPr>
        <w:ind w:left="578" w:hanging="360"/>
      </w:pPr>
      <w:rPr>
        <w:rFonts w:ascii="Symbol" w:hAnsi="Symbol" w:hint="default"/>
        <w:sz w:val="24"/>
        <w:szCs w:val="24"/>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16" w15:restartNumberingAfterBreak="0">
    <w:nsid w:val="2DFB34CB"/>
    <w:multiLevelType w:val="multilevel"/>
    <w:tmpl w:val="6D748EB6"/>
    <w:lvl w:ilvl="0">
      <w:start w:val="1"/>
      <w:numFmt w:val="upperRoman"/>
      <w:lvlText w:val="%1."/>
      <w:lvlJc w:val="left"/>
      <w:pPr>
        <w:ind w:left="1080" w:hanging="720"/>
      </w:pPr>
      <w:rPr>
        <w:rFonts w:hint="default"/>
      </w:rPr>
    </w:lvl>
    <w:lvl w:ilvl="1">
      <w:start w:val="1"/>
      <w:numFmt w:val="decimal"/>
      <w:isLgl/>
      <w:lvlText w:val="%1.%2"/>
      <w:lvlJc w:val="left"/>
      <w:pPr>
        <w:ind w:left="2713"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41E3193"/>
    <w:multiLevelType w:val="hybridMultilevel"/>
    <w:tmpl w:val="1C94B8DC"/>
    <w:lvl w:ilvl="0" w:tplc="1C0A0019">
      <w:start w:val="3"/>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35C50564"/>
    <w:multiLevelType w:val="hybridMultilevel"/>
    <w:tmpl w:val="1818A120"/>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9" w15:restartNumberingAfterBreak="0">
    <w:nsid w:val="3BBF4632"/>
    <w:multiLevelType w:val="hybridMultilevel"/>
    <w:tmpl w:val="81C6F650"/>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0" w15:restartNumberingAfterBreak="0">
    <w:nsid w:val="3E1B5D09"/>
    <w:multiLevelType w:val="hybridMultilevel"/>
    <w:tmpl w:val="2E3C017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3E934BDA"/>
    <w:multiLevelType w:val="hybridMultilevel"/>
    <w:tmpl w:val="8316675E"/>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FE320A3"/>
    <w:multiLevelType w:val="hybridMultilevel"/>
    <w:tmpl w:val="D54C5CC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0041DDC"/>
    <w:multiLevelType w:val="multilevel"/>
    <w:tmpl w:val="4A146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F77F0C"/>
    <w:multiLevelType w:val="hybridMultilevel"/>
    <w:tmpl w:val="772C3D2E"/>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5" w15:restartNumberingAfterBreak="0">
    <w:nsid w:val="45A50EA4"/>
    <w:multiLevelType w:val="hybridMultilevel"/>
    <w:tmpl w:val="CC0690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71B0D79"/>
    <w:multiLevelType w:val="hybridMultilevel"/>
    <w:tmpl w:val="2022F8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B566FEF"/>
    <w:multiLevelType w:val="hybridMultilevel"/>
    <w:tmpl w:val="D032B3E0"/>
    <w:lvl w:ilvl="0" w:tplc="1C0A0003">
      <w:start w:val="1"/>
      <w:numFmt w:val="bullet"/>
      <w:lvlText w:val="o"/>
      <w:lvlJc w:val="left"/>
      <w:pPr>
        <w:ind w:left="1004" w:hanging="360"/>
      </w:pPr>
      <w:rPr>
        <w:rFonts w:ascii="Courier New" w:hAnsi="Courier New" w:cs="Courier New"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8" w15:restartNumberingAfterBreak="0">
    <w:nsid w:val="4B5F3A96"/>
    <w:multiLevelType w:val="hybridMultilevel"/>
    <w:tmpl w:val="7B587DAA"/>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BA256EE"/>
    <w:multiLevelType w:val="hybridMultilevel"/>
    <w:tmpl w:val="64F8EF14"/>
    <w:lvl w:ilvl="0" w:tplc="6098FE0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0D66939"/>
    <w:multiLevelType w:val="hybridMultilevel"/>
    <w:tmpl w:val="ED405CC2"/>
    <w:lvl w:ilvl="0" w:tplc="1C0A0003">
      <w:start w:val="1"/>
      <w:numFmt w:val="bullet"/>
      <w:lvlText w:val="o"/>
      <w:lvlJc w:val="left"/>
      <w:pPr>
        <w:ind w:left="578" w:hanging="360"/>
      </w:pPr>
      <w:rPr>
        <w:rFonts w:ascii="Courier New" w:hAnsi="Courier New" w:cs="Courier New" w:hint="default"/>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31" w15:restartNumberingAfterBreak="0">
    <w:nsid w:val="537C7323"/>
    <w:multiLevelType w:val="hybridMultilevel"/>
    <w:tmpl w:val="AD5897D8"/>
    <w:lvl w:ilvl="0" w:tplc="1C0A0001">
      <w:start w:val="1"/>
      <w:numFmt w:val="bullet"/>
      <w:lvlText w:val=""/>
      <w:lvlJc w:val="left"/>
      <w:pPr>
        <w:ind w:left="578" w:hanging="360"/>
      </w:pPr>
      <w:rPr>
        <w:rFonts w:ascii="Symbol" w:hAnsi="Symbol" w:hint="default"/>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32" w15:restartNumberingAfterBreak="0">
    <w:nsid w:val="55F43EE3"/>
    <w:multiLevelType w:val="hybridMultilevel"/>
    <w:tmpl w:val="7C809C28"/>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76E605B"/>
    <w:multiLevelType w:val="hybridMultilevel"/>
    <w:tmpl w:val="CD54A5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47076C0"/>
    <w:multiLevelType w:val="hybridMultilevel"/>
    <w:tmpl w:val="079070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F4E5F1B"/>
    <w:multiLevelType w:val="hybridMultilevel"/>
    <w:tmpl w:val="D3FAA0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74872B91"/>
    <w:multiLevelType w:val="hybridMultilevel"/>
    <w:tmpl w:val="2D02EE0A"/>
    <w:lvl w:ilvl="0" w:tplc="1C0A0003">
      <w:start w:val="1"/>
      <w:numFmt w:val="bullet"/>
      <w:lvlText w:val="o"/>
      <w:lvlJc w:val="left"/>
      <w:pPr>
        <w:ind w:left="806" w:hanging="360"/>
      </w:pPr>
      <w:rPr>
        <w:rFonts w:ascii="Courier New" w:hAnsi="Courier New" w:cs="Courier New" w:hint="default"/>
      </w:rPr>
    </w:lvl>
    <w:lvl w:ilvl="1" w:tplc="1C0A0003" w:tentative="1">
      <w:start w:val="1"/>
      <w:numFmt w:val="bullet"/>
      <w:lvlText w:val="o"/>
      <w:lvlJc w:val="left"/>
      <w:pPr>
        <w:ind w:left="1526" w:hanging="360"/>
      </w:pPr>
      <w:rPr>
        <w:rFonts w:ascii="Courier New" w:hAnsi="Courier New" w:cs="Courier New" w:hint="default"/>
      </w:rPr>
    </w:lvl>
    <w:lvl w:ilvl="2" w:tplc="1C0A0005" w:tentative="1">
      <w:start w:val="1"/>
      <w:numFmt w:val="bullet"/>
      <w:lvlText w:val=""/>
      <w:lvlJc w:val="left"/>
      <w:pPr>
        <w:ind w:left="2246" w:hanging="360"/>
      </w:pPr>
      <w:rPr>
        <w:rFonts w:ascii="Wingdings" w:hAnsi="Wingdings" w:hint="default"/>
      </w:rPr>
    </w:lvl>
    <w:lvl w:ilvl="3" w:tplc="1C0A0001" w:tentative="1">
      <w:start w:val="1"/>
      <w:numFmt w:val="bullet"/>
      <w:lvlText w:val=""/>
      <w:lvlJc w:val="left"/>
      <w:pPr>
        <w:ind w:left="2966" w:hanging="360"/>
      </w:pPr>
      <w:rPr>
        <w:rFonts w:ascii="Symbol" w:hAnsi="Symbol" w:hint="default"/>
      </w:rPr>
    </w:lvl>
    <w:lvl w:ilvl="4" w:tplc="1C0A0003" w:tentative="1">
      <w:start w:val="1"/>
      <w:numFmt w:val="bullet"/>
      <w:lvlText w:val="o"/>
      <w:lvlJc w:val="left"/>
      <w:pPr>
        <w:ind w:left="3686" w:hanging="360"/>
      </w:pPr>
      <w:rPr>
        <w:rFonts w:ascii="Courier New" w:hAnsi="Courier New" w:cs="Courier New" w:hint="default"/>
      </w:rPr>
    </w:lvl>
    <w:lvl w:ilvl="5" w:tplc="1C0A0005" w:tentative="1">
      <w:start w:val="1"/>
      <w:numFmt w:val="bullet"/>
      <w:lvlText w:val=""/>
      <w:lvlJc w:val="left"/>
      <w:pPr>
        <w:ind w:left="4406" w:hanging="360"/>
      </w:pPr>
      <w:rPr>
        <w:rFonts w:ascii="Wingdings" w:hAnsi="Wingdings" w:hint="default"/>
      </w:rPr>
    </w:lvl>
    <w:lvl w:ilvl="6" w:tplc="1C0A0001" w:tentative="1">
      <w:start w:val="1"/>
      <w:numFmt w:val="bullet"/>
      <w:lvlText w:val=""/>
      <w:lvlJc w:val="left"/>
      <w:pPr>
        <w:ind w:left="5126" w:hanging="360"/>
      </w:pPr>
      <w:rPr>
        <w:rFonts w:ascii="Symbol" w:hAnsi="Symbol" w:hint="default"/>
      </w:rPr>
    </w:lvl>
    <w:lvl w:ilvl="7" w:tplc="1C0A0003" w:tentative="1">
      <w:start w:val="1"/>
      <w:numFmt w:val="bullet"/>
      <w:lvlText w:val="o"/>
      <w:lvlJc w:val="left"/>
      <w:pPr>
        <w:ind w:left="5846" w:hanging="360"/>
      </w:pPr>
      <w:rPr>
        <w:rFonts w:ascii="Courier New" w:hAnsi="Courier New" w:cs="Courier New" w:hint="default"/>
      </w:rPr>
    </w:lvl>
    <w:lvl w:ilvl="8" w:tplc="1C0A0005" w:tentative="1">
      <w:start w:val="1"/>
      <w:numFmt w:val="bullet"/>
      <w:lvlText w:val=""/>
      <w:lvlJc w:val="left"/>
      <w:pPr>
        <w:ind w:left="6566" w:hanging="360"/>
      </w:pPr>
      <w:rPr>
        <w:rFonts w:ascii="Wingdings" w:hAnsi="Wingdings" w:hint="default"/>
      </w:rPr>
    </w:lvl>
  </w:abstractNum>
  <w:abstractNum w:abstractNumId="37" w15:restartNumberingAfterBreak="0">
    <w:nsid w:val="74BA43C8"/>
    <w:multiLevelType w:val="hybridMultilevel"/>
    <w:tmpl w:val="1388A680"/>
    <w:lvl w:ilvl="0" w:tplc="17F6930E">
      <w:start w:val="1"/>
      <w:numFmt w:val="bullet"/>
      <w:lvlText w:val=""/>
      <w:lvlJc w:val="left"/>
      <w:pPr>
        <w:ind w:left="72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78A5364E"/>
    <w:multiLevelType w:val="multilevel"/>
    <w:tmpl w:val="1728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E37DCB"/>
    <w:multiLevelType w:val="hybridMultilevel"/>
    <w:tmpl w:val="890C2258"/>
    <w:lvl w:ilvl="0" w:tplc="04090001">
      <w:start w:val="1"/>
      <w:numFmt w:val="bullet"/>
      <w:lvlText w:val=""/>
      <w:lvlJc w:val="left"/>
      <w:pPr>
        <w:ind w:left="578" w:hanging="360"/>
      </w:pPr>
      <w:rPr>
        <w:rFonts w:ascii="Symbol" w:hAnsi="Symbol" w:hint="default"/>
      </w:rPr>
    </w:lvl>
    <w:lvl w:ilvl="1" w:tplc="EF6A7540">
      <w:numFmt w:val="bullet"/>
      <w:lvlText w:val="•"/>
      <w:lvlJc w:val="left"/>
      <w:pPr>
        <w:ind w:left="1298" w:hanging="360"/>
      </w:pPr>
      <w:rPr>
        <w:rFonts w:ascii="Times New Roman" w:eastAsia="Calibri" w:hAnsi="Times New Roman" w:cs="Times New Roman"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0" w15:restartNumberingAfterBreak="0">
    <w:nsid w:val="7C8C63E1"/>
    <w:multiLevelType w:val="hybridMultilevel"/>
    <w:tmpl w:val="F198FE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DEB63BF"/>
    <w:multiLevelType w:val="hybridMultilevel"/>
    <w:tmpl w:val="C0005B40"/>
    <w:lvl w:ilvl="0" w:tplc="1C0A0001">
      <w:start w:val="1"/>
      <w:numFmt w:val="bullet"/>
      <w:lvlText w:val=""/>
      <w:lvlJc w:val="left"/>
      <w:pPr>
        <w:ind w:left="862" w:hanging="360"/>
      </w:pPr>
      <w:rPr>
        <w:rFonts w:ascii="Symbol" w:hAnsi="Symbol" w:hint="default"/>
      </w:rPr>
    </w:lvl>
    <w:lvl w:ilvl="1" w:tplc="1C0A0003" w:tentative="1">
      <w:start w:val="1"/>
      <w:numFmt w:val="bullet"/>
      <w:lvlText w:val="o"/>
      <w:lvlJc w:val="left"/>
      <w:pPr>
        <w:ind w:left="1582" w:hanging="360"/>
      </w:pPr>
      <w:rPr>
        <w:rFonts w:ascii="Courier New" w:hAnsi="Courier New" w:cs="Courier New" w:hint="default"/>
      </w:rPr>
    </w:lvl>
    <w:lvl w:ilvl="2" w:tplc="1C0A0005" w:tentative="1">
      <w:start w:val="1"/>
      <w:numFmt w:val="bullet"/>
      <w:lvlText w:val=""/>
      <w:lvlJc w:val="left"/>
      <w:pPr>
        <w:ind w:left="2302" w:hanging="360"/>
      </w:pPr>
      <w:rPr>
        <w:rFonts w:ascii="Wingdings" w:hAnsi="Wingdings" w:hint="default"/>
      </w:rPr>
    </w:lvl>
    <w:lvl w:ilvl="3" w:tplc="1C0A0001" w:tentative="1">
      <w:start w:val="1"/>
      <w:numFmt w:val="bullet"/>
      <w:lvlText w:val=""/>
      <w:lvlJc w:val="left"/>
      <w:pPr>
        <w:ind w:left="3022" w:hanging="360"/>
      </w:pPr>
      <w:rPr>
        <w:rFonts w:ascii="Symbol" w:hAnsi="Symbol" w:hint="default"/>
      </w:rPr>
    </w:lvl>
    <w:lvl w:ilvl="4" w:tplc="1C0A0003" w:tentative="1">
      <w:start w:val="1"/>
      <w:numFmt w:val="bullet"/>
      <w:lvlText w:val="o"/>
      <w:lvlJc w:val="left"/>
      <w:pPr>
        <w:ind w:left="3742" w:hanging="360"/>
      </w:pPr>
      <w:rPr>
        <w:rFonts w:ascii="Courier New" w:hAnsi="Courier New" w:cs="Courier New" w:hint="default"/>
      </w:rPr>
    </w:lvl>
    <w:lvl w:ilvl="5" w:tplc="1C0A0005" w:tentative="1">
      <w:start w:val="1"/>
      <w:numFmt w:val="bullet"/>
      <w:lvlText w:val=""/>
      <w:lvlJc w:val="left"/>
      <w:pPr>
        <w:ind w:left="4462" w:hanging="360"/>
      </w:pPr>
      <w:rPr>
        <w:rFonts w:ascii="Wingdings" w:hAnsi="Wingdings" w:hint="default"/>
      </w:rPr>
    </w:lvl>
    <w:lvl w:ilvl="6" w:tplc="1C0A0001" w:tentative="1">
      <w:start w:val="1"/>
      <w:numFmt w:val="bullet"/>
      <w:lvlText w:val=""/>
      <w:lvlJc w:val="left"/>
      <w:pPr>
        <w:ind w:left="5182" w:hanging="360"/>
      </w:pPr>
      <w:rPr>
        <w:rFonts w:ascii="Symbol" w:hAnsi="Symbol" w:hint="default"/>
      </w:rPr>
    </w:lvl>
    <w:lvl w:ilvl="7" w:tplc="1C0A0003" w:tentative="1">
      <w:start w:val="1"/>
      <w:numFmt w:val="bullet"/>
      <w:lvlText w:val="o"/>
      <w:lvlJc w:val="left"/>
      <w:pPr>
        <w:ind w:left="5902" w:hanging="360"/>
      </w:pPr>
      <w:rPr>
        <w:rFonts w:ascii="Courier New" w:hAnsi="Courier New" w:cs="Courier New" w:hint="default"/>
      </w:rPr>
    </w:lvl>
    <w:lvl w:ilvl="8" w:tplc="1C0A0005" w:tentative="1">
      <w:start w:val="1"/>
      <w:numFmt w:val="bullet"/>
      <w:lvlText w:val=""/>
      <w:lvlJc w:val="left"/>
      <w:pPr>
        <w:ind w:left="6622" w:hanging="360"/>
      </w:pPr>
      <w:rPr>
        <w:rFonts w:ascii="Wingdings" w:hAnsi="Wingdings" w:hint="default"/>
      </w:rPr>
    </w:lvl>
  </w:abstractNum>
  <w:num w:numId="1" w16cid:durableId="242178424">
    <w:abstractNumId w:val="12"/>
  </w:num>
  <w:num w:numId="2" w16cid:durableId="1688555522">
    <w:abstractNumId w:val="15"/>
  </w:num>
  <w:num w:numId="3" w16cid:durableId="486286870">
    <w:abstractNumId w:val="16"/>
  </w:num>
  <w:num w:numId="4" w16cid:durableId="207957558">
    <w:abstractNumId w:val="20"/>
  </w:num>
  <w:num w:numId="5" w16cid:durableId="1801994013">
    <w:abstractNumId w:val="17"/>
  </w:num>
  <w:num w:numId="6" w16cid:durableId="890113431">
    <w:abstractNumId w:val="11"/>
  </w:num>
  <w:num w:numId="7" w16cid:durableId="1534731301">
    <w:abstractNumId w:val="31"/>
  </w:num>
  <w:num w:numId="8" w16cid:durableId="1662538297">
    <w:abstractNumId w:val="6"/>
  </w:num>
  <w:num w:numId="9" w16cid:durableId="860095539">
    <w:abstractNumId w:val="22"/>
  </w:num>
  <w:num w:numId="10" w16cid:durableId="1701517071">
    <w:abstractNumId w:val="25"/>
  </w:num>
  <w:num w:numId="11" w16cid:durableId="1905753790">
    <w:abstractNumId w:val="7"/>
  </w:num>
  <w:num w:numId="12" w16cid:durableId="1282882084">
    <w:abstractNumId w:val="32"/>
  </w:num>
  <w:num w:numId="13" w16cid:durableId="1059937463">
    <w:abstractNumId w:val="9"/>
  </w:num>
  <w:num w:numId="14" w16cid:durableId="704788753">
    <w:abstractNumId w:val="41"/>
  </w:num>
  <w:num w:numId="15" w16cid:durableId="2077582968">
    <w:abstractNumId w:val="34"/>
  </w:num>
  <w:num w:numId="16" w16cid:durableId="1452017492">
    <w:abstractNumId w:val="29"/>
  </w:num>
  <w:num w:numId="17" w16cid:durableId="1831557435">
    <w:abstractNumId w:val="4"/>
  </w:num>
  <w:num w:numId="18" w16cid:durableId="618799020">
    <w:abstractNumId w:val="19"/>
  </w:num>
  <w:num w:numId="19" w16cid:durableId="1297757316">
    <w:abstractNumId w:val="14"/>
  </w:num>
  <w:num w:numId="20" w16cid:durableId="1079449165">
    <w:abstractNumId w:val="24"/>
  </w:num>
  <w:num w:numId="21" w16cid:durableId="909996541">
    <w:abstractNumId w:val="18"/>
  </w:num>
  <w:num w:numId="22" w16cid:durableId="1370227716">
    <w:abstractNumId w:val="38"/>
  </w:num>
  <w:num w:numId="23" w16cid:durableId="430009336">
    <w:abstractNumId w:val="23"/>
  </w:num>
  <w:num w:numId="24" w16cid:durableId="697321112">
    <w:abstractNumId w:val="0"/>
  </w:num>
  <w:num w:numId="25" w16cid:durableId="749742762">
    <w:abstractNumId w:val="35"/>
  </w:num>
  <w:num w:numId="26" w16cid:durableId="102266208">
    <w:abstractNumId w:val="26"/>
  </w:num>
  <w:num w:numId="27" w16cid:durableId="520970921">
    <w:abstractNumId w:val="28"/>
  </w:num>
  <w:num w:numId="28" w16cid:durableId="1653370856">
    <w:abstractNumId w:val="39"/>
  </w:num>
  <w:num w:numId="29" w16cid:durableId="1281763084">
    <w:abstractNumId w:val="3"/>
  </w:num>
  <w:num w:numId="30" w16cid:durableId="1344864974">
    <w:abstractNumId w:val="21"/>
  </w:num>
  <w:num w:numId="31" w16cid:durableId="686827498">
    <w:abstractNumId w:val="2"/>
  </w:num>
  <w:num w:numId="32" w16cid:durableId="1640651698">
    <w:abstractNumId w:val="5"/>
  </w:num>
  <w:num w:numId="33" w16cid:durableId="507453491">
    <w:abstractNumId w:val="1"/>
  </w:num>
  <w:num w:numId="34" w16cid:durableId="949363318">
    <w:abstractNumId w:val="30"/>
  </w:num>
  <w:num w:numId="35" w16cid:durableId="1345475653">
    <w:abstractNumId w:val="13"/>
  </w:num>
  <w:num w:numId="36" w16cid:durableId="49618283">
    <w:abstractNumId w:val="27"/>
  </w:num>
  <w:num w:numId="37" w16cid:durableId="1302541951">
    <w:abstractNumId w:val="36"/>
  </w:num>
  <w:num w:numId="38" w16cid:durableId="1058630852">
    <w:abstractNumId w:val="33"/>
  </w:num>
  <w:num w:numId="39" w16cid:durableId="623733966">
    <w:abstractNumId w:val="37"/>
  </w:num>
  <w:num w:numId="40" w16cid:durableId="1698042401">
    <w:abstractNumId w:val="10"/>
  </w:num>
  <w:num w:numId="41" w16cid:durableId="2138793443">
    <w:abstractNumId w:val="40"/>
  </w:num>
  <w:num w:numId="42" w16cid:durableId="1060717043">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10039"/>
    <w:rsid w:val="00011339"/>
    <w:rsid w:val="00015958"/>
    <w:rsid w:val="00015E81"/>
    <w:rsid w:val="00021D5F"/>
    <w:rsid w:val="00023EF8"/>
    <w:rsid w:val="00030ACC"/>
    <w:rsid w:val="00032423"/>
    <w:rsid w:val="000360D6"/>
    <w:rsid w:val="00036EF2"/>
    <w:rsid w:val="00041445"/>
    <w:rsid w:val="000416D7"/>
    <w:rsid w:val="0004181F"/>
    <w:rsid w:val="0004282B"/>
    <w:rsid w:val="00043DB8"/>
    <w:rsid w:val="000444F9"/>
    <w:rsid w:val="0004475C"/>
    <w:rsid w:val="0004594D"/>
    <w:rsid w:val="00045BAD"/>
    <w:rsid w:val="00046BB1"/>
    <w:rsid w:val="00050087"/>
    <w:rsid w:val="0005030B"/>
    <w:rsid w:val="00050BD6"/>
    <w:rsid w:val="00050C36"/>
    <w:rsid w:val="00054282"/>
    <w:rsid w:val="0005533A"/>
    <w:rsid w:val="00057173"/>
    <w:rsid w:val="00057461"/>
    <w:rsid w:val="00057F19"/>
    <w:rsid w:val="000607B1"/>
    <w:rsid w:val="00060C84"/>
    <w:rsid w:val="0006640E"/>
    <w:rsid w:val="000671F1"/>
    <w:rsid w:val="0007039E"/>
    <w:rsid w:val="000734CD"/>
    <w:rsid w:val="0007427A"/>
    <w:rsid w:val="00075199"/>
    <w:rsid w:val="0008178A"/>
    <w:rsid w:val="0008652D"/>
    <w:rsid w:val="00087C09"/>
    <w:rsid w:val="00090D10"/>
    <w:rsid w:val="000960E2"/>
    <w:rsid w:val="00096277"/>
    <w:rsid w:val="00097ADC"/>
    <w:rsid w:val="000A0028"/>
    <w:rsid w:val="000A2F57"/>
    <w:rsid w:val="000A373F"/>
    <w:rsid w:val="000A3DAE"/>
    <w:rsid w:val="000A6BBA"/>
    <w:rsid w:val="000A7836"/>
    <w:rsid w:val="000B253F"/>
    <w:rsid w:val="000B7B87"/>
    <w:rsid w:val="000C0C77"/>
    <w:rsid w:val="000C1947"/>
    <w:rsid w:val="000C3EBA"/>
    <w:rsid w:val="000C4DB0"/>
    <w:rsid w:val="000C557B"/>
    <w:rsid w:val="000D0DA5"/>
    <w:rsid w:val="000D143C"/>
    <w:rsid w:val="000D23D0"/>
    <w:rsid w:val="000D2AF7"/>
    <w:rsid w:val="000D3EC3"/>
    <w:rsid w:val="000D5052"/>
    <w:rsid w:val="000D5EA1"/>
    <w:rsid w:val="000E344C"/>
    <w:rsid w:val="000E3A51"/>
    <w:rsid w:val="000E4C81"/>
    <w:rsid w:val="000E533A"/>
    <w:rsid w:val="000E6321"/>
    <w:rsid w:val="000E743A"/>
    <w:rsid w:val="000F38E8"/>
    <w:rsid w:val="000F720A"/>
    <w:rsid w:val="00100BAB"/>
    <w:rsid w:val="00100E93"/>
    <w:rsid w:val="00102C34"/>
    <w:rsid w:val="00103763"/>
    <w:rsid w:val="0010617D"/>
    <w:rsid w:val="001102EA"/>
    <w:rsid w:val="001129C1"/>
    <w:rsid w:val="00113A96"/>
    <w:rsid w:val="00114F2A"/>
    <w:rsid w:val="00115604"/>
    <w:rsid w:val="00115C3D"/>
    <w:rsid w:val="00116DF5"/>
    <w:rsid w:val="00117B4D"/>
    <w:rsid w:val="00121C09"/>
    <w:rsid w:val="00122BFB"/>
    <w:rsid w:val="0012391F"/>
    <w:rsid w:val="001240D0"/>
    <w:rsid w:val="00125D46"/>
    <w:rsid w:val="00127D7C"/>
    <w:rsid w:val="0013023B"/>
    <w:rsid w:val="0013094A"/>
    <w:rsid w:val="00132231"/>
    <w:rsid w:val="0013316A"/>
    <w:rsid w:val="00137D51"/>
    <w:rsid w:val="00140AC4"/>
    <w:rsid w:val="001468C9"/>
    <w:rsid w:val="001501D7"/>
    <w:rsid w:val="00153FAA"/>
    <w:rsid w:val="00160724"/>
    <w:rsid w:val="00161A93"/>
    <w:rsid w:val="0016240D"/>
    <w:rsid w:val="0016511A"/>
    <w:rsid w:val="00166CD0"/>
    <w:rsid w:val="001676FA"/>
    <w:rsid w:val="0017025C"/>
    <w:rsid w:val="00171AFB"/>
    <w:rsid w:val="001758B3"/>
    <w:rsid w:val="001772CD"/>
    <w:rsid w:val="0018092F"/>
    <w:rsid w:val="00180D82"/>
    <w:rsid w:val="00183265"/>
    <w:rsid w:val="00190466"/>
    <w:rsid w:val="0019631D"/>
    <w:rsid w:val="00197281"/>
    <w:rsid w:val="00197D2E"/>
    <w:rsid w:val="001A2088"/>
    <w:rsid w:val="001A6269"/>
    <w:rsid w:val="001A6B10"/>
    <w:rsid w:val="001A7A83"/>
    <w:rsid w:val="001A7B8D"/>
    <w:rsid w:val="001B4BA0"/>
    <w:rsid w:val="001B4F54"/>
    <w:rsid w:val="001C1B6B"/>
    <w:rsid w:val="001C24D2"/>
    <w:rsid w:val="001C4BF0"/>
    <w:rsid w:val="001C515D"/>
    <w:rsid w:val="001C5C8E"/>
    <w:rsid w:val="001C6403"/>
    <w:rsid w:val="001C7186"/>
    <w:rsid w:val="001C7A51"/>
    <w:rsid w:val="001D1356"/>
    <w:rsid w:val="001D1ED5"/>
    <w:rsid w:val="001D24A9"/>
    <w:rsid w:val="001D3A10"/>
    <w:rsid w:val="001D4FEA"/>
    <w:rsid w:val="001D590B"/>
    <w:rsid w:val="001D608D"/>
    <w:rsid w:val="001D73C1"/>
    <w:rsid w:val="001E07B9"/>
    <w:rsid w:val="001E37D7"/>
    <w:rsid w:val="001E4918"/>
    <w:rsid w:val="001F24D9"/>
    <w:rsid w:val="001F251D"/>
    <w:rsid w:val="001F2FE1"/>
    <w:rsid w:val="001F34C1"/>
    <w:rsid w:val="001F5EC0"/>
    <w:rsid w:val="00200394"/>
    <w:rsid w:val="00200B6E"/>
    <w:rsid w:val="00200E58"/>
    <w:rsid w:val="0020143F"/>
    <w:rsid w:val="002036D3"/>
    <w:rsid w:val="002039A2"/>
    <w:rsid w:val="00203E9A"/>
    <w:rsid w:val="00207423"/>
    <w:rsid w:val="00207873"/>
    <w:rsid w:val="00207AC0"/>
    <w:rsid w:val="0021106F"/>
    <w:rsid w:val="0021194C"/>
    <w:rsid w:val="0021331F"/>
    <w:rsid w:val="00216068"/>
    <w:rsid w:val="0021793D"/>
    <w:rsid w:val="00220267"/>
    <w:rsid w:val="00222B7A"/>
    <w:rsid w:val="00222E7E"/>
    <w:rsid w:val="00225268"/>
    <w:rsid w:val="00226B89"/>
    <w:rsid w:val="002325B7"/>
    <w:rsid w:val="00232C24"/>
    <w:rsid w:val="002367A1"/>
    <w:rsid w:val="00243FED"/>
    <w:rsid w:val="00245789"/>
    <w:rsid w:val="002458BF"/>
    <w:rsid w:val="002469CB"/>
    <w:rsid w:val="002471BE"/>
    <w:rsid w:val="00250819"/>
    <w:rsid w:val="0025094F"/>
    <w:rsid w:val="002510FD"/>
    <w:rsid w:val="00253B9F"/>
    <w:rsid w:val="00256869"/>
    <w:rsid w:val="00261BC1"/>
    <w:rsid w:val="00265A9E"/>
    <w:rsid w:val="00266BC9"/>
    <w:rsid w:val="00266E7E"/>
    <w:rsid w:val="00267F6E"/>
    <w:rsid w:val="00270B66"/>
    <w:rsid w:val="00270D78"/>
    <w:rsid w:val="002714D5"/>
    <w:rsid w:val="00271A6F"/>
    <w:rsid w:val="00272610"/>
    <w:rsid w:val="00273B1F"/>
    <w:rsid w:val="00273FFC"/>
    <w:rsid w:val="00274CEC"/>
    <w:rsid w:val="0027508C"/>
    <w:rsid w:val="0027533B"/>
    <w:rsid w:val="00275C8F"/>
    <w:rsid w:val="0027641B"/>
    <w:rsid w:val="002766DB"/>
    <w:rsid w:val="00282123"/>
    <w:rsid w:val="002832CB"/>
    <w:rsid w:val="0028335D"/>
    <w:rsid w:val="002838D9"/>
    <w:rsid w:val="002843CE"/>
    <w:rsid w:val="00286C1C"/>
    <w:rsid w:val="002873C6"/>
    <w:rsid w:val="00287505"/>
    <w:rsid w:val="00290ABA"/>
    <w:rsid w:val="00291CEA"/>
    <w:rsid w:val="00295AB0"/>
    <w:rsid w:val="00296203"/>
    <w:rsid w:val="00296C39"/>
    <w:rsid w:val="0029711F"/>
    <w:rsid w:val="002A2193"/>
    <w:rsid w:val="002A5942"/>
    <w:rsid w:val="002A5E55"/>
    <w:rsid w:val="002B111C"/>
    <w:rsid w:val="002B173F"/>
    <w:rsid w:val="002B1942"/>
    <w:rsid w:val="002B4451"/>
    <w:rsid w:val="002B4BA8"/>
    <w:rsid w:val="002B4D3B"/>
    <w:rsid w:val="002B4FC4"/>
    <w:rsid w:val="002B593B"/>
    <w:rsid w:val="002B659C"/>
    <w:rsid w:val="002B6CC6"/>
    <w:rsid w:val="002C1308"/>
    <w:rsid w:val="002C3E88"/>
    <w:rsid w:val="002C3EDD"/>
    <w:rsid w:val="002C4067"/>
    <w:rsid w:val="002C52AA"/>
    <w:rsid w:val="002C54EC"/>
    <w:rsid w:val="002C7268"/>
    <w:rsid w:val="002C746F"/>
    <w:rsid w:val="002D2897"/>
    <w:rsid w:val="002D35A0"/>
    <w:rsid w:val="002D58B5"/>
    <w:rsid w:val="002E00BF"/>
    <w:rsid w:val="002E3F81"/>
    <w:rsid w:val="002E4479"/>
    <w:rsid w:val="002E6508"/>
    <w:rsid w:val="002E7224"/>
    <w:rsid w:val="002F0918"/>
    <w:rsid w:val="002F20E6"/>
    <w:rsid w:val="002F4A56"/>
    <w:rsid w:val="002F596F"/>
    <w:rsid w:val="002F7215"/>
    <w:rsid w:val="002F79DA"/>
    <w:rsid w:val="003013FF"/>
    <w:rsid w:val="00301F88"/>
    <w:rsid w:val="00302162"/>
    <w:rsid w:val="00306236"/>
    <w:rsid w:val="00307FCE"/>
    <w:rsid w:val="003123E8"/>
    <w:rsid w:val="00313E88"/>
    <w:rsid w:val="0031466A"/>
    <w:rsid w:val="003215FC"/>
    <w:rsid w:val="00323757"/>
    <w:rsid w:val="00324270"/>
    <w:rsid w:val="00325941"/>
    <w:rsid w:val="003277C4"/>
    <w:rsid w:val="003279DC"/>
    <w:rsid w:val="003302B8"/>
    <w:rsid w:val="00330BBF"/>
    <w:rsid w:val="0033202D"/>
    <w:rsid w:val="0033215D"/>
    <w:rsid w:val="00332484"/>
    <w:rsid w:val="00332A97"/>
    <w:rsid w:val="00332B27"/>
    <w:rsid w:val="00333ED6"/>
    <w:rsid w:val="00340FFF"/>
    <w:rsid w:val="0034224F"/>
    <w:rsid w:val="00342A6D"/>
    <w:rsid w:val="00343969"/>
    <w:rsid w:val="00346B7C"/>
    <w:rsid w:val="0034784B"/>
    <w:rsid w:val="0035224C"/>
    <w:rsid w:val="00352C73"/>
    <w:rsid w:val="0035406C"/>
    <w:rsid w:val="00354FED"/>
    <w:rsid w:val="00355FE2"/>
    <w:rsid w:val="00362A76"/>
    <w:rsid w:val="0036362B"/>
    <w:rsid w:val="00370586"/>
    <w:rsid w:val="00371E07"/>
    <w:rsid w:val="00371F99"/>
    <w:rsid w:val="0037270B"/>
    <w:rsid w:val="00375A60"/>
    <w:rsid w:val="003800B5"/>
    <w:rsid w:val="00380F2B"/>
    <w:rsid w:val="0038162E"/>
    <w:rsid w:val="00384435"/>
    <w:rsid w:val="003859AE"/>
    <w:rsid w:val="00386DD7"/>
    <w:rsid w:val="003872A0"/>
    <w:rsid w:val="003905C3"/>
    <w:rsid w:val="00390CA8"/>
    <w:rsid w:val="0039247A"/>
    <w:rsid w:val="003927D7"/>
    <w:rsid w:val="00393C65"/>
    <w:rsid w:val="003A141E"/>
    <w:rsid w:val="003A1C2F"/>
    <w:rsid w:val="003A262F"/>
    <w:rsid w:val="003B15A3"/>
    <w:rsid w:val="003B2496"/>
    <w:rsid w:val="003B4605"/>
    <w:rsid w:val="003C04C4"/>
    <w:rsid w:val="003C7044"/>
    <w:rsid w:val="003D2329"/>
    <w:rsid w:val="003D50E4"/>
    <w:rsid w:val="003D69C4"/>
    <w:rsid w:val="003D6E9C"/>
    <w:rsid w:val="003D7E5C"/>
    <w:rsid w:val="003E2D84"/>
    <w:rsid w:val="003E388B"/>
    <w:rsid w:val="003E7C79"/>
    <w:rsid w:val="003E7EAF"/>
    <w:rsid w:val="003F1EE7"/>
    <w:rsid w:val="003F2A89"/>
    <w:rsid w:val="003F3AEA"/>
    <w:rsid w:val="003F4248"/>
    <w:rsid w:val="003F5921"/>
    <w:rsid w:val="003F6A69"/>
    <w:rsid w:val="003F75F6"/>
    <w:rsid w:val="004007DE"/>
    <w:rsid w:val="00402AD5"/>
    <w:rsid w:val="00402B74"/>
    <w:rsid w:val="00405412"/>
    <w:rsid w:val="00410053"/>
    <w:rsid w:val="0041007F"/>
    <w:rsid w:val="004102AE"/>
    <w:rsid w:val="00415E4D"/>
    <w:rsid w:val="00416FA8"/>
    <w:rsid w:val="00424699"/>
    <w:rsid w:val="0042514C"/>
    <w:rsid w:val="00425CF6"/>
    <w:rsid w:val="00425D74"/>
    <w:rsid w:val="00426409"/>
    <w:rsid w:val="0043318B"/>
    <w:rsid w:val="00437D53"/>
    <w:rsid w:val="00441F0E"/>
    <w:rsid w:val="00442EF0"/>
    <w:rsid w:val="00443BFC"/>
    <w:rsid w:val="0044411A"/>
    <w:rsid w:val="00444B5D"/>
    <w:rsid w:val="00444B77"/>
    <w:rsid w:val="004453DA"/>
    <w:rsid w:val="00447141"/>
    <w:rsid w:val="00447E7D"/>
    <w:rsid w:val="00452711"/>
    <w:rsid w:val="004549AC"/>
    <w:rsid w:val="00454D0C"/>
    <w:rsid w:val="00455A87"/>
    <w:rsid w:val="00455D12"/>
    <w:rsid w:val="00456E61"/>
    <w:rsid w:val="0046067E"/>
    <w:rsid w:val="00460CDF"/>
    <w:rsid w:val="00462ECE"/>
    <w:rsid w:val="00463A18"/>
    <w:rsid w:val="00463C08"/>
    <w:rsid w:val="00465A16"/>
    <w:rsid w:val="004671B7"/>
    <w:rsid w:val="00467AD1"/>
    <w:rsid w:val="004747D9"/>
    <w:rsid w:val="00477D08"/>
    <w:rsid w:val="00482801"/>
    <w:rsid w:val="004862DD"/>
    <w:rsid w:val="004876DD"/>
    <w:rsid w:val="0049048A"/>
    <w:rsid w:val="004913FE"/>
    <w:rsid w:val="00491978"/>
    <w:rsid w:val="00492B3D"/>
    <w:rsid w:val="00492BD7"/>
    <w:rsid w:val="00493C6B"/>
    <w:rsid w:val="00493CDC"/>
    <w:rsid w:val="00493E25"/>
    <w:rsid w:val="004A3941"/>
    <w:rsid w:val="004A3A4B"/>
    <w:rsid w:val="004A3A8E"/>
    <w:rsid w:val="004A460A"/>
    <w:rsid w:val="004A5C99"/>
    <w:rsid w:val="004A67E5"/>
    <w:rsid w:val="004B08C9"/>
    <w:rsid w:val="004C08B2"/>
    <w:rsid w:val="004C41DA"/>
    <w:rsid w:val="004C5332"/>
    <w:rsid w:val="004D041E"/>
    <w:rsid w:val="004D271A"/>
    <w:rsid w:val="004D3CEC"/>
    <w:rsid w:val="004D3F13"/>
    <w:rsid w:val="004D62C7"/>
    <w:rsid w:val="004E1D83"/>
    <w:rsid w:val="004E2920"/>
    <w:rsid w:val="004E36D9"/>
    <w:rsid w:val="004E79CD"/>
    <w:rsid w:val="004F13A7"/>
    <w:rsid w:val="004F2DD5"/>
    <w:rsid w:val="004F3140"/>
    <w:rsid w:val="004F52D8"/>
    <w:rsid w:val="004F65E0"/>
    <w:rsid w:val="004F7A5F"/>
    <w:rsid w:val="00500390"/>
    <w:rsid w:val="00502E84"/>
    <w:rsid w:val="00506279"/>
    <w:rsid w:val="005151C5"/>
    <w:rsid w:val="005158DC"/>
    <w:rsid w:val="00516328"/>
    <w:rsid w:val="005200DB"/>
    <w:rsid w:val="00520162"/>
    <w:rsid w:val="00521465"/>
    <w:rsid w:val="0052297B"/>
    <w:rsid w:val="0052319C"/>
    <w:rsid w:val="00523859"/>
    <w:rsid w:val="0052595D"/>
    <w:rsid w:val="0052606F"/>
    <w:rsid w:val="005261F3"/>
    <w:rsid w:val="00526230"/>
    <w:rsid w:val="005273D1"/>
    <w:rsid w:val="00527896"/>
    <w:rsid w:val="005312AD"/>
    <w:rsid w:val="005353CB"/>
    <w:rsid w:val="005370A6"/>
    <w:rsid w:val="005414C3"/>
    <w:rsid w:val="005421D6"/>
    <w:rsid w:val="0054222A"/>
    <w:rsid w:val="00544419"/>
    <w:rsid w:val="005452EF"/>
    <w:rsid w:val="00545797"/>
    <w:rsid w:val="00546E43"/>
    <w:rsid w:val="005479C6"/>
    <w:rsid w:val="00550467"/>
    <w:rsid w:val="00554749"/>
    <w:rsid w:val="00555EBE"/>
    <w:rsid w:val="00561E85"/>
    <w:rsid w:val="00562488"/>
    <w:rsid w:val="00562939"/>
    <w:rsid w:val="00563F25"/>
    <w:rsid w:val="00567C93"/>
    <w:rsid w:val="00571675"/>
    <w:rsid w:val="0057173C"/>
    <w:rsid w:val="00571CD1"/>
    <w:rsid w:val="00572D53"/>
    <w:rsid w:val="0057558E"/>
    <w:rsid w:val="005805BA"/>
    <w:rsid w:val="005821E7"/>
    <w:rsid w:val="00582880"/>
    <w:rsid w:val="005829AC"/>
    <w:rsid w:val="0058335B"/>
    <w:rsid w:val="0058357C"/>
    <w:rsid w:val="00583AAC"/>
    <w:rsid w:val="00585724"/>
    <w:rsid w:val="0058629B"/>
    <w:rsid w:val="00586FD0"/>
    <w:rsid w:val="00590E17"/>
    <w:rsid w:val="0059284A"/>
    <w:rsid w:val="005A103B"/>
    <w:rsid w:val="005A222D"/>
    <w:rsid w:val="005A31DE"/>
    <w:rsid w:val="005A44A8"/>
    <w:rsid w:val="005A7423"/>
    <w:rsid w:val="005B1AED"/>
    <w:rsid w:val="005B1E71"/>
    <w:rsid w:val="005B2820"/>
    <w:rsid w:val="005B5E53"/>
    <w:rsid w:val="005B69CE"/>
    <w:rsid w:val="005C2300"/>
    <w:rsid w:val="005C2C89"/>
    <w:rsid w:val="005C3DAB"/>
    <w:rsid w:val="005C548C"/>
    <w:rsid w:val="005D2801"/>
    <w:rsid w:val="005D2F7D"/>
    <w:rsid w:val="005D4B99"/>
    <w:rsid w:val="005D6077"/>
    <w:rsid w:val="005E0AF7"/>
    <w:rsid w:val="005E321B"/>
    <w:rsid w:val="005E36BF"/>
    <w:rsid w:val="005F161A"/>
    <w:rsid w:val="005F170A"/>
    <w:rsid w:val="005F23A8"/>
    <w:rsid w:val="005F72E4"/>
    <w:rsid w:val="00606749"/>
    <w:rsid w:val="006070EF"/>
    <w:rsid w:val="0061095C"/>
    <w:rsid w:val="0061225F"/>
    <w:rsid w:val="00613E67"/>
    <w:rsid w:val="00614353"/>
    <w:rsid w:val="0061553D"/>
    <w:rsid w:val="006160B6"/>
    <w:rsid w:val="00620457"/>
    <w:rsid w:val="006220AA"/>
    <w:rsid w:val="00624DAE"/>
    <w:rsid w:val="006262A7"/>
    <w:rsid w:val="006265A6"/>
    <w:rsid w:val="00626A51"/>
    <w:rsid w:val="00626FB8"/>
    <w:rsid w:val="00631F6E"/>
    <w:rsid w:val="00632B61"/>
    <w:rsid w:val="0063376E"/>
    <w:rsid w:val="00633DB6"/>
    <w:rsid w:val="00636109"/>
    <w:rsid w:val="00641944"/>
    <w:rsid w:val="00642112"/>
    <w:rsid w:val="00644BF9"/>
    <w:rsid w:val="00647F36"/>
    <w:rsid w:val="0065001C"/>
    <w:rsid w:val="00652A73"/>
    <w:rsid w:val="00652FF4"/>
    <w:rsid w:val="006536C8"/>
    <w:rsid w:val="00654164"/>
    <w:rsid w:val="00654EFA"/>
    <w:rsid w:val="0065629B"/>
    <w:rsid w:val="006618F0"/>
    <w:rsid w:val="00664132"/>
    <w:rsid w:val="00664EEE"/>
    <w:rsid w:val="006676F8"/>
    <w:rsid w:val="00667EBC"/>
    <w:rsid w:val="006708BE"/>
    <w:rsid w:val="00670F59"/>
    <w:rsid w:val="00671F63"/>
    <w:rsid w:val="0067333E"/>
    <w:rsid w:val="006745EC"/>
    <w:rsid w:val="0067582D"/>
    <w:rsid w:val="006779D3"/>
    <w:rsid w:val="006846D0"/>
    <w:rsid w:val="00685580"/>
    <w:rsid w:val="00685FDA"/>
    <w:rsid w:val="00686DD0"/>
    <w:rsid w:val="00686FE2"/>
    <w:rsid w:val="0069287E"/>
    <w:rsid w:val="00694CCE"/>
    <w:rsid w:val="00695A06"/>
    <w:rsid w:val="006A11C1"/>
    <w:rsid w:val="006A4423"/>
    <w:rsid w:val="006A46CB"/>
    <w:rsid w:val="006B0459"/>
    <w:rsid w:val="006B1A78"/>
    <w:rsid w:val="006B3348"/>
    <w:rsid w:val="006B5298"/>
    <w:rsid w:val="006B78F7"/>
    <w:rsid w:val="006C1159"/>
    <w:rsid w:val="006C1199"/>
    <w:rsid w:val="006C2A2B"/>
    <w:rsid w:val="006C6193"/>
    <w:rsid w:val="006C64EC"/>
    <w:rsid w:val="006C6F64"/>
    <w:rsid w:val="006D126D"/>
    <w:rsid w:val="006D1CC9"/>
    <w:rsid w:val="006D3DE8"/>
    <w:rsid w:val="006D42AE"/>
    <w:rsid w:val="006D5E93"/>
    <w:rsid w:val="006E2146"/>
    <w:rsid w:val="006E2345"/>
    <w:rsid w:val="006E2911"/>
    <w:rsid w:val="006E3F08"/>
    <w:rsid w:val="006E47BA"/>
    <w:rsid w:val="006F2FA0"/>
    <w:rsid w:val="006F32DF"/>
    <w:rsid w:val="00700906"/>
    <w:rsid w:val="00700ECE"/>
    <w:rsid w:val="007012D2"/>
    <w:rsid w:val="007040BC"/>
    <w:rsid w:val="00705E88"/>
    <w:rsid w:val="0071189C"/>
    <w:rsid w:val="0071386C"/>
    <w:rsid w:val="007161CF"/>
    <w:rsid w:val="0071767F"/>
    <w:rsid w:val="00724293"/>
    <w:rsid w:val="00727F44"/>
    <w:rsid w:val="007316A4"/>
    <w:rsid w:val="007333E4"/>
    <w:rsid w:val="007342E0"/>
    <w:rsid w:val="007348F1"/>
    <w:rsid w:val="007354D1"/>
    <w:rsid w:val="00741917"/>
    <w:rsid w:val="007503F6"/>
    <w:rsid w:val="007511DD"/>
    <w:rsid w:val="00751F08"/>
    <w:rsid w:val="007522DD"/>
    <w:rsid w:val="007526B3"/>
    <w:rsid w:val="00756FDB"/>
    <w:rsid w:val="0076103B"/>
    <w:rsid w:val="007640FD"/>
    <w:rsid w:val="0076423D"/>
    <w:rsid w:val="007643F2"/>
    <w:rsid w:val="007658F6"/>
    <w:rsid w:val="00766D78"/>
    <w:rsid w:val="00772F5D"/>
    <w:rsid w:val="00773871"/>
    <w:rsid w:val="007744D0"/>
    <w:rsid w:val="0077472F"/>
    <w:rsid w:val="0077548E"/>
    <w:rsid w:val="00776360"/>
    <w:rsid w:val="00777E8F"/>
    <w:rsid w:val="00782D54"/>
    <w:rsid w:val="007837E5"/>
    <w:rsid w:val="00786B9C"/>
    <w:rsid w:val="00786C60"/>
    <w:rsid w:val="00790E16"/>
    <w:rsid w:val="00791D8C"/>
    <w:rsid w:val="00792E95"/>
    <w:rsid w:val="00794C10"/>
    <w:rsid w:val="00794DB9"/>
    <w:rsid w:val="00795A16"/>
    <w:rsid w:val="00795EAD"/>
    <w:rsid w:val="007968E2"/>
    <w:rsid w:val="00796C22"/>
    <w:rsid w:val="007A2235"/>
    <w:rsid w:val="007A267B"/>
    <w:rsid w:val="007A3699"/>
    <w:rsid w:val="007A581C"/>
    <w:rsid w:val="007A5FA7"/>
    <w:rsid w:val="007A6FDC"/>
    <w:rsid w:val="007B3258"/>
    <w:rsid w:val="007B6356"/>
    <w:rsid w:val="007B77E4"/>
    <w:rsid w:val="007C1EF3"/>
    <w:rsid w:val="007C3396"/>
    <w:rsid w:val="007C3DE2"/>
    <w:rsid w:val="007C4EFF"/>
    <w:rsid w:val="007C54ED"/>
    <w:rsid w:val="007C6071"/>
    <w:rsid w:val="007D0018"/>
    <w:rsid w:val="007D09A5"/>
    <w:rsid w:val="007D5A93"/>
    <w:rsid w:val="007D69CE"/>
    <w:rsid w:val="007E03FD"/>
    <w:rsid w:val="007E1337"/>
    <w:rsid w:val="007E247D"/>
    <w:rsid w:val="007F1303"/>
    <w:rsid w:val="007F17A7"/>
    <w:rsid w:val="007F2797"/>
    <w:rsid w:val="007F3575"/>
    <w:rsid w:val="007F3E94"/>
    <w:rsid w:val="007F419A"/>
    <w:rsid w:val="007F6EA5"/>
    <w:rsid w:val="007F7684"/>
    <w:rsid w:val="00800365"/>
    <w:rsid w:val="00801AF2"/>
    <w:rsid w:val="00801D09"/>
    <w:rsid w:val="00803EDF"/>
    <w:rsid w:val="008050BF"/>
    <w:rsid w:val="00806119"/>
    <w:rsid w:val="00810445"/>
    <w:rsid w:val="00814DD8"/>
    <w:rsid w:val="00814E76"/>
    <w:rsid w:val="00815B69"/>
    <w:rsid w:val="00816278"/>
    <w:rsid w:val="008163A6"/>
    <w:rsid w:val="008170ED"/>
    <w:rsid w:val="00817DC2"/>
    <w:rsid w:val="0082043C"/>
    <w:rsid w:val="00820DA8"/>
    <w:rsid w:val="0082260F"/>
    <w:rsid w:val="0082408D"/>
    <w:rsid w:val="00825ED0"/>
    <w:rsid w:val="008301B5"/>
    <w:rsid w:val="0083156C"/>
    <w:rsid w:val="00832441"/>
    <w:rsid w:val="00832C86"/>
    <w:rsid w:val="00833DB4"/>
    <w:rsid w:val="00834F54"/>
    <w:rsid w:val="00835AD2"/>
    <w:rsid w:val="00836F9B"/>
    <w:rsid w:val="00837238"/>
    <w:rsid w:val="008378E4"/>
    <w:rsid w:val="008403BA"/>
    <w:rsid w:val="0084070B"/>
    <w:rsid w:val="00844A69"/>
    <w:rsid w:val="008452A1"/>
    <w:rsid w:val="00846196"/>
    <w:rsid w:val="00850893"/>
    <w:rsid w:val="008518A2"/>
    <w:rsid w:val="00853383"/>
    <w:rsid w:val="008535D1"/>
    <w:rsid w:val="00854848"/>
    <w:rsid w:val="0085485F"/>
    <w:rsid w:val="008564B7"/>
    <w:rsid w:val="00857343"/>
    <w:rsid w:val="00857ADC"/>
    <w:rsid w:val="00860389"/>
    <w:rsid w:val="0086138D"/>
    <w:rsid w:val="00861542"/>
    <w:rsid w:val="00862236"/>
    <w:rsid w:val="008636BC"/>
    <w:rsid w:val="0086534D"/>
    <w:rsid w:val="0086745C"/>
    <w:rsid w:val="0087110A"/>
    <w:rsid w:val="00873626"/>
    <w:rsid w:val="00874F54"/>
    <w:rsid w:val="00875895"/>
    <w:rsid w:val="0087772C"/>
    <w:rsid w:val="00880FBD"/>
    <w:rsid w:val="00881874"/>
    <w:rsid w:val="008822D2"/>
    <w:rsid w:val="0088281C"/>
    <w:rsid w:val="008853B0"/>
    <w:rsid w:val="0088631E"/>
    <w:rsid w:val="00886377"/>
    <w:rsid w:val="0089273D"/>
    <w:rsid w:val="008946B1"/>
    <w:rsid w:val="0089552F"/>
    <w:rsid w:val="0089591E"/>
    <w:rsid w:val="00897E2D"/>
    <w:rsid w:val="008A036C"/>
    <w:rsid w:val="008A14FF"/>
    <w:rsid w:val="008A2D37"/>
    <w:rsid w:val="008A6856"/>
    <w:rsid w:val="008B0178"/>
    <w:rsid w:val="008B2115"/>
    <w:rsid w:val="008B3849"/>
    <w:rsid w:val="008B74AF"/>
    <w:rsid w:val="008C00E3"/>
    <w:rsid w:val="008C0A6B"/>
    <w:rsid w:val="008C162E"/>
    <w:rsid w:val="008C22C6"/>
    <w:rsid w:val="008C2EBF"/>
    <w:rsid w:val="008C4622"/>
    <w:rsid w:val="008D1D0A"/>
    <w:rsid w:val="008D2371"/>
    <w:rsid w:val="008D39D7"/>
    <w:rsid w:val="008D3A27"/>
    <w:rsid w:val="008D7F4E"/>
    <w:rsid w:val="008E11C2"/>
    <w:rsid w:val="008E2024"/>
    <w:rsid w:val="008E4E5B"/>
    <w:rsid w:val="008E6C49"/>
    <w:rsid w:val="008E7B59"/>
    <w:rsid w:val="008E7F59"/>
    <w:rsid w:val="008F0047"/>
    <w:rsid w:val="008F05FF"/>
    <w:rsid w:val="008F166F"/>
    <w:rsid w:val="008F1E4F"/>
    <w:rsid w:val="008F67BC"/>
    <w:rsid w:val="008F6C9B"/>
    <w:rsid w:val="009000C6"/>
    <w:rsid w:val="00900363"/>
    <w:rsid w:val="00901032"/>
    <w:rsid w:val="00903BC2"/>
    <w:rsid w:val="00904FA6"/>
    <w:rsid w:val="00911692"/>
    <w:rsid w:val="00913499"/>
    <w:rsid w:val="009144F2"/>
    <w:rsid w:val="009147F5"/>
    <w:rsid w:val="009170FE"/>
    <w:rsid w:val="0091716D"/>
    <w:rsid w:val="00920A80"/>
    <w:rsid w:val="009225E6"/>
    <w:rsid w:val="0092377A"/>
    <w:rsid w:val="00923F16"/>
    <w:rsid w:val="0092543A"/>
    <w:rsid w:val="00925AF9"/>
    <w:rsid w:val="00932EA4"/>
    <w:rsid w:val="0093533E"/>
    <w:rsid w:val="0093710E"/>
    <w:rsid w:val="00941EAB"/>
    <w:rsid w:val="009422A4"/>
    <w:rsid w:val="009426EF"/>
    <w:rsid w:val="009432D8"/>
    <w:rsid w:val="00947231"/>
    <w:rsid w:val="00947468"/>
    <w:rsid w:val="00947909"/>
    <w:rsid w:val="00950788"/>
    <w:rsid w:val="00950D5E"/>
    <w:rsid w:val="0095264A"/>
    <w:rsid w:val="00952FA0"/>
    <w:rsid w:val="0095469F"/>
    <w:rsid w:val="009558E4"/>
    <w:rsid w:val="00962A03"/>
    <w:rsid w:val="009630A1"/>
    <w:rsid w:val="00963DD2"/>
    <w:rsid w:val="0096450E"/>
    <w:rsid w:val="00964CDA"/>
    <w:rsid w:val="009657B1"/>
    <w:rsid w:val="00966232"/>
    <w:rsid w:val="00970267"/>
    <w:rsid w:val="0097291D"/>
    <w:rsid w:val="009735FB"/>
    <w:rsid w:val="0097411C"/>
    <w:rsid w:val="0097512C"/>
    <w:rsid w:val="00975960"/>
    <w:rsid w:val="009772DC"/>
    <w:rsid w:val="00980742"/>
    <w:rsid w:val="0098075A"/>
    <w:rsid w:val="009813EE"/>
    <w:rsid w:val="009815AC"/>
    <w:rsid w:val="0098546A"/>
    <w:rsid w:val="0098576A"/>
    <w:rsid w:val="00985E0C"/>
    <w:rsid w:val="00985EDC"/>
    <w:rsid w:val="00986B04"/>
    <w:rsid w:val="009904DB"/>
    <w:rsid w:val="00991A8D"/>
    <w:rsid w:val="009930E0"/>
    <w:rsid w:val="00995128"/>
    <w:rsid w:val="00995597"/>
    <w:rsid w:val="009A06CC"/>
    <w:rsid w:val="009A08C6"/>
    <w:rsid w:val="009A3D85"/>
    <w:rsid w:val="009A5799"/>
    <w:rsid w:val="009B10A8"/>
    <w:rsid w:val="009B239B"/>
    <w:rsid w:val="009B37C0"/>
    <w:rsid w:val="009B6E0B"/>
    <w:rsid w:val="009B71E8"/>
    <w:rsid w:val="009C04B6"/>
    <w:rsid w:val="009C5770"/>
    <w:rsid w:val="009C655C"/>
    <w:rsid w:val="009D14C2"/>
    <w:rsid w:val="009D78E7"/>
    <w:rsid w:val="009E2294"/>
    <w:rsid w:val="009E3D3A"/>
    <w:rsid w:val="009E4769"/>
    <w:rsid w:val="009E49BA"/>
    <w:rsid w:val="009E7F86"/>
    <w:rsid w:val="009F1962"/>
    <w:rsid w:val="009F24D1"/>
    <w:rsid w:val="009F2A02"/>
    <w:rsid w:val="009F3D54"/>
    <w:rsid w:val="009F6002"/>
    <w:rsid w:val="00A01D9A"/>
    <w:rsid w:val="00A0358A"/>
    <w:rsid w:val="00A04B5B"/>
    <w:rsid w:val="00A1164E"/>
    <w:rsid w:val="00A14765"/>
    <w:rsid w:val="00A1589C"/>
    <w:rsid w:val="00A2147E"/>
    <w:rsid w:val="00A2310B"/>
    <w:rsid w:val="00A231C8"/>
    <w:rsid w:val="00A23BCA"/>
    <w:rsid w:val="00A251F2"/>
    <w:rsid w:val="00A25302"/>
    <w:rsid w:val="00A259E2"/>
    <w:rsid w:val="00A31E82"/>
    <w:rsid w:val="00A347BD"/>
    <w:rsid w:val="00A40672"/>
    <w:rsid w:val="00A411D3"/>
    <w:rsid w:val="00A4137D"/>
    <w:rsid w:val="00A429FE"/>
    <w:rsid w:val="00A43B09"/>
    <w:rsid w:val="00A43C00"/>
    <w:rsid w:val="00A43DB6"/>
    <w:rsid w:val="00A44089"/>
    <w:rsid w:val="00A44430"/>
    <w:rsid w:val="00A452AE"/>
    <w:rsid w:val="00A457F3"/>
    <w:rsid w:val="00A46AA2"/>
    <w:rsid w:val="00A51686"/>
    <w:rsid w:val="00A548B2"/>
    <w:rsid w:val="00A5522C"/>
    <w:rsid w:val="00A6126B"/>
    <w:rsid w:val="00A616BF"/>
    <w:rsid w:val="00A630BC"/>
    <w:rsid w:val="00A63A00"/>
    <w:rsid w:val="00A66702"/>
    <w:rsid w:val="00A706B3"/>
    <w:rsid w:val="00A71F6F"/>
    <w:rsid w:val="00A74636"/>
    <w:rsid w:val="00A775DA"/>
    <w:rsid w:val="00A7778A"/>
    <w:rsid w:val="00A81288"/>
    <w:rsid w:val="00A87651"/>
    <w:rsid w:val="00A906F0"/>
    <w:rsid w:val="00A9771C"/>
    <w:rsid w:val="00AA15E0"/>
    <w:rsid w:val="00AA30FC"/>
    <w:rsid w:val="00AA46E1"/>
    <w:rsid w:val="00AA72B6"/>
    <w:rsid w:val="00AB46D9"/>
    <w:rsid w:val="00AB483B"/>
    <w:rsid w:val="00AB4EF0"/>
    <w:rsid w:val="00AB6840"/>
    <w:rsid w:val="00AB7CE3"/>
    <w:rsid w:val="00AB7E58"/>
    <w:rsid w:val="00AC047D"/>
    <w:rsid w:val="00AC0484"/>
    <w:rsid w:val="00AC4009"/>
    <w:rsid w:val="00AC71ED"/>
    <w:rsid w:val="00AC7EBE"/>
    <w:rsid w:val="00AD407E"/>
    <w:rsid w:val="00AD490D"/>
    <w:rsid w:val="00AD49B0"/>
    <w:rsid w:val="00AD49EA"/>
    <w:rsid w:val="00AD57FC"/>
    <w:rsid w:val="00AD6032"/>
    <w:rsid w:val="00AE1425"/>
    <w:rsid w:val="00AE248A"/>
    <w:rsid w:val="00AE392A"/>
    <w:rsid w:val="00AF0D43"/>
    <w:rsid w:val="00AF327F"/>
    <w:rsid w:val="00AF46B5"/>
    <w:rsid w:val="00AF5CB7"/>
    <w:rsid w:val="00AF64C1"/>
    <w:rsid w:val="00AF6937"/>
    <w:rsid w:val="00AF6FD9"/>
    <w:rsid w:val="00B04AD7"/>
    <w:rsid w:val="00B04FF0"/>
    <w:rsid w:val="00B06E06"/>
    <w:rsid w:val="00B078EF"/>
    <w:rsid w:val="00B13BCB"/>
    <w:rsid w:val="00B15997"/>
    <w:rsid w:val="00B15F17"/>
    <w:rsid w:val="00B16EF5"/>
    <w:rsid w:val="00B17361"/>
    <w:rsid w:val="00B229E7"/>
    <w:rsid w:val="00B23D8F"/>
    <w:rsid w:val="00B23DFB"/>
    <w:rsid w:val="00B253E1"/>
    <w:rsid w:val="00B27B7D"/>
    <w:rsid w:val="00B31038"/>
    <w:rsid w:val="00B31216"/>
    <w:rsid w:val="00B3202A"/>
    <w:rsid w:val="00B32917"/>
    <w:rsid w:val="00B32E25"/>
    <w:rsid w:val="00B33FF2"/>
    <w:rsid w:val="00B341FD"/>
    <w:rsid w:val="00B3511F"/>
    <w:rsid w:val="00B3656C"/>
    <w:rsid w:val="00B3784F"/>
    <w:rsid w:val="00B42409"/>
    <w:rsid w:val="00B42D41"/>
    <w:rsid w:val="00B45B38"/>
    <w:rsid w:val="00B46CA0"/>
    <w:rsid w:val="00B4776E"/>
    <w:rsid w:val="00B51590"/>
    <w:rsid w:val="00B51BD4"/>
    <w:rsid w:val="00B52C32"/>
    <w:rsid w:val="00B56CA4"/>
    <w:rsid w:val="00B56D1C"/>
    <w:rsid w:val="00B5769B"/>
    <w:rsid w:val="00B60485"/>
    <w:rsid w:val="00B6148A"/>
    <w:rsid w:val="00B62154"/>
    <w:rsid w:val="00B632D0"/>
    <w:rsid w:val="00B653FD"/>
    <w:rsid w:val="00B65474"/>
    <w:rsid w:val="00B65539"/>
    <w:rsid w:val="00B657F4"/>
    <w:rsid w:val="00B67B1A"/>
    <w:rsid w:val="00B716EE"/>
    <w:rsid w:val="00B742EE"/>
    <w:rsid w:val="00B74580"/>
    <w:rsid w:val="00B80A60"/>
    <w:rsid w:val="00B81A30"/>
    <w:rsid w:val="00B83A1D"/>
    <w:rsid w:val="00B865A7"/>
    <w:rsid w:val="00B868E2"/>
    <w:rsid w:val="00B86B16"/>
    <w:rsid w:val="00B871B9"/>
    <w:rsid w:val="00B90416"/>
    <w:rsid w:val="00B906E8"/>
    <w:rsid w:val="00B90C0A"/>
    <w:rsid w:val="00B92938"/>
    <w:rsid w:val="00B970B8"/>
    <w:rsid w:val="00B97FDC"/>
    <w:rsid w:val="00BA1804"/>
    <w:rsid w:val="00BA2267"/>
    <w:rsid w:val="00BA2CA8"/>
    <w:rsid w:val="00BA56DF"/>
    <w:rsid w:val="00BA58F2"/>
    <w:rsid w:val="00BA76B4"/>
    <w:rsid w:val="00BA7A69"/>
    <w:rsid w:val="00BB144B"/>
    <w:rsid w:val="00BB1CDA"/>
    <w:rsid w:val="00BB20BA"/>
    <w:rsid w:val="00BB285B"/>
    <w:rsid w:val="00BB309F"/>
    <w:rsid w:val="00BB4C8F"/>
    <w:rsid w:val="00BB551E"/>
    <w:rsid w:val="00BB567E"/>
    <w:rsid w:val="00BB5E57"/>
    <w:rsid w:val="00BB6D9E"/>
    <w:rsid w:val="00BB7082"/>
    <w:rsid w:val="00BB73A1"/>
    <w:rsid w:val="00BB7662"/>
    <w:rsid w:val="00BC0239"/>
    <w:rsid w:val="00BC09C3"/>
    <w:rsid w:val="00BC1F5A"/>
    <w:rsid w:val="00BC22EE"/>
    <w:rsid w:val="00BC2B35"/>
    <w:rsid w:val="00BC3391"/>
    <w:rsid w:val="00BC792E"/>
    <w:rsid w:val="00BD2107"/>
    <w:rsid w:val="00BD233F"/>
    <w:rsid w:val="00BD3149"/>
    <w:rsid w:val="00BD3C5A"/>
    <w:rsid w:val="00BD3F37"/>
    <w:rsid w:val="00BD48BB"/>
    <w:rsid w:val="00BD5AB5"/>
    <w:rsid w:val="00BD633E"/>
    <w:rsid w:val="00BE098C"/>
    <w:rsid w:val="00BE0F86"/>
    <w:rsid w:val="00BE1559"/>
    <w:rsid w:val="00BE2AB6"/>
    <w:rsid w:val="00BE3668"/>
    <w:rsid w:val="00BE3E00"/>
    <w:rsid w:val="00BE3F4D"/>
    <w:rsid w:val="00BE45B6"/>
    <w:rsid w:val="00BE7AF5"/>
    <w:rsid w:val="00BF0359"/>
    <w:rsid w:val="00BF06B2"/>
    <w:rsid w:val="00BF11FC"/>
    <w:rsid w:val="00BF23D5"/>
    <w:rsid w:val="00BF244E"/>
    <w:rsid w:val="00BF2C97"/>
    <w:rsid w:val="00BF78FC"/>
    <w:rsid w:val="00C01A62"/>
    <w:rsid w:val="00C02322"/>
    <w:rsid w:val="00C04694"/>
    <w:rsid w:val="00C04C19"/>
    <w:rsid w:val="00C06BFA"/>
    <w:rsid w:val="00C10018"/>
    <w:rsid w:val="00C10543"/>
    <w:rsid w:val="00C105EB"/>
    <w:rsid w:val="00C11BE1"/>
    <w:rsid w:val="00C126DB"/>
    <w:rsid w:val="00C13E7E"/>
    <w:rsid w:val="00C14338"/>
    <w:rsid w:val="00C14355"/>
    <w:rsid w:val="00C143D2"/>
    <w:rsid w:val="00C211DE"/>
    <w:rsid w:val="00C21D1D"/>
    <w:rsid w:val="00C222F7"/>
    <w:rsid w:val="00C2262C"/>
    <w:rsid w:val="00C23761"/>
    <w:rsid w:val="00C312DB"/>
    <w:rsid w:val="00C327C9"/>
    <w:rsid w:val="00C33ED6"/>
    <w:rsid w:val="00C345A7"/>
    <w:rsid w:val="00C3487F"/>
    <w:rsid w:val="00C3661D"/>
    <w:rsid w:val="00C37700"/>
    <w:rsid w:val="00C40968"/>
    <w:rsid w:val="00C4435E"/>
    <w:rsid w:val="00C50202"/>
    <w:rsid w:val="00C56882"/>
    <w:rsid w:val="00C5778B"/>
    <w:rsid w:val="00C621A0"/>
    <w:rsid w:val="00C62222"/>
    <w:rsid w:val="00C64CEF"/>
    <w:rsid w:val="00C66888"/>
    <w:rsid w:val="00C704D3"/>
    <w:rsid w:val="00C70DA6"/>
    <w:rsid w:val="00C71208"/>
    <w:rsid w:val="00C72465"/>
    <w:rsid w:val="00C72F79"/>
    <w:rsid w:val="00C766C9"/>
    <w:rsid w:val="00C7690D"/>
    <w:rsid w:val="00C76E32"/>
    <w:rsid w:val="00C76FCA"/>
    <w:rsid w:val="00C77820"/>
    <w:rsid w:val="00C8229D"/>
    <w:rsid w:val="00C83C69"/>
    <w:rsid w:val="00C84437"/>
    <w:rsid w:val="00C8632D"/>
    <w:rsid w:val="00C8760E"/>
    <w:rsid w:val="00C901A9"/>
    <w:rsid w:val="00C9178C"/>
    <w:rsid w:val="00C9200A"/>
    <w:rsid w:val="00C928FA"/>
    <w:rsid w:val="00C934DB"/>
    <w:rsid w:val="00C936AE"/>
    <w:rsid w:val="00C93B24"/>
    <w:rsid w:val="00C957D1"/>
    <w:rsid w:val="00CA00A1"/>
    <w:rsid w:val="00CA3C42"/>
    <w:rsid w:val="00CA4CC5"/>
    <w:rsid w:val="00CA6015"/>
    <w:rsid w:val="00CA69FD"/>
    <w:rsid w:val="00CB02BD"/>
    <w:rsid w:val="00CB1034"/>
    <w:rsid w:val="00CB1544"/>
    <w:rsid w:val="00CB273D"/>
    <w:rsid w:val="00CB37E5"/>
    <w:rsid w:val="00CB4092"/>
    <w:rsid w:val="00CB4D71"/>
    <w:rsid w:val="00CC434C"/>
    <w:rsid w:val="00CC54FA"/>
    <w:rsid w:val="00CD033F"/>
    <w:rsid w:val="00CD0F92"/>
    <w:rsid w:val="00CD213B"/>
    <w:rsid w:val="00CD73A3"/>
    <w:rsid w:val="00CD7C10"/>
    <w:rsid w:val="00CE134C"/>
    <w:rsid w:val="00CE1604"/>
    <w:rsid w:val="00CE33F3"/>
    <w:rsid w:val="00CE53B8"/>
    <w:rsid w:val="00CE7DA8"/>
    <w:rsid w:val="00CF29E1"/>
    <w:rsid w:val="00CF6BFC"/>
    <w:rsid w:val="00CF6F25"/>
    <w:rsid w:val="00D00879"/>
    <w:rsid w:val="00D03855"/>
    <w:rsid w:val="00D03A64"/>
    <w:rsid w:val="00D03B1A"/>
    <w:rsid w:val="00D04021"/>
    <w:rsid w:val="00D068A9"/>
    <w:rsid w:val="00D1777A"/>
    <w:rsid w:val="00D2018B"/>
    <w:rsid w:val="00D20D7F"/>
    <w:rsid w:val="00D223FD"/>
    <w:rsid w:val="00D22567"/>
    <w:rsid w:val="00D23481"/>
    <w:rsid w:val="00D2536F"/>
    <w:rsid w:val="00D26BC7"/>
    <w:rsid w:val="00D30F98"/>
    <w:rsid w:val="00D3278D"/>
    <w:rsid w:val="00D36199"/>
    <w:rsid w:val="00D3656E"/>
    <w:rsid w:val="00D36AE4"/>
    <w:rsid w:val="00D43B27"/>
    <w:rsid w:val="00D43F0C"/>
    <w:rsid w:val="00D441E6"/>
    <w:rsid w:val="00D50A72"/>
    <w:rsid w:val="00D5319B"/>
    <w:rsid w:val="00D54E6A"/>
    <w:rsid w:val="00D552E9"/>
    <w:rsid w:val="00D5624F"/>
    <w:rsid w:val="00D62D51"/>
    <w:rsid w:val="00D62F34"/>
    <w:rsid w:val="00D6356A"/>
    <w:rsid w:val="00D65A18"/>
    <w:rsid w:val="00D65AC0"/>
    <w:rsid w:val="00D667BE"/>
    <w:rsid w:val="00D66E50"/>
    <w:rsid w:val="00D72385"/>
    <w:rsid w:val="00D72826"/>
    <w:rsid w:val="00D73013"/>
    <w:rsid w:val="00D73B10"/>
    <w:rsid w:val="00D75115"/>
    <w:rsid w:val="00D75A60"/>
    <w:rsid w:val="00D75E74"/>
    <w:rsid w:val="00D77049"/>
    <w:rsid w:val="00D77A4C"/>
    <w:rsid w:val="00D83656"/>
    <w:rsid w:val="00D837AC"/>
    <w:rsid w:val="00D8761C"/>
    <w:rsid w:val="00D9068B"/>
    <w:rsid w:val="00D90B38"/>
    <w:rsid w:val="00D92A76"/>
    <w:rsid w:val="00D9476D"/>
    <w:rsid w:val="00D956A5"/>
    <w:rsid w:val="00D968E7"/>
    <w:rsid w:val="00D9693B"/>
    <w:rsid w:val="00D9796A"/>
    <w:rsid w:val="00DA0BD4"/>
    <w:rsid w:val="00DA0EBE"/>
    <w:rsid w:val="00DA2D35"/>
    <w:rsid w:val="00DA3039"/>
    <w:rsid w:val="00DA3488"/>
    <w:rsid w:val="00DA498B"/>
    <w:rsid w:val="00DA50FC"/>
    <w:rsid w:val="00DA612A"/>
    <w:rsid w:val="00DA63A2"/>
    <w:rsid w:val="00DA7E05"/>
    <w:rsid w:val="00DB06F7"/>
    <w:rsid w:val="00DB084C"/>
    <w:rsid w:val="00DB12AA"/>
    <w:rsid w:val="00DB182B"/>
    <w:rsid w:val="00DB2F4D"/>
    <w:rsid w:val="00DB3065"/>
    <w:rsid w:val="00DB38C2"/>
    <w:rsid w:val="00DB51EA"/>
    <w:rsid w:val="00DC07C4"/>
    <w:rsid w:val="00DC2108"/>
    <w:rsid w:val="00DC3D43"/>
    <w:rsid w:val="00DC6802"/>
    <w:rsid w:val="00DD0927"/>
    <w:rsid w:val="00DD4FC9"/>
    <w:rsid w:val="00DD7615"/>
    <w:rsid w:val="00DE1360"/>
    <w:rsid w:val="00DE273D"/>
    <w:rsid w:val="00DE4283"/>
    <w:rsid w:val="00DE4C2A"/>
    <w:rsid w:val="00DE5246"/>
    <w:rsid w:val="00DE5254"/>
    <w:rsid w:val="00DE6E8B"/>
    <w:rsid w:val="00DF006E"/>
    <w:rsid w:val="00DF0B54"/>
    <w:rsid w:val="00DF14C4"/>
    <w:rsid w:val="00E00B22"/>
    <w:rsid w:val="00E023A6"/>
    <w:rsid w:val="00E02595"/>
    <w:rsid w:val="00E02887"/>
    <w:rsid w:val="00E04DAC"/>
    <w:rsid w:val="00E06943"/>
    <w:rsid w:val="00E06AC9"/>
    <w:rsid w:val="00E11638"/>
    <w:rsid w:val="00E11F17"/>
    <w:rsid w:val="00E12DDE"/>
    <w:rsid w:val="00E14734"/>
    <w:rsid w:val="00E1485D"/>
    <w:rsid w:val="00E16396"/>
    <w:rsid w:val="00E16CE1"/>
    <w:rsid w:val="00E17047"/>
    <w:rsid w:val="00E176E8"/>
    <w:rsid w:val="00E1789A"/>
    <w:rsid w:val="00E17C07"/>
    <w:rsid w:val="00E23128"/>
    <w:rsid w:val="00E24C9E"/>
    <w:rsid w:val="00E25091"/>
    <w:rsid w:val="00E26D7B"/>
    <w:rsid w:val="00E27965"/>
    <w:rsid w:val="00E31B28"/>
    <w:rsid w:val="00E320BE"/>
    <w:rsid w:val="00E32743"/>
    <w:rsid w:val="00E336C6"/>
    <w:rsid w:val="00E33DD0"/>
    <w:rsid w:val="00E34FEB"/>
    <w:rsid w:val="00E36781"/>
    <w:rsid w:val="00E37312"/>
    <w:rsid w:val="00E44ED0"/>
    <w:rsid w:val="00E45221"/>
    <w:rsid w:val="00E54325"/>
    <w:rsid w:val="00E56278"/>
    <w:rsid w:val="00E5725A"/>
    <w:rsid w:val="00E60E0A"/>
    <w:rsid w:val="00E61820"/>
    <w:rsid w:val="00E62E7B"/>
    <w:rsid w:val="00E64053"/>
    <w:rsid w:val="00E6750F"/>
    <w:rsid w:val="00E707FF"/>
    <w:rsid w:val="00E70EF7"/>
    <w:rsid w:val="00E739F8"/>
    <w:rsid w:val="00E750A8"/>
    <w:rsid w:val="00E77640"/>
    <w:rsid w:val="00E77A67"/>
    <w:rsid w:val="00E80BF2"/>
    <w:rsid w:val="00E836B3"/>
    <w:rsid w:val="00E84651"/>
    <w:rsid w:val="00E93D0B"/>
    <w:rsid w:val="00E94640"/>
    <w:rsid w:val="00E951E2"/>
    <w:rsid w:val="00E9787B"/>
    <w:rsid w:val="00EA32BA"/>
    <w:rsid w:val="00EA3AAD"/>
    <w:rsid w:val="00EA73F7"/>
    <w:rsid w:val="00EA7EDB"/>
    <w:rsid w:val="00EB2224"/>
    <w:rsid w:val="00EB31CB"/>
    <w:rsid w:val="00EB6A2E"/>
    <w:rsid w:val="00EB7CCF"/>
    <w:rsid w:val="00EC3393"/>
    <w:rsid w:val="00EC370A"/>
    <w:rsid w:val="00EC4786"/>
    <w:rsid w:val="00ED0946"/>
    <w:rsid w:val="00ED3B09"/>
    <w:rsid w:val="00ED3DF4"/>
    <w:rsid w:val="00ED3E80"/>
    <w:rsid w:val="00ED401F"/>
    <w:rsid w:val="00ED4696"/>
    <w:rsid w:val="00ED4853"/>
    <w:rsid w:val="00ED4E8F"/>
    <w:rsid w:val="00ED531C"/>
    <w:rsid w:val="00ED7DA7"/>
    <w:rsid w:val="00EE0440"/>
    <w:rsid w:val="00EE1AAD"/>
    <w:rsid w:val="00EE20B4"/>
    <w:rsid w:val="00EE294F"/>
    <w:rsid w:val="00EF300A"/>
    <w:rsid w:val="00F008E1"/>
    <w:rsid w:val="00F02C7D"/>
    <w:rsid w:val="00F05DF4"/>
    <w:rsid w:val="00F10D12"/>
    <w:rsid w:val="00F118C4"/>
    <w:rsid w:val="00F176EA"/>
    <w:rsid w:val="00F177DE"/>
    <w:rsid w:val="00F17AD7"/>
    <w:rsid w:val="00F20E59"/>
    <w:rsid w:val="00F21DBA"/>
    <w:rsid w:val="00F22209"/>
    <w:rsid w:val="00F23DCD"/>
    <w:rsid w:val="00F23F00"/>
    <w:rsid w:val="00F27AF6"/>
    <w:rsid w:val="00F31371"/>
    <w:rsid w:val="00F31606"/>
    <w:rsid w:val="00F31995"/>
    <w:rsid w:val="00F343AB"/>
    <w:rsid w:val="00F36012"/>
    <w:rsid w:val="00F36A33"/>
    <w:rsid w:val="00F36F83"/>
    <w:rsid w:val="00F4007F"/>
    <w:rsid w:val="00F40EC1"/>
    <w:rsid w:val="00F437BB"/>
    <w:rsid w:val="00F47987"/>
    <w:rsid w:val="00F47B9C"/>
    <w:rsid w:val="00F5031F"/>
    <w:rsid w:val="00F503CA"/>
    <w:rsid w:val="00F504EE"/>
    <w:rsid w:val="00F5103A"/>
    <w:rsid w:val="00F517CE"/>
    <w:rsid w:val="00F51D75"/>
    <w:rsid w:val="00F53428"/>
    <w:rsid w:val="00F544E0"/>
    <w:rsid w:val="00F54C4F"/>
    <w:rsid w:val="00F56299"/>
    <w:rsid w:val="00F56D35"/>
    <w:rsid w:val="00F57153"/>
    <w:rsid w:val="00F608F3"/>
    <w:rsid w:val="00F64B11"/>
    <w:rsid w:val="00F6615C"/>
    <w:rsid w:val="00F6717C"/>
    <w:rsid w:val="00F702CB"/>
    <w:rsid w:val="00F72004"/>
    <w:rsid w:val="00F7392F"/>
    <w:rsid w:val="00F74112"/>
    <w:rsid w:val="00F80B81"/>
    <w:rsid w:val="00F810C6"/>
    <w:rsid w:val="00F8206A"/>
    <w:rsid w:val="00F843DF"/>
    <w:rsid w:val="00F846AD"/>
    <w:rsid w:val="00F94128"/>
    <w:rsid w:val="00F94808"/>
    <w:rsid w:val="00FA378C"/>
    <w:rsid w:val="00FA4C09"/>
    <w:rsid w:val="00FA5C03"/>
    <w:rsid w:val="00FA79EC"/>
    <w:rsid w:val="00FB05E4"/>
    <w:rsid w:val="00FB1339"/>
    <w:rsid w:val="00FB404C"/>
    <w:rsid w:val="00FB444B"/>
    <w:rsid w:val="00FB496B"/>
    <w:rsid w:val="00FB6558"/>
    <w:rsid w:val="00FB7D6F"/>
    <w:rsid w:val="00FB7EE3"/>
    <w:rsid w:val="00FC42A7"/>
    <w:rsid w:val="00FC4D43"/>
    <w:rsid w:val="00FC4E47"/>
    <w:rsid w:val="00FC4F69"/>
    <w:rsid w:val="00FC645C"/>
    <w:rsid w:val="00FC74D5"/>
    <w:rsid w:val="00FC751C"/>
    <w:rsid w:val="00FD0DBE"/>
    <w:rsid w:val="00FD4901"/>
    <w:rsid w:val="00FD4D55"/>
    <w:rsid w:val="00FD5B85"/>
    <w:rsid w:val="00FE17D1"/>
    <w:rsid w:val="00FE1BAE"/>
    <w:rsid w:val="00FE1C0C"/>
    <w:rsid w:val="00FE2131"/>
    <w:rsid w:val="00FE3C5B"/>
    <w:rsid w:val="00FE7E8F"/>
    <w:rsid w:val="00FF0083"/>
    <w:rsid w:val="00FF362C"/>
    <w:rsid w:val="00FF70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948A54"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4007DE"/>
    <w:pPr>
      <w:keepNext/>
      <w:keepLines/>
      <w:spacing w:before="40" w:after="0"/>
      <w:outlineLvl w:val="2"/>
    </w:pPr>
    <w:rPr>
      <w:rFonts w:asciiTheme="majorHAnsi" w:eastAsiaTheme="majorEastAsia" w:hAnsiTheme="majorHAnsi" w:cstheme="majorBidi"/>
      <w:color w:val="0F243E"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948A54"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17365D" w:themeColor="accent1" w:themeShade="BF"/>
      <w:sz w:val="32"/>
    </w:rPr>
  </w:style>
  <w:style w:type="paragraph" w:styleId="TDC1">
    <w:name w:val="toc 1"/>
    <w:basedOn w:val="Normal"/>
    <w:next w:val="Normal"/>
    <w:autoRedefine/>
    <w:uiPriority w:val="39"/>
    <w:unhideWhenUsed/>
    <w:rsid w:val="009813EE"/>
    <w:pPr>
      <w:tabs>
        <w:tab w:val="left" w:pos="426"/>
        <w:tab w:val="right" w:leader="dot" w:pos="9350"/>
      </w:tabs>
      <w:spacing w:after="100"/>
    </w:pPr>
  </w:style>
  <w:style w:type="character" w:styleId="Hipervnculo">
    <w:name w:val="Hyperlink"/>
    <w:basedOn w:val="Fuentedeprrafopredeter"/>
    <w:uiPriority w:val="99"/>
    <w:unhideWhenUsed/>
    <w:rsid w:val="00BA2267"/>
    <w:rPr>
      <w:color w:val="0000FF"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
    <w:basedOn w:val="Normal"/>
    <w:link w:val="PrrafodelistaCar"/>
    <w:uiPriority w:val="34"/>
    <w:qFormat/>
    <w:rsid w:val="00B65539"/>
    <w:pPr>
      <w:ind w:left="720"/>
      <w:contextualSpacing/>
    </w:pPr>
  </w:style>
  <w:style w:type="paragraph" w:styleId="Descripcin">
    <w:name w:val="caption"/>
    <w:basedOn w:val="Normal"/>
    <w:next w:val="Normal"/>
    <w:uiPriority w:val="35"/>
    <w:unhideWhenUsed/>
    <w:qFormat/>
    <w:rsid w:val="003859AE"/>
    <w:pPr>
      <w:spacing w:after="200" w:line="240" w:lineRule="auto"/>
      <w:jc w:val="center"/>
    </w:pPr>
    <w:rPr>
      <w:rFonts w:ascii="Artifex CF Light" w:eastAsia="Calibri" w:hAnsi="Artifex CF Light"/>
      <w:i/>
      <w:iCs/>
      <w:color w:val="44546A"/>
      <w:spacing w:val="0"/>
      <w:sz w:val="20"/>
      <w:szCs w:val="18"/>
    </w:rPr>
  </w:style>
  <w:style w:type="table" w:styleId="Tablaconcuadrcula">
    <w:name w:val="Table Grid"/>
    <w:basedOn w:val="Tablanormal"/>
    <w:uiPriority w:val="39"/>
    <w:rsid w:val="000C5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54848"/>
    <w:pPr>
      <w:spacing w:before="100" w:beforeAutospacing="1" w:after="100" w:afterAutospacing="1" w:line="240" w:lineRule="auto"/>
    </w:pPr>
    <w:rPr>
      <w:rFonts w:eastAsia="Times New Roman"/>
      <w:color w:val="auto"/>
      <w:spacing w:val="0"/>
      <w:lang w:eastAsia="es-DO"/>
    </w:rPr>
  </w:style>
  <w:style w:type="character" w:customStyle="1" w:styleId="PrrafodelistaCar">
    <w:name w:val="Párrafo de lista Car"/>
    <w:aliases w:val="Compomente Car"/>
    <w:link w:val="Prrafodelista"/>
    <w:uiPriority w:val="34"/>
    <w:rsid w:val="00E36781"/>
  </w:style>
  <w:style w:type="paragraph" w:customStyle="1" w:styleId="Default">
    <w:name w:val="Default"/>
    <w:rsid w:val="00197281"/>
    <w:pPr>
      <w:autoSpaceDE w:val="0"/>
      <w:autoSpaceDN w:val="0"/>
      <w:adjustRightInd w:val="0"/>
      <w:spacing w:after="0" w:line="240" w:lineRule="auto"/>
    </w:pPr>
    <w:rPr>
      <w:rFonts w:ascii="Tahoma" w:hAnsi="Tahoma" w:cs="Tahoma"/>
      <w:color w:val="000000"/>
      <w:lang w:val="es-DO"/>
    </w:rPr>
  </w:style>
  <w:style w:type="character" w:customStyle="1" w:styleId="Ttulo3Car">
    <w:name w:val="Título 3 Car"/>
    <w:basedOn w:val="Fuentedeprrafopredeter"/>
    <w:link w:val="Ttulo3"/>
    <w:uiPriority w:val="9"/>
    <w:rsid w:val="004007DE"/>
    <w:rPr>
      <w:rFonts w:asciiTheme="majorHAnsi" w:eastAsiaTheme="majorEastAsia" w:hAnsiTheme="majorHAnsi" w:cstheme="majorBidi"/>
      <w:color w:val="0F243E" w:themeColor="accent1" w:themeShade="7F"/>
    </w:rPr>
  </w:style>
  <w:style w:type="paragraph" w:styleId="TDC2">
    <w:name w:val="toc 2"/>
    <w:basedOn w:val="Normal"/>
    <w:next w:val="Normal"/>
    <w:autoRedefine/>
    <w:uiPriority w:val="39"/>
    <w:unhideWhenUsed/>
    <w:rsid w:val="00D5624F"/>
    <w:pPr>
      <w:tabs>
        <w:tab w:val="left" w:pos="709"/>
        <w:tab w:val="right" w:leader="dot" w:pos="9356"/>
      </w:tabs>
      <w:spacing w:line="360" w:lineRule="auto"/>
    </w:pPr>
  </w:style>
  <w:style w:type="paragraph" w:styleId="TDC3">
    <w:name w:val="toc 3"/>
    <w:basedOn w:val="Normal"/>
    <w:next w:val="Normal"/>
    <w:autoRedefine/>
    <w:uiPriority w:val="39"/>
    <w:unhideWhenUsed/>
    <w:rsid w:val="009813EE"/>
    <w:pPr>
      <w:spacing w:after="100"/>
      <w:ind w:left="480"/>
    </w:pPr>
  </w:style>
  <w:style w:type="paragraph" w:customStyle="1" w:styleId="xxmsonormal">
    <w:name w:val="x_x_msonormal"/>
    <w:basedOn w:val="Normal"/>
    <w:rsid w:val="00F544E0"/>
    <w:pPr>
      <w:spacing w:after="0" w:line="240" w:lineRule="auto"/>
    </w:pPr>
    <w:rPr>
      <w:rFonts w:ascii="Calibri" w:hAnsi="Calibri" w:cs="Calibri"/>
      <w:color w:val="auto"/>
      <w:spacing w:val="0"/>
      <w:sz w:val="22"/>
      <w:szCs w:val="22"/>
      <w:lang w:eastAsia="es-DO"/>
    </w:rPr>
  </w:style>
  <w:style w:type="table" w:customStyle="1" w:styleId="Tablaconcuadrcula1">
    <w:name w:val="Tabla con cuadrícula1"/>
    <w:basedOn w:val="Tablanormal"/>
    <w:next w:val="Tablaconcuadrcula"/>
    <w:uiPriority w:val="39"/>
    <w:rsid w:val="00D9693B"/>
    <w:pPr>
      <w:spacing w:after="0" w:line="240" w:lineRule="auto"/>
    </w:pPr>
    <w:rPr>
      <w:rFonts w:asciiTheme="minorHAnsi" w:hAnsiTheme="minorHAnsi" w:cstheme="minorBidi"/>
      <w:color w:val="auto"/>
      <w:spacing w:val="0"/>
      <w:kern w:val="2"/>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CF29E1"/>
    <w:pPr>
      <w:autoSpaceDE w:val="0"/>
      <w:autoSpaceDN w:val="0"/>
      <w:adjustRightInd w:val="0"/>
      <w:spacing w:after="0" w:line="240" w:lineRule="auto"/>
      <w:jc w:val="both"/>
    </w:pPr>
    <w:rPr>
      <w:rFonts w:eastAsia="Times New Roman"/>
      <w:color w:val="000000"/>
      <w:spacing w:val="0"/>
      <w:szCs w:val="21"/>
      <w:lang w:eastAsia="es-ES"/>
    </w:rPr>
  </w:style>
  <w:style w:type="character" w:customStyle="1" w:styleId="TextoindependienteCar">
    <w:name w:val="Texto independiente Car"/>
    <w:basedOn w:val="Fuentedeprrafopredeter"/>
    <w:link w:val="Textoindependiente"/>
    <w:uiPriority w:val="1"/>
    <w:rsid w:val="00CF29E1"/>
    <w:rPr>
      <w:rFonts w:eastAsia="Times New Roman"/>
      <w:color w:val="000000"/>
      <w:spacing w:val="0"/>
      <w:szCs w:val="21"/>
      <w:lang w:val="es-DO" w:eastAsia="es-ES"/>
    </w:rPr>
  </w:style>
  <w:style w:type="paragraph" w:styleId="NormalWeb">
    <w:name w:val="Normal (Web)"/>
    <w:basedOn w:val="Normal"/>
    <w:uiPriority w:val="99"/>
    <w:semiHidden/>
    <w:unhideWhenUsed/>
    <w:rsid w:val="00880FBD"/>
    <w:pPr>
      <w:spacing w:before="100" w:beforeAutospacing="1" w:after="100" w:afterAutospacing="1" w:line="240" w:lineRule="auto"/>
    </w:pPr>
    <w:rPr>
      <w:rFonts w:eastAsia="Times New Roman"/>
      <w:color w:val="auto"/>
      <w:spacing w:val="0"/>
      <w:lang w:val="es-ES" w:eastAsia="es-ES"/>
    </w:rPr>
  </w:style>
  <w:style w:type="character" w:styleId="Mencinsinresolver">
    <w:name w:val="Unresolved Mention"/>
    <w:basedOn w:val="Fuentedeprrafopredeter"/>
    <w:uiPriority w:val="99"/>
    <w:semiHidden/>
    <w:unhideWhenUsed/>
    <w:rsid w:val="00F17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6587">
      <w:bodyDiv w:val="1"/>
      <w:marLeft w:val="0"/>
      <w:marRight w:val="0"/>
      <w:marTop w:val="0"/>
      <w:marBottom w:val="0"/>
      <w:divBdr>
        <w:top w:val="none" w:sz="0" w:space="0" w:color="auto"/>
        <w:left w:val="none" w:sz="0" w:space="0" w:color="auto"/>
        <w:bottom w:val="none" w:sz="0" w:space="0" w:color="auto"/>
        <w:right w:val="none" w:sz="0" w:space="0" w:color="auto"/>
      </w:divBdr>
    </w:div>
    <w:div w:id="63643983">
      <w:bodyDiv w:val="1"/>
      <w:marLeft w:val="0"/>
      <w:marRight w:val="0"/>
      <w:marTop w:val="0"/>
      <w:marBottom w:val="0"/>
      <w:divBdr>
        <w:top w:val="none" w:sz="0" w:space="0" w:color="auto"/>
        <w:left w:val="none" w:sz="0" w:space="0" w:color="auto"/>
        <w:bottom w:val="none" w:sz="0" w:space="0" w:color="auto"/>
        <w:right w:val="none" w:sz="0" w:space="0" w:color="auto"/>
      </w:divBdr>
      <w:divsChild>
        <w:div w:id="1468859238">
          <w:marLeft w:val="0"/>
          <w:marRight w:val="0"/>
          <w:marTop w:val="0"/>
          <w:marBottom w:val="0"/>
          <w:divBdr>
            <w:top w:val="none" w:sz="0" w:space="0" w:color="auto"/>
            <w:left w:val="none" w:sz="0" w:space="0" w:color="auto"/>
            <w:bottom w:val="none" w:sz="0" w:space="0" w:color="auto"/>
            <w:right w:val="none" w:sz="0" w:space="0" w:color="auto"/>
          </w:divBdr>
        </w:div>
        <w:div w:id="313728633">
          <w:marLeft w:val="0"/>
          <w:marRight w:val="0"/>
          <w:marTop w:val="0"/>
          <w:marBottom w:val="0"/>
          <w:divBdr>
            <w:top w:val="none" w:sz="0" w:space="0" w:color="auto"/>
            <w:left w:val="none" w:sz="0" w:space="0" w:color="auto"/>
            <w:bottom w:val="none" w:sz="0" w:space="0" w:color="auto"/>
            <w:right w:val="none" w:sz="0" w:space="0" w:color="auto"/>
          </w:divBdr>
          <w:divsChild>
            <w:div w:id="1221213812">
              <w:marLeft w:val="-75"/>
              <w:marRight w:val="0"/>
              <w:marTop w:val="30"/>
              <w:marBottom w:val="30"/>
              <w:divBdr>
                <w:top w:val="none" w:sz="0" w:space="0" w:color="auto"/>
                <w:left w:val="none" w:sz="0" w:space="0" w:color="auto"/>
                <w:bottom w:val="none" w:sz="0" w:space="0" w:color="auto"/>
                <w:right w:val="none" w:sz="0" w:space="0" w:color="auto"/>
              </w:divBdr>
              <w:divsChild>
                <w:div w:id="1063941389">
                  <w:marLeft w:val="0"/>
                  <w:marRight w:val="0"/>
                  <w:marTop w:val="0"/>
                  <w:marBottom w:val="0"/>
                  <w:divBdr>
                    <w:top w:val="none" w:sz="0" w:space="0" w:color="auto"/>
                    <w:left w:val="none" w:sz="0" w:space="0" w:color="auto"/>
                    <w:bottom w:val="none" w:sz="0" w:space="0" w:color="auto"/>
                    <w:right w:val="none" w:sz="0" w:space="0" w:color="auto"/>
                  </w:divBdr>
                  <w:divsChild>
                    <w:div w:id="2033874193">
                      <w:marLeft w:val="0"/>
                      <w:marRight w:val="0"/>
                      <w:marTop w:val="0"/>
                      <w:marBottom w:val="0"/>
                      <w:divBdr>
                        <w:top w:val="none" w:sz="0" w:space="0" w:color="auto"/>
                        <w:left w:val="none" w:sz="0" w:space="0" w:color="auto"/>
                        <w:bottom w:val="none" w:sz="0" w:space="0" w:color="auto"/>
                        <w:right w:val="none" w:sz="0" w:space="0" w:color="auto"/>
                      </w:divBdr>
                    </w:div>
                  </w:divsChild>
                </w:div>
                <w:div w:id="1651591440">
                  <w:marLeft w:val="0"/>
                  <w:marRight w:val="0"/>
                  <w:marTop w:val="0"/>
                  <w:marBottom w:val="0"/>
                  <w:divBdr>
                    <w:top w:val="none" w:sz="0" w:space="0" w:color="auto"/>
                    <w:left w:val="none" w:sz="0" w:space="0" w:color="auto"/>
                    <w:bottom w:val="none" w:sz="0" w:space="0" w:color="auto"/>
                    <w:right w:val="none" w:sz="0" w:space="0" w:color="auto"/>
                  </w:divBdr>
                  <w:divsChild>
                    <w:div w:id="204755342">
                      <w:marLeft w:val="0"/>
                      <w:marRight w:val="0"/>
                      <w:marTop w:val="0"/>
                      <w:marBottom w:val="0"/>
                      <w:divBdr>
                        <w:top w:val="none" w:sz="0" w:space="0" w:color="auto"/>
                        <w:left w:val="none" w:sz="0" w:space="0" w:color="auto"/>
                        <w:bottom w:val="none" w:sz="0" w:space="0" w:color="auto"/>
                        <w:right w:val="none" w:sz="0" w:space="0" w:color="auto"/>
                      </w:divBdr>
                    </w:div>
                  </w:divsChild>
                </w:div>
                <w:div w:id="832835174">
                  <w:marLeft w:val="0"/>
                  <w:marRight w:val="0"/>
                  <w:marTop w:val="0"/>
                  <w:marBottom w:val="0"/>
                  <w:divBdr>
                    <w:top w:val="none" w:sz="0" w:space="0" w:color="auto"/>
                    <w:left w:val="none" w:sz="0" w:space="0" w:color="auto"/>
                    <w:bottom w:val="none" w:sz="0" w:space="0" w:color="auto"/>
                    <w:right w:val="none" w:sz="0" w:space="0" w:color="auto"/>
                  </w:divBdr>
                  <w:divsChild>
                    <w:div w:id="2009943287">
                      <w:marLeft w:val="0"/>
                      <w:marRight w:val="0"/>
                      <w:marTop w:val="0"/>
                      <w:marBottom w:val="0"/>
                      <w:divBdr>
                        <w:top w:val="none" w:sz="0" w:space="0" w:color="auto"/>
                        <w:left w:val="none" w:sz="0" w:space="0" w:color="auto"/>
                        <w:bottom w:val="none" w:sz="0" w:space="0" w:color="auto"/>
                        <w:right w:val="none" w:sz="0" w:space="0" w:color="auto"/>
                      </w:divBdr>
                    </w:div>
                  </w:divsChild>
                </w:div>
                <w:div w:id="1400132255">
                  <w:marLeft w:val="0"/>
                  <w:marRight w:val="0"/>
                  <w:marTop w:val="0"/>
                  <w:marBottom w:val="0"/>
                  <w:divBdr>
                    <w:top w:val="none" w:sz="0" w:space="0" w:color="auto"/>
                    <w:left w:val="none" w:sz="0" w:space="0" w:color="auto"/>
                    <w:bottom w:val="none" w:sz="0" w:space="0" w:color="auto"/>
                    <w:right w:val="none" w:sz="0" w:space="0" w:color="auto"/>
                  </w:divBdr>
                  <w:divsChild>
                    <w:div w:id="1789471475">
                      <w:marLeft w:val="0"/>
                      <w:marRight w:val="0"/>
                      <w:marTop w:val="0"/>
                      <w:marBottom w:val="0"/>
                      <w:divBdr>
                        <w:top w:val="none" w:sz="0" w:space="0" w:color="auto"/>
                        <w:left w:val="none" w:sz="0" w:space="0" w:color="auto"/>
                        <w:bottom w:val="none" w:sz="0" w:space="0" w:color="auto"/>
                        <w:right w:val="none" w:sz="0" w:space="0" w:color="auto"/>
                      </w:divBdr>
                    </w:div>
                  </w:divsChild>
                </w:div>
                <w:div w:id="1692488643">
                  <w:marLeft w:val="0"/>
                  <w:marRight w:val="0"/>
                  <w:marTop w:val="0"/>
                  <w:marBottom w:val="0"/>
                  <w:divBdr>
                    <w:top w:val="none" w:sz="0" w:space="0" w:color="auto"/>
                    <w:left w:val="none" w:sz="0" w:space="0" w:color="auto"/>
                    <w:bottom w:val="none" w:sz="0" w:space="0" w:color="auto"/>
                    <w:right w:val="none" w:sz="0" w:space="0" w:color="auto"/>
                  </w:divBdr>
                  <w:divsChild>
                    <w:div w:id="1297099131">
                      <w:marLeft w:val="0"/>
                      <w:marRight w:val="0"/>
                      <w:marTop w:val="0"/>
                      <w:marBottom w:val="0"/>
                      <w:divBdr>
                        <w:top w:val="none" w:sz="0" w:space="0" w:color="auto"/>
                        <w:left w:val="none" w:sz="0" w:space="0" w:color="auto"/>
                        <w:bottom w:val="none" w:sz="0" w:space="0" w:color="auto"/>
                        <w:right w:val="none" w:sz="0" w:space="0" w:color="auto"/>
                      </w:divBdr>
                    </w:div>
                  </w:divsChild>
                </w:div>
                <w:div w:id="1470128965">
                  <w:marLeft w:val="0"/>
                  <w:marRight w:val="0"/>
                  <w:marTop w:val="0"/>
                  <w:marBottom w:val="0"/>
                  <w:divBdr>
                    <w:top w:val="none" w:sz="0" w:space="0" w:color="auto"/>
                    <w:left w:val="none" w:sz="0" w:space="0" w:color="auto"/>
                    <w:bottom w:val="none" w:sz="0" w:space="0" w:color="auto"/>
                    <w:right w:val="none" w:sz="0" w:space="0" w:color="auto"/>
                  </w:divBdr>
                  <w:divsChild>
                    <w:div w:id="91705288">
                      <w:marLeft w:val="0"/>
                      <w:marRight w:val="0"/>
                      <w:marTop w:val="0"/>
                      <w:marBottom w:val="0"/>
                      <w:divBdr>
                        <w:top w:val="none" w:sz="0" w:space="0" w:color="auto"/>
                        <w:left w:val="none" w:sz="0" w:space="0" w:color="auto"/>
                        <w:bottom w:val="none" w:sz="0" w:space="0" w:color="auto"/>
                        <w:right w:val="none" w:sz="0" w:space="0" w:color="auto"/>
                      </w:divBdr>
                    </w:div>
                  </w:divsChild>
                </w:div>
                <w:div w:id="956909442">
                  <w:marLeft w:val="0"/>
                  <w:marRight w:val="0"/>
                  <w:marTop w:val="0"/>
                  <w:marBottom w:val="0"/>
                  <w:divBdr>
                    <w:top w:val="none" w:sz="0" w:space="0" w:color="auto"/>
                    <w:left w:val="none" w:sz="0" w:space="0" w:color="auto"/>
                    <w:bottom w:val="none" w:sz="0" w:space="0" w:color="auto"/>
                    <w:right w:val="none" w:sz="0" w:space="0" w:color="auto"/>
                  </w:divBdr>
                  <w:divsChild>
                    <w:div w:id="2103530143">
                      <w:marLeft w:val="0"/>
                      <w:marRight w:val="0"/>
                      <w:marTop w:val="0"/>
                      <w:marBottom w:val="0"/>
                      <w:divBdr>
                        <w:top w:val="none" w:sz="0" w:space="0" w:color="auto"/>
                        <w:left w:val="none" w:sz="0" w:space="0" w:color="auto"/>
                        <w:bottom w:val="none" w:sz="0" w:space="0" w:color="auto"/>
                        <w:right w:val="none" w:sz="0" w:space="0" w:color="auto"/>
                      </w:divBdr>
                    </w:div>
                  </w:divsChild>
                </w:div>
                <w:div w:id="243883850">
                  <w:marLeft w:val="0"/>
                  <w:marRight w:val="0"/>
                  <w:marTop w:val="0"/>
                  <w:marBottom w:val="0"/>
                  <w:divBdr>
                    <w:top w:val="none" w:sz="0" w:space="0" w:color="auto"/>
                    <w:left w:val="none" w:sz="0" w:space="0" w:color="auto"/>
                    <w:bottom w:val="none" w:sz="0" w:space="0" w:color="auto"/>
                    <w:right w:val="none" w:sz="0" w:space="0" w:color="auto"/>
                  </w:divBdr>
                  <w:divsChild>
                    <w:div w:id="1550261120">
                      <w:marLeft w:val="0"/>
                      <w:marRight w:val="0"/>
                      <w:marTop w:val="0"/>
                      <w:marBottom w:val="0"/>
                      <w:divBdr>
                        <w:top w:val="none" w:sz="0" w:space="0" w:color="auto"/>
                        <w:left w:val="none" w:sz="0" w:space="0" w:color="auto"/>
                        <w:bottom w:val="none" w:sz="0" w:space="0" w:color="auto"/>
                        <w:right w:val="none" w:sz="0" w:space="0" w:color="auto"/>
                      </w:divBdr>
                    </w:div>
                  </w:divsChild>
                </w:div>
                <w:div w:id="595753456">
                  <w:marLeft w:val="0"/>
                  <w:marRight w:val="0"/>
                  <w:marTop w:val="0"/>
                  <w:marBottom w:val="0"/>
                  <w:divBdr>
                    <w:top w:val="none" w:sz="0" w:space="0" w:color="auto"/>
                    <w:left w:val="none" w:sz="0" w:space="0" w:color="auto"/>
                    <w:bottom w:val="none" w:sz="0" w:space="0" w:color="auto"/>
                    <w:right w:val="none" w:sz="0" w:space="0" w:color="auto"/>
                  </w:divBdr>
                  <w:divsChild>
                    <w:div w:id="781337162">
                      <w:marLeft w:val="0"/>
                      <w:marRight w:val="0"/>
                      <w:marTop w:val="0"/>
                      <w:marBottom w:val="0"/>
                      <w:divBdr>
                        <w:top w:val="none" w:sz="0" w:space="0" w:color="auto"/>
                        <w:left w:val="none" w:sz="0" w:space="0" w:color="auto"/>
                        <w:bottom w:val="none" w:sz="0" w:space="0" w:color="auto"/>
                        <w:right w:val="none" w:sz="0" w:space="0" w:color="auto"/>
                      </w:divBdr>
                    </w:div>
                  </w:divsChild>
                </w:div>
                <w:div w:id="446045116">
                  <w:marLeft w:val="0"/>
                  <w:marRight w:val="0"/>
                  <w:marTop w:val="0"/>
                  <w:marBottom w:val="0"/>
                  <w:divBdr>
                    <w:top w:val="none" w:sz="0" w:space="0" w:color="auto"/>
                    <w:left w:val="none" w:sz="0" w:space="0" w:color="auto"/>
                    <w:bottom w:val="none" w:sz="0" w:space="0" w:color="auto"/>
                    <w:right w:val="none" w:sz="0" w:space="0" w:color="auto"/>
                  </w:divBdr>
                  <w:divsChild>
                    <w:div w:id="491724499">
                      <w:marLeft w:val="0"/>
                      <w:marRight w:val="0"/>
                      <w:marTop w:val="0"/>
                      <w:marBottom w:val="0"/>
                      <w:divBdr>
                        <w:top w:val="none" w:sz="0" w:space="0" w:color="auto"/>
                        <w:left w:val="none" w:sz="0" w:space="0" w:color="auto"/>
                        <w:bottom w:val="none" w:sz="0" w:space="0" w:color="auto"/>
                        <w:right w:val="none" w:sz="0" w:space="0" w:color="auto"/>
                      </w:divBdr>
                    </w:div>
                  </w:divsChild>
                </w:div>
                <w:div w:id="182481186">
                  <w:marLeft w:val="0"/>
                  <w:marRight w:val="0"/>
                  <w:marTop w:val="0"/>
                  <w:marBottom w:val="0"/>
                  <w:divBdr>
                    <w:top w:val="none" w:sz="0" w:space="0" w:color="auto"/>
                    <w:left w:val="none" w:sz="0" w:space="0" w:color="auto"/>
                    <w:bottom w:val="none" w:sz="0" w:space="0" w:color="auto"/>
                    <w:right w:val="none" w:sz="0" w:space="0" w:color="auto"/>
                  </w:divBdr>
                  <w:divsChild>
                    <w:div w:id="138961740">
                      <w:marLeft w:val="0"/>
                      <w:marRight w:val="0"/>
                      <w:marTop w:val="0"/>
                      <w:marBottom w:val="0"/>
                      <w:divBdr>
                        <w:top w:val="none" w:sz="0" w:space="0" w:color="auto"/>
                        <w:left w:val="none" w:sz="0" w:space="0" w:color="auto"/>
                        <w:bottom w:val="none" w:sz="0" w:space="0" w:color="auto"/>
                        <w:right w:val="none" w:sz="0" w:space="0" w:color="auto"/>
                      </w:divBdr>
                    </w:div>
                  </w:divsChild>
                </w:div>
                <w:div w:id="1522475445">
                  <w:marLeft w:val="0"/>
                  <w:marRight w:val="0"/>
                  <w:marTop w:val="0"/>
                  <w:marBottom w:val="0"/>
                  <w:divBdr>
                    <w:top w:val="none" w:sz="0" w:space="0" w:color="auto"/>
                    <w:left w:val="none" w:sz="0" w:space="0" w:color="auto"/>
                    <w:bottom w:val="none" w:sz="0" w:space="0" w:color="auto"/>
                    <w:right w:val="none" w:sz="0" w:space="0" w:color="auto"/>
                  </w:divBdr>
                  <w:divsChild>
                    <w:div w:id="1431730750">
                      <w:marLeft w:val="0"/>
                      <w:marRight w:val="0"/>
                      <w:marTop w:val="0"/>
                      <w:marBottom w:val="0"/>
                      <w:divBdr>
                        <w:top w:val="none" w:sz="0" w:space="0" w:color="auto"/>
                        <w:left w:val="none" w:sz="0" w:space="0" w:color="auto"/>
                        <w:bottom w:val="none" w:sz="0" w:space="0" w:color="auto"/>
                        <w:right w:val="none" w:sz="0" w:space="0" w:color="auto"/>
                      </w:divBdr>
                    </w:div>
                  </w:divsChild>
                </w:div>
                <w:div w:id="1857691162">
                  <w:marLeft w:val="0"/>
                  <w:marRight w:val="0"/>
                  <w:marTop w:val="0"/>
                  <w:marBottom w:val="0"/>
                  <w:divBdr>
                    <w:top w:val="none" w:sz="0" w:space="0" w:color="auto"/>
                    <w:left w:val="none" w:sz="0" w:space="0" w:color="auto"/>
                    <w:bottom w:val="none" w:sz="0" w:space="0" w:color="auto"/>
                    <w:right w:val="none" w:sz="0" w:space="0" w:color="auto"/>
                  </w:divBdr>
                  <w:divsChild>
                    <w:div w:id="923339793">
                      <w:marLeft w:val="0"/>
                      <w:marRight w:val="0"/>
                      <w:marTop w:val="0"/>
                      <w:marBottom w:val="0"/>
                      <w:divBdr>
                        <w:top w:val="none" w:sz="0" w:space="0" w:color="auto"/>
                        <w:left w:val="none" w:sz="0" w:space="0" w:color="auto"/>
                        <w:bottom w:val="none" w:sz="0" w:space="0" w:color="auto"/>
                        <w:right w:val="none" w:sz="0" w:space="0" w:color="auto"/>
                      </w:divBdr>
                    </w:div>
                  </w:divsChild>
                </w:div>
                <w:div w:id="530068765">
                  <w:marLeft w:val="0"/>
                  <w:marRight w:val="0"/>
                  <w:marTop w:val="0"/>
                  <w:marBottom w:val="0"/>
                  <w:divBdr>
                    <w:top w:val="none" w:sz="0" w:space="0" w:color="auto"/>
                    <w:left w:val="none" w:sz="0" w:space="0" w:color="auto"/>
                    <w:bottom w:val="none" w:sz="0" w:space="0" w:color="auto"/>
                    <w:right w:val="none" w:sz="0" w:space="0" w:color="auto"/>
                  </w:divBdr>
                  <w:divsChild>
                    <w:div w:id="1375345797">
                      <w:marLeft w:val="0"/>
                      <w:marRight w:val="0"/>
                      <w:marTop w:val="0"/>
                      <w:marBottom w:val="0"/>
                      <w:divBdr>
                        <w:top w:val="none" w:sz="0" w:space="0" w:color="auto"/>
                        <w:left w:val="none" w:sz="0" w:space="0" w:color="auto"/>
                        <w:bottom w:val="none" w:sz="0" w:space="0" w:color="auto"/>
                        <w:right w:val="none" w:sz="0" w:space="0" w:color="auto"/>
                      </w:divBdr>
                    </w:div>
                  </w:divsChild>
                </w:div>
                <w:div w:id="1071586663">
                  <w:marLeft w:val="0"/>
                  <w:marRight w:val="0"/>
                  <w:marTop w:val="0"/>
                  <w:marBottom w:val="0"/>
                  <w:divBdr>
                    <w:top w:val="none" w:sz="0" w:space="0" w:color="auto"/>
                    <w:left w:val="none" w:sz="0" w:space="0" w:color="auto"/>
                    <w:bottom w:val="none" w:sz="0" w:space="0" w:color="auto"/>
                    <w:right w:val="none" w:sz="0" w:space="0" w:color="auto"/>
                  </w:divBdr>
                  <w:divsChild>
                    <w:div w:id="784351618">
                      <w:marLeft w:val="0"/>
                      <w:marRight w:val="0"/>
                      <w:marTop w:val="0"/>
                      <w:marBottom w:val="0"/>
                      <w:divBdr>
                        <w:top w:val="none" w:sz="0" w:space="0" w:color="auto"/>
                        <w:left w:val="none" w:sz="0" w:space="0" w:color="auto"/>
                        <w:bottom w:val="none" w:sz="0" w:space="0" w:color="auto"/>
                        <w:right w:val="none" w:sz="0" w:space="0" w:color="auto"/>
                      </w:divBdr>
                    </w:div>
                  </w:divsChild>
                </w:div>
                <w:div w:id="1377269918">
                  <w:marLeft w:val="0"/>
                  <w:marRight w:val="0"/>
                  <w:marTop w:val="0"/>
                  <w:marBottom w:val="0"/>
                  <w:divBdr>
                    <w:top w:val="none" w:sz="0" w:space="0" w:color="auto"/>
                    <w:left w:val="none" w:sz="0" w:space="0" w:color="auto"/>
                    <w:bottom w:val="none" w:sz="0" w:space="0" w:color="auto"/>
                    <w:right w:val="none" w:sz="0" w:space="0" w:color="auto"/>
                  </w:divBdr>
                  <w:divsChild>
                    <w:div w:id="2087413285">
                      <w:marLeft w:val="0"/>
                      <w:marRight w:val="0"/>
                      <w:marTop w:val="0"/>
                      <w:marBottom w:val="0"/>
                      <w:divBdr>
                        <w:top w:val="none" w:sz="0" w:space="0" w:color="auto"/>
                        <w:left w:val="none" w:sz="0" w:space="0" w:color="auto"/>
                        <w:bottom w:val="none" w:sz="0" w:space="0" w:color="auto"/>
                        <w:right w:val="none" w:sz="0" w:space="0" w:color="auto"/>
                      </w:divBdr>
                    </w:div>
                  </w:divsChild>
                </w:div>
                <w:div w:id="1242838055">
                  <w:marLeft w:val="0"/>
                  <w:marRight w:val="0"/>
                  <w:marTop w:val="0"/>
                  <w:marBottom w:val="0"/>
                  <w:divBdr>
                    <w:top w:val="none" w:sz="0" w:space="0" w:color="auto"/>
                    <w:left w:val="none" w:sz="0" w:space="0" w:color="auto"/>
                    <w:bottom w:val="none" w:sz="0" w:space="0" w:color="auto"/>
                    <w:right w:val="none" w:sz="0" w:space="0" w:color="auto"/>
                  </w:divBdr>
                  <w:divsChild>
                    <w:div w:id="1780371787">
                      <w:marLeft w:val="0"/>
                      <w:marRight w:val="0"/>
                      <w:marTop w:val="0"/>
                      <w:marBottom w:val="0"/>
                      <w:divBdr>
                        <w:top w:val="none" w:sz="0" w:space="0" w:color="auto"/>
                        <w:left w:val="none" w:sz="0" w:space="0" w:color="auto"/>
                        <w:bottom w:val="none" w:sz="0" w:space="0" w:color="auto"/>
                        <w:right w:val="none" w:sz="0" w:space="0" w:color="auto"/>
                      </w:divBdr>
                    </w:div>
                  </w:divsChild>
                </w:div>
                <w:div w:id="584342589">
                  <w:marLeft w:val="0"/>
                  <w:marRight w:val="0"/>
                  <w:marTop w:val="0"/>
                  <w:marBottom w:val="0"/>
                  <w:divBdr>
                    <w:top w:val="none" w:sz="0" w:space="0" w:color="auto"/>
                    <w:left w:val="none" w:sz="0" w:space="0" w:color="auto"/>
                    <w:bottom w:val="none" w:sz="0" w:space="0" w:color="auto"/>
                    <w:right w:val="none" w:sz="0" w:space="0" w:color="auto"/>
                  </w:divBdr>
                  <w:divsChild>
                    <w:div w:id="1693266241">
                      <w:marLeft w:val="0"/>
                      <w:marRight w:val="0"/>
                      <w:marTop w:val="0"/>
                      <w:marBottom w:val="0"/>
                      <w:divBdr>
                        <w:top w:val="none" w:sz="0" w:space="0" w:color="auto"/>
                        <w:left w:val="none" w:sz="0" w:space="0" w:color="auto"/>
                        <w:bottom w:val="none" w:sz="0" w:space="0" w:color="auto"/>
                        <w:right w:val="none" w:sz="0" w:space="0" w:color="auto"/>
                      </w:divBdr>
                    </w:div>
                  </w:divsChild>
                </w:div>
                <w:div w:id="1231117459">
                  <w:marLeft w:val="0"/>
                  <w:marRight w:val="0"/>
                  <w:marTop w:val="0"/>
                  <w:marBottom w:val="0"/>
                  <w:divBdr>
                    <w:top w:val="none" w:sz="0" w:space="0" w:color="auto"/>
                    <w:left w:val="none" w:sz="0" w:space="0" w:color="auto"/>
                    <w:bottom w:val="none" w:sz="0" w:space="0" w:color="auto"/>
                    <w:right w:val="none" w:sz="0" w:space="0" w:color="auto"/>
                  </w:divBdr>
                  <w:divsChild>
                    <w:div w:id="1061487431">
                      <w:marLeft w:val="0"/>
                      <w:marRight w:val="0"/>
                      <w:marTop w:val="0"/>
                      <w:marBottom w:val="0"/>
                      <w:divBdr>
                        <w:top w:val="none" w:sz="0" w:space="0" w:color="auto"/>
                        <w:left w:val="none" w:sz="0" w:space="0" w:color="auto"/>
                        <w:bottom w:val="none" w:sz="0" w:space="0" w:color="auto"/>
                        <w:right w:val="none" w:sz="0" w:space="0" w:color="auto"/>
                      </w:divBdr>
                    </w:div>
                  </w:divsChild>
                </w:div>
                <w:div w:id="607077803">
                  <w:marLeft w:val="0"/>
                  <w:marRight w:val="0"/>
                  <w:marTop w:val="0"/>
                  <w:marBottom w:val="0"/>
                  <w:divBdr>
                    <w:top w:val="none" w:sz="0" w:space="0" w:color="auto"/>
                    <w:left w:val="none" w:sz="0" w:space="0" w:color="auto"/>
                    <w:bottom w:val="none" w:sz="0" w:space="0" w:color="auto"/>
                    <w:right w:val="none" w:sz="0" w:space="0" w:color="auto"/>
                  </w:divBdr>
                  <w:divsChild>
                    <w:div w:id="134104500">
                      <w:marLeft w:val="0"/>
                      <w:marRight w:val="0"/>
                      <w:marTop w:val="0"/>
                      <w:marBottom w:val="0"/>
                      <w:divBdr>
                        <w:top w:val="none" w:sz="0" w:space="0" w:color="auto"/>
                        <w:left w:val="none" w:sz="0" w:space="0" w:color="auto"/>
                        <w:bottom w:val="none" w:sz="0" w:space="0" w:color="auto"/>
                        <w:right w:val="none" w:sz="0" w:space="0" w:color="auto"/>
                      </w:divBdr>
                    </w:div>
                  </w:divsChild>
                </w:div>
                <w:div w:id="120147389">
                  <w:marLeft w:val="0"/>
                  <w:marRight w:val="0"/>
                  <w:marTop w:val="0"/>
                  <w:marBottom w:val="0"/>
                  <w:divBdr>
                    <w:top w:val="none" w:sz="0" w:space="0" w:color="auto"/>
                    <w:left w:val="none" w:sz="0" w:space="0" w:color="auto"/>
                    <w:bottom w:val="none" w:sz="0" w:space="0" w:color="auto"/>
                    <w:right w:val="none" w:sz="0" w:space="0" w:color="auto"/>
                  </w:divBdr>
                  <w:divsChild>
                    <w:div w:id="1190413837">
                      <w:marLeft w:val="0"/>
                      <w:marRight w:val="0"/>
                      <w:marTop w:val="0"/>
                      <w:marBottom w:val="0"/>
                      <w:divBdr>
                        <w:top w:val="none" w:sz="0" w:space="0" w:color="auto"/>
                        <w:left w:val="none" w:sz="0" w:space="0" w:color="auto"/>
                        <w:bottom w:val="none" w:sz="0" w:space="0" w:color="auto"/>
                        <w:right w:val="none" w:sz="0" w:space="0" w:color="auto"/>
                      </w:divBdr>
                    </w:div>
                  </w:divsChild>
                </w:div>
                <w:div w:id="773599112">
                  <w:marLeft w:val="0"/>
                  <w:marRight w:val="0"/>
                  <w:marTop w:val="0"/>
                  <w:marBottom w:val="0"/>
                  <w:divBdr>
                    <w:top w:val="none" w:sz="0" w:space="0" w:color="auto"/>
                    <w:left w:val="none" w:sz="0" w:space="0" w:color="auto"/>
                    <w:bottom w:val="none" w:sz="0" w:space="0" w:color="auto"/>
                    <w:right w:val="none" w:sz="0" w:space="0" w:color="auto"/>
                  </w:divBdr>
                  <w:divsChild>
                    <w:div w:id="1537082259">
                      <w:marLeft w:val="0"/>
                      <w:marRight w:val="0"/>
                      <w:marTop w:val="0"/>
                      <w:marBottom w:val="0"/>
                      <w:divBdr>
                        <w:top w:val="none" w:sz="0" w:space="0" w:color="auto"/>
                        <w:left w:val="none" w:sz="0" w:space="0" w:color="auto"/>
                        <w:bottom w:val="none" w:sz="0" w:space="0" w:color="auto"/>
                        <w:right w:val="none" w:sz="0" w:space="0" w:color="auto"/>
                      </w:divBdr>
                    </w:div>
                  </w:divsChild>
                </w:div>
                <w:div w:id="1792288524">
                  <w:marLeft w:val="0"/>
                  <w:marRight w:val="0"/>
                  <w:marTop w:val="0"/>
                  <w:marBottom w:val="0"/>
                  <w:divBdr>
                    <w:top w:val="none" w:sz="0" w:space="0" w:color="auto"/>
                    <w:left w:val="none" w:sz="0" w:space="0" w:color="auto"/>
                    <w:bottom w:val="none" w:sz="0" w:space="0" w:color="auto"/>
                    <w:right w:val="none" w:sz="0" w:space="0" w:color="auto"/>
                  </w:divBdr>
                  <w:divsChild>
                    <w:div w:id="201285922">
                      <w:marLeft w:val="0"/>
                      <w:marRight w:val="0"/>
                      <w:marTop w:val="0"/>
                      <w:marBottom w:val="0"/>
                      <w:divBdr>
                        <w:top w:val="none" w:sz="0" w:space="0" w:color="auto"/>
                        <w:left w:val="none" w:sz="0" w:space="0" w:color="auto"/>
                        <w:bottom w:val="none" w:sz="0" w:space="0" w:color="auto"/>
                        <w:right w:val="none" w:sz="0" w:space="0" w:color="auto"/>
                      </w:divBdr>
                    </w:div>
                  </w:divsChild>
                </w:div>
                <w:div w:id="1242448074">
                  <w:marLeft w:val="0"/>
                  <w:marRight w:val="0"/>
                  <w:marTop w:val="0"/>
                  <w:marBottom w:val="0"/>
                  <w:divBdr>
                    <w:top w:val="none" w:sz="0" w:space="0" w:color="auto"/>
                    <w:left w:val="none" w:sz="0" w:space="0" w:color="auto"/>
                    <w:bottom w:val="none" w:sz="0" w:space="0" w:color="auto"/>
                    <w:right w:val="none" w:sz="0" w:space="0" w:color="auto"/>
                  </w:divBdr>
                  <w:divsChild>
                    <w:div w:id="311907442">
                      <w:marLeft w:val="0"/>
                      <w:marRight w:val="0"/>
                      <w:marTop w:val="0"/>
                      <w:marBottom w:val="0"/>
                      <w:divBdr>
                        <w:top w:val="none" w:sz="0" w:space="0" w:color="auto"/>
                        <w:left w:val="none" w:sz="0" w:space="0" w:color="auto"/>
                        <w:bottom w:val="none" w:sz="0" w:space="0" w:color="auto"/>
                        <w:right w:val="none" w:sz="0" w:space="0" w:color="auto"/>
                      </w:divBdr>
                    </w:div>
                  </w:divsChild>
                </w:div>
                <w:div w:id="658194495">
                  <w:marLeft w:val="0"/>
                  <w:marRight w:val="0"/>
                  <w:marTop w:val="0"/>
                  <w:marBottom w:val="0"/>
                  <w:divBdr>
                    <w:top w:val="none" w:sz="0" w:space="0" w:color="auto"/>
                    <w:left w:val="none" w:sz="0" w:space="0" w:color="auto"/>
                    <w:bottom w:val="none" w:sz="0" w:space="0" w:color="auto"/>
                    <w:right w:val="none" w:sz="0" w:space="0" w:color="auto"/>
                  </w:divBdr>
                  <w:divsChild>
                    <w:div w:id="459037860">
                      <w:marLeft w:val="0"/>
                      <w:marRight w:val="0"/>
                      <w:marTop w:val="0"/>
                      <w:marBottom w:val="0"/>
                      <w:divBdr>
                        <w:top w:val="none" w:sz="0" w:space="0" w:color="auto"/>
                        <w:left w:val="none" w:sz="0" w:space="0" w:color="auto"/>
                        <w:bottom w:val="none" w:sz="0" w:space="0" w:color="auto"/>
                        <w:right w:val="none" w:sz="0" w:space="0" w:color="auto"/>
                      </w:divBdr>
                    </w:div>
                  </w:divsChild>
                </w:div>
                <w:div w:id="1314985796">
                  <w:marLeft w:val="0"/>
                  <w:marRight w:val="0"/>
                  <w:marTop w:val="0"/>
                  <w:marBottom w:val="0"/>
                  <w:divBdr>
                    <w:top w:val="none" w:sz="0" w:space="0" w:color="auto"/>
                    <w:left w:val="none" w:sz="0" w:space="0" w:color="auto"/>
                    <w:bottom w:val="none" w:sz="0" w:space="0" w:color="auto"/>
                    <w:right w:val="none" w:sz="0" w:space="0" w:color="auto"/>
                  </w:divBdr>
                  <w:divsChild>
                    <w:div w:id="1427118410">
                      <w:marLeft w:val="0"/>
                      <w:marRight w:val="0"/>
                      <w:marTop w:val="0"/>
                      <w:marBottom w:val="0"/>
                      <w:divBdr>
                        <w:top w:val="none" w:sz="0" w:space="0" w:color="auto"/>
                        <w:left w:val="none" w:sz="0" w:space="0" w:color="auto"/>
                        <w:bottom w:val="none" w:sz="0" w:space="0" w:color="auto"/>
                        <w:right w:val="none" w:sz="0" w:space="0" w:color="auto"/>
                      </w:divBdr>
                    </w:div>
                  </w:divsChild>
                </w:div>
                <w:div w:id="68354835">
                  <w:marLeft w:val="0"/>
                  <w:marRight w:val="0"/>
                  <w:marTop w:val="0"/>
                  <w:marBottom w:val="0"/>
                  <w:divBdr>
                    <w:top w:val="none" w:sz="0" w:space="0" w:color="auto"/>
                    <w:left w:val="none" w:sz="0" w:space="0" w:color="auto"/>
                    <w:bottom w:val="none" w:sz="0" w:space="0" w:color="auto"/>
                    <w:right w:val="none" w:sz="0" w:space="0" w:color="auto"/>
                  </w:divBdr>
                  <w:divsChild>
                    <w:div w:id="207497639">
                      <w:marLeft w:val="0"/>
                      <w:marRight w:val="0"/>
                      <w:marTop w:val="0"/>
                      <w:marBottom w:val="0"/>
                      <w:divBdr>
                        <w:top w:val="none" w:sz="0" w:space="0" w:color="auto"/>
                        <w:left w:val="none" w:sz="0" w:space="0" w:color="auto"/>
                        <w:bottom w:val="none" w:sz="0" w:space="0" w:color="auto"/>
                        <w:right w:val="none" w:sz="0" w:space="0" w:color="auto"/>
                      </w:divBdr>
                    </w:div>
                  </w:divsChild>
                </w:div>
                <w:div w:id="42600872">
                  <w:marLeft w:val="0"/>
                  <w:marRight w:val="0"/>
                  <w:marTop w:val="0"/>
                  <w:marBottom w:val="0"/>
                  <w:divBdr>
                    <w:top w:val="none" w:sz="0" w:space="0" w:color="auto"/>
                    <w:left w:val="none" w:sz="0" w:space="0" w:color="auto"/>
                    <w:bottom w:val="none" w:sz="0" w:space="0" w:color="auto"/>
                    <w:right w:val="none" w:sz="0" w:space="0" w:color="auto"/>
                  </w:divBdr>
                  <w:divsChild>
                    <w:div w:id="1778717173">
                      <w:marLeft w:val="0"/>
                      <w:marRight w:val="0"/>
                      <w:marTop w:val="0"/>
                      <w:marBottom w:val="0"/>
                      <w:divBdr>
                        <w:top w:val="none" w:sz="0" w:space="0" w:color="auto"/>
                        <w:left w:val="none" w:sz="0" w:space="0" w:color="auto"/>
                        <w:bottom w:val="none" w:sz="0" w:space="0" w:color="auto"/>
                        <w:right w:val="none" w:sz="0" w:space="0" w:color="auto"/>
                      </w:divBdr>
                    </w:div>
                  </w:divsChild>
                </w:div>
                <w:div w:id="957221640">
                  <w:marLeft w:val="0"/>
                  <w:marRight w:val="0"/>
                  <w:marTop w:val="0"/>
                  <w:marBottom w:val="0"/>
                  <w:divBdr>
                    <w:top w:val="none" w:sz="0" w:space="0" w:color="auto"/>
                    <w:left w:val="none" w:sz="0" w:space="0" w:color="auto"/>
                    <w:bottom w:val="none" w:sz="0" w:space="0" w:color="auto"/>
                    <w:right w:val="none" w:sz="0" w:space="0" w:color="auto"/>
                  </w:divBdr>
                  <w:divsChild>
                    <w:div w:id="1793404559">
                      <w:marLeft w:val="0"/>
                      <w:marRight w:val="0"/>
                      <w:marTop w:val="0"/>
                      <w:marBottom w:val="0"/>
                      <w:divBdr>
                        <w:top w:val="none" w:sz="0" w:space="0" w:color="auto"/>
                        <w:left w:val="none" w:sz="0" w:space="0" w:color="auto"/>
                        <w:bottom w:val="none" w:sz="0" w:space="0" w:color="auto"/>
                        <w:right w:val="none" w:sz="0" w:space="0" w:color="auto"/>
                      </w:divBdr>
                    </w:div>
                  </w:divsChild>
                </w:div>
                <w:div w:id="1623151236">
                  <w:marLeft w:val="0"/>
                  <w:marRight w:val="0"/>
                  <w:marTop w:val="0"/>
                  <w:marBottom w:val="0"/>
                  <w:divBdr>
                    <w:top w:val="none" w:sz="0" w:space="0" w:color="auto"/>
                    <w:left w:val="none" w:sz="0" w:space="0" w:color="auto"/>
                    <w:bottom w:val="none" w:sz="0" w:space="0" w:color="auto"/>
                    <w:right w:val="none" w:sz="0" w:space="0" w:color="auto"/>
                  </w:divBdr>
                  <w:divsChild>
                    <w:div w:id="842402776">
                      <w:marLeft w:val="0"/>
                      <w:marRight w:val="0"/>
                      <w:marTop w:val="0"/>
                      <w:marBottom w:val="0"/>
                      <w:divBdr>
                        <w:top w:val="none" w:sz="0" w:space="0" w:color="auto"/>
                        <w:left w:val="none" w:sz="0" w:space="0" w:color="auto"/>
                        <w:bottom w:val="none" w:sz="0" w:space="0" w:color="auto"/>
                        <w:right w:val="none" w:sz="0" w:space="0" w:color="auto"/>
                      </w:divBdr>
                    </w:div>
                  </w:divsChild>
                </w:div>
                <w:div w:id="575819665">
                  <w:marLeft w:val="0"/>
                  <w:marRight w:val="0"/>
                  <w:marTop w:val="0"/>
                  <w:marBottom w:val="0"/>
                  <w:divBdr>
                    <w:top w:val="none" w:sz="0" w:space="0" w:color="auto"/>
                    <w:left w:val="none" w:sz="0" w:space="0" w:color="auto"/>
                    <w:bottom w:val="none" w:sz="0" w:space="0" w:color="auto"/>
                    <w:right w:val="none" w:sz="0" w:space="0" w:color="auto"/>
                  </w:divBdr>
                  <w:divsChild>
                    <w:div w:id="914170223">
                      <w:marLeft w:val="0"/>
                      <w:marRight w:val="0"/>
                      <w:marTop w:val="0"/>
                      <w:marBottom w:val="0"/>
                      <w:divBdr>
                        <w:top w:val="none" w:sz="0" w:space="0" w:color="auto"/>
                        <w:left w:val="none" w:sz="0" w:space="0" w:color="auto"/>
                        <w:bottom w:val="none" w:sz="0" w:space="0" w:color="auto"/>
                        <w:right w:val="none" w:sz="0" w:space="0" w:color="auto"/>
                      </w:divBdr>
                    </w:div>
                  </w:divsChild>
                </w:div>
                <w:div w:id="95447664">
                  <w:marLeft w:val="0"/>
                  <w:marRight w:val="0"/>
                  <w:marTop w:val="0"/>
                  <w:marBottom w:val="0"/>
                  <w:divBdr>
                    <w:top w:val="none" w:sz="0" w:space="0" w:color="auto"/>
                    <w:left w:val="none" w:sz="0" w:space="0" w:color="auto"/>
                    <w:bottom w:val="none" w:sz="0" w:space="0" w:color="auto"/>
                    <w:right w:val="none" w:sz="0" w:space="0" w:color="auto"/>
                  </w:divBdr>
                  <w:divsChild>
                    <w:div w:id="10954511">
                      <w:marLeft w:val="0"/>
                      <w:marRight w:val="0"/>
                      <w:marTop w:val="0"/>
                      <w:marBottom w:val="0"/>
                      <w:divBdr>
                        <w:top w:val="none" w:sz="0" w:space="0" w:color="auto"/>
                        <w:left w:val="none" w:sz="0" w:space="0" w:color="auto"/>
                        <w:bottom w:val="none" w:sz="0" w:space="0" w:color="auto"/>
                        <w:right w:val="none" w:sz="0" w:space="0" w:color="auto"/>
                      </w:divBdr>
                    </w:div>
                  </w:divsChild>
                </w:div>
                <w:div w:id="667102476">
                  <w:marLeft w:val="0"/>
                  <w:marRight w:val="0"/>
                  <w:marTop w:val="0"/>
                  <w:marBottom w:val="0"/>
                  <w:divBdr>
                    <w:top w:val="none" w:sz="0" w:space="0" w:color="auto"/>
                    <w:left w:val="none" w:sz="0" w:space="0" w:color="auto"/>
                    <w:bottom w:val="none" w:sz="0" w:space="0" w:color="auto"/>
                    <w:right w:val="none" w:sz="0" w:space="0" w:color="auto"/>
                  </w:divBdr>
                  <w:divsChild>
                    <w:div w:id="1829134534">
                      <w:marLeft w:val="0"/>
                      <w:marRight w:val="0"/>
                      <w:marTop w:val="0"/>
                      <w:marBottom w:val="0"/>
                      <w:divBdr>
                        <w:top w:val="none" w:sz="0" w:space="0" w:color="auto"/>
                        <w:left w:val="none" w:sz="0" w:space="0" w:color="auto"/>
                        <w:bottom w:val="none" w:sz="0" w:space="0" w:color="auto"/>
                        <w:right w:val="none" w:sz="0" w:space="0" w:color="auto"/>
                      </w:divBdr>
                    </w:div>
                  </w:divsChild>
                </w:div>
                <w:div w:id="644310559">
                  <w:marLeft w:val="0"/>
                  <w:marRight w:val="0"/>
                  <w:marTop w:val="0"/>
                  <w:marBottom w:val="0"/>
                  <w:divBdr>
                    <w:top w:val="none" w:sz="0" w:space="0" w:color="auto"/>
                    <w:left w:val="none" w:sz="0" w:space="0" w:color="auto"/>
                    <w:bottom w:val="none" w:sz="0" w:space="0" w:color="auto"/>
                    <w:right w:val="none" w:sz="0" w:space="0" w:color="auto"/>
                  </w:divBdr>
                  <w:divsChild>
                    <w:div w:id="975835535">
                      <w:marLeft w:val="0"/>
                      <w:marRight w:val="0"/>
                      <w:marTop w:val="0"/>
                      <w:marBottom w:val="0"/>
                      <w:divBdr>
                        <w:top w:val="none" w:sz="0" w:space="0" w:color="auto"/>
                        <w:left w:val="none" w:sz="0" w:space="0" w:color="auto"/>
                        <w:bottom w:val="none" w:sz="0" w:space="0" w:color="auto"/>
                        <w:right w:val="none" w:sz="0" w:space="0" w:color="auto"/>
                      </w:divBdr>
                    </w:div>
                  </w:divsChild>
                </w:div>
                <w:div w:id="1728139779">
                  <w:marLeft w:val="0"/>
                  <w:marRight w:val="0"/>
                  <w:marTop w:val="0"/>
                  <w:marBottom w:val="0"/>
                  <w:divBdr>
                    <w:top w:val="none" w:sz="0" w:space="0" w:color="auto"/>
                    <w:left w:val="none" w:sz="0" w:space="0" w:color="auto"/>
                    <w:bottom w:val="none" w:sz="0" w:space="0" w:color="auto"/>
                    <w:right w:val="none" w:sz="0" w:space="0" w:color="auto"/>
                  </w:divBdr>
                  <w:divsChild>
                    <w:div w:id="1248151660">
                      <w:marLeft w:val="0"/>
                      <w:marRight w:val="0"/>
                      <w:marTop w:val="0"/>
                      <w:marBottom w:val="0"/>
                      <w:divBdr>
                        <w:top w:val="none" w:sz="0" w:space="0" w:color="auto"/>
                        <w:left w:val="none" w:sz="0" w:space="0" w:color="auto"/>
                        <w:bottom w:val="none" w:sz="0" w:space="0" w:color="auto"/>
                        <w:right w:val="none" w:sz="0" w:space="0" w:color="auto"/>
                      </w:divBdr>
                    </w:div>
                  </w:divsChild>
                </w:div>
                <w:div w:id="1843932712">
                  <w:marLeft w:val="0"/>
                  <w:marRight w:val="0"/>
                  <w:marTop w:val="0"/>
                  <w:marBottom w:val="0"/>
                  <w:divBdr>
                    <w:top w:val="none" w:sz="0" w:space="0" w:color="auto"/>
                    <w:left w:val="none" w:sz="0" w:space="0" w:color="auto"/>
                    <w:bottom w:val="none" w:sz="0" w:space="0" w:color="auto"/>
                    <w:right w:val="none" w:sz="0" w:space="0" w:color="auto"/>
                  </w:divBdr>
                  <w:divsChild>
                    <w:div w:id="1540388582">
                      <w:marLeft w:val="0"/>
                      <w:marRight w:val="0"/>
                      <w:marTop w:val="0"/>
                      <w:marBottom w:val="0"/>
                      <w:divBdr>
                        <w:top w:val="none" w:sz="0" w:space="0" w:color="auto"/>
                        <w:left w:val="none" w:sz="0" w:space="0" w:color="auto"/>
                        <w:bottom w:val="none" w:sz="0" w:space="0" w:color="auto"/>
                        <w:right w:val="none" w:sz="0" w:space="0" w:color="auto"/>
                      </w:divBdr>
                    </w:div>
                  </w:divsChild>
                </w:div>
                <w:div w:id="1498377805">
                  <w:marLeft w:val="0"/>
                  <w:marRight w:val="0"/>
                  <w:marTop w:val="0"/>
                  <w:marBottom w:val="0"/>
                  <w:divBdr>
                    <w:top w:val="none" w:sz="0" w:space="0" w:color="auto"/>
                    <w:left w:val="none" w:sz="0" w:space="0" w:color="auto"/>
                    <w:bottom w:val="none" w:sz="0" w:space="0" w:color="auto"/>
                    <w:right w:val="none" w:sz="0" w:space="0" w:color="auto"/>
                  </w:divBdr>
                  <w:divsChild>
                    <w:div w:id="1241403877">
                      <w:marLeft w:val="0"/>
                      <w:marRight w:val="0"/>
                      <w:marTop w:val="0"/>
                      <w:marBottom w:val="0"/>
                      <w:divBdr>
                        <w:top w:val="none" w:sz="0" w:space="0" w:color="auto"/>
                        <w:left w:val="none" w:sz="0" w:space="0" w:color="auto"/>
                        <w:bottom w:val="none" w:sz="0" w:space="0" w:color="auto"/>
                        <w:right w:val="none" w:sz="0" w:space="0" w:color="auto"/>
                      </w:divBdr>
                    </w:div>
                  </w:divsChild>
                </w:div>
                <w:div w:id="1782216950">
                  <w:marLeft w:val="0"/>
                  <w:marRight w:val="0"/>
                  <w:marTop w:val="0"/>
                  <w:marBottom w:val="0"/>
                  <w:divBdr>
                    <w:top w:val="none" w:sz="0" w:space="0" w:color="auto"/>
                    <w:left w:val="none" w:sz="0" w:space="0" w:color="auto"/>
                    <w:bottom w:val="none" w:sz="0" w:space="0" w:color="auto"/>
                    <w:right w:val="none" w:sz="0" w:space="0" w:color="auto"/>
                  </w:divBdr>
                  <w:divsChild>
                    <w:div w:id="608780515">
                      <w:marLeft w:val="0"/>
                      <w:marRight w:val="0"/>
                      <w:marTop w:val="0"/>
                      <w:marBottom w:val="0"/>
                      <w:divBdr>
                        <w:top w:val="none" w:sz="0" w:space="0" w:color="auto"/>
                        <w:left w:val="none" w:sz="0" w:space="0" w:color="auto"/>
                        <w:bottom w:val="none" w:sz="0" w:space="0" w:color="auto"/>
                        <w:right w:val="none" w:sz="0" w:space="0" w:color="auto"/>
                      </w:divBdr>
                    </w:div>
                  </w:divsChild>
                </w:div>
                <w:div w:id="115804830">
                  <w:marLeft w:val="0"/>
                  <w:marRight w:val="0"/>
                  <w:marTop w:val="0"/>
                  <w:marBottom w:val="0"/>
                  <w:divBdr>
                    <w:top w:val="none" w:sz="0" w:space="0" w:color="auto"/>
                    <w:left w:val="none" w:sz="0" w:space="0" w:color="auto"/>
                    <w:bottom w:val="none" w:sz="0" w:space="0" w:color="auto"/>
                    <w:right w:val="none" w:sz="0" w:space="0" w:color="auto"/>
                  </w:divBdr>
                  <w:divsChild>
                    <w:div w:id="681669824">
                      <w:marLeft w:val="0"/>
                      <w:marRight w:val="0"/>
                      <w:marTop w:val="0"/>
                      <w:marBottom w:val="0"/>
                      <w:divBdr>
                        <w:top w:val="none" w:sz="0" w:space="0" w:color="auto"/>
                        <w:left w:val="none" w:sz="0" w:space="0" w:color="auto"/>
                        <w:bottom w:val="none" w:sz="0" w:space="0" w:color="auto"/>
                        <w:right w:val="none" w:sz="0" w:space="0" w:color="auto"/>
                      </w:divBdr>
                    </w:div>
                  </w:divsChild>
                </w:div>
                <w:div w:id="423844829">
                  <w:marLeft w:val="0"/>
                  <w:marRight w:val="0"/>
                  <w:marTop w:val="0"/>
                  <w:marBottom w:val="0"/>
                  <w:divBdr>
                    <w:top w:val="none" w:sz="0" w:space="0" w:color="auto"/>
                    <w:left w:val="none" w:sz="0" w:space="0" w:color="auto"/>
                    <w:bottom w:val="none" w:sz="0" w:space="0" w:color="auto"/>
                    <w:right w:val="none" w:sz="0" w:space="0" w:color="auto"/>
                  </w:divBdr>
                  <w:divsChild>
                    <w:div w:id="1495756021">
                      <w:marLeft w:val="0"/>
                      <w:marRight w:val="0"/>
                      <w:marTop w:val="0"/>
                      <w:marBottom w:val="0"/>
                      <w:divBdr>
                        <w:top w:val="none" w:sz="0" w:space="0" w:color="auto"/>
                        <w:left w:val="none" w:sz="0" w:space="0" w:color="auto"/>
                        <w:bottom w:val="none" w:sz="0" w:space="0" w:color="auto"/>
                        <w:right w:val="none" w:sz="0" w:space="0" w:color="auto"/>
                      </w:divBdr>
                    </w:div>
                  </w:divsChild>
                </w:div>
                <w:div w:id="369380205">
                  <w:marLeft w:val="0"/>
                  <w:marRight w:val="0"/>
                  <w:marTop w:val="0"/>
                  <w:marBottom w:val="0"/>
                  <w:divBdr>
                    <w:top w:val="none" w:sz="0" w:space="0" w:color="auto"/>
                    <w:left w:val="none" w:sz="0" w:space="0" w:color="auto"/>
                    <w:bottom w:val="none" w:sz="0" w:space="0" w:color="auto"/>
                    <w:right w:val="none" w:sz="0" w:space="0" w:color="auto"/>
                  </w:divBdr>
                  <w:divsChild>
                    <w:div w:id="1600523849">
                      <w:marLeft w:val="0"/>
                      <w:marRight w:val="0"/>
                      <w:marTop w:val="0"/>
                      <w:marBottom w:val="0"/>
                      <w:divBdr>
                        <w:top w:val="none" w:sz="0" w:space="0" w:color="auto"/>
                        <w:left w:val="none" w:sz="0" w:space="0" w:color="auto"/>
                        <w:bottom w:val="none" w:sz="0" w:space="0" w:color="auto"/>
                        <w:right w:val="none" w:sz="0" w:space="0" w:color="auto"/>
                      </w:divBdr>
                    </w:div>
                  </w:divsChild>
                </w:div>
                <w:div w:id="1509443194">
                  <w:marLeft w:val="0"/>
                  <w:marRight w:val="0"/>
                  <w:marTop w:val="0"/>
                  <w:marBottom w:val="0"/>
                  <w:divBdr>
                    <w:top w:val="none" w:sz="0" w:space="0" w:color="auto"/>
                    <w:left w:val="none" w:sz="0" w:space="0" w:color="auto"/>
                    <w:bottom w:val="none" w:sz="0" w:space="0" w:color="auto"/>
                    <w:right w:val="none" w:sz="0" w:space="0" w:color="auto"/>
                  </w:divBdr>
                  <w:divsChild>
                    <w:div w:id="709768158">
                      <w:marLeft w:val="0"/>
                      <w:marRight w:val="0"/>
                      <w:marTop w:val="0"/>
                      <w:marBottom w:val="0"/>
                      <w:divBdr>
                        <w:top w:val="none" w:sz="0" w:space="0" w:color="auto"/>
                        <w:left w:val="none" w:sz="0" w:space="0" w:color="auto"/>
                        <w:bottom w:val="none" w:sz="0" w:space="0" w:color="auto"/>
                        <w:right w:val="none" w:sz="0" w:space="0" w:color="auto"/>
                      </w:divBdr>
                    </w:div>
                  </w:divsChild>
                </w:div>
                <w:div w:id="1468015324">
                  <w:marLeft w:val="0"/>
                  <w:marRight w:val="0"/>
                  <w:marTop w:val="0"/>
                  <w:marBottom w:val="0"/>
                  <w:divBdr>
                    <w:top w:val="none" w:sz="0" w:space="0" w:color="auto"/>
                    <w:left w:val="none" w:sz="0" w:space="0" w:color="auto"/>
                    <w:bottom w:val="none" w:sz="0" w:space="0" w:color="auto"/>
                    <w:right w:val="none" w:sz="0" w:space="0" w:color="auto"/>
                  </w:divBdr>
                  <w:divsChild>
                    <w:div w:id="1372918020">
                      <w:marLeft w:val="0"/>
                      <w:marRight w:val="0"/>
                      <w:marTop w:val="0"/>
                      <w:marBottom w:val="0"/>
                      <w:divBdr>
                        <w:top w:val="none" w:sz="0" w:space="0" w:color="auto"/>
                        <w:left w:val="none" w:sz="0" w:space="0" w:color="auto"/>
                        <w:bottom w:val="none" w:sz="0" w:space="0" w:color="auto"/>
                        <w:right w:val="none" w:sz="0" w:space="0" w:color="auto"/>
                      </w:divBdr>
                    </w:div>
                  </w:divsChild>
                </w:div>
                <w:div w:id="981428823">
                  <w:marLeft w:val="0"/>
                  <w:marRight w:val="0"/>
                  <w:marTop w:val="0"/>
                  <w:marBottom w:val="0"/>
                  <w:divBdr>
                    <w:top w:val="none" w:sz="0" w:space="0" w:color="auto"/>
                    <w:left w:val="none" w:sz="0" w:space="0" w:color="auto"/>
                    <w:bottom w:val="none" w:sz="0" w:space="0" w:color="auto"/>
                    <w:right w:val="none" w:sz="0" w:space="0" w:color="auto"/>
                  </w:divBdr>
                  <w:divsChild>
                    <w:div w:id="1801533038">
                      <w:marLeft w:val="0"/>
                      <w:marRight w:val="0"/>
                      <w:marTop w:val="0"/>
                      <w:marBottom w:val="0"/>
                      <w:divBdr>
                        <w:top w:val="none" w:sz="0" w:space="0" w:color="auto"/>
                        <w:left w:val="none" w:sz="0" w:space="0" w:color="auto"/>
                        <w:bottom w:val="none" w:sz="0" w:space="0" w:color="auto"/>
                        <w:right w:val="none" w:sz="0" w:space="0" w:color="auto"/>
                      </w:divBdr>
                    </w:div>
                  </w:divsChild>
                </w:div>
                <w:div w:id="1687556946">
                  <w:marLeft w:val="0"/>
                  <w:marRight w:val="0"/>
                  <w:marTop w:val="0"/>
                  <w:marBottom w:val="0"/>
                  <w:divBdr>
                    <w:top w:val="none" w:sz="0" w:space="0" w:color="auto"/>
                    <w:left w:val="none" w:sz="0" w:space="0" w:color="auto"/>
                    <w:bottom w:val="none" w:sz="0" w:space="0" w:color="auto"/>
                    <w:right w:val="none" w:sz="0" w:space="0" w:color="auto"/>
                  </w:divBdr>
                  <w:divsChild>
                    <w:div w:id="760563396">
                      <w:marLeft w:val="0"/>
                      <w:marRight w:val="0"/>
                      <w:marTop w:val="0"/>
                      <w:marBottom w:val="0"/>
                      <w:divBdr>
                        <w:top w:val="none" w:sz="0" w:space="0" w:color="auto"/>
                        <w:left w:val="none" w:sz="0" w:space="0" w:color="auto"/>
                        <w:bottom w:val="none" w:sz="0" w:space="0" w:color="auto"/>
                        <w:right w:val="none" w:sz="0" w:space="0" w:color="auto"/>
                      </w:divBdr>
                    </w:div>
                  </w:divsChild>
                </w:div>
                <w:div w:id="343478409">
                  <w:marLeft w:val="0"/>
                  <w:marRight w:val="0"/>
                  <w:marTop w:val="0"/>
                  <w:marBottom w:val="0"/>
                  <w:divBdr>
                    <w:top w:val="none" w:sz="0" w:space="0" w:color="auto"/>
                    <w:left w:val="none" w:sz="0" w:space="0" w:color="auto"/>
                    <w:bottom w:val="none" w:sz="0" w:space="0" w:color="auto"/>
                    <w:right w:val="none" w:sz="0" w:space="0" w:color="auto"/>
                  </w:divBdr>
                  <w:divsChild>
                    <w:div w:id="752971727">
                      <w:marLeft w:val="0"/>
                      <w:marRight w:val="0"/>
                      <w:marTop w:val="0"/>
                      <w:marBottom w:val="0"/>
                      <w:divBdr>
                        <w:top w:val="none" w:sz="0" w:space="0" w:color="auto"/>
                        <w:left w:val="none" w:sz="0" w:space="0" w:color="auto"/>
                        <w:bottom w:val="none" w:sz="0" w:space="0" w:color="auto"/>
                        <w:right w:val="none" w:sz="0" w:space="0" w:color="auto"/>
                      </w:divBdr>
                    </w:div>
                  </w:divsChild>
                </w:div>
                <w:div w:id="1305114060">
                  <w:marLeft w:val="0"/>
                  <w:marRight w:val="0"/>
                  <w:marTop w:val="0"/>
                  <w:marBottom w:val="0"/>
                  <w:divBdr>
                    <w:top w:val="none" w:sz="0" w:space="0" w:color="auto"/>
                    <w:left w:val="none" w:sz="0" w:space="0" w:color="auto"/>
                    <w:bottom w:val="none" w:sz="0" w:space="0" w:color="auto"/>
                    <w:right w:val="none" w:sz="0" w:space="0" w:color="auto"/>
                  </w:divBdr>
                  <w:divsChild>
                    <w:div w:id="1652442979">
                      <w:marLeft w:val="0"/>
                      <w:marRight w:val="0"/>
                      <w:marTop w:val="0"/>
                      <w:marBottom w:val="0"/>
                      <w:divBdr>
                        <w:top w:val="none" w:sz="0" w:space="0" w:color="auto"/>
                        <w:left w:val="none" w:sz="0" w:space="0" w:color="auto"/>
                        <w:bottom w:val="none" w:sz="0" w:space="0" w:color="auto"/>
                        <w:right w:val="none" w:sz="0" w:space="0" w:color="auto"/>
                      </w:divBdr>
                    </w:div>
                  </w:divsChild>
                </w:div>
                <w:div w:id="2074615272">
                  <w:marLeft w:val="0"/>
                  <w:marRight w:val="0"/>
                  <w:marTop w:val="0"/>
                  <w:marBottom w:val="0"/>
                  <w:divBdr>
                    <w:top w:val="none" w:sz="0" w:space="0" w:color="auto"/>
                    <w:left w:val="none" w:sz="0" w:space="0" w:color="auto"/>
                    <w:bottom w:val="none" w:sz="0" w:space="0" w:color="auto"/>
                    <w:right w:val="none" w:sz="0" w:space="0" w:color="auto"/>
                  </w:divBdr>
                  <w:divsChild>
                    <w:div w:id="89223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92556">
          <w:marLeft w:val="0"/>
          <w:marRight w:val="0"/>
          <w:marTop w:val="0"/>
          <w:marBottom w:val="0"/>
          <w:divBdr>
            <w:top w:val="none" w:sz="0" w:space="0" w:color="auto"/>
            <w:left w:val="none" w:sz="0" w:space="0" w:color="auto"/>
            <w:bottom w:val="none" w:sz="0" w:space="0" w:color="auto"/>
            <w:right w:val="none" w:sz="0" w:space="0" w:color="auto"/>
          </w:divBdr>
        </w:div>
      </w:divsChild>
    </w:div>
    <w:div w:id="121076125">
      <w:bodyDiv w:val="1"/>
      <w:marLeft w:val="0"/>
      <w:marRight w:val="0"/>
      <w:marTop w:val="0"/>
      <w:marBottom w:val="0"/>
      <w:divBdr>
        <w:top w:val="none" w:sz="0" w:space="0" w:color="auto"/>
        <w:left w:val="none" w:sz="0" w:space="0" w:color="auto"/>
        <w:bottom w:val="none" w:sz="0" w:space="0" w:color="auto"/>
        <w:right w:val="none" w:sz="0" w:space="0" w:color="auto"/>
      </w:divBdr>
      <w:divsChild>
        <w:div w:id="157425939">
          <w:marLeft w:val="0"/>
          <w:marRight w:val="0"/>
          <w:marTop w:val="0"/>
          <w:marBottom w:val="0"/>
          <w:divBdr>
            <w:top w:val="none" w:sz="0" w:space="0" w:color="auto"/>
            <w:left w:val="none" w:sz="0" w:space="0" w:color="auto"/>
            <w:bottom w:val="none" w:sz="0" w:space="0" w:color="auto"/>
            <w:right w:val="none" w:sz="0" w:space="0" w:color="auto"/>
          </w:divBdr>
          <w:divsChild>
            <w:div w:id="39059606">
              <w:marLeft w:val="0"/>
              <w:marRight w:val="0"/>
              <w:marTop w:val="0"/>
              <w:marBottom w:val="0"/>
              <w:divBdr>
                <w:top w:val="none" w:sz="0" w:space="0" w:color="auto"/>
                <w:left w:val="none" w:sz="0" w:space="0" w:color="auto"/>
                <w:bottom w:val="none" w:sz="0" w:space="0" w:color="auto"/>
                <w:right w:val="none" w:sz="0" w:space="0" w:color="auto"/>
              </w:divBdr>
            </w:div>
          </w:divsChild>
        </w:div>
        <w:div w:id="1310286532">
          <w:marLeft w:val="0"/>
          <w:marRight w:val="0"/>
          <w:marTop w:val="0"/>
          <w:marBottom w:val="0"/>
          <w:divBdr>
            <w:top w:val="none" w:sz="0" w:space="0" w:color="auto"/>
            <w:left w:val="none" w:sz="0" w:space="0" w:color="auto"/>
            <w:bottom w:val="none" w:sz="0" w:space="0" w:color="auto"/>
            <w:right w:val="none" w:sz="0" w:space="0" w:color="auto"/>
          </w:divBdr>
          <w:divsChild>
            <w:div w:id="1857815130">
              <w:marLeft w:val="0"/>
              <w:marRight w:val="0"/>
              <w:marTop w:val="0"/>
              <w:marBottom w:val="0"/>
              <w:divBdr>
                <w:top w:val="none" w:sz="0" w:space="0" w:color="auto"/>
                <w:left w:val="none" w:sz="0" w:space="0" w:color="auto"/>
                <w:bottom w:val="none" w:sz="0" w:space="0" w:color="auto"/>
                <w:right w:val="none" w:sz="0" w:space="0" w:color="auto"/>
              </w:divBdr>
            </w:div>
          </w:divsChild>
        </w:div>
        <w:div w:id="1635981778">
          <w:marLeft w:val="0"/>
          <w:marRight w:val="0"/>
          <w:marTop w:val="0"/>
          <w:marBottom w:val="0"/>
          <w:divBdr>
            <w:top w:val="none" w:sz="0" w:space="0" w:color="auto"/>
            <w:left w:val="none" w:sz="0" w:space="0" w:color="auto"/>
            <w:bottom w:val="none" w:sz="0" w:space="0" w:color="auto"/>
            <w:right w:val="none" w:sz="0" w:space="0" w:color="auto"/>
          </w:divBdr>
          <w:divsChild>
            <w:div w:id="445657688">
              <w:marLeft w:val="0"/>
              <w:marRight w:val="0"/>
              <w:marTop w:val="0"/>
              <w:marBottom w:val="0"/>
              <w:divBdr>
                <w:top w:val="none" w:sz="0" w:space="0" w:color="auto"/>
                <w:left w:val="none" w:sz="0" w:space="0" w:color="auto"/>
                <w:bottom w:val="none" w:sz="0" w:space="0" w:color="auto"/>
                <w:right w:val="none" w:sz="0" w:space="0" w:color="auto"/>
              </w:divBdr>
            </w:div>
          </w:divsChild>
        </w:div>
        <w:div w:id="1644701233">
          <w:marLeft w:val="0"/>
          <w:marRight w:val="0"/>
          <w:marTop w:val="0"/>
          <w:marBottom w:val="0"/>
          <w:divBdr>
            <w:top w:val="none" w:sz="0" w:space="0" w:color="auto"/>
            <w:left w:val="none" w:sz="0" w:space="0" w:color="auto"/>
            <w:bottom w:val="none" w:sz="0" w:space="0" w:color="auto"/>
            <w:right w:val="none" w:sz="0" w:space="0" w:color="auto"/>
          </w:divBdr>
          <w:divsChild>
            <w:div w:id="458451821">
              <w:marLeft w:val="0"/>
              <w:marRight w:val="0"/>
              <w:marTop w:val="0"/>
              <w:marBottom w:val="0"/>
              <w:divBdr>
                <w:top w:val="none" w:sz="0" w:space="0" w:color="auto"/>
                <w:left w:val="none" w:sz="0" w:space="0" w:color="auto"/>
                <w:bottom w:val="none" w:sz="0" w:space="0" w:color="auto"/>
                <w:right w:val="none" w:sz="0" w:space="0" w:color="auto"/>
              </w:divBdr>
            </w:div>
          </w:divsChild>
        </w:div>
        <w:div w:id="1377850108">
          <w:marLeft w:val="0"/>
          <w:marRight w:val="0"/>
          <w:marTop w:val="0"/>
          <w:marBottom w:val="0"/>
          <w:divBdr>
            <w:top w:val="none" w:sz="0" w:space="0" w:color="auto"/>
            <w:left w:val="none" w:sz="0" w:space="0" w:color="auto"/>
            <w:bottom w:val="none" w:sz="0" w:space="0" w:color="auto"/>
            <w:right w:val="none" w:sz="0" w:space="0" w:color="auto"/>
          </w:divBdr>
          <w:divsChild>
            <w:div w:id="865293740">
              <w:marLeft w:val="0"/>
              <w:marRight w:val="0"/>
              <w:marTop w:val="0"/>
              <w:marBottom w:val="0"/>
              <w:divBdr>
                <w:top w:val="none" w:sz="0" w:space="0" w:color="auto"/>
                <w:left w:val="none" w:sz="0" w:space="0" w:color="auto"/>
                <w:bottom w:val="none" w:sz="0" w:space="0" w:color="auto"/>
                <w:right w:val="none" w:sz="0" w:space="0" w:color="auto"/>
              </w:divBdr>
            </w:div>
          </w:divsChild>
        </w:div>
        <w:div w:id="1792626974">
          <w:marLeft w:val="0"/>
          <w:marRight w:val="0"/>
          <w:marTop w:val="0"/>
          <w:marBottom w:val="0"/>
          <w:divBdr>
            <w:top w:val="none" w:sz="0" w:space="0" w:color="auto"/>
            <w:left w:val="none" w:sz="0" w:space="0" w:color="auto"/>
            <w:bottom w:val="none" w:sz="0" w:space="0" w:color="auto"/>
            <w:right w:val="none" w:sz="0" w:space="0" w:color="auto"/>
          </w:divBdr>
          <w:divsChild>
            <w:div w:id="1000893036">
              <w:marLeft w:val="0"/>
              <w:marRight w:val="0"/>
              <w:marTop w:val="0"/>
              <w:marBottom w:val="0"/>
              <w:divBdr>
                <w:top w:val="none" w:sz="0" w:space="0" w:color="auto"/>
                <w:left w:val="none" w:sz="0" w:space="0" w:color="auto"/>
                <w:bottom w:val="none" w:sz="0" w:space="0" w:color="auto"/>
                <w:right w:val="none" w:sz="0" w:space="0" w:color="auto"/>
              </w:divBdr>
            </w:div>
          </w:divsChild>
        </w:div>
        <w:div w:id="865488386">
          <w:marLeft w:val="0"/>
          <w:marRight w:val="0"/>
          <w:marTop w:val="0"/>
          <w:marBottom w:val="0"/>
          <w:divBdr>
            <w:top w:val="none" w:sz="0" w:space="0" w:color="auto"/>
            <w:left w:val="none" w:sz="0" w:space="0" w:color="auto"/>
            <w:bottom w:val="none" w:sz="0" w:space="0" w:color="auto"/>
            <w:right w:val="none" w:sz="0" w:space="0" w:color="auto"/>
          </w:divBdr>
          <w:divsChild>
            <w:div w:id="2055084332">
              <w:marLeft w:val="0"/>
              <w:marRight w:val="0"/>
              <w:marTop w:val="0"/>
              <w:marBottom w:val="0"/>
              <w:divBdr>
                <w:top w:val="none" w:sz="0" w:space="0" w:color="auto"/>
                <w:left w:val="none" w:sz="0" w:space="0" w:color="auto"/>
                <w:bottom w:val="none" w:sz="0" w:space="0" w:color="auto"/>
                <w:right w:val="none" w:sz="0" w:space="0" w:color="auto"/>
              </w:divBdr>
            </w:div>
          </w:divsChild>
        </w:div>
        <w:div w:id="1515265435">
          <w:marLeft w:val="0"/>
          <w:marRight w:val="0"/>
          <w:marTop w:val="0"/>
          <w:marBottom w:val="0"/>
          <w:divBdr>
            <w:top w:val="none" w:sz="0" w:space="0" w:color="auto"/>
            <w:left w:val="none" w:sz="0" w:space="0" w:color="auto"/>
            <w:bottom w:val="none" w:sz="0" w:space="0" w:color="auto"/>
            <w:right w:val="none" w:sz="0" w:space="0" w:color="auto"/>
          </w:divBdr>
          <w:divsChild>
            <w:div w:id="1340766139">
              <w:marLeft w:val="0"/>
              <w:marRight w:val="0"/>
              <w:marTop w:val="0"/>
              <w:marBottom w:val="0"/>
              <w:divBdr>
                <w:top w:val="none" w:sz="0" w:space="0" w:color="auto"/>
                <w:left w:val="none" w:sz="0" w:space="0" w:color="auto"/>
                <w:bottom w:val="none" w:sz="0" w:space="0" w:color="auto"/>
                <w:right w:val="none" w:sz="0" w:space="0" w:color="auto"/>
              </w:divBdr>
            </w:div>
          </w:divsChild>
        </w:div>
        <w:div w:id="1960184556">
          <w:marLeft w:val="0"/>
          <w:marRight w:val="0"/>
          <w:marTop w:val="0"/>
          <w:marBottom w:val="0"/>
          <w:divBdr>
            <w:top w:val="none" w:sz="0" w:space="0" w:color="auto"/>
            <w:left w:val="none" w:sz="0" w:space="0" w:color="auto"/>
            <w:bottom w:val="none" w:sz="0" w:space="0" w:color="auto"/>
            <w:right w:val="none" w:sz="0" w:space="0" w:color="auto"/>
          </w:divBdr>
          <w:divsChild>
            <w:div w:id="1314530253">
              <w:marLeft w:val="0"/>
              <w:marRight w:val="0"/>
              <w:marTop w:val="0"/>
              <w:marBottom w:val="0"/>
              <w:divBdr>
                <w:top w:val="none" w:sz="0" w:space="0" w:color="auto"/>
                <w:left w:val="none" w:sz="0" w:space="0" w:color="auto"/>
                <w:bottom w:val="none" w:sz="0" w:space="0" w:color="auto"/>
                <w:right w:val="none" w:sz="0" w:space="0" w:color="auto"/>
              </w:divBdr>
            </w:div>
          </w:divsChild>
        </w:div>
        <w:div w:id="1964071009">
          <w:marLeft w:val="0"/>
          <w:marRight w:val="0"/>
          <w:marTop w:val="0"/>
          <w:marBottom w:val="0"/>
          <w:divBdr>
            <w:top w:val="none" w:sz="0" w:space="0" w:color="auto"/>
            <w:left w:val="none" w:sz="0" w:space="0" w:color="auto"/>
            <w:bottom w:val="none" w:sz="0" w:space="0" w:color="auto"/>
            <w:right w:val="none" w:sz="0" w:space="0" w:color="auto"/>
          </w:divBdr>
          <w:divsChild>
            <w:div w:id="191040906">
              <w:marLeft w:val="0"/>
              <w:marRight w:val="0"/>
              <w:marTop w:val="0"/>
              <w:marBottom w:val="0"/>
              <w:divBdr>
                <w:top w:val="none" w:sz="0" w:space="0" w:color="auto"/>
                <w:left w:val="none" w:sz="0" w:space="0" w:color="auto"/>
                <w:bottom w:val="none" w:sz="0" w:space="0" w:color="auto"/>
                <w:right w:val="none" w:sz="0" w:space="0" w:color="auto"/>
              </w:divBdr>
            </w:div>
          </w:divsChild>
        </w:div>
        <w:div w:id="1173105270">
          <w:marLeft w:val="0"/>
          <w:marRight w:val="0"/>
          <w:marTop w:val="0"/>
          <w:marBottom w:val="0"/>
          <w:divBdr>
            <w:top w:val="none" w:sz="0" w:space="0" w:color="auto"/>
            <w:left w:val="none" w:sz="0" w:space="0" w:color="auto"/>
            <w:bottom w:val="none" w:sz="0" w:space="0" w:color="auto"/>
            <w:right w:val="none" w:sz="0" w:space="0" w:color="auto"/>
          </w:divBdr>
          <w:divsChild>
            <w:div w:id="853423349">
              <w:marLeft w:val="0"/>
              <w:marRight w:val="0"/>
              <w:marTop w:val="0"/>
              <w:marBottom w:val="0"/>
              <w:divBdr>
                <w:top w:val="none" w:sz="0" w:space="0" w:color="auto"/>
                <w:left w:val="none" w:sz="0" w:space="0" w:color="auto"/>
                <w:bottom w:val="none" w:sz="0" w:space="0" w:color="auto"/>
                <w:right w:val="none" w:sz="0" w:space="0" w:color="auto"/>
              </w:divBdr>
            </w:div>
          </w:divsChild>
        </w:div>
        <w:div w:id="1086456102">
          <w:marLeft w:val="0"/>
          <w:marRight w:val="0"/>
          <w:marTop w:val="0"/>
          <w:marBottom w:val="0"/>
          <w:divBdr>
            <w:top w:val="none" w:sz="0" w:space="0" w:color="auto"/>
            <w:left w:val="none" w:sz="0" w:space="0" w:color="auto"/>
            <w:bottom w:val="none" w:sz="0" w:space="0" w:color="auto"/>
            <w:right w:val="none" w:sz="0" w:space="0" w:color="auto"/>
          </w:divBdr>
          <w:divsChild>
            <w:div w:id="135488514">
              <w:marLeft w:val="0"/>
              <w:marRight w:val="0"/>
              <w:marTop w:val="0"/>
              <w:marBottom w:val="0"/>
              <w:divBdr>
                <w:top w:val="none" w:sz="0" w:space="0" w:color="auto"/>
                <w:left w:val="none" w:sz="0" w:space="0" w:color="auto"/>
                <w:bottom w:val="none" w:sz="0" w:space="0" w:color="auto"/>
                <w:right w:val="none" w:sz="0" w:space="0" w:color="auto"/>
              </w:divBdr>
            </w:div>
          </w:divsChild>
        </w:div>
        <w:div w:id="1650746780">
          <w:marLeft w:val="0"/>
          <w:marRight w:val="0"/>
          <w:marTop w:val="0"/>
          <w:marBottom w:val="0"/>
          <w:divBdr>
            <w:top w:val="none" w:sz="0" w:space="0" w:color="auto"/>
            <w:left w:val="none" w:sz="0" w:space="0" w:color="auto"/>
            <w:bottom w:val="none" w:sz="0" w:space="0" w:color="auto"/>
            <w:right w:val="none" w:sz="0" w:space="0" w:color="auto"/>
          </w:divBdr>
          <w:divsChild>
            <w:div w:id="274949583">
              <w:marLeft w:val="0"/>
              <w:marRight w:val="0"/>
              <w:marTop w:val="0"/>
              <w:marBottom w:val="0"/>
              <w:divBdr>
                <w:top w:val="none" w:sz="0" w:space="0" w:color="auto"/>
                <w:left w:val="none" w:sz="0" w:space="0" w:color="auto"/>
                <w:bottom w:val="none" w:sz="0" w:space="0" w:color="auto"/>
                <w:right w:val="none" w:sz="0" w:space="0" w:color="auto"/>
              </w:divBdr>
            </w:div>
          </w:divsChild>
        </w:div>
        <w:div w:id="1949042427">
          <w:marLeft w:val="0"/>
          <w:marRight w:val="0"/>
          <w:marTop w:val="0"/>
          <w:marBottom w:val="0"/>
          <w:divBdr>
            <w:top w:val="none" w:sz="0" w:space="0" w:color="auto"/>
            <w:left w:val="none" w:sz="0" w:space="0" w:color="auto"/>
            <w:bottom w:val="none" w:sz="0" w:space="0" w:color="auto"/>
            <w:right w:val="none" w:sz="0" w:space="0" w:color="auto"/>
          </w:divBdr>
          <w:divsChild>
            <w:div w:id="1173838023">
              <w:marLeft w:val="0"/>
              <w:marRight w:val="0"/>
              <w:marTop w:val="0"/>
              <w:marBottom w:val="0"/>
              <w:divBdr>
                <w:top w:val="none" w:sz="0" w:space="0" w:color="auto"/>
                <w:left w:val="none" w:sz="0" w:space="0" w:color="auto"/>
                <w:bottom w:val="none" w:sz="0" w:space="0" w:color="auto"/>
                <w:right w:val="none" w:sz="0" w:space="0" w:color="auto"/>
              </w:divBdr>
            </w:div>
          </w:divsChild>
        </w:div>
        <w:div w:id="67577273">
          <w:marLeft w:val="0"/>
          <w:marRight w:val="0"/>
          <w:marTop w:val="0"/>
          <w:marBottom w:val="0"/>
          <w:divBdr>
            <w:top w:val="none" w:sz="0" w:space="0" w:color="auto"/>
            <w:left w:val="none" w:sz="0" w:space="0" w:color="auto"/>
            <w:bottom w:val="none" w:sz="0" w:space="0" w:color="auto"/>
            <w:right w:val="none" w:sz="0" w:space="0" w:color="auto"/>
          </w:divBdr>
          <w:divsChild>
            <w:div w:id="1282420969">
              <w:marLeft w:val="0"/>
              <w:marRight w:val="0"/>
              <w:marTop w:val="0"/>
              <w:marBottom w:val="0"/>
              <w:divBdr>
                <w:top w:val="none" w:sz="0" w:space="0" w:color="auto"/>
                <w:left w:val="none" w:sz="0" w:space="0" w:color="auto"/>
                <w:bottom w:val="none" w:sz="0" w:space="0" w:color="auto"/>
                <w:right w:val="none" w:sz="0" w:space="0" w:color="auto"/>
              </w:divBdr>
            </w:div>
          </w:divsChild>
        </w:div>
        <w:div w:id="1023291255">
          <w:marLeft w:val="0"/>
          <w:marRight w:val="0"/>
          <w:marTop w:val="0"/>
          <w:marBottom w:val="0"/>
          <w:divBdr>
            <w:top w:val="none" w:sz="0" w:space="0" w:color="auto"/>
            <w:left w:val="none" w:sz="0" w:space="0" w:color="auto"/>
            <w:bottom w:val="none" w:sz="0" w:space="0" w:color="auto"/>
            <w:right w:val="none" w:sz="0" w:space="0" w:color="auto"/>
          </w:divBdr>
          <w:divsChild>
            <w:div w:id="988368696">
              <w:marLeft w:val="0"/>
              <w:marRight w:val="0"/>
              <w:marTop w:val="0"/>
              <w:marBottom w:val="0"/>
              <w:divBdr>
                <w:top w:val="none" w:sz="0" w:space="0" w:color="auto"/>
                <w:left w:val="none" w:sz="0" w:space="0" w:color="auto"/>
                <w:bottom w:val="none" w:sz="0" w:space="0" w:color="auto"/>
                <w:right w:val="none" w:sz="0" w:space="0" w:color="auto"/>
              </w:divBdr>
            </w:div>
          </w:divsChild>
        </w:div>
        <w:div w:id="2118137635">
          <w:marLeft w:val="0"/>
          <w:marRight w:val="0"/>
          <w:marTop w:val="0"/>
          <w:marBottom w:val="0"/>
          <w:divBdr>
            <w:top w:val="none" w:sz="0" w:space="0" w:color="auto"/>
            <w:left w:val="none" w:sz="0" w:space="0" w:color="auto"/>
            <w:bottom w:val="none" w:sz="0" w:space="0" w:color="auto"/>
            <w:right w:val="none" w:sz="0" w:space="0" w:color="auto"/>
          </w:divBdr>
          <w:divsChild>
            <w:div w:id="191308075">
              <w:marLeft w:val="0"/>
              <w:marRight w:val="0"/>
              <w:marTop w:val="0"/>
              <w:marBottom w:val="0"/>
              <w:divBdr>
                <w:top w:val="none" w:sz="0" w:space="0" w:color="auto"/>
                <w:left w:val="none" w:sz="0" w:space="0" w:color="auto"/>
                <w:bottom w:val="none" w:sz="0" w:space="0" w:color="auto"/>
                <w:right w:val="none" w:sz="0" w:space="0" w:color="auto"/>
              </w:divBdr>
            </w:div>
          </w:divsChild>
        </w:div>
        <w:div w:id="1831480885">
          <w:marLeft w:val="0"/>
          <w:marRight w:val="0"/>
          <w:marTop w:val="0"/>
          <w:marBottom w:val="0"/>
          <w:divBdr>
            <w:top w:val="none" w:sz="0" w:space="0" w:color="auto"/>
            <w:left w:val="none" w:sz="0" w:space="0" w:color="auto"/>
            <w:bottom w:val="none" w:sz="0" w:space="0" w:color="auto"/>
            <w:right w:val="none" w:sz="0" w:space="0" w:color="auto"/>
          </w:divBdr>
          <w:divsChild>
            <w:div w:id="132304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2152">
      <w:bodyDiv w:val="1"/>
      <w:marLeft w:val="0"/>
      <w:marRight w:val="0"/>
      <w:marTop w:val="0"/>
      <w:marBottom w:val="0"/>
      <w:divBdr>
        <w:top w:val="none" w:sz="0" w:space="0" w:color="auto"/>
        <w:left w:val="none" w:sz="0" w:space="0" w:color="auto"/>
        <w:bottom w:val="none" w:sz="0" w:space="0" w:color="auto"/>
        <w:right w:val="none" w:sz="0" w:space="0" w:color="auto"/>
      </w:divBdr>
    </w:div>
    <w:div w:id="164710373">
      <w:bodyDiv w:val="1"/>
      <w:marLeft w:val="0"/>
      <w:marRight w:val="0"/>
      <w:marTop w:val="0"/>
      <w:marBottom w:val="0"/>
      <w:divBdr>
        <w:top w:val="none" w:sz="0" w:space="0" w:color="auto"/>
        <w:left w:val="none" w:sz="0" w:space="0" w:color="auto"/>
        <w:bottom w:val="none" w:sz="0" w:space="0" w:color="auto"/>
        <w:right w:val="none" w:sz="0" w:space="0" w:color="auto"/>
      </w:divBdr>
    </w:div>
    <w:div w:id="183515472">
      <w:bodyDiv w:val="1"/>
      <w:marLeft w:val="0"/>
      <w:marRight w:val="0"/>
      <w:marTop w:val="0"/>
      <w:marBottom w:val="0"/>
      <w:divBdr>
        <w:top w:val="none" w:sz="0" w:space="0" w:color="auto"/>
        <w:left w:val="none" w:sz="0" w:space="0" w:color="auto"/>
        <w:bottom w:val="none" w:sz="0" w:space="0" w:color="auto"/>
        <w:right w:val="none" w:sz="0" w:space="0" w:color="auto"/>
      </w:divBdr>
    </w:div>
    <w:div w:id="195242454">
      <w:bodyDiv w:val="1"/>
      <w:marLeft w:val="0"/>
      <w:marRight w:val="0"/>
      <w:marTop w:val="0"/>
      <w:marBottom w:val="0"/>
      <w:divBdr>
        <w:top w:val="none" w:sz="0" w:space="0" w:color="auto"/>
        <w:left w:val="none" w:sz="0" w:space="0" w:color="auto"/>
        <w:bottom w:val="none" w:sz="0" w:space="0" w:color="auto"/>
        <w:right w:val="none" w:sz="0" w:space="0" w:color="auto"/>
      </w:divBdr>
      <w:divsChild>
        <w:div w:id="1766269171">
          <w:marLeft w:val="0"/>
          <w:marRight w:val="0"/>
          <w:marTop w:val="0"/>
          <w:marBottom w:val="0"/>
          <w:divBdr>
            <w:top w:val="none" w:sz="0" w:space="0" w:color="auto"/>
            <w:left w:val="none" w:sz="0" w:space="0" w:color="auto"/>
            <w:bottom w:val="none" w:sz="0" w:space="0" w:color="auto"/>
            <w:right w:val="none" w:sz="0" w:space="0" w:color="auto"/>
          </w:divBdr>
        </w:div>
        <w:div w:id="563025365">
          <w:marLeft w:val="0"/>
          <w:marRight w:val="0"/>
          <w:marTop w:val="0"/>
          <w:marBottom w:val="0"/>
          <w:divBdr>
            <w:top w:val="none" w:sz="0" w:space="0" w:color="auto"/>
            <w:left w:val="none" w:sz="0" w:space="0" w:color="auto"/>
            <w:bottom w:val="none" w:sz="0" w:space="0" w:color="auto"/>
            <w:right w:val="none" w:sz="0" w:space="0" w:color="auto"/>
          </w:divBdr>
        </w:div>
        <w:div w:id="652494301">
          <w:marLeft w:val="0"/>
          <w:marRight w:val="0"/>
          <w:marTop w:val="0"/>
          <w:marBottom w:val="0"/>
          <w:divBdr>
            <w:top w:val="none" w:sz="0" w:space="0" w:color="auto"/>
            <w:left w:val="none" w:sz="0" w:space="0" w:color="auto"/>
            <w:bottom w:val="none" w:sz="0" w:space="0" w:color="auto"/>
            <w:right w:val="none" w:sz="0" w:space="0" w:color="auto"/>
          </w:divBdr>
        </w:div>
        <w:div w:id="1119299504">
          <w:marLeft w:val="0"/>
          <w:marRight w:val="0"/>
          <w:marTop w:val="0"/>
          <w:marBottom w:val="0"/>
          <w:divBdr>
            <w:top w:val="none" w:sz="0" w:space="0" w:color="auto"/>
            <w:left w:val="none" w:sz="0" w:space="0" w:color="auto"/>
            <w:bottom w:val="none" w:sz="0" w:space="0" w:color="auto"/>
            <w:right w:val="none" w:sz="0" w:space="0" w:color="auto"/>
          </w:divBdr>
        </w:div>
      </w:divsChild>
    </w:div>
    <w:div w:id="213470089">
      <w:bodyDiv w:val="1"/>
      <w:marLeft w:val="0"/>
      <w:marRight w:val="0"/>
      <w:marTop w:val="0"/>
      <w:marBottom w:val="0"/>
      <w:divBdr>
        <w:top w:val="none" w:sz="0" w:space="0" w:color="auto"/>
        <w:left w:val="none" w:sz="0" w:space="0" w:color="auto"/>
        <w:bottom w:val="none" w:sz="0" w:space="0" w:color="auto"/>
        <w:right w:val="none" w:sz="0" w:space="0" w:color="auto"/>
      </w:divBdr>
    </w:div>
    <w:div w:id="214240684">
      <w:bodyDiv w:val="1"/>
      <w:marLeft w:val="0"/>
      <w:marRight w:val="0"/>
      <w:marTop w:val="0"/>
      <w:marBottom w:val="0"/>
      <w:divBdr>
        <w:top w:val="none" w:sz="0" w:space="0" w:color="auto"/>
        <w:left w:val="none" w:sz="0" w:space="0" w:color="auto"/>
        <w:bottom w:val="none" w:sz="0" w:space="0" w:color="auto"/>
        <w:right w:val="none" w:sz="0" w:space="0" w:color="auto"/>
      </w:divBdr>
      <w:divsChild>
        <w:div w:id="2078162124">
          <w:marLeft w:val="0"/>
          <w:marRight w:val="0"/>
          <w:marTop w:val="0"/>
          <w:marBottom w:val="0"/>
          <w:divBdr>
            <w:top w:val="none" w:sz="0" w:space="0" w:color="auto"/>
            <w:left w:val="none" w:sz="0" w:space="0" w:color="auto"/>
            <w:bottom w:val="none" w:sz="0" w:space="0" w:color="auto"/>
            <w:right w:val="none" w:sz="0" w:space="0" w:color="auto"/>
          </w:divBdr>
        </w:div>
        <w:div w:id="1894384367">
          <w:marLeft w:val="0"/>
          <w:marRight w:val="0"/>
          <w:marTop w:val="0"/>
          <w:marBottom w:val="0"/>
          <w:divBdr>
            <w:top w:val="none" w:sz="0" w:space="0" w:color="auto"/>
            <w:left w:val="none" w:sz="0" w:space="0" w:color="auto"/>
            <w:bottom w:val="none" w:sz="0" w:space="0" w:color="auto"/>
            <w:right w:val="none" w:sz="0" w:space="0" w:color="auto"/>
          </w:divBdr>
        </w:div>
        <w:div w:id="274993552">
          <w:marLeft w:val="0"/>
          <w:marRight w:val="0"/>
          <w:marTop w:val="0"/>
          <w:marBottom w:val="0"/>
          <w:divBdr>
            <w:top w:val="none" w:sz="0" w:space="0" w:color="auto"/>
            <w:left w:val="none" w:sz="0" w:space="0" w:color="auto"/>
            <w:bottom w:val="none" w:sz="0" w:space="0" w:color="auto"/>
            <w:right w:val="none" w:sz="0" w:space="0" w:color="auto"/>
          </w:divBdr>
        </w:div>
        <w:div w:id="1027832974">
          <w:marLeft w:val="0"/>
          <w:marRight w:val="0"/>
          <w:marTop w:val="0"/>
          <w:marBottom w:val="0"/>
          <w:divBdr>
            <w:top w:val="none" w:sz="0" w:space="0" w:color="auto"/>
            <w:left w:val="none" w:sz="0" w:space="0" w:color="auto"/>
            <w:bottom w:val="none" w:sz="0" w:space="0" w:color="auto"/>
            <w:right w:val="none" w:sz="0" w:space="0" w:color="auto"/>
          </w:divBdr>
        </w:div>
      </w:divsChild>
    </w:div>
    <w:div w:id="224798357">
      <w:bodyDiv w:val="1"/>
      <w:marLeft w:val="0"/>
      <w:marRight w:val="0"/>
      <w:marTop w:val="0"/>
      <w:marBottom w:val="0"/>
      <w:divBdr>
        <w:top w:val="none" w:sz="0" w:space="0" w:color="auto"/>
        <w:left w:val="none" w:sz="0" w:space="0" w:color="auto"/>
        <w:bottom w:val="none" w:sz="0" w:space="0" w:color="auto"/>
        <w:right w:val="none" w:sz="0" w:space="0" w:color="auto"/>
      </w:divBdr>
    </w:div>
    <w:div w:id="227572776">
      <w:bodyDiv w:val="1"/>
      <w:marLeft w:val="0"/>
      <w:marRight w:val="0"/>
      <w:marTop w:val="0"/>
      <w:marBottom w:val="0"/>
      <w:divBdr>
        <w:top w:val="none" w:sz="0" w:space="0" w:color="auto"/>
        <w:left w:val="none" w:sz="0" w:space="0" w:color="auto"/>
        <w:bottom w:val="none" w:sz="0" w:space="0" w:color="auto"/>
        <w:right w:val="none" w:sz="0" w:space="0" w:color="auto"/>
      </w:divBdr>
    </w:div>
    <w:div w:id="259802537">
      <w:bodyDiv w:val="1"/>
      <w:marLeft w:val="0"/>
      <w:marRight w:val="0"/>
      <w:marTop w:val="0"/>
      <w:marBottom w:val="0"/>
      <w:divBdr>
        <w:top w:val="none" w:sz="0" w:space="0" w:color="auto"/>
        <w:left w:val="none" w:sz="0" w:space="0" w:color="auto"/>
        <w:bottom w:val="none" w:sz="0" w:space="0" w:color="auto"/>
        <w:right w:val="none" w:sz="0" w:space="0" w:color="auto"/>
      </w:divBdr>
    </w:div>
    <w:div w:id="263731511">
      <w:bodyDiv w:val="1"/>
      <w:marLeft w:val="0"/>
      <w:marRight w:val="0"/>
      <w:marTop w:val="0"/>
      <w:marBottom w:val="0"/>
      <w:divBdr>
        <w:top w:val="none" w:sz="0" w:space="0" w:color="auto"/>
        <w:left w:val="none" w:sz="0" w:space="0" w:color="auto"/>
        <w:bottom w:val="none" w:sz="0" w:space="0" w:color="auto"/>
        <w:right w:val="none" w:sz="0" w:space="0" w:color="auto"/>
      </w:divBdr>
    </w:div>
    <w:div w:id="273874965">
      <w:bodyDiv w:val="1"/>
      <w:marLeft w:val="0"/>
      <w:marRight w:val="0"/>
      <w:marTop w:val="0"/>
      <w:marBottom w:val="0"/>
      <w:divBdr>
        <w:top w:val="none" w:sz="0" w:space="0" w:color="auto"/>
        <w:left w:val="none" w:sz="0" w:space="0" w:color="auto"/>
        <w:bottom w:val="none" w:sz="0" w:space="0" w:color="auto"/>
        <w:right w:val="none" w:sz="0" w:space="0" w:color="auto"/>
      </w:divBdr>
    </w:div>
    <w:div w:id="274757390">
      <w:bodyDiv w:val="1"/>
      <w:marLeft w:val="0"/>
      <w:marRight w:val="0"/>
      <w:marTop w:val="0"/>
      <w:marBottom w:val="0"/>
      <w:divBdr>
        <w:top w:val="none" w:sz="0" w:space="0" w:color="auto"/>
        <w:left w:val="none" w:sz="0" w:space="0" w:color="auto"/>
        <w:bottom w:val="none" w:sz="0" w:space="0" w:color="auto"/>
        <w:right w:val="none" w:sz="0" w:space="0" w:color="auto"/>
      </w:divBdr>
      <w:divsChild>
        <w:div w:id="1084034513">
          <w:marLeft w:val="0"/>
          <w:marRight w:val="0"/>
          <w:marTop w:val="0"/>
          <w:marBottom w:val="0"/>
          <w:divBdr>
            <w:top w:val="none" w:sz="0" w:space="0" w:color="auto"/>
            <w:left w:val="none" w:sz="0" w:space="0" w:color="auto"/>
            <w:bottom w:val="none" w:sz="0" w:space="0" w:color="auto"/>
            <w:right w:val="none" w:sz="0" w:space="0" w:color="auto"/>
          </w:divBdr>
        </w:div>
        <w:div w:id="661130488">
          <w:marLeft w:val="0"/>
          <w:marRight w:val="0"/>
          <w:marTop w:val="0"/>
          <w:marBottom w:val="0"/>
          <w:divBdr>
            <w:top w:val="none" w:sz="0" w:space="0" w:color="auto"/>
            <w:left w:val="none" w:sz="0" w:space="0" w:color="auto"/>
            <w:bottom w:val="none" w:sz="0" w:space="0" w:color="auto"/>
            <w:right w:val="none" w:sz="0" w:space="0" w:color="auto"/>
          </w:divBdr>
        </w:div>
      </w:divsChild>
    </w:div>
    <w:div w:id="283654009">
      <w:bodyDiv w:val="1"/>
      <w:marLeft w:val="0"/>
      <w:marRight w:val="0"/>
      <w:marTop w:val="0"/>
      <w:marBottom w:val="0"/>
      <w:divBdr>
        <w:top w:val="none" w:sz="0" w:space="0" w:color="auto"/>
        <w:left w:val="none" w:sz="0" w:space="0" w:color="auto"/>
        <w:bottom w:val="none" w:sz="0" w:space="0" w:color="auto"/>
        <w:right w:val="none" w:sz="0" w:space="0" w:color="auto"/>
      </w:divBdr>
      <w:divsChild>
        <w:div w:id="1304428803">
          <w:marLeft w:val="0"/>
          <w:marRight w:val="0"/>
          <w:marTop w:val="0"/>
          <w:marBottom w:val="0"/>
          <w:divBdr>
            <w:top w:val="none" w:sz="0" w:space="0" w:color="auto"/>
            <w:left w:val="none" w:sz="0" w:space="0" w:color="auto"/>
            <w:bottom w:val="none" w:sz="0" w:space="0" w:color="auto"/>
            <w:right w:val="none" w:sz="0" w:space="0" w:color="auto"/>
          </w:divBdr>
        </w:div>
        <w:div w:id="1924756141">
          <w:marLeft w:val="0"/>
          <w:marRight w:val="0"/>
          <w:marTop w:val="0"/>
          <w:marBottom w:val="0"/>
          <w:divBdr>
            <w:top w:val="none" w:sz="0" w:space="0" w:color="auto"/>
            <w:left w:val="none" w:sz="0" w:space="0" w:color="auto"/>
            <w:bottom w:val="none" w:sz="0" w:space="0" w:color="auto"/>
            <w:right w:val="none" w:sz="0" w:space="0" w:color="auto"/>
          </w:divBdr>
          <w:divsChild>
            <w:div w:id="1984388055">
              <w:marLeft w:val="0"/>
              <w:marRight w:val="0"/>
              <w:marTop w:val="30"/>
              <w:marBottom w:val="30"/>
              <w:divBdr>
                <w:top w:val="none" w:sz="0" w:space="0" w:color="auto"/>
                <w:left w:val="none" w:sz="0" w:space="0" w:color="auto"/>
                <w:bottom w:val="none" w:sz="0" w:space="0" w:color="auto"/>
                <w:right w:val="none" w:sz="0" w:space="0" w:color="auto"/>
              </w:divBdr>
              <w:divsChild>
                <w:div w:id="1790389119">
                  <w:marLeft w:val="0"/>
                  <w:marRight w:val="0"/>
                  <w:marTop w:val="0"/>
                  <w:marBottom w:val="0"/>
                  <w:divBdr>
                    <w:top w:val="none" w:sz="0" w:space="0" w:color="auto"/>
                    <w:left w:val="none" w:sz="0" w:space="0" w:color="auto"/>
                    <w:bottom w:val="none" w:sz="0" w:space="0" w:color="auto"/>
                    <w:right w:val="none" w:sz="0" w:space="0" w:color="auto"/>
                  </w:divBdr>
                  <w:divsChild>
                    <w:div w:id="1425491715">
                      <w:marLeft w:val="0"/>
                      <w:marRight w:val="0"/>
                      <w:marTop w:val="0"/>
                      <w:marBottom w:val="0"/>
                      <w:divBdr>
                        <w:top w:val="none" w:sz="0" w:space="0" w:color="auto"/>
                        <w:left w:val="none" w:sz="0" w:space="0" w:color="auto"/>
                        <w:bottom w:val="none" w:sz="0" w:space="0" w:color="auto"/>
                        <w:right w:val="none" w:sz="0" w:space="0" w:color="auto"/>
                      </w:divBdr>
                    </w:div>
                  </w:divsChild>
                </w:div>
                <w:div w:id="2135709550">
                  <w:marLeft w:val="0"/>
                  <w:marRight w:val="0"/>
                  <w:marTop w:val="0"/>
                  <w:marBottom w:val="0"/>
                  <w:divBdr>
                    <w:top w:val="none" w:sz="0" w:space="0" w:color="auto"/>
                    <w:left w:val="none" w:sz="0" w:space="0" w:color="auto"/>
                    <w:bottom w:val="none" w:sz="0" w:space="0" w:color="auto"/>
                    <w:right w:val="none" w:sz="0" w:space="0" w:color="auto"/>
                  </w:divBdr>
                  <w:divsChild>
                    <w:div w:id="760876627">
                      <w:marLeft w:val="0"/>
                      <w:marRight w:val="0"/>
                      <w:marTop w:val="0"/>
                      <w:marBottom w:val="0"/>
                      <w:divBdr>
                        <w:top w:val="none" w:sz="0" w:space="0" w:color="auto"/>
                        <w:left w:val="none" w:sz="0" w:space="0" w:color="auto"/>
                        <w:bottom w:val="none" w:sz="0" w:space="0" w:color="auto"/>
                        <w:right w:val="none" w:sz="0" w:space="0" w:color="auto"/>
                      </w:divBdr>
                    </w:div>
                  </w:divsChild>
                </w:div>
                <w:div w:id="483470875">
                  <w:marLeft w:val="0"/>
                  <w:marRight w:val="0"/>
                  <w:marTop w:val="0"/>
                  <w:marBottom w:val="0"/>
                  <w:divBdr>
                    <w:top w:val="none" w:sz="0" w:space="0" w:color="auto"/>
                    <w:left w:val="none" w:sz="0" w:space="0" w:color="auto"/>
                    <w:bottom w:val="none" w:sz="0" w:space="0" w:color="auto"/>
                    <w:right w:val="none" w:sz="0" w:space="0" w:color="auto"/>
                  </w:divBdr>
                  <w:divsChild>
                    <w:div w:id="812061151">
                      <w:marLeft w:val="0"/>
                      <w:marRight w:val="0"/>
                      <w:marTop w:val="0"/>
                      <w:marBottom w:val="0"/>
                      <w:divBdr>
                        <w:top w:val="none" w:sz="0" w:space="0" w:color="auto"/>
                        <w:left w:val="none" w:sz="0" w:space="0" w:color="auto"/>
                        <w:bottom w:val="none" w:sz="0" w:space="0" w:color="auto"/>
                        <w:right w:val="none" w:sz="0" w:space="0" w:color="auto"/>
                      </w:divBdr>
                    </w:div>
                  </w:divsChild>
                </w:div>
                <w:div w:id="1290472354">
                  <w:marLeft w:val="0"/>
                  <w:marRight w:val="0"/>
                  <w:marTop w:val="0"/>
                  <w:marBottom w:val="0"/>
                  <w:divBdr>
                    <w:top w:val="none" w:sz="0" w:space="0" w:color="auto"/>
                    <w:left w:val="none" w:sz="0" w:space="0" w:color="auto"/>
                    <w:bottom w:val="none" w:sz="0" w:space="0" w:color="auto"/>
                    <w:right w:val="none" w:sz="0" w:space="0" w:color="auto"/>
                  </w:divBdr>
                  <w:divsChild>
                    <w:div w:id="1368412074">
                      <w:marLeft w:val="0"/>
                      <w:marRight w:val="0"/>
                      <w:marTop w:val="0"/>
                      <w:marBottom w:val="0"/>
                      <w:divBdr>
                        <w:top w:val="none" w:sz="0" w:space="0" w:color="auto"/>
                        <w:left w:val="none" w:sz="0" w:space="0" w:color="auto"/>
                        <w:bottom w:val="none" w:sz="0" w:space="0" w:color="auto"/>
                        <w:right w:val="none" w:sz="0" w:space="0" w:color="auto"/>
                      </w:divBdr>
                    </w:div>
                  </w:divsChild>
                </w:div>
                <w:div w:id="1199585938">
                  <w:marLeft w:val="0"/>
                  <w:marRight w:val="0"/>
                  <w:marTop w:val="0"/>
                  <w:marBottom w:val="0"/>
                  <w:divBdr>
                    <w:top w:val="none" w:sz="0" w:space="0" w:color="auto"/>
                    <w:left w:val="none" w:sz="0" w:space="0" w:color="auto"/>
                    <w:bottom w:val="none" w:sz="0" w:space="0" w:color="auto"/>
                    <w:right w:val="none" w:sz="0" w:space="0" w:color="auto"/>
                  </w:divBdr>
                  <w:divsChild>
                    <w:div w:id="1430614166">
                      <w:marLeft w:val="0"/>
                      <w:marRight w:val="0"/>
                      <w:marTop w:val="0"/>
                      <w:marBottom w:val="0"/>
                      <w:divBdr>
                        <w:top w:val="none" w:sz="0" w:space="0" w:color="auto"/>
                        <w:left w:val="none" w:sz="0" w:space="0" w:color="auto"/>
                        <w:bottom w:val="none" w:sz="0" w:space="0" w:color="auto"/>
                        <w:right w:val="none" w:sz="0" w:space="0" w:color="auto"/>
                      </w:divBdr>
                    </w:div>
                  </w:divsChild>
                </w:div>
                <w:div w:id="1165510729">
                  <w:marLeft w:val="0"/>
                  <w:marRight w:val="0"/>
                  <w:marTop w:val="0"/>
                  <w:marBottom w:val="0"/>
                  <w:divBdr>
                    <w:top w:val="none" w:sz="0" w:space="0" w:color="auto"/>
                    <w:left w:val="none" w:sz="0" w:space="0" w:color="auto"/>
                    <w:bottom w:val="none" w:sz="0" w:space="0" w:color="auto"/>
                    <w:right w:val="none" w:sz="0" w:space="0" w:color="auto"/>
                  </w:divBdr>
                  <w:divsChild>
                    <w:div w:id="29838446">
                      <w:marLeft w:val="0"/>
                      <w:marRight w:val="0"/>
                      <w:marTop w:val="0"/>
                      <w:marBottom w:val="0"/>
                      <w:divBdr>
                        <w:top w:val="none" w:sz="0" w:space="0" w:color="auto"/>
                        <w:left w:val="none" w:sz="0" w:space="0" w:color="auto"/>
                        <w:bottom w:val="none" w:sz="0" w:space="0" w:color="auto"/>
                        <w:right w:val="none" w:sz="0" w:space="0" w:color="auto"/>
                      </w:divBdr>
                    </w:div>
                  </w:divsChild>
                </w:div>
                <w:div w:id="1513913660">
                  <w:marLeft w:val="0"/>
                  <w:marRight w:val="0"/>
                  <w:marTop w:val="0"/>
                  <w:marBottom w:val="0"/>
                  <w:divBdr>
                    <w:top w:val="none" w:sz="0" w:space="0" w:color="auto"/>
                    <w:left w:val="none" w:sz="0" w:space="0" w:color="auto"/>
                    <w:bottom w:val="none" w:sz="0" w:space="0" w:color="auto"/>
                    <w:right w:val="none" w:sz="0" w:space="0" w:color="auto"/>
                  </w:divBdr>
                  <w:divsChild>
                    <w:div w:id="1046219399">
                      <w:marLeft w:val="0"/>
                      <w:marRight w:val="0"/>
                      <w:marTop w:val="0"/>
                      <w:marBottom w:val="0"/>
                      <w:divBdr>
                        <w:top w:val="none" w:sz="0" w:space="0" w:color="auto"/>
                        <w:left w:val="none" w:sz="0" w:space="0" w:color="auto"/>
                        <w:bottom w:val="none" w:sz="0" w:space="0" w:color="auto"/>
                        <w:right w:val="none" w:sz="0" w:space="0" w:color="auto"/>
                      </w:divBdr>
                    </w:div>
                  </w:divsChild>
                </w:div>
                <w:div w:id="1818717213">
                  <w:marLeft w:val="0"/>
                  <w:marRight w:val="0"/>
                  <w:marTop w:val="0"/>
                  <w:marBottom w:val="0"/>
                  <w:divBdr>
                    <w:top w:val="none" w:sz="0" w:space="0" w:color="auto"/>
                    <w:left w:val="none" w:sz="0" w:space="0" w:color="auto"/>
                    <w:bottom w:val="none" w:sz="0" w:space="0" w:color="auto"/>
                    <w:right w:val="none" w:sz="0" w:space="0" w:color="auto"/>
                  </w:divBdr>
                  <w:divsChild>
                    <w:div w:id="580606845">
                      <w:marLeft w:val="0"/>
                      <w:marRight w:val="0"/>
                      <w:marTop w:val="0"/>
                      <w:marBottom w:val="0"/>
                      <w:divBdr>
                        <w:top w:val="none" w:sz="0" w:space="0" w:color="auto"/>
                        <w:left w:val="none" w:sz="0" w:space="0" w:color="auto"/>
                        <w:bottom w:val="none" w:sz="0" w:space="0" w:color="auto"/>
                        <w:right w:val="none" w:sz="0" w:space="0" w:color="auto"/>
                      </w:divBdr>
                    </w:div>
                  </w:divsChild>
                </w:div>
                <w:div w:id="521670223">
                  <w:marLeft w:val="0"/>
                  <w:marRight w:val="0"/>
                  <w:marTop w:val="0"/>
                  <w:marBottom w:val="0"/>
                  <w:divBdr>
                    <w:top w:val="none" w:sz="0" w:space="0" w:color="auto"/>
                    <w:left w:val="none" w:sz="0" w:space="0" w:color="auto"/>
                    <w:bottom w:val="none" w:sz="0" w:space="0" w:color="auto"/>
                    <w:right w:val="none" w:sz="0" w:space="0" w:color="auto"/>
                  </w:divBdr>
                  <w:divsChild>
                    <w:div w:id="1249117458">
                      <w:marLeft w:val="0"/>
                      <w:marRight w:val="0"/>
                      <w:marTop w:val="0"/>
                      <w:marBottom w:val="0"/>
                      <w:divBdr>
                        <w:top w:val="none" w:sz="0" w:space="0" w:color="auto"/>
                        <w:left w:val="none" w:sz="0" w:space="0" w:color="auto"/>
                        <w:bottom w:val="none" w:sz="0" w:space="0" w:color="auto"/>
                        <w:right w:val="none" w:sz="0" w:space="0" w:color="auto"/>
                      </w:divBdr>
                    </w:div>
                  </w:divsChild>
                </w:div>
                <w:div w:id="542523603">
                  <w:marLeft w:val="0"/>
                  <w:marRight w:val="0"/>
                  <w:marTop w:val="0"/>
                  <w:marBottom w:val="0"/>
                  <w:divBdr>
                    <w:top w:val="none" w:sz="0" w:space="0" w:color="auto"/>
                    <w:left w:val="none" w:sz="0" w:space="0" w:color="auto"/>
                    <w:bottom w:val="none" w:sz="0" w:space="0" w:color="auto"/>
                    <w:right w:val="none" w:sz="0" w:space="0" w:color="auto"/>
                  </w:divBdr>
                  <w:divsChild>
                    <w:div w:id="1972052922">
                      <w:marLeft w:val="0"/>
                      <w:marRight w:val="0"/>
                      <w:marTop w:val="0"/>
                      <w:marBottom w:val="0"/>
                      <w:divBdr>
                        <w:top w:val="none" w:sz="0" w:space="0" w:color="auto"/>
                        <w:left w:val="none" w:sz="0" w:space="0" w:color="auto"/>
                        <w:bottom w:val="none" w:sz="0" w:space="0" w:color="auto"/>
                        <w:right w:val="none" w:sz="0" w:space="0" w:color="auto"/>
                      </w:divBdr>
                    </w:div>
                  </w:divsChild>
                </w:div>
                <w:div w:id="2021349830">
                  <w:marLeft w:val="0"/>
                  <w:marRight w:val="0"/>
                  <w:marTop w:val="0"/>
                  <w:marBottom w:val="0"/>
                  <w:divBdr>
                    <w:top w:val="none" w:sz="0" w:space="0" w:color="auto"/>
                    <w:left w:val="none" w:sz="0" w:space="0" w:color="auto"/>
                    <w:bottom w:val="none" w:sz="0" w:space="0" w:color="auto"/>
                    <w:right w:val="none" w:sz="0" w:space="0" w:color="auto"/>
                  </w:divBdr>
                  <w:divsChild>
                    <w:div w:id="1777017731">
                      <w:marLeft w:val="0"/>
                      <w:marRight w:val="0"/>
                      <w:marTop w:val="0"/>
                      <w:marBottom w:val="0"/>
                      <w:divBdr>
                        <w:top w:val="none" w:sz="0" w:space="0" w:color="auto"/>
                        <w:left w:val="none" w:sz="0" w:space="0" w:color="auto"/>
                        <w:bottom w:val="none" w:sz="0" w:space="0" w:color="auto"/>
                        <w:right w:val="none" w:sz="0" w:space="0" w:color="auto"/>
                      </w:divBdr>
                    </w:div>
                  </w:divsChild>
                </w:div>
                <w:div w:id="563298647">
                  <w:marLeft w:val="0"/>
                  <w:marRight w:val="0"/>
                  <w:marTop w:val="0"/>
                  <w:marBottom w:val="0"/>
                  <w:divBdr>
                    <w:top w:val="none" w:sz="0" w:space="0" w:color="auto"/>
                    <w:left w:val="none" w:sz="0" w:space="0" w:color="auto"/>
                    <w:bottom w:val="none" w:sz="0" w:space="0" w:color="auto"/>
                    <w:right w:val="none" w:sz="0" w:space="0" w:color="auto"/>
                  </w:divBdr>
                  <w:divsChild>
                    <w:div w:id="523130016">
                      <w:marLeft w:val="0"/>
                      <w:marRight w:val="0"/>
                      <w:marTop w:val="0"/>
                      <w:marBottom w:val="0"/>
                      <w:divBdr>
                        <w:top w:val="none" w:sz="0" w:space="0" w:color="auto"/>
                        <w:left w:val="none" w:sz="0" w:space="0" w:color="auto"/>
                        <w:bottom w:val="none" w:sz="0" w:space="0" w:color="auto"/>
                        <w:right w:val="none" w:sz="0" w:space="0" w:color="auto"/>
                      </w:divBdr>
                    </w:div>
                  </w:divsChild>
                </w:div>
                <w:div w:id="414936559">
                  <w:marLeft w:val="0"/>
                  <w:marRight w:val="0"/>
                  <w:marTop w:val="0"/>
                  <w:marBottom w:val="0"/>
                  <w:divBdr>
                    <w:top w:val="none" w:sz="0" w:space="0" w:color="auto"/>
                    <w:left w:val="none" w:sz="0" w:space="0" w:color="auto"/>
                    <w:bottom w:val="none" w:sz="0" w:space="0" w:color="auto"/>
                    <w:right w:val="none" w:sz="0" w:space="0" w:color="auto"/>
                  </w:divBdr>
                  <w:divsChild>
                    <w:div w:id="1068264830">
                      <w:marLeft w:val="0"/>
                      <w:marRight w:val="0"/>
                      <w:marTop w:val="0"/>
                      <w:marBottom w:val="0"/>
                      <w:divBdr>
                        <w:top w:val="none" w:sz="0" w:space="0" w:color="auto"/>
                        <w:left w:val="none" w:sz="0" w:space="0" w:color="auto"/>
                        <w:bottom w:val="none" w:sz="0" w:space="0" w:color="auto"/>
                        <w:right w:val="none" w:sz="0" w:space="0" w:color="auto"/>
                      </w:divBdr>
                    </w:div>
                  </w:divsChild>
                </w:div>
                <w:div w:id="568420280">
                  <w:marLeft w:val="0"/>
                  <w:marRight w:val="0"/>
                  <w:marTop w:val="0"/>
                  <w:marBottom w:val="0"/>
                  <w:divBdr>
                    <w:top w:val="none" w:sz="0" w:space="0" w:color="auto"/>
                    <w:left w:val="none" w:sz="0" w:space="0" w:color="auto"/>
                    <w:bottom w:val="none" w:sz="0" w:space="0" w:color="auto"/>
                    <w:right w:val="none" w:sz="0" w:space="0" w:color="auto"/>
                  </w:divBdr>
                  <w:divsChild>
                    <w:div w:id="583801468">
                      <w:marLeft w:val="0"/>
                      <w:marRight w:val="0"/>
                      <w:marTop w:val="0"/>
                      <w:marBottom w:val="0"/>
                      <w:divBdr>
                        <w:top w:val="none" w:sz="0" w:space="0" w:color="auto"/>
                        <w:left w:val="none" w:sz="0" w:space="0" w:color="auto"/>
                        <w:bottom w:val="none" w:sz="0" w:space="0" w:color="auto"/>
                        <w:right w:val="none" w:sz="0" w:space="0" w:color="auto"/>
                      </w:divBdr>
                    </w:div>
                  </w:divsChild>
                </w:div>
                <w:div w:id="1206722577">
                  <w:marLeft w:val="0"/>
                  <w:marRight w:val="0"/>
                  <w:marTop w:val="0"/>
                  <w:marBottom w:val="0"/>
                  <w:divBdr>
                    <w:top w:val="none" w:sz="0" w:space="0" w:color="auto"/>
                    <w:left w:val="none" w:sz="0" w:space="0" w:color="auto"/>
                    <w:bottom w:val="none" w:sz="0" w:space="0" w:color="auto"/>
                    <w:right w:val="none" w:sz="0" w:space="0" w:color="auto"/>
                  </w:divBdr>
                  <w:divsChild>
                    <w:div w:id="621617176">
                      <w:marLeft w:val="0"/>
                      <w:marRight w:val="0"/>
                      <w:marTop w:val="0"/>
                      <w:marBottom w:val="0"/>
                      <w:divBdr>
                        <w:top w:val="none" w:sz="0" w:space="0" w:color="auto"/>
                        <w:left w:val="none" w:sz="0" w:space="0" w:color="auto"/>
                        <w:bottom w:val="none" w:sz="0" w:space="0" w:color="auto"/>
                        <w:right w:val="none" w:sz="0" w:space="0" w:color="auto"/>
                      </w:divBdr>
                    </w:div>
                  </w:divsChild>
                </w:div>
                <w:div w:id="209389779">
                  <w:marLeft w:val="0"/>
                  <w:marRight w:val="0"/>
                  <w:marTop w:val="0"/>
                  <w:marBottom w:val="0"/>
                  <w:divBdr>
                    <w:top w:val="none" w:sz="0" w:space="0" w:color="auto"/>
                    <w:left w:val="none" w:sz="0" w:space="0" w:color="auto"/>
                    <w:bottom w:val="none" w:sz="0" w:space="0" w:color="auto"/>
                    <w:right w:val="none" w:sz="0" w:space="0" w:color="auto"/>
                  </w:divBdr>
                  <w:divsChild>
                    <w:div w:id="1214123733">
                      <w:marLeft w:val="0"/>
                      <w:marRight w:val="0"/>
                      <w:marTop w:val="0"/>
                      <w:marBottom w:val="0"/>
                      <w:divBdr>
                        <w:top w:val="none" w:sz="0" w:space="0" w:color="auto"/>
                        <w:left w:val="none" w:sz="0" w:space="0" w:color="auto"/>
                        <w:bottom w:val="none" w:sz="0" w:space="0" w:color="auto"/>
                        <w:right w:val="none" w:sz="0" w:space="0" w:color="auto"/>
                      </w:divBdr>
                    </w:div>
                  </w:divsChild>
                </w:div>
                <w:div w:id="670257497">
                  <w:marLeft w:val="0"/>
                  <w:marRight w:val="0"/>
                  <w:marTop w:val="0"/>
                  <w:marBottom w:val="0"/>
                  <w:divBdr>
                    <w:top w:val="none" w:sz="0" w:space="0" w:color="auto"/>
                    <w:left w:val="none" w:sz="0" w:space="0" w:color="auto"/>
                    <w:bottom w:val="none" w:sz="0" w:space="0" w:color="auto"/>
                    <w:right w:val="none" w:sz="0" w:space="0" w:color="auto"/>
                  </w:divBdr>
                  <w:divsChild>
                    <w:div w:id="178081548">
                      <w:marLeft w:val="0"/>
                      <w:marRight w:val="0"/>
                      <w:marTop w:val="0"/>
                      <w:marBottom w:val="0"/>
                      <w:divBdr>
                        <w:top w:val="none" w:sz="0" w:space="0" w:color="auto"/>
                        <w:left w:val="none" w:sz="0" w:space="0" w:color="auto"/>
                        <w:bottom w:val="none" w:sz="0" w:space="0" w:color="auto"/>
                        <w:right w:val="none" w:sz="0" w:space="0" w:color="auto"/>
                      </w:divBdr>
                    </w:div>
                  </w:divsChild>
                </w:div>
                <w:div w:id="1710648069">
                  <w:marLeft w:val="0"/>
                  <w:marRight w:val="0"/>
                  <w:marTop w:val="0"/>
                  <w:marBottom w:val="0"/>
                  <w:divBdr>
                    <w:top w:val="none" w:sz="0" w:space="0" w:color="auto"/>
                    <w:left w:val="none" w:sz="0" w:space="0" w:color="auto"/>
                    <w:bottom w:val="none" w:sz="0" w:space="0" w:color="auto"/>
                    <w:right w:val="none" w:sz="0" w:space="0" w:color="auto"/>
                  </w:divBdr>
                  <w:divsChild>
                    <w:div w:id="1874615612">
                      <w:marLeft w:val="0"/>
                      <w:marRight w:val="0"/>
                      <w:marTop w:val="0"/>
                      <w:marBottom w:val="0"/>
                      <w:divBdr>
                        <w:top w:val="none" w:sz="0" w:space="0" w:color="auto"/>
                        <w:left w:val="none" w:sz="0" w:space="0" w:color="auto"/>
                        <w:bottom w:val="none" w:sz="0" w:space="0" w:color="auto"/>
                        <w:right w:val="none" w:sz="0" w:space="0" w:color="auto"/>
                      </w:divBdr>
                    </w:div>
                  </w:divsChild>
                </w:div>
                <w:div w:id="1010333029">
                  <w:marLeft w:val="0"/>
                  <w:marRight w:val="0"/>
                  <w:marTop w:val="0"/>
                  <w:marBottom w:val="0"/>
                  <w:divBdr>
                    <w:top w:val="none" w:sz="0" w:space="0" w:color="auto"/>
                    <w:left w:val="none" w:sz="0" w:space="0" w:color="auto"/>
                    <w:bottom w:val="none" w:sz="0" w:space="0" w:color="auto"/>
                    <w:right w:val="none" w:sz="0" w:space="0" w:color="auto"/>
                  </w:divBdr>
                  <w:divsChild>
                    <w:div w:id="1092042601">
                      <w:marLeft w:val="0"/>
                      <w:marRight w:val="0"/>
                      <w:marTop w:val="0"/>
                      <w:marBottom w:val="0"/>
                      <w:divBdr>
                        <w:top w:val="none" w:sz="0" w:space="0" w:color="auto"/>
                        <w:left w:val="none" w:sz="0" w:space="0" w:color="auto"/>
                        <w:bottom w:val="none" w:sz="0" w:space="0" w:color="auto"/>
                        <w:right w:val="none" w:sz="0" w:space="0" w:color="auto"/>
                      </w:divBdr>
                    </w:div>
                  </w:divsChild>
                </w:div>
                <w:div w:id="951277559">
                  <w:marLeft w:val="0"/>
                  <w:marRight w:val="0"/>
                  <w:marTop w:val="0"/>
                  <w:marBottom w:val="0"/>
                  <w:divBdr>
                    <w:top w:val="none" w:sz="0" w:space="0" w:color="auto"/>
                    <w:left w:val="none" w:sz="0" w:space="0" w:color="auto"/>
                    <w:bottom w:val="none" w:sz="0" w:space="0" w:color="auto"/>
                    <w:right w:val="none" w:sz="0" w:space="0" w:color="auto"/>
                  </w:divBdr>
                  <w:divsChild>
                    <w:div w:id="1395423338">
                      <w:marLeft w:val="0"/>
                      <w:marRight w:val="0"/>
                      <w:marTop w:val="0"/>
                      <w:marBottom w:val="0"/>
                      <w:divBdr>
                        <w:top w:val="none" w:sz="0" w:space="0" w:color="auto"/>
                        <w:left w:val="none" w:sz="0" w:space="0" w:color="auto"/>
                        <w:bottom w:val="none" w:sz="0" w:space="0" w:color="auto"/>
                        <w:right w:val="none" w:sz="0" w:space="0" w:color="auto"/>
                      </w:divBdr>
                    </w:div>
                  </w:divsChild>
                </w:div>
                <w:div w:id="1153990478">
                  <w:marLeft w:val="0"/>
                  <w:marRight w:val="0"/>
                  <w:marTop w:val="0"/>
                  <w:marBottom w:val="0"/>
                  <w:divBdr>
                    <w:top w:val="none" w:sz="0" w:space="0" w:color="auto"/>
                    <w:left w:val="none" w:sz="0" w:space="0" w:color="auto"/>
                    <w:bottom w:val="none" w:sz="0" w:space="0" w:color="auto"/>
                    <w:right w:val="none" w:sz="0" w:space="0" w:color="auto"/>
                  </w:divBdr>
                  <w:divsChild>
                    <w:div w:id="892077759">
                      <w:marLeft w:val="0"/>
                      <w:marRight w:val="0"/>
                      <w:marTop w:val="0"/>
                      <w:marBottom w:val="0"/>
                      <w:divBdr>
                        <w:top w:val="none" w:sz="0" w:space="0" w:color="auto"/>
                        <w:left w:val="none" w:sz="0" w:space="0" w:color="auto"/>
                        <w:bottom w:val="none" w:sz="0" w:space="0" w:color="auto"/>
                        <w:right w:val="none" w:sz="0" w:space="0" w:color="auto"/>
                      </w:divBdr>
                    </w:div>
                  </w:divsChild>
                </w:div>
                <w:div w:id="1455364404">
                  <w:marLeft w:val="0"/>
                  <w:marRight w:val="0"/>
                  <w:marTop w:val="0"/>
                  <w:marBottom w:val="0"/>
                  <w:divBdr>
                    <w:top w:val="none" w:sz="0" w:space="0" w:color="auto"/>
                    <w:left w:val="none" w:sz="0" w:space="0" w:color="auto"/>
                    <w:bottom w:val="none" w:sz="0" w:space="0" w:color="auto"/>
                    <w:right w:val="none" w:sz="0" w:space="0" w:color="auto"/>
                  </w:divBdr>
                  <w:divsChild>
                    <w:div w:id="209115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046781">
      <w:bodyDiv w:val="1"/>
      <w:marLeft w:val="0"/>
      <w:marRight w:val="0"/>
      <w:marTop w:val="0"/>
      <w:marBottom w:val="0"/>
      <w:divBdr>
        <w:top w:val="none" w:sz="0" w:space="0" w:color="auto"/>
        <w:left w:val="none" w:sz="0" w:space="0" w:color="auto"/>
        <w:bottom w:val="none" w:sz="0" w:space="0" w:color="auto"/>
        <w:right w:val="none" w:sz="0" w:space="0" w:color="auto"/>
      </w:divBdr>
      <w:divsChild>
        <w:div w:id="1841769688">
          <w:marLeft w:val="0"/>
          <w:marRight w:val="0"/>
          <w:marTop w:val="0"/>
          <w:marBottom w:val="0"/>
          <w:divBdr>
            <w:top w:val="none" w:sz="0" w:space="0" w:color="auto"/>
            <w:left w:val="none" w:sz="0" w:space="0" w:color="auto"/>
            <w:bottom w:val="none" w:sz="0" w:space="0" w:color="auto"/>
            <w:right w:val="none" w:sz="0" w:space="0" w:color="auto"/>
          </w:divBdr>
        </w:div>
        <w:div w:id="1953976993">
          <w:marLeft w:val="0"/>
          <w:marRight w:val="0"/>
          <w:marTop w:val="0"/>
          <w:marBottom w:val="0"/>
          <w:divBdr>
            <w:top w:val="none" w:sz="0" w:space="0" w:color="auto"/>
            <w:left w:val="none" w:sz="0" w:space="0" w:color="auto"/>
            <w:bottom w:val="none" w:sz="0" w:space="0" w:color="auto"/>
            <w:right w:val="none" w:sz="0" w:space="0" w:color="auto"/>
          </w:divBdr>
        </w:div>
      </w:divsChild>
    </w:div>
    <w:div w:id="334697626">
      <w:bodyDiv w:val="1"/>
      <w:marLeft w:val="0"/>
      <w:marRight w:val="0"/>
      <w:marTop w:val="0"/>
      <w:marBottom w:val="0"/>
      <w:divBdr>
        <w:top w:val="none" w:sz="0" w:space="0" w:color="auto"/>
        <w:left w:val="none" w:sz="0" w:space="0" w:color="auto"/>
        <w:bottom w:val="none" w:sz="0" w:space="0" w:color="auto"/>
        <w:right w:val="none" w:sz="0" w:space="0" w:color="auto"/>
      </w:divBdr>
    </w:div>
    <w:div w:id="370572219">
      <w:bodyDiv w:val="1"/>
      <w:marLeft w:val="0"/>
      <w:marRight w:val="0"/>
      <w:marTop w:val="0"/>
      <w:marBottom w:val="0"/>
      <w:divBdr>
        <w:top w:val="none" w:sz="0" w:space="0" w:color="auto"/>
        <w:left w:val="none" w:sz="0" w:space="0" w:color="auto"/>
        <w:bottom w:val="none" w:sz="0" w:space="0" w:color="auto"/>
        <w:right w:val="none" w:sz="0" w:space="0" w:color="auto"/>
      </w:divBdr>
    </w:div>
    <w:div w:id="388194349">
      <w:bodyDiv w:val="1"/>
      <w:marLeft w:val="0"/>
      <w:marRight w:val="0"/>
      <w:marTop w:val="0"/>
      <w:marBottom w:val="0"/>
      <w:divBdr>
        <w:top w:val="none" w:sz="0" w:space="0" w:color="auto"/>
        <w:left w:val="none" w:sz="0" w:space="0" w:color="auto"/>
        <w:bottom w:val="none" w:sz="0" w:space="0" w:color="auto"/>
        <w:right w:val="none" w:sz="0" w:space="0" w:color="auto"/>
      </w:divBdr>
    </w:div>
    <w:div w:id="396711346">
      <w:bodyDiv w:val="1"/>
      <w:marLeft w:val="0"/>
      <w:marRight w:val="0"/>
      <w:marTop w:val="0"/>
      <w:marBottom w:val="0"/>
      <w:divBdr>
        <w:top w:val="none" w:sz="0" w:space="0" w:color="auto"/>
        <w:left w:val="none" w:sz="0" w:space="0" w:color="auto"/>
        <w:bottom w:val="none" w:sz="0" w:space="0" w:color="auto"/>
        <w:right w:val="none" w:sz="0" w:space="0" w:color="auto"/>
      </w:divBdr>
    </w:div>
    <w:div w:id="406850376">
      <w:bodyDiv w:val="1"/>
      <w:marLeft w:val="0"/>
      <w:marRight w:val="0"/>
      <w:marTop w:val="0"/>
      <w:marBottom w:val="0"/>
      <w:divBdr>
        <w:top w:val="none" w:sz="0" w:space="0" w:color="auto"/>
        <w:left w:val="none" w:sz="0" w:space="0" w:color="auto"/>
        <w:bottom w:val="none" w:sz="0" w:space="0" w:color="auto"/>
        <w:right w:val="none" w:sz="0" w:space="0" w:color="auto"/>
      </w:divBdr>
      <w:divsChild>
        <w:div w:id="54017421">
          <w:marLeft w:val="0"/>
          <w:marRight w:val="0"/>
          <w:marTop w:val="0"/>
          <w:marBottom w:val="0"/>
          <w:divBdr>
            <w:top w:val="none" w:sz="0" w:space="0" w:color="auto"/>
            <w:left w:val="none" w:sz="0" w:space="0" w:color="auto"/>
            <w:bottom w:val="none" w:sz="0" w:space="0" w:color="auto"/>
            <w:right w:val="none" w:sz="0" w:space="0" w:color="auto"/>
          </w:divBdr>
          <w:divsChild>
            <w:div w:id="820923010">
              <w:marLeft w:val="0"/>
              <w:marRight w:val="0"/>
              <w:marTop w:val="0"/>
              <w:marBottom w:val="0"/>
              <w:divBdr>
                <w:top w:val="none" w:sz="0" w:space="0" w:color="auto"/>
                <w:left w:val="none" w:sz="0" w:space="0" w:color="auto"/>
                <w:bottom w:val="none" w:sz="0" w:space="0" w:color="auto"/>
                <w:right w:val="none" w:sz="0" w:space="0" w:color="auto"/>
              </w:divBdr>
            </w:div>
          </w:divsChild>
        </w:div>
        <w:div w:id="1942571261">
          <w:marLeft w:val="0"/>
          <w:marRight w:val="0"/>
          <w:marTop w:val="0"/>
          <w:marBottom w:val="0"/>
          <w:divBdr>
            <w:top w:val="none" w:sz="0" w:space="0" w:color="auto"/>
            <w:left w:val="none" w:sz="0" w:space="0" w:color="auto"/>
            <w:bottom w:val="none" w:sz="0" w:space="0" w:color="auto"/>
            <w:right w:val="none" w:sz="0" w:space="0" w:color="auto"/>
          </w:divBdr>
          <w:divsChild>
            <w:div w:id="1434126910">
              <w:marLeft w:val="0"/>
              <w:marRight w:val="0"/>
              <w:marTop w:val="0"/>
              <w:marBottom w:val="0"/>
              <w:divBdr>
                <w:top w:val="none" w:sz="0" w:space="0" w:color="auto"/>
                <w:left w:val="none" w:sz="0" w:space="0" w:color="auto"/>
                <w:bottom w:val="none" w:sz="0" w:space="0" w:color="auto"/>
                <w:right w:val="none" w:sz="0" w:space="0" w:color="auto"/>
              </w:divBdr>
            </w:div>
          </w:divsChild>
        </w:div>
        <w:div w:id="2088111069">
          <w:marLeft w:val="0"/>
          <w:marRight w:val="0"/>
          <w:marTop w:val="0"/>
          <w:marBottom w:val="0"/>
          <w:divBdr>
            <w:top w:val="none" w:sz="0" w:space="0" w:color="auto"/>
            <w:left w:val="none" w:sz="0" w:space="0" w:color="auto"/>
            <w:bottom w:val="none" w:sz="0" w:space="0" w:color="auto"/>
            <w:right w:val="none" w:sz="0" w:space="0" w:color="auto"/>
          </w:divBdr>
          <w:divsChild>
            <w:div w:id="847256671">
              <w:marLeft w:val="0"/>
              <w:marRight w:val="0"/>
              <w:marTop w:val="0"/>
              <w:marBottom w:val="0"/>
              <w:divBdr>
                <w:top w:val="none" w:sz="0" w:space="0" w:color="auto"/>
                <w:left w:val="none" w:sz="0" w:space="0" w:color="auto"/>
                <w:bottom w:val="none" w:sz="0" w:space="0" w:color="auto"/>
                <w:right w:val="none" w:sz="0" w:space="0" w:color="auto"/>
              </w:divBdr>
            </w:div>
          </w:divsChild>
        </w:div>
        <w:div w:id="1505364833">
          <w:marLeft w:val="0"/>
          <w:marRight w:val="0"/>
          <w:marTop w:val="0"/>
          <w:marBottom w:val="0"/>
          <w:divBdr>
            <w:top w:val="none" w:sz="0" w:space="0" w:color="auto"/>
            <w:left w:val="none" w:sz="0" w:space="0" w:color="auto"/>
            <w:bottom w:val="none" w:sz="0" w:space="0" w:color="auto"/>
            <w:right w:val="none" w:sz="0" w:space="0" w:color="auto"/>
          </w:divBdr>
          <w:divsChild>
            <w:div w:id="491679634">
              <w:marLeft w:val="0"/>
              <w:marRight w:val="0"/>
              <w:marTop w:val="0"/>
              <w:marBottom w:val="0"/>
              <w:divBdr>
                <w:top w:val="none" w:sz="0" w:space="0" w:color="auto"/>
                <w:left w:val="none" w:sz="0" w:space="0" w:color="auto"/>
                <w:bottom w:val="none" w:sz="0" w:space="0" w:color="auto"/>
                <w:right w:val="none" w:sz="0" w:space="0" w:color="auto"/>
              </w:divBdr>
            </w:div>
          </w:divsChild>
        </w:div>
        <w:div w:id="20322068">
          <w:marLeft w:val="0"/>
          <w:marRight w:val="0"/>
          <w:marTop w:val="0"/>
          <w:marBottom w:val="0"/>
          <w:divBdr>
            <w:top w:val="none" w:sz="0" w:space="0" w:color="auto"/>
            <w:left w:val="none" w:sz="0" w:space="0" w:color="auto"/>
            <w:bottom w:val="none" w:sz="0" w:space="0" w:color="auto"/>
            <w:right w:val="none" w:sz="0" w:space="0" w:color="auto"/>
          </w:divBdr>
          <w:divsChild>
            <w:div w:id="456490943">
              <w:marLeft w:val="0"/>
              <w:marRight w:val="0"/>
              <w:marTop w:val="0"/>
              <w:marBottom w:val="0"/>
              <w:divBdr>
                <w:top w:val="none" w:sz="0" w:space="0" w:color="auto"/>
                <w:left w:val="none" w:sz="0" w:space="0" w:color="auto"/>
                <w:bottom w:val="none" w:sz="0" w:space="0" w:color="auto"/>
                <w:right w:val="none" w:sz="0" w:space="0" w:color="auto"/>
              </w:divBdr>
            </w:div>
          </w:divsChild>
        </w:div>
        <w:div w:id="529299705">
          <w:marLeft w:val="0"/>
          <w:marRight w:val="0"/>
          <w:marTop w:val="0"/>
          <w:marBottom w:val="0"/>
          <w:divBdr>
            <w:top w:val="none" w:sz="0" w:space="0" w:color="auto"/>
            <w:left w:val="none" w:sz="0" w:space="0" w:color="auto"/>
            <w:bottom w:val="none" w:sz="0" w:space="0" w:color="auto"/>
            <w:right w:val="none" w:sz="0" w:space="0" w:color="auto"/>
          </w:divBdr>
          <w:divsChild>
            <w:div w:id="1479108202">
              <w:marLeft w:val="0"/>
              <w:marRight w:val="0"/>
              <w:marTop w:val="0"/>
              <w:marBottom w:val="0"/>
              <w:divBdr>
                <w:top w:val="none" w:sz="0" w:space="0" w:color="auto"/>
                <w:left w:val="none" w:sz="0" w:space="0" w:color="auto"/>
                <w:bottom w:val="none" w:sz="0" w:space="0" w:color="auto"/>
                <w:right w:val="none" w:sz="0" w:space="0" w:color="auto"/>
              </w:divBdr>
            </w:div>
          </w:divsChild>
        </w:div>
        <w:div w:id="808595862">
          <w:marLeft w:val="0"/>
          <w:marRight w:val="0"/>
          <w:marTop w:val="0"/>
          <w:marBottom w:val="0"/>
          <w:divBdr>
            <w:top w:val="none" w:sz="0" w:space="0" w:color="auto"/>
            <w:left w:val="none" w:sz="0" w:space="0" w:color="auto"/>
            <w:bottom w:val="none" w:sz="0" w:space="0" w:color="auto"/>
            <w:right w:val="none" w:sz="0" w:space="0" w:color="auto"/>
          </w:divBdr>
          <w:divsChild>
            <w:div w:id="462507371">
              <w:marLeft w:val="0"/>
              <w:marRight w:val="0"/>
              <w:marTop w:val="0"/>
              <w:marBottom w:val="0"/>
              <w:divBdr>
                <w:top w:val="none" w:sz="0" w:space="0" w:color="auto"/>
                <w:left w:val="none" w:sz="0" w:space="0" w:color="auto"/>
                <w:bottom w:val="none" w:sz="0" w:space="0" w:color="auto"/>
                <w:right w:val="none" w:sz="0" w:space="0" w:color="auto"/>
              </w:divBdr>
            </w:div>
          </w:divsChild>
        </w:div>
        <w:div w:id="1888759595">
          <w:marLeft w:val="0"/>
          <w:marRight w:val="0"/>
          <w:marTop w:val="0"/>
          <w:marBottom w:val="0"/>
          <w:divBdr>
            <w:top w:val="none" w:sz="0" w:space="0" w:color="auto"/>
            <w:left w:val="none" w:sz="0" w:space="0" w:color="auto"/>
            <w:bottom w:val="none" w:sz="0" w:space="0" w:color="auto"/>
            <w:right w:val="none" w:sz="0" w:space="0" w:color="auto"/>
          </w:divBdr>
          <w:divsChild>
            <w:div w:id="1885291554">
              <w:marLeft w:val="0"/>
              <w:marRight w:val="0"/>
              <w:marTop w:val="0"/>
              <w:marBottom w:val="0"/>
              <w:divBdr>
                <w:top w:val="none" w:sz="0" w:space="0" w:color="auto"/>
                <w:left w:val="none" w:sz="0" w:space="0" w:color="auto"/>
                <w:bottom w:val="none" w:sz="0" w:space="0" w:color="auto"/>
                <w:right w:val="none" w:sz="0" w:space="0" w:color="auto"/>
              </w:divBdr>
            </w:div>
          </w:divsChild>
        </w:div>
        <w:div w:id="1001859434">
          <w:marLeft w:val="0"/>
          <w:marRight w:val="0"/>
          <w:marTop w:val="0"/>
          <w:marBottom w:val="0"/>
          <w:divBdr>
            <w:top w:val="none" w:sz="0" w:space="0" w:color="auto"/>
            <w:left w:val="none" w:sz="0" w:space="0" w:color="auto"/>
            <w:bottom w:val="none" w:sz="0" w:space="0" w:color="auto"/>
            <w:right w:val="none" w:sz="0" w:space="0" w:color="auto"/>
          </w:divBdr>
          <w:divsChild>
            <w:div w:id="405541978">
              <w:marLeft w:val="0"/>
              <w:marRight w:val="0"/>
              <w:marTop w:val="0"/>
              <w:marBottom w:val="0"/>
              <w:divBdr>
                <w:top w:val="none" w:sz="0" w:space="0" w:color="auto"/>
                <w:left w:val="none" w:sz="0" w:space="0" w:color="auto"/>
                <w:bottom w:val="none" w:sz="0" w:space="0" w:color="auto"/>
                <w:right w:val="none" w:sz="0" w:space="0" w:color="auto"/>
              </w:divBdr>
            </w:div>
          </w:divsChild>
        </w:div>
        <w:div w:id="1626160599">
          <w:marLeft w:val="0"/>
          <w:marRight w:val="0"/>
          <w:marTop w:val="0"/>
          <w:marBottom w:val="0"/>
          <w:divBdr>
            <w:top w:val="none" w:sz="0" w:space="0" w:color="auto"/>
            <w:left w:val="none" w:sz="0" w:space="0" w:color="auto"/>
            <w:bottom w:val="none" w:sz="0" w:space="0" w:color="auto"/>
            <w:right w:val="none" w:sz="0" w:space="0" w:color="auto"/>
          </w:divBdr>
          <w:divsChild>
            <w:div w:id="1483081587">
              <w:marLeft w:val="0"/>
              <w:marRight w:val="0"/>
              <w:marTop w:val="0"/>
              <w:marBottom w:val="0"/>
              <w:divBdr>
                <w:top w:val="none" w:sz="0" w:space="0" w:color="auto"/>
                <w:left w:val="none" w:sz="0" w:space="0" w:color="auto"/>
                <w:bottom w:val="none" w:sz="0" w:space="0" w:color="auto"/>
                <w:right w:val="none" w:sz="0" w:space="0" w:color="auto"/>
              </w:divBdr>
            </w:div>
          </w:divsChild>
        </w:div>
        <w:div w:id="535853295">
          <w:marLeft w:val="0"/>
          <w:marRight w:val="0"/>
          <w:marTop w:val="0"/>
          <w:marBottom w:val="0"/>
          <w:divBdr>
            <w:top w:val="none" w:sz="0" w:space="0" w:color="auto"/>
            <w:left w:val="none" w:sz="0" w:space="0" w:color="auto"/>
            <w:bottom w:val="none" w:sz="0" w:space="0" w:color="auto"/>
            <w:right w:val="none" w:sz="0" w:space="0" w:color="auto"/>
          </w:divBdr>
          <w:divsChild>
            <w:div w:id="94634502">
              <w:marLeft w:val="0"/>
              <w:marRight w:val="0"/>
              <w:marTop w:val="0"/>
              <w:marBottom w:val="0"/>
              <w:divBdr>
                <w:top w:val="none" w:sz="0" w:space="0" w:color="auto"/>
                <w:left w:val="none" w:sz="0" w:space="0" w:color="auto"/>
                <w:bottom w:val="none" w:sz="0" w:space="0" w:color="auto"/>
                <w:right w:val="none" w:sz="0" w:space="0" w:color="auto"/>
              </w:divBdr>
            </w:div>
          </w:divsChild>
        </w:div>
        <w:div w:id="194538114">
          <w:marLeft w:val="0"/>
          <w:marRight w:val="0"/>
          <w:marTop w:val="0"/>
          <w:marBottom w:val="0"/>
          <w:divBdr>
            <w:top w:val="none" w:sz="0" w:space="0" w:color="auto"/>
            <w:left w:val="none" w:sz="0" w:space="0" w:color="auto"/>
            <w:bottom w:val="none" w:sz="0" w:space="0" w:color="auto"/>
            <w:right w:val="none" w:sz="0" w:space="0" w:color="auto"/>
          </w:divBdr>
          <w:divsChild>
            <w:div w:id="570895070">
              <w:marLeft w:val="0"/>
              <w:marRight w:val="0"/>
              <w:marTop w:val="0"/>
              <w:marBottom w:val="0"/>
              <w:divBdr>
                <w:top w:val="none" w:sz="0" w:space="0" w:color="auto"/>
                <w:left w:val="none" w:sz="0" w:space="0" w:color="auto"/>
                <w:bottom w:val="none" w:sz="0" w:space="0" w:color="auto"/>
                <w:right w:val="none" w:sz="0" w:space="0" w:color="auto"/>
              </w:divBdr>
            </w:div>
          </w:divsChild>
        </w:div>
        <w:div w:id="1805077016">
          <w:marLeft w:val="0"/>
          <w:marRight w:val="0"/>
          <w:marTop w:val="0"/>
          <w:marBottom w:val="0"/>
          <w:divBdr>
            <w:top w:val="none" w:sz="0" w:space="0" w:color="auto"/>
            <w:left w:val="none" w:sz="0" w:space="0" w:color="auto"/>
            <w:bottom w:val="none" w:sz="0" w:space="0" w:color="auto"/>
            <w:right w:val="none" w:sz="0" w:space="0" w:color="auto"/>
          </w:divBdr>
          <w:divsChild>
            <w:div w:id="876890040">
              <w:marLeft w:val="0"/>
              <w:marRight w:val="0"/>
              <w:marTop w:val="0"/>
              <w:marBottom w:val="0"/>
              <w:divBdr>
                <w:top w:val="none" w:sz="0" w:space="0" w:color="auto"/>
                <w:left w:val="none" w:sz="0" w:space="0" w:color="auto"/>
                <w:bottom w:val="none" w:sz="0" w:space="0" w:color="auto"/>
                <w:right w:val="none" w:sz="0" w:space="0" w:color="auto"/>
              </w:divBdr>
            </w:div>
          </w:divsChild>
        </w:div>
        <w:div w:id="1940872170">
          <w:marLeft w:val="0"/>
          <w:marRight w:val="0"/>
          <w:marTop w:val="0"/>
          <w:marBottom w:val="0"/>
          <w:divBdr>
            <w:top w:val="none" w:sz="0" w:space="0" w:color="auto"/>
            <w:left w:val="none" w:sz="0" w:space="0" w:color="auto"/>
            <w:bottom w:val="none" w:sz="0" w:space="0" w:color="auto"/>
            <w:right w:val="none" w:sz="0" w:space="0" w:color="auto"/>
          </w:divBdr>
          <w:divsChild>
            <w:div w:id="271862932">
              <w:marLeft w:val="0"/>
              <w:marRight w:val="0"/>
              <w:marTop w:val="0"/>
              <w:marBottom w:val="0"/>
              <w:divBdr>
                <w:top w:val="none" w:sz="0" w:space="0" w:color="auto"/>
                <w:left w:val="none" w:sz="0" w:space="0" w:color="auto"/>
                <w:bottom w:val="none" w:sz="0" w:space="0" w:color="auto"/>
                <w:right w:val="none" w:sz="0" w:space="0" w:color="auto"/>
              </w:divBdr>
            </w:div>
          </w:divsChild>
        </w:div>
        <w:div w:id="1915506904">
          <w:marLeft w:val="0"/>
          <w:marRight w:val="0"/>
          <w:marTop w:val="0"/>
          <w:marBottom w:val="0"/>
          <w:divBdr>
            <w:top w:val="none" w:sz="0" w:space="0" w:color="auto"/>
            <w:left w:val="none" w:sz="0" w:space="0" w:color="auto"/>
            <w:bottom w:val="none" w:sz="0" w:space="0" w:color="auto"/>
            <w:right w:val="none" w:sz="0" w:space="0" w:color="auto"/>
          </w:divBdr>
          <w:divsChild>
            <w:div w:id="1365517100">
              <w:marLeft w:val="0"/>
              <w:marRight w:val="0"/>
              <w:marTop w:val="0"/>
              <w:marBottom w:val="0"/>
              <w:divBdr>
                <w:top w:val="none" w:sz="0" w:space="0" w:color="auto"/>
                <w:left w:val="none" w:sz="0" w:space="0" w:color="auto"/>
                <w:bottom w:val="none" w:sz="0" w:space="0" w:color="auto"/>
                <w:right w:val="none" w:sz="0" w:space="0" w:color="auto"/>
              </w:divBdr>
            </w:div>
          </w:divsChild>
        </w:div>
        <w:div w:id="80807506">
          <w:marLeft w:val="0"/>
          <w:marRight w:val="0"/>
          <w:marTop w:val="0"/>
          <w:marBottom w:val="0"/>
          <w:divBdr>
            <w:top w:val="none" w:sz="0" w:space="0" w:color="auto"/>
            <w:left w:val="none" w:sz="0" w:space="0" w:color="auto"/>
            <w:bottom w:val="none" w:sz="0" w:space="0" w:color="auto"/>
            <w:right w:val="none" w:sz="0" w:space="0" w:color="auto"/>
          </w:divBdr>
          <w:divsChild>
            <w:div w:id="342250282">
              <w:marLeft w:val="0"/>
              <w:marRight w:val="0"/>
              <w:marTop w:val="0"/>
              <w:marBottom w:val="0"/>
              <w:divBdr>
                <w:top w:val="none" w:sz="0" w:space="0" w:color="auto"/>
                <w:left w:val="none" w:sz="0" w:space="0" w:color="auto"/>
                <w:bottom w:val="none" w:sz="0" w:space="0" w:color="auto"/>
                <w:right w:val="none" w:sz="0" w:space="0" w:color="auto"/>
              </w:divBdr>
            </w:div>
          </w:divsChild>
        </w:div>
        <w:div w:id="3095947">
          <w:marLeft w:val="0"/>
          <w:marRight w:val="0"/>
          <w:marTop w:val="0"/>
          <w:marBottom w:val="0"/>
          <w:divBdr>
            <w:top w:val="none" w:sz="0" w:space="0" w:color="auto"/>
            <w:left w:val="none" w:sz="0" w:space="0" w:color="auto"/>
            <w:bottom w:val="none" w:sz="0" w:space="0" w:color="auto"/>
            <w:right w:val="none" w:sz="0" w:space="0" w:color="auto"/>
          </w:divBdr>
          <w:divsChild>
            <w:div w:id="313874218">
              <w:marLeft w:val="0"/>
              <w:marRight w:val="0"/>
              <w:marTop w:val="0"/>
              <w:marBottom w:val="0"/>
              <w:divBdr>
                <w:top w:val="none" w:sz="0" w:space="0" w:color="auto"/>
                <w:left w:val="none" w:sz="0" w:space="0" w:color="auto"/>
                <w:bottom w:val="none" w:sz="0" w:space="0" w:color="auto"/>
                <w:right w:val="none" w:sz="0" w:space="0" w:color="auto"/>
              </w:divBdr>
            </w:div>
          </w:divsChild>
        </w:div>
        <w:div w:id="1887907939">
          <w:marLeft w:val="0"/>
          <w:marRight w:val="0"/>
          <w:marTop w:val="0"/>
          <w:marBottom w:val="0"/>
          <w:divBdr>
            <w:top w:val="none" w:sz="0" w:space="0" w:color="auto"/>
            <w:left w:val="none" w:sz="0" w:space="0" w:color="auto"/>
            <w:bottom w:val="none" w:sz="0" w:space="0" w:color="auto"/>
            <w:right w:val="none" w:sz="0" w:space="0" w:color="auto"/>
          </w:divBdr>
          <w:divsChild>
            <w:div w:id="34486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74034">
      <w:bodyDiv w:val="1"/>
      <w:marLeft w:val="0"/>
      <w:marRight w:val="0"/>
      <w:marTop w:val="0"/>
      <w:marBottom w:val="0"/>
      <w:divBdr>
        <w:top w:val="none" w:sz="0" w:space="0" w:color="auto"/>
        <w:left w:val="none" w:sz="0" w:space="0" w:color="auto"/>
        <w:bottom w:val="none" w:sz="0" w:space="0" w:color="auto"/>
        <w:right w:val="none" w:sz="0" w:space="0" w:color="auto"/>
      </w:divBdr>
    </w:div>
    <w:div w:id="456141323">
      <w:bodyDiv w:val="1"/>
      <w:marLeft w:val="0"/>
      <w:marRight w:val="0"/>
      <w:marTop w:val="0"/>
      <w:marBottom w:val="0"/>
      <w:divBdr>
        <w:top w:val="none" w:sz="0" w:space="0" w:color="auto"/>
        <w:left w:val="none" w:sz="0" w:space="0" w:color="auto"/>
        <w:bottom w:val="none" w:sz="0" w:space="0" w:color="auto"/>
        <w:right w:val="none" w:sz="0" w:space="0" w:color="auto"/>
      </w:divBdr>
    </w:div>
    <w:div w:id="468860579">
      <w:bodyDiv w:val="1"/>
      <w:marLeft w:val="0"/>
      <w:marRight w:val="0"/>
      <w:marTop w:val="0"/>
      <w:marBottom w:val="0"/>
      <w:divBdr>
        <w:top w:val="none" w:sz="0" w:space="0" w:color="auto"/>
        <w:left w:val="none" w:sz="0" w:space="0" w:color="auto"/>
        <w:bottom w:val="none" w:sz="0" w:space="0" w:color="auto"/>
        <w:right w:val="none" w:sz="0" w:space="0" w:color="auto"/>
      </w:divBdr>
    </w:div>
    <w:div w:id="473648411">
      <w:bodyDiv w:val="1"/>
      <w:marLeft w:val="0"/>
      <w:marRight w:val="0"/>
      <w:marTop w:val="0"/>
      <w:marBottom w:val="0"/>
      <w:divBdr>
        <w:top w:val="none" w:sz="0" w:space="0" w:color="auto"/>
        <w:left w:val="none" w:sz="0" w:space="0" w:color="auto"/>
        <w:bottom w:val="none" w:sz="0" w:space="0" w:color="auto"/>
        <w:right w:val="none" w:sz="0" w:space="0" w:color="auto"/>
      </w:divBdr>
    </w:div>
    <w:div w:id="500240359">
      <w:bodyDiv w:val="1"/>
      <w:marLeft w:val="0"/>
      <w:marRight w:val="0"/>
      <w:marTop w:val="0"/>
      <w:marBottom w:val="0"/>
      <w:divBdr>
        <w:top w:val="none" w:sz="0" w:space="0" w:color="auto"/>
        <w:left w:val="none" w:sz="0" w:space="0" w:color="auto"/>
        <w:bottom w:val="none" w:sz="0" w:space="0" w:color="auto"/>
        <w:right w:val="none" w:sz="0" w:space="0" w:color="auto"/>
      </w:divBdr>
    </w:div>
    <w:div w:id="530344831">
      <w:bodyDiv w:val="1"/>
      <w:marLeft w:val="0"/>
      <w:marRight w:val="0"/>
      <w:marTop w:val="0"/>
      <w:marBottom w:val="0"/>
      <w:divBdr>
        <w:top w:val="none" w:sz="0" w:space="0" w:color="auto"/>
        <w:left w:val="none" w:sz="0" w:space="0" w:color="auto"/>
        <w:bottom w:val="none" w:sz="0" w:space="0" w:color="auto"/>
        <w:right w:val="none" w:sz="0" w:space="0" w:color="auto"/>
      </w:divBdr>
    </w:div>
    <w:div w:id="552228733">
      <w:bodyDiv w:val="1"/>
      <w:marLeft w:val="0"/>
      <w:marRight w:val="0"/>
      <w:marTop w:val="0"/>
      <w:marBottom w:val="0"/>
      <w:divBdr>
        <w:top w:val="none" w:sz="0" w:space="0" w:color="auto"/>
        <w:left w:val="none" w:sz="0" w:space="0" w:color="auto"/>
        <w:bottom w:val="none" w:sz="0" w:space="0" w:color="auto"/>
        <w:right w:val="none" w:sz="0" w:space="0" w:color="auto"/>
      </w:divBdr>
    </w:div>
    <w:div w:id="608977507">
      <w:bodyDiv w:val="1"/>
      <w:marLeft w:val="0"/>
      <w:marRight w:val="0"/>
      <w:marTop w:val="0"/>
      <w:marBottom w:val="0"/>
      <w:divBdr>
        <w:top w:val="none" w:sz="0" w:space="0" w:color="auto"/>
        <w:left w:val="none" w:sz="0" w:space="0" w:color="auto"/>
        <w:bottom w:val="none" w:sz="0" w:space="0" w:color="auto"/>
        <w:right w:val="none" w:sz="0" w:space="0" w:color="auto"/>
      </w:divBdr>
    </w:div>
    <w:div w:id="649865420">
      <w:bodyDiv w:val="1"/>
      <w:marLeft w:val="0"/>
      <w:marRight w:val="0"/>
      <w:marTop w:val="0"/>
      <w:marBottom w:val="0"/>
      <w:divBdr>
        <w:top w:val="none" w:sz="0" w:space="0" w:color="auto"/>
        <w:left w:val="none" w:sz="0" w:space="0" w:color="auto"/>
        <w:bottom w:val="none" w:sz="0" w:space="0" w:color="auto"/>
        <w:right w:val="none" w:sz="0" w:space="0" w:color="auto"/>
      </w:divBdr>
    </w:div>
    <w:div w:id="663750819">
      <w:bodyDiv w:val="1"/>
      <w:marLeft w:val="0"/>
      <w:marRight w:val="0"/>
      <w:marTop w:val="0"/>
      <w:marBottom w:val="0"/>
      <w:divBdr>
        <w:top w:val="none" w:sz="0" w:space="0" w:color="auto"/>
        <w:left w:val="none" w:sz="0" w:space="0" w:color="auto"/>
        <w:bottom w:val="none" w:sz="0" w:space="0" w:color="auto"/>
        <w:right w:val="none" w:sz="0" w:space="0" w:color="auto"/>
      </w:divBdr>
      <w:divsChild>
        <w:div w:id="159738550">
          <w:marLeft w:val="0"/>
          <w:marRight w:val="0"/>
          <w:marTop w:val="0"/>
          <w:marBottom w:val="0"/>
          <w:divBdr>
            <w:top w:val="none" w:sz="0" w:space="0" w:color="auto"/>
            <w:left w:val="none" w:sz="0" w:space="0" w:color="auto"/>
            <w:bottom w:val="none" w:sz="0" w:space="0" w:color="auto"/>
            <w:right w:val="none" w:sz="0" w:space="0" w:color="auto"/>
          </w:divBdr>
        </w:div>
        <w:div w:id="1924140774">
          <w:marLeft w:val="0"/>
          <w:marRight w:val="0"/>
          <w:marTop w:val="0"/>
          <w:marBottom w:val="0"/>
          <w:divBdr>
            <w:top w:val="none" w:sz="0" w:space="0" w:color="auto"/>
            <w:left w:val="none" w:sz="0" w:space="0" w:color="auto"/>
            <w:bottom w:val="none" w:sz="0" w:space="0" w:color="auto"/>
            <w:right w:val="none" w:sz="0" w:space="0" w:color="auto"/>
          </w:divBdr>
        </w:div>
      </w:divsChild>
    </w:div>
    <w:div w:id="667025777">
      <w:bodyDiv w:val="1"/>
      <w:marLeft w:val="0"/>
      <w:marRight w:val="0"/>
      <w:marTop w:val="0"/>
      <w:marBottom w:val="0"/>
      <w:divBdr>
        <w:top w:val="none" w:sz="0" w:space="0" w:color="auto"/>
        <w:left w:val="none" w:sz="0" w:space="0" w:color="auto"/>
        <w:bottom w:val="none" w:sz="0" w:space="0" w:color="auto"/>
        <w:right w:val="none" w:sz="0" w:space="0" w:color="auto"/>
      </w:divBdr>
      <w:divsChild>
        <w:div w:id="2062970998">
          <w:marLeft w:val="0"/>
          <w:marRight w:val="0"/>
          <w:marTop w:val="0"/>
          <w:marBottom w:val="0"/>
          <w:divBdr>
            <w:top w:val="none" w:sz="0" w:space="0" w:color="auto"/>
            <w:left w:val="none" w:sz="0" w:space="0" w:color="auto"/>
            <w:bottom w:val="none" w:sz="0" w:space="0" w:color="auto"/>
            <w:right w:val="none" w:sz="0" w:space="0" w:color="auto"/>
          </w:divBdr>
        </w:div>
        <w:div w:id="420489420">
          <w:marLeft w:val="0"/>
          <w:marRight w:val="0"/>
          <w:marTop w:val="0"/>
          <w:marBottom w:val="0"/>
          <w:divBdr>
            <w:top w:val="none" w:sz="0" w:space="0" w:color="auto"/>
            <w:left w:val="none" w:sz="0" w:space="0" w:color="auto"/>
            <w:bottom w:val="none" w:sz="0" w:space="0" w:color="auto"/>
            <w:right w:val="none" w:sz="0" w:space="0" w:color="auto"/>
          </w:divBdr>
        </w:div>
      </w:divsChild>
    </w:div>
    <w:div w:id="685441483">
      <w:bodyDiv w:val="1"/>
      <w:marLeft w:val="0"/>
      <w:marRight w:val="0"/>
      <w:marTop w:val="0"/>
      <w:marBottom w:val="0"/>
      <w:divBdr>
        <w:top w:val="none" w:sz="0" w:space="0" w:color="auto"/>
        <w:left w:val="none" w:sz="0" w:space="0" w:color="auto"/>
        <w:bottom w:val="none" w:sz="0" w:space="0" w:color="auto"/>
        <w:right w:val="none" w:sz="0" w:space="0" w:color="auto"/>
      </w:divBdr>
    </w:div>
    <w:div w:id="691340885">
      <w:bodyDiv w:val="1"/>
      <w:marLeft w:val="0"/>
      <w:marRight w:val="0"/>
      <w:marTop w:val="0"/>
      <w:marBottom w:val="0"/>
      <w:divBdr>
        <w:top w:val="none" w:sz="0" w:space="0" w:color="auto"/>
        <w:left w:val="none" w:sz="0" w:space="0" w:color="auto"/>
        <w:bottom w:val="none" w:sz="0" w:space="0" w:color="auto"/>
        <w:right w:val="none" w:sz="0" w:space="0" w:color="auto"/>
      </w:divBdr>
    </w:div>
    <w:div w:id="777019163">
      <w:bodyDiv w:val="1"/>
      <w:marLeft w:val="0"/>
      <w:marRight w:val="0"/>
      <w:marTop w:val="0"/>
      <w:marBottom w:val="0"/>
      <w:divBdr>
        <w:top w:val="none" w:sz="0" w:space="0" w:color="auto"/>
        <w:left w:val="none" w:sz="0" w:space="0" w:color="auto"/>
        <w:bottom w:val="none" w:sz="0" w:space="0" w:color="auto"/>
        <w:right w:val="none" w:sz="0" w:space="0" w:color="auto"/>
      </w:divBdr>
    </w:div>
    <w:div w:id="788738558">
      <w:bodyDiv w:val="1"/>
      <w:marLeft w:val="0"/>
      <w:marRight w:val="0"/>
      <w:marTop w:val="0"/>
      <w:marBottom w:val="0"/>
      <w:divBdr>
        <w:top w:val="none" w:sz="0" w:space="0" w:color="auto"/>
        <w:left w:val="none" w:sz="0" w:space="0" w:color="auto"/>
        <w:bottom w:val="none" w:sz="0" w:space="0" w:color="auto"/>
        <w:right w:val="none" w:sz="0" w:space="0" w:color="auto"/>
      </w:divBdr>
    </w:div>
    <w:div w:id="799804654">
      <w:bodyDiv w:val="1"/>
      <w:marLeft w:val="0"/>
      <w:marRight w:val="0"/>
      <w:marTop w:val="0"/>
      <w:marBottom w:val="0"/>
      <w:divBdr>
        <w:top w:val="none" w:sz="0" w:space="0" w:color="auto"/>
        <w:left w:val="none" w:sz="0" w:space="0" w:color="auto"/>
        <w:bottom w:val="none" w:sz="0" w:space="0" w:color="auto"/>
        <w:right w:val="none" w:sz="0" w:space="0" w:color="auto"/>
      </w:divBdr>
    </w:div>
    <w:div w:id="803891017">
      <w:bodyDiv w:val="1"/>
      <w:marLeft w:val="0"/>
      <w:marRight w:val="0"/>
      <w:marTop w:val="0"/>
      <w:marBottom w:val="0"/>
      <w:divBdr>
        <w:top w:val="none" w:sz="0" w:space="0" w:color="auto"/>
        <w:left w:val="none" w:sz="0" w:space="0" w:color="auto"/>
        <w:bottom w:val="none" w:sz="0" w:space="0" w:color="auto"/>
        <w:right w:val="none" w:sz="0" w:space="0" w:color="auto"/>
      </w:divBdr>
      <w:divsChild>
        <w:div w:id="321081482">
          <w:marLeft w:val="0"/>
          <w:marRight w:val="0"/>
          <w:marTop w:val="0"/>
          <w:marBottom w:val="0"/>
          <w:divBdr>
            <w:top w:val="none" w:sz="0" w:space="0" w:color="auto"/>
            <w:left w:val="none" w:sz="0" w:space="0" w:color="auto"/>
            <w:bottom w:val="none" w:sz="0" w:space="0" w:color="auto"/>
            <w:right w:val="none" w:sz="0" w:space="0" w:color="auto"/>
          </w:divBdr>
        </w:div>
        <w:div w:id="1877543286">
          <w:marLeft w:val="0"/>
          <w:marRight w:val="0"/>
          <w:marTop w:val="0"/>
          <w:marBottom w:val="0"/>
          <w:divBdr>
            <w:top w:val="none" w:sz="0" w:space="0" w:color="auto"/>
            <w:left w:val="none" w:sz="0" w:space="0" w:color="auto"/>
            <w:bottom w:val="none" w:sz="0" w:space="0" w:color="auto"/>
            <w:right w:val="none" w:sz="0" w:space="0" w:color="auto"/>
          </w:divBdr>
        </w:div>
        <w:div w:id="1895193435">
          <w:marLeft w:val="0"/>
          <w:marRight w:val="0"/>
          <w:marTop w:val="0"/>
          <w:marBottom w:val="0"/>
          <w:divBdr>
            <w:top w:val="none" w:sz="0" w:space="0" w:color="auto"/>
            <w:left w:val="none" w:sz="0" w:space="0" w:color="auto"/>
            <w:bottom w:val="none" w:sz="0" w:space="0" w:color="auto"/>
            <w:right w:val="none" w:sz="0" w:space="0" w:color="auto"/>
          </w:divBdr>
          <w:divsChild>
            <w:div w:id="1166870144">
              <w:marLeft w:val="-75"/>
              <w:marRight w:val="0"/>
              <w:marTop w:val="30"/>
              <w:marBottom w:val="30"/>
              <w:divBdr>
                <w:top w:val="none" w:sz="0" w:space="0" w:color="auto"/>
                <w:left w:val="none" w:sz="0" w:space="0" w:color="auto"/>
                <w:bottom w:val="none" w:sz="0" w:space="0" w:color="auto"/>
                <w:right w:val="none" w:sz="0" w:space="0" w:color="auto"/>
              </w:divBdr>
              <w:divsChild>
                <w:div w:id="221451559">
                  <w:marLeft w:val="0"/>
                  <w:marRight w:val="0"/>
                  <w:marTop w:val="0"/>
                  <w:marBottom w:val="0"/>
                  <w:divBdr>
                    <w:top w:val="none" w:sz="0" w:space="0" w:color="auto"/>
                    <w:left w:val="none" w:sz="0" w:space="0" w:color="auto"/>
                    <w:bottom w:val="none" w:sz="0" w:space="0" w:color="auto"/>
                    <w:right w:val="none" w:sz="0" w:space="0" w:color="auto"/>
                  </w:divBdr>
                  <w:divsChild>
                    <w:div w:id="2045785722">
                      <w:marLeft w:val="0"/>
                      <w:marRight w:val="0"/>
                      <w:marTop w:val="0"/>
                      <w:marBottom w:val="0"/>
                      <w:divBdr>
                        <w:top w:val="none" w:sz="0" w:space="0" w:color="auto"/>
                        <w:left w:val="none" w:sz="0" w:space="0" w:color="auto"/>
                        <w:bottom w:val="none" w:sz="0" w:space="0" w:color="auto"/>
                        <w:right w:val="none" w:sz="0" w:space="0" w:color="auto"/>
                      </w:divBdr>
                    </w:div>
                  </w:divsChild>
                </w:div>
                <w:div w:id="1875926179">
                  <w:marLeft w:val="0"/>
                  <w:marRight w:val="0"/>
                  <w:marTop w:val="0"/>
                  <w:marBottom w:val="0"/>
                  <w:divBdr>
                    <w:top w:val="none" w:sz="0" w:space="0" w:color="auto"/>
                    <w:left w:val="none" w:sz="0" w:space="0" w:color="auto"/>
                    <w:bottom w:val="none" w:sz="0" w:space="0" w:color="auto"/>
                    <w:right w:val="none" w:sz="0" w:space="0" w:color="auto"/>
                  </w:divBdr>
                  <w:divsChild>
                    <w:div w:id="347873482">
                      <w:marLeft w:val="0"/>
                      <w:marRight w:val="0"/>
                      <w:marTop w:val="0"/>
                      <w:marBottom w:val="0"/>
                      <w:divBdr>
                        <w:top w:val="none" w:sz="0" w:space="0" w:color="auto"/>
                        <w:left w:val="none" w:sz="0" w:space="0" w:color="auto"/>
                        <w:bottom w:val="none" w:sz="0" w:space="0" w:color="auto"/>
                        <w:right w:val="none" w:sz="0" w:space="0" w:color="auto"/>
                      </w:divBdr>
                    </w:div>
                  </w:divsChild>
                </w:div>
                <w:div w:id="1234700601">
                  <w:marLeft w:val="0"/>
                  <w:marRight w:val="0"/>
                  <w:marTop w:val="0"/>
                  <w:marBottom w:val="0"/>
                  <w:divBdr>
                    <w:top w:val="none" w:sz="0" w:space="0" w:color="auto"/>
                    <w:left w:val="none" w:sz="0" w:space="0" w:color="auto"/>
                    <w:bottom w:val="none" w:sz="0" w:space="0" w:color="auto"/>
                    <w:right w:val="none" w:sz="0" w:space="0" w:color="auto"/>
                  </w:divBdr>
                  <w:divsChild>
                    <w:div w:id="2084064930">
                      <w:marLeft w:val="0"/>
                      <w:marRight w:val="0"/>
                      <w:marTop w:val="0"/>
                      <w:marBottom w:val="0"/>
                      <w:divBdr>
                        <w:top w:val="none" w:sz="0" w:space="0" w:color="auto"/>
                        <w:left w:val="none" w:sz="0" w:space="0" w:color="auto"/>
                        <w:bottom w:val="none" w:sz="0" w:space="0" w:color="auto"/>
                        <w:right w:val="none" w:sz="0" w:space="0" w:color="auto"/>
                      </w:divBdr>
                    </w:div>
                  </w:divsChild>
                </w:div>
                <w:div w:id="620068158">
                  <w:marLeft w:val="0"/>
                  <w:marRight w:val="0"/>
                  <w:marTop w:val="0"/>
                  <w:marBottom w:val="0"/>
                  <w:divBdr>
                    <w:top w:val="none" w:sz="0" w:space="0" w:color="auto"/>
                    <w:left w:val="none" w:sz="0" w:space="0" w:color="auto"/>
                    <w:bottom w:val="none" w:sz="0" w:space="0" w:color="auto"/>
                    <w:right w:val="none" w:sz="0" w:space="0" w:color="auto"/>
                  </w:divBdr>
                  <w:divsChild>
                    <w:div w:id="1503083869">
                      <w:marLeft w:val="0"/>
                      <w:marRight w:val="0"/>
                      <w:marTop w:val="0"/>
                      <w:marBottom w:val="0"/>
                      <w:divBdr>
                        <w:top w:val="none" w:sz="0" w:space="0" w:color="auto"/>
                        <w:left w:val="none" w:sz="0" w:space="0" w:color="auto"/>
                        <w:bottom w:val="none" w:sz="0" w:space="0" w:color="auto"/>
                        <w:right w:val="none" w:sz="0" w:space="0" w:color="auto"/>
                      </w:divBdr>
                    </w:div>
                  </w:divsChild>
                </w:div>
                <w:div w:id="829565973">
                  <w:marLeft w:val="0"/>
                  <w:marRight w:val="0"/>
                  <w:marTop w:val="0"/>
                  <w:marBottom w:val="0"/>
                  <w:divBdr>
                    <w:top w:val="none" w:sz="0" w:space="0" w:color="auto"/>
                    <w:left w:val="none" w:sz="0" w:space="0" w:color="auto"/>
                    <w:bottom w:val="none" w:sz="0" w:space="0" w:color="auto"/>
                    <w:right w:val="none" w:sz="0" w:space="0" w:color="auto"/>
                  </w:divBdr>
                  <w:divsChild>
                    <w:div w:id="1888252924">
                      <w:marLeft w:val="0"/>
                      <w:marRight w:val="0"/>
                      <w:marTop w:val="0"/>
                      <w:marBottom w:val="0"/>
                      <w:divBdr>
                        <w:top w:val="none" w:sz="0" w:space="0" w:color="auto"/>
                        <w:left w:val="none" w:sz="0" w:space="0" w:color="auto"/>
                        <w:bottom w:val="none" w:sz="0" w:space="0" w:color="auto"/>
                        <w:right w:val="none" w:sz="0" w:space="0" w:color="auto"/>
                      </w:divBdr>
                    </w:div>
                  </w:divsChild>
                </w:div>
                <w:div w:id="1193492183">
                  <w:marLeft w:val="0"/>
                  <w:marRight w:val="0"/>
                  <w:marTop w:val="0"/>
                  <w:marBottom w:val="0"/>
                  <w:divBdr>
                    <w:top w:val="none" w:sz="0" w:space="0" w:color="auto"/>
                    <w:left w:val="none" w:sz="0" w:space="0" w:color="auto"/>
                    <w:bottom w:val="none" w:sz="0" w:space="0" w:color="auto"/>
                    <w:right w:val="none" w:sz="0" w:space="0" w:color="auto"/>
                  </w:divBdr>
                  <w:divsChild>
                    <w:div w:id="1225219497">
                      <w:marLeft w:val="0"/>
                      <w:marRight w:val="0"/>
                      <w:marTop w:val="0"/>
                      <w:marBottom w:val="0"/>
                      <w:divBdr>
                        <w:top w:val="none" w:sz="0" w:space="0" w:color="auto"/>
                        <w:left w:val="none" w:sz="0" w:space="0" w:color="auto"/>
                        <w:bottom w:val="none" w:sz="0" w:space="0" w:color="auto"/>
                        <w:right w:val="none" w:sz="0" w:space="0" w:color="auto"/>
                      </w:divBdr>
                    </w:div>
                  </w:divsChild>
                </w:div>
                <w:div w:id="517353551">
                  <w:marLeft w:val="0"/>
                  <w:marRight w:val="0"/>
                  <w:marTop w:val="0"/>
                  <w:marBottom w:val="0"/>
                  <w:divBdr>
                    <w:top w:val="none" w:sz="0" w:space="0" w:color="auto"/>
                    <w:left w:val="none" w:sz="0" w:space="0" w:color="auto"/>
                    <w:bottom w:val="none" w:sz="0" w:space="0" w:color="auto"/>
                    <w:right w:val="none" w:sz="0" w:space="0" w:color="auto"/>
                  </w:divBdr>
                  <w:divsChild>
                    <w:div w:id="1329477346">
                      <w:marLeft w:val="0"/>
                      <w:marRight w:val="0"/>
                      <w:marTop w:val="0"/>
                      <w:marBottom w:val="0"/>
                      <w:divBdr>
                        <w:top w:val="none" w:sz="0" w:space="0" w:color="auto"/>
                        <w:left w:val="none" w:sz="0" w:space="0" w:color="auto"/>
                        <w:bottom w:val="none" w:sz="0" w:space="0" w:color="auto"/>
                        <w:right w:val="none" w:sz="0" w:space="0" w:color="auto"/>
                      </w:divBdr>
                    </w:div>
                  </w:divsChild>
                </w:div>
                <w:div w:id="1962497645">
                  <w:marLeft w:val="0"/>
                  <w:marRight w:val="0"/>
                  <w:marTop w:val="0"/>
                  <w:marBottom w:val="0"/>
                  <w:divBdr>
                    <w:top w:val="none" w:sz="0" w:space="0" w:color="auto"/>
                    <w:left w:val="none" w:sz="0" w:space="0" w:color="auto"/>
                    <w:bottom w:val="none" w:sz="0" w:space="0" w:color="auto"/>
                    <w:right w:val="none" w:sz="0" w:space="0" w:color="auto"/>
                  </w:divBdr>
                  <w:divsChild>
                    <w:div w:id="1882595256">
                      <w:marLeft w:val="0"/>
                      <w:marRight w:val="0"/>
                      <w:marTop w:val="0"/>
                      <w:marBottom w:val="0"/>
                      <w:divBdr>
                        <w:top w:val="none" w:sz="0" w:space="0" w:color="auto"/>
                        <w:left w:val="none" w:sz="0" w:space="0" w:color="auto"/>
                        <w:bottom w:val="none" w:sz="0" w:space="0" w:color="auto"/>
                        <w:right w:val="none" w:sz="0" w:space="0" w:color="auto"/>
                      </w:divBdr>
                    </w:div>
                  </w:divsChild>
                </w:div>
                <w:div w:id="1334799827">
                  <w:marLeft w:val="0"/>
                  <w:marRight w:val="0"/>
                  <w:marTop w:val="0"/>
                  <w:marBottom w:val="0"/>
                  <w:divBdr>
                    <w:top w:val="none" w:sz="0" w:space="0" w:color="auto"/>
                    <w:left w:val="none" w:sz="0" w:space="0" w:color="auto"/>
                    <w:bottom w:val="none" w:sz="0" w:space="0" w:color="auto"/>
                    <w:right w:val="none" w:sz="0" w:space="0" w:color="auto"/>
                  </w:divBdr>
                  <w:divsChild>
                    <w:div w:id="771710317">
                      <w:marLeft w:val="0"/>
                      <w:marRight w:val="0"/>
                      <w:marTop w:val="0"/>
                      <w:marBottom w:val="0"/>
                      <w:divBdr>
                        <w:top w:val="none" w:sz="0" w:space="0" w:color="auto"/>
                        <w:left w:val="none" w:sz="0" w:space="0" w:color="auto"/>
                        <w:bottom w:val="none" w:sz="0" w:space="0" w:color="auto"/>
                        <w:right w:val="none" w:sz="0" w:space="0" w:color="auto"/>
                      </w:divBdr>
                    </w:div>
                  </w:divsChild>
                </w:div>
                <w:div w:id="845555445">
                  <w:marLeft w:val="0"/>
                  <w:marRight w:val="0"/>
                  <w:marTop w:val="0"/>
                  <w:marBottom w:val="0"/>
                  <w:divBdr>
                    <w:top w:val="none" w:sz="0" w:space="0" w:color="auto"/>
                    <w:left w:val="none" w:sz="0" w:space="0" w:color="auto"/>
                    <w:bottom w:val="none" w:sz="0" w:space="0" w:color="auto"/>
                    <w:right w:val="none" w:sz="0" w:space="0" w:color="auto"/>
                  </w:divBdr>
                  <w:divsChild>
                    <w:div w:id="1396197556">
                      <w:marLeft w:val="0"/>
                      <w:marRight w:val="0"/>
                      <w:marTop w:val="0"/>
                      <w:marBottom w:val="0"/>
                      <w:divBdr>
                        <w:top w:val="none" w:sz="0" w:space="0" w:color="auto"/>
                        <w:left w:val="none" w:sz="0" w:space="0" w:color="auto"/>
                        <w:bottom w:val="none" w:sz="0" w:space="0" w:color="auto"/>
                        <w:right w:val="none" w:sz="0" w:space="0" w:color="auto"/>
                      </w:divBdr>
                    </w:div>
                  </w:divsChild>
                </w:div>
                <w:div w:id="175269383">
                  <w:marLeft w:val="0"/>
                  <w:marRight w:val="0"/>
                  <w:marTop w:val="0"/>
                  <w:marBottom w:val="0"/>
                  <w:divBdr>
                    <w:top w:val="none" w:sz="0" w:space="0" w:color="auto"/>
                    <w:left w:val="none" w:sz="0" w:space="0" w:color="auto"/>
                    <w:bottom w:val="none" w:sz="0" w:space="0" w:color="auto"/>
                    <w:right w:val="none" w:sz="0" w:space="0" w:color="auto"/>
                  </w:divBdr>
                  <w:divsChild>
                    <w:div w:id="314988497">
                      <w:marLeft w:val="0"/>
                      <w:marRight w:val="0"/>
                      <w:marTop w:val="0"/>
                      <w:marBottom w:val="0"/>
                      <w:divBdr>
                        <w:top w:val="none" w:sz="0" w:space="0" w:color="auto"/>
                        <w:left w:val="none" w:sz="0" w:space="0" w:color="auto"/>
                        <w:bottom w:val="none" w:sz="0" w:space="0" w:color="auto"/>
                        <w:right w:val="none" w:sz="0" w:space="0" w:color="auto"/>
                      </w:divBdr>
                    </w:div>
                  </w:divsChild>
                </w:div>
                <w:div w:id="371077455">
                  <w:marLeft w:val="0"/>
                  <w:marRight w:val="0"/>
                  <w:marTop w:val="0"/>
                  <w:marBottom w:val="0"/>
                  <w:divBdr>
                    <w:top w:val="none" w:sz="0" w:space="0" w:color="auto"/>
                    <w:left w:val="none" w:sz="0" w:space="0" w:color="auto"/>
                    <w:bottom w:val="none" w:sz="0" w:space="0" w:color="auto"/>
                    <w:right w:val="none" w:sz="0" w:space="0" w:color="auto"/>
                  </w:divBdr>
                  <w:divsChild>
                    <w:div w:id="917595857">
                      <w:marLeft w:val="0"/>
                      <w:marRight w:val="0"/>
                      <w:marTop w:val="0"/>
                      <w:marBottom w:val="0"/>
                      <w:divBdr>
                        <w:top w:val="none" w:sz="0" w:space="0" w:color="auto"/>
                        <w:left w:val="none" w:sz="0" w:space="0" w:color="auto"/>
                        <w:bottom w:val="none" w:sz="0" w:space="0" w:color="auto"/>
                        <w:right w:val="none" w:sz="0" w:space="0" w:color="auto"/>
                      </w:divBdr>
                    </w:div>
                  </w:divsChild>
                </w:div>
                <w:div w:id="780993166">
                  <w:marLeft w:val="0"/>
                  <w:marRight w:val="0"/>
                  <w:marTop w:val="0"/>
                  <w:marBottom w:val="0"/>
                  <w:divBdr>
                    <w:top w:val="none" w:sz="0" w:space="0" w:color="auto"/>
                    <w:left w:val="none" w:sz="0" w:space="0" w:color="auto"/>
                    <w:bottom w:val="none" w:sz="0" w:space="0" w:color="auto"/>
                    <w:right w:val="none" w:sz="0" w:space="0" w:color="auto"/>
                  </w:divBdr>
                  <w:divsChild>
                    <w:div w:id="976422787">
                      <w:marLeft w:val="0"/>
                      <w:marRight w:val="0"/>
                      <w:marTop w:val="0"/>
                      <w:marBottom w:val="0"/>
                      <w:divBdr>
                        <w:top w:val="none" w:sz="0" w:space="0" w:color="auto"/>
                        <w:left w:val="none" w:sz="0" w:space="0" w:color="auto"/>
                        <w:bottom w:val="none" w:sz="0" w:space="0" w:color="auto"/>
                        <w:right w:val="none" w:sz="0" w:space="0" w:color="auto"/>
                      </w:divBdr>
                    </w:div>
                  </w:divsChild>
                </w:div>
                <w:div w:id="1364138141">
                  <w:marLeft w:val="0"/>
                  <w:marRight w:val="0"/>
                  <w:marTop w:val="0"/>
                  <w:marBottom w:val="0"/>
                  <w:divBdr>
                    <w:top w:val="none" w:sz="0" w:space="0" w:color="auto"/>
                    <w:left w:val="none" w:sz="0" w:space="0" w:color="auto"/>
                    <w:bottom w:val="none" w:sz="0" w:space="0" w:color="auto"/>
                    <w:right w:val="none" w:sz="0" w:space="0" w:color="auto"/>
                  </w:divBdr>
                  <w:divsChild>
                    <w:div w:id="2031490588">
                      <w:marLeft w:val="0"/>
                      <w:marRight w:val="0"/>
                      <w:marTop w:val="0"/>
                      <w:marBottom w:val="0"/>
                      <w:divBdr>
                        <w:top w:val="none" w:sz="0" w:space="0" w:color="auto"/>
                        <w:left w:val="none" w:sz="0" w:space="0" w:color="auto"/>
                        <w:bottom w:val="none" w:sz="0" w:space="0" w:color="auto"/>
                        <w:right w:val="none" w:sz="0" w:space="0" w:color="auto"/>
                      </w:divBdr>
                    </w:div>
                  </w:divsChild>
                </w:div>
                <w:div w:id="958755973">
                  <w:marLeft w:val="0"/>
                  <w:marRight w:val="0"/>
                  <w:marTop w:val="0"/>
                  <w:marBottom w:val="0"/>
                  <w:divBdr>
                    <w:top w:val="none" w:sz="0" w:space="0" w:color="auto"/>
                    <w:left w:val="none" w:sz="0" w:space="0" w:color="auto"/>
                    <w:bottom w:val="none" w:sz="0" w:space="0" w:color="auto"/>
                    <w:right w:val="none" w:sz="0" w:space="0" w:color="auto"/>
                  </w:divBdr>
                  <w:divsChild>
                    <w:div w:id="1613586814">
                      <w:marLeft w:val="0"/>
                      <w:marRight w:val="0"/>
                      <w:marTop w:val="0"/>
                      <w:marBottom w:val="0"/>
                      <w:divBdr>
                        <w:top w:val="none" w:sz="0" w:space="0" w:color="auto"/>
                        <w:left w:val="none" w:sz="0" w:space="0" w:color="auto"/>
                        <w:bottom w:val="none" w:sz="0" w:space="0" w:color="auto"/>
                        <w:right w:val="none" w:sz="0" w:space="0" w:color="auto"/>
                      </w:divBdr>
                    </w:div>
                  </w:divsChild>
                </w:div>
                <w:div w:id="152651630">
                  <w:marLeft w:val="0"/>
                  <w:marRight w:val="0"/>
                  <w:marTop w:val="0"/>
                  <w:marBottom w:val="0"/>
                  <w:divBdr>
                    <w:top w:val="none" w:sz="0" w:space="0" w:color="auto"/>
                    <w:left w:val="none" w:sz="0" w:space="0" w:color="auto"/>
                    <w:bottom w:val="none" w:sz="0" w:space="0" w:color="auto"/>
                    <w:right w:val="none" w:sz="0" w:space="0" w:color="auto"/>
                  </w:divBdr>
                  <w:divsChild>
                    <w:div w:id="112152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640244">
          <w:marLeft w:val="0"/>
          <w:marRight w:val="0"/>
          <w:marTop w:val="0"/>
          <w:marBottom w:val="0"/>
          <w:divBdr>
            <w:top w:val="none" w:sz="0" w:space="0" w:color="auto"/>
            <w:left w:val="none" w:sz="0" w:space="0" w:color="auto"/>
            <w:bottom w:val="none" w:sz="0" w:space="0" w:color="auto"/>
            <w:right w:val="none" w:sz="0" w:space="0" w:color="auto"/>
          </w:divBdr>
        </w:div>
        <w:div w:id="1399278705">
          <w:marLeft w:val="0"/>
          <w:marRight w:val="0"/>
          <w:marTop w:val="0"/>
          <w:marBottom w:val="0"/>
          <w:divBdr>
            <w:top w:val="none" w:sz="0" w:space="0" w:color="auto"/>
            <w:left w:val="none" w:sz="0" w:space="0" w:color="auto"/>
            <w:bottom w:val="none" w:sz="0" w:space="0" w:color="auto"/>
            <w:right w:val="none" w:sz="0" w:space="0" w:color="auto"/>
          </w:divBdr>
        </w:div>
      </w:divsChild>
    </w:div>
    <w:div w:id="829370274">
      <w:bodyDiv w:val="1"/>
      <w:marLeft w:val="0"/>
      <w:marRight w:val="0"/>
      <w:marTop w:val="0"/>
      <w:marBottom w:val="0"/>
      <w:divBdr>
        <w:top w:val="none" w:sz="0" w:space="0" w:color="auto"/>
        <w:left w:val="none" w:sz="0" w:space="0" w:color="auto"/>
        <w:bottom w:val="none" w:sz="0" w:space="0" w:color="auto"/>
        <w:right w:val="none" w:sz="0" w:space="0" w:color="auto"/>
      </w:divBdr>
    </w:div>
    <w:div w:id="830826615">
      <w:bodyDiv w:val="1"/>
      <w:marLeft w:val="0"/>
      <w:marRight w:val="0"/>
      <w:marTop w:val="0"/>
      <w:marBottom w:val="0"/>
      <w:divBdr>
        <w:top w:val="none" w:sz="0" w:space="0" w:color="auto"/>
        <w:left w:val="none" w:sz="0" w:space="0" w:color="auto"/>
        <w:bottom w:val="none" w:sz="0" w:space="0" w:color="auto"/>
        <w:right w:val="none" w:sz="0" w:space="0" w:color="auto"/>
      </w:divBdr>
    </w:div>
    <w:div w:id="835076707">
      <w:bodyDiv w:val="1"/>
      <w:marLeft w:val="0"/>
      <w:marRight w:val="0"/>
      <w:marTop w:val="0"/>
      <w:marBottom w:val="0"/>
      <w:divBdr>
        <w:top w:val="none" w:sz="0" w:space="0" w:color="auto"/>
        <w:left w:val="none" w:sz="0" w:space="0" w:color="auto"/>
        <w:bottom w:val="none" w:sz="0" w:space="0" w:color="auto"/>
        <w:right w:val="none" w:sz="0" w:space="0" w:color="auto"/>
      </w:divBdr>
    </w:div>
    <w:div w:id="842550362">
      <w:bodyDiv w:val="1"/>
      <w:marLeft w:val="0"/>
      <w:marRight w:val="0"/>
      <w:marTop w:val="0"/>
      <w:marBottom w:val="0"/>
      <w:divBdr>
        <w:top w:val="none" w:sz="0" w:space="0" w:color="auto"/>
        <w:left w:val="none" w:sz="0" w:space="0" w:color="auto"/>
        <w:bottom w:val="none" w:sz="0" w:space="0" w:color="auto"/>
        <w:right w:val="none" w:sz="0" w:space="0" w:color="auto"/>
      </w:divBdr>
    </w:div>
    <w:div w:id="855778088">
      <w:bodyDiv w:val="1"/>
      <w:marLeft w:val="0"/>
      <w:marRight w:val="0"/>
      <w:marTop w:val="0"/>
      <w:marBottom w:val="0"/>
      <w:divBdr>
        <w:top w:val="none" w:sz="0" w:space="0" w:color="auto"/>
        <w:left w:val="none" w:sz="0" w:space="0" w:color="auto"/>
        <w:bottom w:val="none" w:sz="0" w:space="0" w:color="auto"/>
        <w:right w:val="none" w:sz="0" w:space="0" w:color="auto"/>
      </w:divBdr>
    </w:div>
    <w:div w:id="892085304">
      <w:bodyDiv w:val="1"/>
      <w:marLeft w:val="0"/>
      <w:marRight w:val="0"/>
      <w:marTop w:val="0"/>
      <w:marBottom w:val="0"/>
      <w:divBdr>
        <w:top w:val="none" w:sz="0" w:space="0" w:color="auto"/>
        <w:left w:val="none" w:sz="0" w:space="0" w:color="auto"/>
        <w:bottom w:val="none" w:sz="0" w:space="0" w:color="auto"/>
        <w:right w:val="none" w:sz="0" w:space="0" w:color="auto"/>
      </w:divBdr>
    </w:div>
    <w:div w:id="948466153">
      <w:bodyDiv w:val="1"/>
      <w:marLeft w:val="0"/>
      <w:marRight w:val="0"/>
      <w:marTop w:val="0"/>
      <w:marBottom w:val="0"/>
      <w:divBdr>
        <w:top w:val="none" w:sz="0" w:space="0" w:color="auto"/>
        <w:left w:val="none" w:sz="0" w:space="0" w:color="auto"/>
        <w:bottom w:val="none" w:sz="0" w:space="0" w:color="auto"/>
        <w:right w:val="none" w:sz="0" w:space="0" w:color="auto"/>
      </w:divBdr>
    </w:div>
    <w:div w:id="991368197">
      <w:bodyDiv w:val="1"/>
      <w:marLeft w:val="0"/>
      <w:marRight w:val="0"/>
      <w:marTop w:val="0"/>
      <w:marBottom w:val="0"/>
      <w:divBdr>
        <w:top w:val="none" w:sz="0" w:space="0" w:color="auto"/>
        <w:left w:val="none" w:sz="0" w:space="0" w:color="auto"/>
        <w:bottom w:val="none" w:sz="0" w:space="0" w:color="auto"/>
        <w:right w:val="none" w:sz="0" w:space="0" w:color="auto"/>
      </w:divBdr>
    </w:div>
    <w:div w:id="1014915981">
      <w:bodyDiv w:val="1"/>
      <w:marLeft w:val="0"/>
      <w:marRight w:val="0"/>
      <w:marTop w:val="0"/>
      <w:marBottom w:val="0"/>
      <w:divBdr>
        <w:top w:val="none" w:sz="0" w:space="0" w:color="auto"/>
        <w:left w:val="none" w:sz="0" w:space="0" w:color="auto"/>
        <w:bottom w:val="none" w:sz="0" w:space="0" w:color="auto"/>
        <w:right w:val="none" w:sz="0" w:space="0" w:color="auto"/>
      </w:divBdr>
    </w:div>
    <w:div w:id="1062487303">
      <w:bodyDiv w:val="1"/>
      <w:marLeft w:val="0"/>
      <w:marRight w:val="0"/>
      <w:marTop w:val="0"/>
      <w:marBottom w:val="0"/>
      <w:divBdr>
        <w:top w:val="none" w:sz="0" w:space="0" w:color="auto"/>
        <w:left w:val="none" w:sz="0" w:space="0" w:color="auto"/>
        <w:bottom w:val="none" w:sz="0" w:space="0" w:color="auto"/>
        <w:right w:val="none" w:sz="0" w:space="0" w:color="auto"/>
      </w:divBdr>
    </w:div>
    <w:div w:id="1079326258">
      <w:bodyDiv w:val="1"/>
      <w:marLeft w:val="0"/>
      <w:marRight w:val="0"/>
      <w:marTop w:val="0"/>
      <w:marBottom w:val="0"/>
      <w:divBdr>
        <w:top w:val="none" w:sz="0" w:space="0" w:color="auto"/>
        <w:left w:val="none" w:sz="0" w:space="0" w:color="auto"/>
        <w:bottom w:val="none" w:sz="0" w:space="0" w:color="auto"/>
        <w:right w:val="none" w:sz="0" w:space="0" w:color="auto"/>
      </w:divBdr>
    </w:div>
    <w:div w:id="1097361835">
      <w:bodyDiv w:val="1"/>
      <w:marLeft w:val="0"/>
      <w:marRight w:val="0"/>
      <w:marTop w:val="0"/>
      <w:marBottom w:val="0"/>
      <w:divBdr>
        <w:top w:val="none" w:sz="0" w:space="0" w:color="auto"/>
        <w:left w:val="none" w:sz="0" w:space="0" w:color="auto"/>
        <w:bottom w:val="none" w:sz="0" w:space="0" w:color="auto"/>
        <w:right w:val="none" w:sz="0" w:space="0" w:color="auto"/>
      </w:divBdr>
    </w:div>
    <w:div w:id="1101537042">
      <w:bodyDiv w:val="1"/>
      <w:marLeft w:val="0"/>
      <w:marRight w:val="0"/>
      <w:marTop w:val="0"/>
      <w:marBottom w:val="0"/>
      <w:divBdr>
        <w:top w:val="none" w:sz="0" w:space="0" w:color="auto"/>
        <w:left w:val="none" w:sz="0" w:space="0" w:color="auto"/>
        <w:bottom w:val="none" w:sz="0" w:space="0" w:color="auto"/>
        <w:right w:val="none" w:sz="0" w:space="0" w:color="auto"/>
      </w:divBdr>
      <w:divsChild>
        <w:div w:id="2051413754">
          <w:marLeft w:val="0"/>
          <w:marRight w:val="0"/>
          <w:marTop w:val="0"/>
          <w:marBottom w:val="0"/>
          <w:divBdr>
            <w:top w:val="none" w:sz="0" w:space="0" w:color="auto"/>
            <w:left w:val="none" w:sz="0" w:space="0" w:color="auto"/>
            <w:bottom w:val="none" w:sz="0" w:space="0" w:color="auto"/>
            <w:right w:val="none" w:sz="0" w:space="0" w:color="auto"/>
          </w:divBdr>
        </w:div>
        <w:div w:id="1051341303">
          <w:marLeft w:val="0"/>
          <w:marRight w:val="0"/>
          <w:marTop w:val="0"/>
          <w:marBottom w:val="0"/>
          <w:divBdr>
            <w:top w:val="none" w:sz="0" w:space="0" w:color="auto"/>
            <w:left w:val="none" w:sz="0" w:space="0" w:color="auto"/>
            <w:bottom w:val="none" w:sz="0" w:space="0" w:color="auto"/>
            <w:right w:val="none" w:sz="0" w:space="0" w:color="auto"/>
          </w:divBdr>
          <w:divsChild>
            <w:div w:id="1340504935">
              <w:marLeft w:val="0"/>
              <w:marRight w:val="0"/>
              <w:marTop w:val="0"/>
              <w:marBottom w:val="0"/>
              <w:divBdr>
                <w:top w:val="none" w:sz="0" w:space="0" w:color="auto"/>
                <w:left w:val="none" w:sz="0" w:space="0" w:color="auto"/>
                <w:bottom w:val="none" w:sz="0" w:space="0" w:color="auto"/>
                <w:right w:val="none" w:sz="0" w:space="0" w:color="auto"/>
              </w:divBdr>
            </w:div>
            <w:div w:id="1441028302">
              <w:marLeft w:val="0"/>
              <w:marRight w:val="0"/>
              <w:marTop w:val="0"/>
              <w:marBottom w:val="0"/>
              <w:divBdr>
                <w:top w:val="none" w:sz="0" w:space="0" w:color="auto"/>
                <w:left w:val="none" w:sz="0" w:space="0" w:color="auto"/>
                <w:bottom w:val="none" w:sz="0" w:space="0" w:color="auto"/>
                <w:right w:val="none" w:sz="0" w:space="0" w:color="auto"/>
              </w:divBdr>
            </w:div>
            <w:div w:id="1951426132">
              <w:marLeft w:val="0"/>
              <w:marRight w:val="0"/>
              <w:marTop w:val="0"/>
              <w:marBottom w:val="0"/>
              <w:divBdr>
                <w:top w:val="none" w:sz="0" w:space="0" w:color="auto"/>
                <w:left w:val="none" w:sz="0" w:space="0" w:color="auto"/>
                <w:bottom w:val="none" w:sz="0" w:space="0" w:color="auto"/>
                <w:right w:val="none" w:sz="0" w:space="0" w:color="auto"/>
              </w:divBdr>
            </w:div>
            <w:div w:id="1260406707">
              <w:marLeft w:val="0"/>
              <w:marRight w:val="0"/>
              <w:marTop w:val="0"/>
              <w:marBottom w:val="0"/>
              <w:divBdr>
                <w:top w:val="none" w:sz="0" w:space="0" w:color="auto"/>
                <w:left w:val="none" w:sz="0" w:space="0" w:color="auto"/>
                <w:bottom w:val="none" w:sz="0" w:space="0" w:color="auto"/>
                <w:right w:val="none" w:sz="0" w:space="0" w:color="auto"/>
              </w:divBdr>
            </w:div>
            <w:div w:id="1043943340">
              <w:marLeft w:val="0"/>
              <w:marRight w:val="0"/>
              <w:marTop w:val="0"/>
              <w:marBottom w:val="0"/>
              <w:divBdr>
                <w:top w:val="none" w:sz="0" w:space="0" w:color="auto"/>
                <w:left w:val="none" w:sz="0" w:space="0" w:color="auto"/>
                <w:bottom w:val="none" w:sz="0" w:space="0" w:color="auto"/>
                <w:right w:val="none" w:sz="0" w:space="0" w:color="auto"/>
              </w:divBdr>
            </w:div>
            <w:div w:id="705063025">
              <w:marLeft w:val="0"/>
              <w:marRight w:val="0"/>
              <w:marTop w:val="0"/>
              <w:marBottom w:val="0"/>
              <w:divBdr>
                <w:top w:val="none" w:sz="0" w:space="0" w:color="auto"/>
                <w:left w:val="none" w:sz="0" w:space="0" w:color="auto"/>
                <w:bottom w:val="none" w:sz="0" w:space="0" w:color="auto"/>
                <w:right w:val="none" w:sz="0" w:space="0" w:color="auto"/>
              </w:divBdr>
            </w:div>
            <w:div w:id="1855415452">
              <w:marLeft w:val="0"/>
              <w:marRight w:val="0"/>
              <w:marTop w:val="0"/>
              <w:marBottom w:val="0"/>
              <w:divBdr>
                <w:top w:val="none" w:sz="0" w:space="0" w:color="auto"/>
                <w:left w:val="none" w:sz="0" w:space="0" w:color="auto"/>
                <w:bottom w:val="none" w:sz="0" w:space="0" w:color="auto"/>
                <w:right w:val="none" w:sz="0" w:space="0" w:color="auto"/>
              </w:divBdr>
            </w:div>
            <w:div w:id="1506091123">
              <w:marLeft w:val="0"/>
              <w:marRight w:val="0"/>
              <w:marTop w:val="0"/>
              <w:marBottom w:val="0"/>
              <w:divBdr>
                <w:top w:val="none" w:sz="0" w:space="0" w:color="auto"/>
                <w:left w:val="none" w:sz="0" w:space="0" w:color="auto"/>
                <w:bottom w:val="none" w:sz="0" w:space="0" w:color="auto"/>
                <w:right w:val="none" w:sz="0" w:space="0" w:color="auto"/>
              </w:divBdr>
            </w:div>
            <w:div w:id="1945842214">
              <w:marLeft w:val="0"/>
              <w:marRight w:val="0"/>
              <w:marTop w:val="0"/>
              <w:marBottom w:val="0"/>
              <w:divBdr>
                <w:top w:val="none" w:sz="0" w:space="0" w:color="auto"/>
                <w:left w:val="none" w:sz="0" w:space="0" w:color="auto"/>
                <w:bottom w:val="none" w:sz="0" w:space="0" w:color="auto"/>
                <w:right w:val="none" w:sz="0" w:space="0" w:color="auto"/>
              </w:divBdr>
            </w:div>
            <w:div w:id="1879970061">
              <w:marLeft w:val="0"/>
              <w:marRight w:val="0"/>
              <w:marTop w:val="0"/>
              <w:marBottom w:val="0"/>
              <w:divBdr>
                <w:top w:val="none" w:sz="0" w:space="0" w:color="auto"/>
                <w:left w:val="none" w:sz="0" w:space="0" w:color="auto"/>
                <w:bottom w:val="none" w:sz="0" w:space="0" w:color="auto"/>
                <w:right w:val="none" w:sz="0" w:space="0" w:color="auto"/>
              </w:divBdr>
            </w:div>
            <w:div w:id="696464799">
              <w:marLeft w:val="0"/>
              <w:marRight w:val="0"/>
              <w:marTop w:val="0"/>
              <w:marBottom w:val="0"/>
              <w:divBdr>
                <w:top w:val="none" w:sz="0" w:space="0" w:color="auto"/>
                <w:left w:val="none" w:sz="0" w:space="0" w:color="auto"/>
                <w:bottom w:val="none" w:sz="0" w:space="0" w:color="auto"/>
                <w:right w:val="none" w:sz="0" w:space="0" w:color="auto"/>
              </w:divBdr>
            </w:div>
          </w:divsChild>
        </w:div>
        <w:div w:id="67465583">
          <w:marLeft w:val="0"/>
          <w:marRight w:val="0"/>
          <w:marTop w:val="0"/>
          <w:marBottom w:val="0"/>
          <w:divBdr>
            <w:top w:val="none" w:sz="0" w:space="0" w:color="auto"/>
            <w:left w:val="none" w:sz="0" w:space="0" w:color="auto"/>
            <w:bottom w:val="none" w:sz="0" w:space="0" w:color="auto"/>
            <w:right w:val="none" w:sz="0" w:space="0" w:color="auto"/>
          </w:divBdr>
          <w:divsChild>
            <w:div w:id="1802574850">
              <w:marLeft w:val="-75"/>
              <w:marRight w:val="0"/>
              <w:marTop w:val="30"/>
              <w:marBottom w:val="30"/>
              <w:divBdr>
                <w:top w:val="none" w:sz="0" w:space="0" w:color="auto"/>
                <w:left w:val="none" w:sz="0" w:space="0" w:color="auto"/>
                <w:bottom w:val="none" w:sz="0" w:space="0" w:color="auto"/>
                <w:right w:val="none" w:sz="0" w:space="0" w:color="auto"/>
              </w:divBdr>
              <w:divsChild>
                <w:div w:id="882598325">
                  <w:marLeft w:val="0"/>
                  <w:marRight w:val="0"/>
                  <w:marTop w:val="0"/>
                  <w:marBottom w:val="0"/>
                  <w:divBdr>
                    <w:top w:val="none" w:sz="0" w:space="0" w:color="auto"/>
                    <w:left w:val="none" w:sz="0" w:space="0" w:color="auto"/>
                    <w:bottom w:val="none" w:sz="0" w:space="0" w:color="auto"/>
                    <w:right w:val="none" w:sz="0" w:space="0" w:color="auto"/>
                  </w:divBdr>
                  <w:divsChild>
                    <w:div w:id="1542327829">
                      <w:marLeft w:val="0"/>
                      <w:marRight w:val="0"/>
                      <w:marTop w:val="0"/>
                      <w:marBottom w:val="0"/>
                      <w:divBdr>
                        <w:top w:val="none" w:sz="0" w:space="0" w:color="auto"/>
                        <w:left w:val="none" w:sz="0" w:space="0" w:color="auto"/>
                        <w:bottom w:val="none" w:sz="0" w:space="0" w:color="auto"/>
                        <w:right w:val="none" w:sz="0" w:space="0" w:color="auto"/>
                      </w:divBdr>
                    </w:div>
                  </w:divsChild>
                </w:div>
                <w:div w:id="541720926">
                  <w:marLeft w:val="0"/>
                  <w:marRight w:val="0"/>
                  <w:marTop w:val="0"/>
                  <w:marBottom w:val="0"/>
                  <w:divBdr>
                    <w:top w:val="none" w:sz="0" w:space="0" w:color="auto"/>
                    <w:left w:val="none" w:sz="0" w:space="0" w:color="auto"/>
                    <w:bottom w:val="none" w:sz="0" w:space="0" w:color="auto"/>
                    <w:right w:val="none" w:sz="0" w:space="0" w:color="auto"/>
                  </w:divBdr>
                  <w:divsChild>
                    <w:div w:id="122965792">
                      <w:marLeft w:val="0"/>
                      <w:marRight w:val="0"/>
                      <w:marTop w:val="0"/>
                      <w:marBottom w:val="0"/>
                      <w:divBdr>
                        <w:top w:val="none" w:sz="0" w:space="0" w:color="auto"/>
                        <w:left w:val="none" w:sz="0" w:space="0" w:color="auto"/>
                        <w:bottom w:val="none" w:sz="0" w:space="0" w:color="auto"/>
                        <w:right w:val="none" w:sz="0" w:space="0" w:color="auto"/>
                      </w:divBdr>
                    </w:div>
                  </w:divsChild>
                </w:div>
                <w:div w:id="965626660">
                  <w:marLeft w:val="0"/>
                  <w:marRight w:val="0"/>
                  <w:marTop w:val="0"/>
                  <w:marBottom w:val="0"/>
                  <w:divBdr>
                    <w:top w:val="none" w:sz="0" w:space="0" w:color="auto"/>
                    <w:left w:val="none" w:sz="0" w:space="0" w:color="auto"/>
                    <w:bottom w:val="none" w:sz="0" w:space="0" w:color="auto"/>
                    <w:right w:val="none" w:sz="0" w:space="0" w:color="auto"/>
                  </w:divBdr>
                  <w:divsChild>
                    <w:div w:id="2140296246">
                      <w:marLeft w:val="0"/>
                      <w:marRight w:val="0"/>
                      <w:marTop w:val="0"/>
                      <w:marBottom w:val="0"/>
                      <w:divBdr>
                        <w:top w:val="none" w:sz="0" w:space="0" w:color="auto"/>
                        <w:left w:val="none" w:sz="0" w:space="0" w:color="auto"/>
                        <w:bottom w:val="none" w:sz="0" w:space="0" w:color="auto"/>
                        <w:right w:val="none" w:sz="0" w:space="0" w:color="auto"/>
                      </w:divBdr>
                    </w:div>
                  </w:divsChild>
                </w:div>
                <w:div w:id="2071539722">
                  <w:marLeft w:val="0"/>
                  <w:marRight w:val="0"/>
                  <w:marTop w:val="0"/>
                  <w:marBottom w:val="0"/>
                  <w:divBdr>
                    <w:top w:val="none" w:sz="0" w:space="0" w:color="auto"/>
                    <w:left w:val="none" w:sz="0" w:space="0" w:color="auto"/>
                    <w:bottom w:val="none" w:sz="0" w:space="0" w:color="auto"/>
                    <w:right w:val="none" w:sz="0" w:space="0" w:color="auto"/>
                  </w:divBdr>
                  <w:divsChild>
                    <w:div w:id="1242564899">
                      <w:marLeft w:val="0"/>
                      <w:marRight w:val="0"/>
                      <w:marTop w:val="0"/>
                      <w:marBottom w:val="0"/>
                      <w:divBdr>
                        <w:top w:val="none" w:sz="0" w:space="0" w:color="auto"/>
                        <w:left w:val="none" w:sz="0" w:space="0" w:color="auto"/>
                        <w:bottom w:val="none" w:sz="0" w:space="0" w:color="auto"/>
                        <w:right w:val="none" w:sz="0" w:space="0" w:color="auto"/>
                      </w:divBdr>
                    </w:div>
                  </w:divsChild>
                </w:div>
                <w:div w:id="1972248248">
                  <w:marLeft w:val="0"/>
                  <w:marRight w:val="0"/>
                  <w:marTop w:val="0"/>
                  <w:marBottom w:val="0"/>
                  <w:divBdr>
                    <w:top w:val="none" w:sz="0" w:space="0" w:color="auto"/>
                    <w:left w:val="none" w:sz="0" w:space="0" w:color="auto"/>
                    <w:bottom w:val="none" w:sz="0" w:space="0" w:color="auto"/>
                    <w:right w:val="none" w:sz="0" w:space="0" w:color="auto"/>
                  </w:divBdr>
                  <w:divsChild>
                    <w:div w:id="127627605">
                      <w:marLeft w:val="0"/>
                      <w:marRight w:val="0"/>
                      <w:marTop w:val="0"/>
                      <w:marBottom w:val="0"/>
                      <w:divBdr>
                        <w:top w:val="none" w:sz="0" w:space="0" w:color="auto"/>
                        <w:left w:val="none" w:sz="0" w:space="0" w:color="auto"/>
                        <w:bottom w:val="none" w:sz="0" w:space="0" w:color="auto"/>
                        <w:right w:val="none" w:sz="0" w:space="0" w:color="auto"/>
                      </w:divBdr>
                    </w:div>
                  </w:divsChild>
                </w:div>
                <w:div w:id="228883711">
                  <w:marLeft w:val="0"/>
                  <w:marRight w:val="0"/>
                  <w:marTop w:val="0"/>
                  <w:marBottom w:val="0"/>
                  <w:divBdr>
                    <w:top w:val="none" w:sz="0" w:space="0" w:color="auto"/>
                    <w:left w:val="none" w:sz="0" w:space="0" w:color="auto"/>
                    <w:bottom w:val="none" w:sz="0" w:space="0" w:color="auto"/>
                    <w:right w:val="none" w:sz="0" w:space="0" w:color="auto"/>
                  </w:divBdr>
                  <w:divsChild>
                    <w:div w:id="2075084708">
                      <w:marLeft w:val="0"/>
                      <w:marRight w:val="0"/>
                      <w:marTop w:val="0"/>
                      <w:marBottom w:val="0"/>
                      <w:divBdr>
                        <w:top w:val="none" w:sz="0" w:space="0" w:color="auto"/>
                        <w:left w:val="none" w:sz="0" w:space="0" w:color="auto"/>
                        <w:bottom w:val="none" w:sz="0" w:space="0" w:color="auto"/>
                        <w:right w:val="none" w:sz="0" w:space="0" w:color="auto"/>
                      </w:divBdr>
                    </w:div>
                  </w:divsChild>
                </w:div>
                <w:div w:id="1711110707">
                  <w:marLeft w:val="0"/>
                  <w:marRight w:val="0"/>
                  <w:marTop w:val="0"/>
                  <w:marBottom w:val="0"/>
                  <w:divBdr>
                    <w:top w:val="none" w:sz="0" w:space="0" w:color="auto"/>
                    <w:left w:val="none" w:sz="0" w:space="0" w:color="auto"/>
                    <w:bottom w:val="none" w:sz="0" w:space="0" w:color="auto"/>
                    <w:right w:val="none" w:sz="0" w:space="0" w:color="auto"/>
                  </w:divBdr>
                  <w:divsChild>
                    <w:div w:id="1814714293">
                      <w:marLeft w:val="0"/>
                      <w:marRight w:val="0"/>
                      <w:marTop w:val="0"/>
                      <w:marBottom w:val="0"/>
                      <w:divBdr>
                        <w:top w:val="none" w:sz="0" w:space="0" w:color="auto"/>
                        <w:left w:val="none" w:sz="0" w:space="0" w:color="auto"/>
                        <w:bottom w:val="none" w:sz="0" w:space="0" w:color="auto"/>
                        <w:right w:val="none" w:sz="0" w:space="0" w:color="auto"/>
                      </w:divBdr>
                    </w:div>
                  </w:divsChild>
                </w:div>
                <w:div w:id="1432508767">
                  <w:marLeft w:val="0"/>
                  <w:marRight w:val="0"/>
                  <w:marTop w:val="0"/>
                  <w:marBottom w:val="0"/>
                  <w:divBdr>
                    <w:top w:val="none" w:sz="0" w:space="0" w:color="auto"/>
                    <w:left w:val="none" w:sz="0" w:space="0" w:color="auto"/>
                    <w:bottom w:val="none" w:sz="0" w:space="0" w:color="auto"/>
                    <w:right w:val="none" w:sz="0" w:space="0" w:color="auto"/>
                  </w:divBdr>
                  <w:divsChild>
                    <w:div w:id="612903984">
                      <w:marLeft w:val="0"/>
                      <w:marRight w:val="0"/>
                      <w:marTop w:val="0"/>
                      <w:marBottom w:val="0"/>
                      <w:divBdr>
                        <w:top w:val="none" w:sz="0" w:space="0" w:color="auto"/>
                        <w:left w:val="none" w:sz="0" w:space="0" w:color="auto"/>
                        <w:bottom w:val="none" w:sz="0" w:space="0" w:color="auto"/>
                        <w:right w:val="none" w:sz="0" w:space="0" w:color="auto"/>
                      </w:divBdr>
                    </w:div>
                  </w:divsChild>
                </w:div>
                <w:div w:id="694771975">
                  <w:marLeft w:val="0"/>
                  <w:marRight w:val="0"/>
                  <w:marTop w:val="0"/>
                  <w:marBottom w:val="0"/>
                  <w:divBdr>
                    <w:top w:val="none" w:sz="0" w:space="0" w:color="auto"/>
                    <w:left w:val="none" w:sz="0" w:space="0" w:color="auto"/>
                    <w:bottom w:val="none" w:sz="0" w:space="0" w:color="auto"/>
                    <w:right w:val="none" w:sz="0" w:space="0" w:color="auto"/>
                  </w:divBdr>
                  <w:divsChild>
                    <w:div w:id="1179005660">
                      <w:marLeft w:val="0"/>
                      <w:marRight w:val="0"/>
                      <w:marTop w:val="0"/>
                      <w:marBottom w:val="0"/>
                      <w:divBdr>
                        <w:top w:val="none" w:sz="0" w:space="0" w:color="auto"/>
                        <w:left w:val="none" w:sz="0" w:space="0" w:color="auto"/>
                        <w:bottom w:val="none" w:sz="0" w:space="0" w:color="auto"/>
                        <w:right w:val="none" w:sz="0" w:space="0" w:color="auto"/>
                      </w:divBdr>
                    </w:div>
                  </w:divsChild>
                </w:div>
                <w:div w:id="271132048">
                  <w:marLeft w:val="0"/>
                  <w:marRight w:val="0"/>
                  <w:marTop w:val="0"/>
                  <w:marBottom w:val="0"/>
                  <w:divBdr>
                    <w:top w:val="none" w:sz="0" w:space="0" w:color="auto"/>
                    <w:left w:val="none" w:sz="0" w:space="0" w:color="auto"/>
                    <w:bottom w:val="none" w:sz="0" w:space="0" w:color="auto"/>
                    <w:right w:val="none" w:sz="0" w:space="0" w:color="auto"/>
                  </w:divBdr>
                  <w:divsChild>
                    <w:div w:id="1600916978">
                      <w:marLeft w:val="0"/>
                      <w:marRight w:val="0"/>
                      <w:marTop w:val="0"/>
                      <w:marBottom w:val="0"/>
                      <w:divBdr>
                        <w:top w:val="none" w:sz="0" w:space="0" w:color="auto"/>
                        <w:left w:val="none" w:sz="0" w:space="0" w:color="auto"/>
                        <w:bottom w:val="none" w:sz="0" w:space="0" w:color="auto"/>
                        <w:right w:val="none" w:sz="0" w:space="0" w:color="auto"/>
                      </w:divBdr>
                    </w:div>
                  </w:divsChild>
                </w:div>
                <w:div w:id="1266114192">
                  <w:marLeft w:val="0"/>
                  <w:marRight w:val="0"/>
                  <w:marTop w:val="0"/>
                  <w:marBottom w:val="0"/>
                  <w:divBdr>
                    <w:top w:val="none" w:sz="0" w:space="0" w:color="auto"/>
                    <w:left w:val="none" w:sz="0" w:space="0" w:color="auto"/>
                    <w:bottom w:val="none" w:sz="0" w:space="0" w:color="auto"/>
                    <w:right w:val="none" w:sz="0" w:space="0" w:color="auto"/>
                  </w:divBdr>
                  <w:divsChild>
                    <w:div w:id="416756525">
                      <w:marLeft w:val="0"/>
                      <w:marRight w:val="0"/>
                      <w:marTop w:val="0"/>
                      <w:marBottom w:val="0"/>
                      <w:divBdr>
                        <w:top w:val="none" w:sz="0" w:space="0" w:color="auto"/>
                        <w:left w:val="none" w:sz="0" w:space="0" w:color="auto"/>
                        <w:bottom w:val="none" w:sz="0" w:space="0" w:color="auto"/>
                        <w:right w:val="none" w:sz="0" w:space="0" w:color="auto"/>
                      </w:divBdr>
                    </w:div>
                  </w:divsChild>
                </w:div>
                <w:div w:id="1580822542">
                  <w:marLeft w:val="0"/>
                  <w:marRight w:val="0"/>
                  <w:marTop w:val="0"/>
                  <w:marBottom w:val="0"/>
                  <w:divBdr>
                    <w:top w:val="none" w:sz="0" w:space="0" w:color="auto"/>
                    <w:left w:val="none" w:sz="0" w:space="0" w:color="auto"/>
                    <w:bottom w:val="none" w:sz="0" w:space="0" w:color="auto"/>
                    <w:right w:val="none" w:sz="0" w:space="0" w:color="auto"/>
                  </w:divBdr>
                  <w:divsChild>
                    <w:div w:id="1573389435">
                      <w:marLeft w:val="0"/>
                      <w:marRight w:val="0"/>
                      <w:marTop w:val="0"/>
                      <w:marBottom w:val="0"/>
                      <w:divBdr>
                        <w:top w:val="none" w:sz="0" w:space="0" w:color="auto"/>
                        <w:left w:val="none" w:sz="0" w:space="0" w:color="auto"/>
                        <w:bottom w:val="none" w:sz="0" w:space="0" w:color="auto"/>
                        <w:right w:val="none" w:sz="0" w:space="0" w:color="auto"/>
                      </w:divBdr>
                    </w:div>
                  </w:divsChild>
                </w:div>
                <w:div w:id="866479942">
                  <w:marLeft w:val="0"/>
                  <w:marRight w:val="0"/>
                  <w:marTop w:val="0"/>
                  <w:marBottom w:val="0"/>
                  <w:divBdr>
                    <w:top w:val="none" w:sz="0" w:space="0" w:color="auto"/>
                    <w:left w:val="none" w:sz="0" w:space="0" w:color="auto"/>
                    <w:bottom w:val="none" w:sz="0" w:space="0" w:color="auto"/>
                    <w:right w:val="none" w:sz="0" w:space="0" w:color="auto"/>
                  </w:divBdr>
                  <w:divsChild>
                    <w:div w:id="1814517667">
                      <w:marLeft w:val="0"/>
                      <w:marRight w:val="0"/>
                      <w:marTop w:val="0"/>
                      <w:marBottom w:val="0"/>
                      <w:divBdr>
                        <w:top w:val="none" w:sz="0" w:space="0" w:color="auto"/>
                        <w:left w:val="none" w:sz="0" w:space="0" w:color="auto"/>
                        <w:bottom w:val="none" w:sz="0" w:space="0" w:color="auto"/>
                        <w:right w:val="none" w:sz="0" w:space="0" w:color="auto"/>
                      </w:divBdr>
                    </w:div>
                  </w:divsChild>
                </w:div>
                <w:div w:id="1065953653">
                  <w:marLeft w:val="0"/>
                  <w:marRight w:val="0"/>
                  <w:marTop w:val="0"/>
                  <w:marBottom w:val="0"/>
                  <w:divBdr>
                    <w:top w:val="none" w:sz="0" w:space="0" w:color="auto"/>
                    <w:left w:val="none" w:sz="0" w:space="0" w:color="auto"/>
                    <w:bottom w:val="none" w:sz="0" w:space="0" w:color="auto"/>
                    <w:right w:val="none" w:sz="0" w:space="0" w:color="auto"/>
                  </w:divBdr>
                  <w:divsChild>
                    <w:div w:id="72092160">
                      <w:marLeft w:val="0"/>
                      <w:marRight w:val="0"/>
                      <w:marTop w:val="0"/>
                      <w:marBottom w:val="0"/>
                      <w:divBdr>
                        <w:top w:val="none" w:sz="0" w:space="0" w:color="auto"/>
                        <w:left w:val="none" w:sz="0" w:space="0" w:color="auto"/>
                        <w:bottom w:val="none" w:sz="0" w:space="0" w:color="auto"/>
                        <w:right w:val="none" w:sz="0" w:space="0" w:color="auto"/>
                      </w:divBdr>
                    </w:div>
                  </w:divsChild>
                </w:div>
                <w:div w:id="2038310636">
                  <w:marLeft w:val="0"/>
                  <w:marRight w:val="0"/>
                  <w:marTop w:val="0"/>
                  <w:marBottom w:val="0"/>
                  <w:divBdr>
                    <w:top w:val="none" w:sz="0" w:space="0" w:color="auto"/>
                    <w:left w:val="none" w:sz="0" w:space="0" w:color="auto"/>
                    <w:bottom w:val="none" w:sz="0" w:space="0" w:color="auto"/>
                    <w:right w:val="none" w:sz="0" w:space="0" w:color="auto"/>
                  </w:divBdr>
                  <w:divsChild>
                    <w:div w:id="240995043">
                      <w:marLeft w:val="0"/>
                      <w:marRight w:val="0"/>
                      <w:marTop w:val="0"/>
                      <w:marBottom w:val="0"/>
                      <w:divBdr>
                        <w:top w:val="none" w:sz="0" w:space="0" w:color="auto"/>
                        <w:left w:val="none" w:sz="0" w:space="0" w:color="auto"/>
                        <w:bottom w:val="none" w:sz="0" w:space="0" w:color="auto"/>
                        <w:right w:val="none" w:sz="0" w:space="0" w:color="auto"/>
                      </w:divBdr>
                    </w:div>
                  </w:divsChild>
                </w:div>
                <w:div w:id="1552812314">
                  <w:marLeft w:val="0"/>
                  <w:marRight w:val="0"/>
                  <w:marTop w:val="0"/>
                  <w:marBottom w:val="0"/>
                  <w:divBdr>
                    <w:top w:val="none" w:sz="0" w:space="0" w:color="auto"/>
                    <w:left w:val="none" w:sz="0" w:space="0" w:color="auto"/>
                    <w:bottom w:val="none" w:sz="0" w:space="0" w:color="auto"/>
                    <w:right w:val="none" w:sz="0" w:space="0" w:color="auto"/>
                  </w:divBdr>
                  <w:divsChild>
                    <w:div w:id="1054546321">
                      <w:marLeft w:val="0"/>
                      <w:marRight w:val="0"/>
                      <w:marTop w:val="0"/>
                      <w:marBottom w:val="0"/>
                      <w:divBdr>
                        <w:top w:val="none" w:sz="0" w:space="0" w:color="auto"/>
                        <w:left w:val="none" w:sz="0" w:space="0" w:color="auto"/>
                        <w:bottom w:val="none" w:sz="0" w:space="0" w:color="auto"/>
                        <w:right w:val="none" w:sz="0" w:space="0" w:color="auto"/>
                      </w:divBdr>
                    </w:div>
                  </w:divsChild>
                </w:div>
                <w:div w:id="644163751">
                  <w:marLeft w:val="0"/>
                  <w:marRight w:val="0"/>
                  <w:marTop w:val="0"/>
                  <w:marBottom w:val="0"/>
                  <w:divBdr>
                    <w:top w:val="none" w:sz="0" w:space="0" w:color="auto"/>
                    <w:left w:val="none" w:sz="0" w:space="0" w:color="auto"/>
                    <w:bottom w:val="none" w:sz="0" w:space="0" w:color="auto"/>
                    <w:right w:val="none" w:sz="0" w:space="0" w:color="auto"/>
                  </w:divBdr>
                  <w:divsChild>
                    <w:div w:id="936519310">
                      <w:marLeft w:val="0"/>
                      <w:marRight w:val="0"/>
                      <w:marTop w:val="0"/>
                      <w:marBottom w:val="0"/>
                      <w:divBdr>
                        <w:top w:val="none" w:sz="0" w:space="0" w:color="auto"/>
                        <w:left w:val="none" w:sz="0" w:space="0" w:color="auto"/>
                        <w:bottom w:val="none" w:sz="0" w:space="0" w:color="auto"/>
                        <w:right w:val="none" w:sz="0" w:space="0" w:color="auto"/>
                      </w:divBdr>
                    </w:div>
                  </w:divsChild>
                </w:div>
                <w:div w:id="1437873278">
                  <w:marLeft w:val="0"/>
                  <w:marRight w:val="0"/>
                  <w:marTop w:val="0"/>
                  <w:marBottom w:val="0"/>
                  <w:divBdr>
                    <w:top w:val="none" w:sz="0" w:space="0" w:color="auto"/>
                    <w:left w:val="none" w:sz="0" w:space="0" w:color="auto"/>
                    <w:bottom w:val="none" w:sz="0" w:space="0" w:color="auto"/>
                    <w:right w:val="none" w:sz="0" w:space="0" w:color="auto"/>
                  </w:divBdr>
                  <w:divsChild>
                    <w:div w:id="7783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43737">
          <w:marLeft w:val="0"/>
          <w:marRight w:val="0"/>
          <w:marTop w:val="0"/>
          <w:marBottom w:val="0"/>
          <w:divBdr>
            <w:top w:val="none" w:sz="0" w:space="0" w:color="auto"/>
            <w:left w:val="none" w:sz="0" w:space="0" w:color="auto"/>
            <w:bottom w:val="none" w:sz="0" w:space="0" w:color="auto"/>
            <w:right w:val="none" w:sz="0" w:space="0" w:color="auto"/>
          </w:divBdr>
          <w:divsChild>
            <w:div w:id="1230267568">
              <w:marLeft w:val="0"/>
              <w:marRight w:val="0"/>
              <w:marTop w:val="0"/>
              <w:marBottom w:val="0"/>
              <w:divBdr>
                <w:top w:val="none" w:sz="0" w:space="0" w:color="auto"/>
                <w:left w:val="none" w:sz="0" w:space="0" w:color="auto"/>
                <w:bottom w:val="none" w:sz="0" w:space="0" w:color="auto"/>
                <w:right w:val="none" w:sz="0" w:space="0" w:color="auto"/>
              </w:divBdr>
            </w:div>
            <w:div w:id="1392654637">
              <w:marLeft w:val="0"/>
              <w:marRight w:val="0"/>
              <w:marTop w:val="0"/>
              <w:marBottom w:val="0"/>
              <w:divBdr>
                <w:top w:val="none" w:sz="0" w:space="0" w:color="auto"/>
                <w:left w:val="none" w:sz="0" w:space="0" w:color="auto"/>
                <w:bottom w:val="none" w:sz="0" w:space="0" w:color="auto"/>
                <w:right w:val="none" w:sz="0" w:space="0" w:color="auto"/>
              </w:divBdr>
            </w:div>
            <w:div w:id="954336234">
              <w:marLeft w:val="0"/>
              <w:marRight w:val="0"/>
              <w:marTop w:val="0"/>
              <w:marBottom w:val="0"/>
              <w:divBdr>
                <w:top w:val="none" w:sz="0" w:space="0" w:color="auto"/>
                <w:left w:val="none" w:sz="0" w:space="0" w:color="auto"/>
                <w:bottom w:val="none" w:sz="0" w:space="0" w:color="auto"/>
                <w:right w:val="none" w:sz="0" w:space="0" w:color="auto"/>
              </w:divBdr>
            </w:div>
            <w:div w:id="769007129">
              <w:marLeft w:val="0"/>
              <w:marRight w:val="0"/>
              <w:marTop w:val="0"/>
              <w:marBottom w:val="0"/>
              <w:divBdr>
                <w:top w:val="none" w:sz="0" w:space="0" w:color="auto"/>
                <w:left w:val="none" w:sz="0" w:space="0" w:color="auto"/>
                <w:bottom w:val="none" w:sz="0" w:space="0" w:color="auto"/>
                <w:right w:val="none" w:sz="0" w:space="0" w:color="auto"/>
              </w:divBdr>
            </w:div>
            <w:div w:id="658923225">
              <w:marLeft w:val="0"/>
              <w:marRight w:val="0"/>
              <w:marTop w:val="0"/>
              <w:marBottom w:val="0"/>
              <w:divBdr>
                <w:top w:val="none" w:sz="0" w:space="0" w:color="auto"/>
                <w:left w:val="none" w:sz="0" w:space="0" w:color="auto"/>
                <w:bottom w:val="none" w:sz="0" w:space="0" w:color="auto"/>
                <w:right w:val="none" w:sz="0" w:space="0" w:color="auto"/>
              </w:divBdr>
            </w:div>
            <w:div w:id="1086002829">
              <w:marLeft w:val="0"/>
              <w:marRight w:val="0"/>
              <w:marTop w:val="0"/>
              <w:marBottom w:val="0"/>
              <w:divBdr>
                <w:top w:val="none" w:sz="0" w:space="0" w:color="auto"/>
                <w:left w:val="none" w:sz="0" w:space="0" w:color="auto"/>
                <w:bottom w:val="none" w:sz="0" w:space="0" w:color="auto"/>
                <w:right w:val="none" w:sz="0" w:space="0" w:color="auto"/>
              </w:divBdr>
            </w:div>
            <w:div w:id="904485855">
              <w:marLeft w:val="0"/>
              <w:marRight w:val="0"/>
              <w:marTop w:val="0"/>
              <w:marBottom w:val="0"/>
              <w:divBdr>
                <w:top w:val="none" w:sz="0" w:space="0" w:color="auto"/>
                <w:left w:val="none" w:sz="0" w:space="0" w:color="auto"/>
                <w:bottom w:val="none" w:sz="0" w:space="0" w:color="auto"/>
                <w:right w:val="none" w:sz="0" w:space="0" w:color="auto"/>
              </w:divBdr>
            </w:div>
            <w:div w:id="472412820">
              <w:marLeft w:val="0"/>
              <w:marRight w:val="0"/>
              <w:marTop w:val="0"/>
              <w:marBottom w:val="0"/>
              <w:divBdr>
                <w:top w:val="none" w:sz="0" w:space="0" w:color="auto"/>
                <w:left w:val="none" w:sz="0" w:space="0" w:color="auto"/>
                <w:bottom w:val="none" w:sz="0" w:space="0" w:color="auto"/>
                <w:right w:val="none" w:sz="0" w:space="0" w:color="auto"/>
              </w:divBdr>
            </w:div>
            <w:div w:id="1049450775">
              <w:marLeft w:val="0"/>
              <w:marRight w:val="0"/>
              <w:marTop w:val="0"/>
              <w:marBottom w:val="0"/>
              <w:divBdr>
                <w:top w:val="none" w:sz="0" w:space="0" w:color="auto"/>
                <w:left w:val="none" w:sz="0" w:space="0" w:color="auto"/>
                <w:bottom w:val="none" w:sz="0" w:space="0" w:color="auto"/>
                <w:right w:val="none" w:sz="0" w:space="0" w:color="auto"/>
              </w:divBdr>
            </w:div>
            <w:div w:id="2018649750">
              <w:marLeft w:val="0"/>
              <w:marRight w:val="0"/>
              <w:marTop w:val="0"/>
              <w:marBottom w:val="0"/>
              <w:divBdr>
                <w:top w:val="none" w:sz="0" w:space="0" w:color="auto"/>
                <w:left w:val="none" w:sz="0" w:space="0" w:color="auto"/>
                <w:bottom w:val="none" w:sz="0" w:space="0" w:color="auto"/>
                <w:right w:val="none" w:sz="0" w:space="0" w:color="auto"/>
              </w:divBdr>
            </w:div>
          </w:divsChild>
        </w:div>
        <w:div w:id="1819492020">
          <w:marLeft w:val="0"/>
          <w:marRight w:val="0"/>
          <w:marTop w:val="0"/>
          <w:marBottom w:val="0"/>
          <w:divBdr>
            <w:top w:val="none" w:sz="0" w:space="0" w:color="auto"/>
            <w:left w:val="none" w:sz="0" w:space="0" w:color="auto"/>
            <w:bottom w:val="none" w:sz="0" w:space="0" w:color="auto"/>
            <w:right w:val="none" w:sz="0" w:space="0" w:color="auto"/>
          </w:divBdr>
          <w:divsChild>
            <w:div w:id="1687100818">
              <w:marLeft w:val="-75"/>
              <w:marRight w:val="0"/>
              <w:marTop w:val="30"/>
              <w:marBottom w:val="30"/>
              <w:divBdr>
                <w:top w:val="none" w:sz="0" w:space="0" w:color="auto"/>
                <w:left w:val="none" w:sz="0" w:space="0" w:color="auto"/>
                <w:bottom w:val="none" w:sz="0" w:space="0" w:color="auto"/>
                <w:right w:val="none" w:sz="0" w:space="0" w:color="auto"/>
              </w:divBdr>
              <w:divsChild>
                <w:div w:id="1588074406">
                  <w:marLeft w:val="0"/>
                  <w:marRight w:val="0"/>
                  <w:marTop w:val="0"/>
                  <w:marBottom w:val="0"/>
                  <w:divBdr>
                    <w:top w:val="none" w:sz="0" w:space="0" w:color="auto"/>
                    <w:left w:val="none" w:sz="0" w:space="0" w:color="auto"/>
                    <w:bottom w:val="none" w:sz="0" w:space="0" w:color="auto"/>
                    <w:right w:val="none" w:sz="0" w:space="0" w:color="auto"/>
                  </w:divBdr>
                  <w:divsChild>
                    <w:div w:id="1233661164">
                      <w:marLeft w:val="0"/>
                      <w:marRight w:val="0"/>
                      <w:marTop w:val="0"/>
                      <w:marBottom w:val="0"/>
                      <w:divBdr>
                        <w:top w:val="none" w:sz="0" w:space="0" w:color="auto"/>
                        <w:left w:val="none" w:sz="0" w:space="0" w:color="auto"/>
                        <w:bottom w:val="none" w:sz="0" w:space="0" w:color="auto"/>
                        <w:right w:val="none" w:sz="0" w:space="0" w:color="auto"/>
                      </w:divBdr>
                    </w:div>
                  </w:divsChild>
                </w:div>
                <w:div w:id="1569027738">
                  <w:marLeft w:val="0"/>
                  <w:marRight w:val="0"/>
                  <w:marTop w:val="0"/>
                  <w:marBottom w:val="0"/>
                  <w:divBdr>
                    <w:top w:val="none" w:sz="0" w:space="0" w:color="auto"/>
                    <w:left w:val="none" w:sz="0" w:space="0" w:color="auto"/>
                    <w:bottom w:val="none" w:sz="0" w:space="0" w:color="auto"/>
                    <w:right w:val="none" w:sz="0" w:space="0" w:color="auto"/>
                  </w:divBdr>
                  <w:divsChild>
                    <w:div w:id="970134361">
                      <w:marLeft w:val="0"/>
                      <w:marRight w:val="0"/>
                      <w:marTop w:val="0"/>
                      <w:marBottom w:val="0"/>
                      <w:divBdr>
                        <w:top w:val="none" w:sz="0" w:space="0" w:color="auto"/>
                        <w:left w:val="none" w:sz="0" w:space="0" w:color="auto"/>
                        <w:bottom w:val="none" w:sz="0" w:space="0" w:color="auto"/>
                        <w:right w:val="none" w:sz="0" w:space="0" w:color="auto"/>
                      </w:divBdr>
                    </w:div>
                  </w:divsChild>
                </w:div>
                <w:div w:id="1676423281">
                  <w:marLeft w:val="0"/>
                  <w:marRight w:val="0"/>
                  <w:marTop w:val="0"/>
                  <w:marBottom w:val="0"/>
                  <w:divBdr>
                    <w:top w:val="none" w:sz="0" w:space="0" w:color="auto"/>
                    <w:left w:val="none" w:sz="0" w:space="0" w:color="auto"/>
                    <w:bottom w:val="none" w:sz="0" w:space="0" w:color="auto"/>
                    <w:right w:val="none" w:sz="0" w:space="0" w:color="auto"/>
                  </w:divBdr>
                  <w:divsChild>
                    <w:div w:id="571165030">
                      <w:marLeft w:val="0"/>
                      <w:marRight w:val="0"/>
                      <w:marTop w:val="0"/>
                      <w:marBottom w:val="0"/>
                      <w:divBdr>
                        <w:top w:val="none" w:sz="0" w:space="0" w:color="auto"/>
                        <w:left w:val="none" w:sz="0" w:space="0" w:color="auto"/>
                        <w:bottom w:val="none" w:sz="0" w:space="0" w:color="auto"/>
                        <w:right w:val="none" w:sz="0" w:space="0" w:color="auto"/>
                      </w:divBdr>
                    </w:div>
                  </w:divsChild>
                </w:div>
                <w:div w:id="417023489">
                  <w:marLeft w:val="0"/>
                  <w:marRight w:val="0"/>
                  <w:marTop w:val="0"/>
                  <w:marBottom w:val="0"/>
                  <w:divBdr>
                    <w:top w:val="none" w:sz="0" w:space="0" w:color="auto"/>
                    <w:left w:val="none" w:sz="0" w:space="0" w:color="auto"/>
                    <w:bottom w:val="none" w:sz="0" w:space="0" w:color="auto"/>
                    <w:right w:val="none" w:sz="0" w:space="0" w:color="auto"/>
                  </w:divBdr>
                  <w:divsChild>
                    <w:div w:id="45614748">
                      <w:marLeft w:val="0"/>
                      <w:marRight w:val="0"/>
                      <w:marTop w:val="0"/>
                      <w:marBottom w:val="0"/>
                      <w:divBdr>
                        <w:top w:val="none" w:sz="0" w:space="0" w:color="auto"/>
                        <w:left w:val="none" w:sz="0" w:space="0" w:color="auto"/>
                        <w:bottom w:val="none" w:sz="0" w:space="0" w:color="auto"/>
                        <w:right w:val="none" w:sz="0" w:space="0" w:color="auto"/>
                      </w:divBdr>
                    </w:div>
                  </w:divsChild>
                </w:div>
                <w:div w:id="1988390204">
                  <w:marLeft w:val="0"/>
                  <w:marRight w:val="0"/>
                  <w:marTop w:val="0"/>
                  <w:marBottom w:val="0"/>
                  <w:divBdr>
                    <w:top w:val="none" w:sz="0" w:space="0" w:color="auto"/>
                    <w:left w:val="none" w:sz="0" w:space="0" w:color="auto"/>
                    <w:bottom w:val="none" w:sz="0" w:space="0" w:color="auto"/>
                    <w:right w:val="none" w:sz="0" w:space="0" w:color="auto"/>
                  </w:divBdr>
                  <w:divsChild>
                    <w:div w:id="585070934">
                      <w:marLeft w:val="0"/>
                      <w:marRight w:val="0"/>
                      <w:marTop w:val="0"/>
                      <w:marBottom w:val="0"/>
                      <w:divBdr>
                        <w:top w:val="none" w:sz="0" w:space="0" w:color="auto"/>
                        <w:left w:val="none" w:sz="0" w:space="0" w:color="auto"/>
                        <w:bottom w:val="none" w:sz="0" w:space="0" w:color="auto"/>
                        <w:right w:val="none" w:sz="0" w:space="0" w:color="auto"/>
                      </w:divBdr>
                    </w:div>
                  </w:divsChild>
                </w:div>
                <w:div w:id="1017586069">
                  <w:marLeft w:val="0"/>
                  <w:marRight w:val="0"/>
                  <w:marTop w:val="0"/>
                  <w:marBottom w:val="0"/>
                  <w:divBdr>
                    <w:top w:val="none" w:sz="0" w:space="0" w:color="auto"/>
                    <w:left w:val="none" w:sz="0" w:space="0" w:color="auto"/>
                    <w:bottom w:val="none" w:sz="0" w:space="0" w:color="auto"/>
                    <w:right w:val="none" w:sz="0" w:space="0" w:color="auto"/>
                  </w:divBdr>
                  <w:divsChild>
                    <w:div w:id="1271938854">
                      <w:marLeft w:val="0"/>
                      <w:marRight w:val="0"/>
                      <w:marTop w:val="0"/>
                      <w:marBottom w:val="0"/>
                      <w:divBdr>
                        <w:top w:val="none" w:sz="0" w:space="0" w:color="auto"/>
                        <w:left w:val="none" w:sz="0" w:space="0" w:color="auto"/>
                        <w:bottom w:val="none" w:sz="0" w:space="0" w:color="auto"/>
                        <w:right w:val="none" w:sz="0" w:space="0" w:color="auto"/>
                      </w:divBdr>
                    </w:div>
                  </w:divsChild>
                </w:div>
                <w:div w:id="2109738452">
                  <w:marLeft w:val="0"/>
                  <w:marRight w:val="0"/>
                  <w:marTop w:val="0"/>
                  <w:marBottom w:val="0"/>
                  <w:divBdr>
                    <w:top w:val="none" w:sz="0" w:space="0" w:color="auto"/>
                    <w:left w:val="none" w:sz="0" w:space="0" w:color="auto"/>
                    <w:bottom w:val="none" w:sz="0" w:space="0" w:color="auto"/>
                    <w:right w:val="none" w:sz="0" w:space="0" w:color="auto"/>
                  </w:divBdr>
                  <w:divsChild>
                    <w:div w:id="1843087525">
                      <w:marLeft w:val="0"/>
                      <w:marRight w:val="0"/>
                      <w:marTop w:val="0"/>
                      <w:marBottom w:val="0"/>
                      <w:divBdr>
                        <w:top w:val="none" w:sz="0" w:space="0" w:color="auto"/>
                        <w:left w:val="none" w:sz="0" w:space="0" w:color="auto"/>
                        <w:bottom w:val="none" w:sz="0" w:space="0" w:color="auto"/>
                        <w:right w:val="none" w:sz="0" w:space="0" w:color="auto"/>
                      </w:divBdr>
                    </w:div>
                  </w:divsChild>
                </w:div>
                <w:div w:id="409931460">
                  <w:marLeft w:val="0"/>
                  <w:marRight w:val="0"/>
                  <w:marTop w:val="0"/>
                  <w:marBottom w:val="0"/>
                  <w:divBdr>
                    <w:top w:val="none" w:sz="0" w:space="0" w:color="auto"/>
                    <w:left w:val="none" w:sz="0" w:space="0" w:color="auto"/>
                    <w:bottom w:val="none" w:sz="0" w:space="0" w:color="auto"/>
                    <w:right w:val="none" w:sz="0" w:space="0" w:color="auto"/>
                  </w:divBdr>
                  <w:divsChild>
                    <w:div w:id="2059015503">
                      <w:marLeft w:val="0"/>
                      <w:marRight w:val="0"/>
                      <w:marTop w:val="0"/>
                      <w:marBottom w:val="0"/>
                      <w:divBdr>
                        <w:top w:val="none" w:sz="0" w:space="0" w:color="auto"/>
                        <w:left w:val="none" w:sz="0" w:space="0" w:color="auto"/>
                        <w:bottom w:val="none" w:sz="0" w:space="0" w:color="auto"/>
                        <w:right w:val="none" w:sz="0" w:space="0" w:color="auto"/>
                      </w:divBdr>
                    </w:div>
                  </w:divsChild>
                </w:div>
                <w:div w:id="2116165596">
                  <w:marLeft w:val="0"/>
                  <w:marRight w:val="0"/>
                  <w:marTop w:val="0"/>
                  <w:marBottom w:val="0"/>
                  <w:divBdr>
                    <w:top w:val="none" w:sz="0" w:space="0" w:color="auto"/>
                    <w:left w:val="none" w:sz="0" w:space="0" w:color="auto"/>
                    <w:bottom w:val="none" w:sz="0" w:space="0" w:color="auto"/>
                    <w:right w:val="none" w:sz="0" w:space="0" w:color="auto"/>
                  </w:divBdr>
                  <w:divsChild>
                    <w:div w:id="45761300">
                      <w:marLeft w:val="0"/>
                      <w:marRight w:val="0"/>
                      <w:marTop w:val="0"/>
                      <w:marBottom w:val="0"/>
                      <w:divBdr>
                        <w:top w:val="none" w:sz="0" w:space="0" w:color="auto"/>
                        <w:left w:val="none" w:sz="0" w:space="0" w:color="auto"/>
                        <w:bottom w:val="none" w:sz="0" w:space="0" w:color="auto"/>
                        <w:right w:val="none" w:sz="0" w:space="0" w:color="auto"/>
                      </w:divBdr>
                    </w:div>
                  </w:divsChild>
                </w:div>
                <w:div w:id="817453371">
                  <w:marLeft w:val="0"/>
                  <w:marRight w:val="0"/>
                  <w:marTop w:val="0"/>
                  <w:marBottom w:val="0"/>
                  <w:divBdr>
                    <w:top w:val="none" w:sz="0" w:space="0" w:color="auto"/>
                    <w:left w:val="none" w:sz="0" w:space="0" w:color="auto"/>
                    <w:bottom w:val="none" w:sz="0" w:space="0" w:color="auto"/>
                    <w:right w:val="none" w:sz="0" w:space="0" w:color="auto"/>
                  </w:divBdr>
                  <w:divsChild>
                    <w:div w:id="1430663653">
                      <w:marLeft w:val="0"/>
                      <w:marRight w:val="0"/>
                      <w:marTop w:val="0"/>
                      <w:marBottom w:val="0"/>
                      <w:divBdr>
                        <w:top w:val="none" w:sz="0" w:space="0" w:color="auto"/>
                        <w:left w:val="none" w:sz="0" w:space="0" w:color="auto"/>
                        <w:bottom w:val="none" w:sz="0" w:space="0" w:color="auto"/>
                        <w:right w:val="none" w:sz="0" w:space="0" w:color="auto"/>
                      </w:divBdr>
                    </w:div>
                  </w:divsChild>
                </w:div>
                <w:div w:id="220947954">
                  <w:marLeft w:val="0"/>
                  <w:marRight w:val="0"/>
                  <w:marTop w:val="0"/>
                  <w:marBottom w:val="0"/>
                  <w:divBdr>
                    <w:top w:val="none" w:sz="0" w:space="0" w:color="auto"/>
                    <w:left w:val="none" w:sz="0" w:space="0" w:color="auto"/>
                    <w:bottom w:val="none" w:sz="0" w:space="0" w:color="auto"/>
                    <w:right w:val="none" w:sz="0" w:space="0" w:color="auto"/>
                  </w:divBdr>
                  <w:divsChild>
                    <w:div w:id="1562903776">
                      <w:marLeft w:val="0"/>
                      <w:marRight w:val="0"/>
                      <w:marTop w:val="0"/>
                      <w:marBottom w:val="0"/>
                      <w:divBdr>
                        <w:top w:val="none" w:sz="0" w:space="0" w:color="auto"/>
                        <w:left w:val="none" w:sz="0" w:space="0" w:color="auto"/>
                        <w:bottom w:val="none" w:sz="0" w:space="0" w:color="auto"/>
                        <w:right w:val="none" w:sz="0" w:space="0" w:color="auto"/>
                      </w:divBdr>
                    </w:div>
                  </w:divsChild>
                </w:div>
                <w:div w:id="1877812081">
                  <w:marLeft w:val="0"/>
                  <w:marRight w:val="0"/>
                  <w:marTop w:val="0"/>
                  <w:marBottom w:val="0"/>
                  <w:divBdr>
                    <w:top w:val="none" w:sz="0" w:space="0" w:color="auto"/>
                    <w:left w:val="none" w:sz="0" w:space="0" w:color="auto"/>
                    <w:bottom w:val="none" w:sz="0" w:space="0" w:color="auto"/>
                    <w:right w:val="none" w:sz="0" w:space="0" w:color="auto"/>
                  </w:divBdr>
                  <w:divsChild>
                    <w:div w:id="472331013">
                      <w:marLeft w:val="0"/>
                      <w:marRight w:val="0"/>
                      <w:marTop w:val="0"/>
                      <w:marBottom w:val="0"/>
                      <w:divBdr>
                        <w:top w:val="none" w:sz="0" w:space="0" w:color="auto"/>
                        <w:left w:val="none" w:sz="0" w:space="0" w:color="auto"/>
                        <w:bottom w:val="none" w:sz="0" w:space="0" w:color="auto"/>
                        <w:right w:val="none" w:sz="0" w:space="0" w:color="auto"/>
                      </w:divBdr>
                    </w:div>
                  </w:divsChild>
                </w:div>
                <w:div w:id="448470230">
                  <w:marLeft w:val="0"/>
                  <w:marRight w:val="0"/>
                  <w:marTop w:val="0"/>
                  <w:marBottom w:val="0"/>
                  <w:divBdr>
                    <w:top w:val="none" w:sz="0" w:space="0" w:color="auto"/>
                    <w:left w:val="none" w:sz="0" w:space="0" w:color="auto"/>
                    <w:bottom w:val="none" w:sz="0" w:space="0" w:color="auto"/>
                    <w:right w:val="none" w:sz="0" w:space="0" w:color="auto"/>
                  </w:divBdr>
                  <w:divsChild>
                    <w:div w:id="1116606456">
                      <w:marLeft w:val="0"/>
                      <w:marRight w:val="0"/>
                      <w:marTop w:val="0"/>
                      <w:marBottom w:val="0"/>
                      <w:divBdr>
                        <w:top w:val="none" w:sz="0" w:space="0" w:color="auto"/>
                        <w:left w:val="none" w:sz="0" w:space="0" w:color="auto"/>
                        <w:bottom w:val="none" w:sz="0" w:space="0" w:color="auto"/>
                        <w:right w:val="none" w:sz="0" w:space="0" w:color="auto"/>
                      </w:divBdr>
                    </w:div>
                  </w:divsChild>
                </w:div>
                <w:div w:id="442385840">
                  <w:marLeft w:val="0"/>
                  <w:marRight w:val="0"/>
                  <w:marTop w:val="0"/>
                  <w:marBottom w:val="0"/>
                  <w:divBdr>
                    <w:top w:val="none" w:sz="0" w:space="0" w:color="auto"/>
                    <w:left w:val="none" w:sz="0" w:space="0" w:color="auto"/>
                    <w:bottom w:val="none" w:sz="0" w:space="0" w:color="auto"/>
                    <w:right w:val="none" w:sz="0" w:space="0" w:color="auto"/>
                  </w:divBdr>
                  <w:divsChild>
                    <w:div w:id="1273702580">
                      <w:marLeft w:val="0"/>
                      <w:marRight w:val="0"/>
                      <w:marTop w:val="0"/>
                      <w:marBottom w:val="0"/>
                      <w:divBdr>
                        <w:top w:val="none" w:sz="0" w:space="0" w:color="auto"/>
                        <w:left w:val="none" w:sz="0" w:space="0" w:color="auto"/>
                        <w:bottom w:val="none" w:sz="0" w:space="0" w:color="auto"/>
                        <w:right w:val="none" w:sz="0" w:space="0" w:color="auto"/>
                      </w:divBdr>
                    </w:div>
                  </w:divsChild>
                </w:div>
                <w:div w:id="369106935">
                  <w:marLeft w:val="0"/>
                  <w:marRight w:val="0"/>
                  <w:marTop w:val="0"/>
                  <w:marBottom w:val="0"/>
                  <w:divBdr>
                    <w:top w:val="none" w:sz="0" w:space="0" w:color="auto"/>
                    <w:left w:val="none" w:sz="0" w:space="0" w:color="auto"/>
                    <w:bottom w:val="none" w:sz="0" w:space="0" w:color="auto"/>
                    <w:right w:val="none" w:sz="0" w:space="0" w:color="auto"/>
                  </w:divBdr>
                  <w:divsChild>
                    <w:div w:id="81882357">
                      <w:marLeft w:val="0"/>
                      <w:marRight w:val="0"/>
                      <w:marTop w:val="0"/>
                      <w:marBottom w:val="0"/>
                      <w:divBdr>
                        <w:top w:val="none" w:sz="0" w:space="0" w:color="auto"/>
                        <w:left w:val="none" w:sz="0" w:space="0" w:color="auto"/>
                        <w:bottom w:val="none" w:sz="0" w:space="0" w:color="auto"/>
                        <w:right w:val="none" w:sz="0" w:space="0" w:color="auto"/>
                      </w:divBdr>
                    </w:div>
                  </w:divsChild>
                </w:div>
                <w:div w:id="1264875932">
                  <w:marLeft w:val="0"/>
                  <w:marRight w:val="0"/>
                  <w:marTop w:val="0"/>
                  <w:marBottom w:val="0"/>
                  <w:divBdr>
                    <w:top w:val="none" w:sz="0" w:space="0" w:color="auto"/>
                    <w:left w:val="none" w:sz="0" w:space="0" w:color="auto"/>
                    <w:bottom w:val="none" w:sz="0" w:space="0" w:color="auto"/>
                    <w:right w:val="none" w:sz="0" w:space="0" w:color="auto"/>
                  </w:divBdr>
                  <w:divsChild>
                    <w:div w:id="1239943124">
                      <w:marLeft w:val="0"/>
                      <w:marRight w:val="0"/>
                      <w:marTop w:val="0"/>
                      <w:marBottom w:val="0"/>
                      <w:divBdr>
                        <w:top w:val="none" w:sz="0" w:space="0" w:color="auto"/>
                        <w:left w:val="none" w:sz="0" w:space="0" w:color="auto"/>
                        <w:bottom w:val="none" w:sz="0" w:space="0" w:color="auto"/>
                        <w:right w:val="none" w:sz="0" w:space="0" w:color="auto"/>
                      </w:divBdr>
                    </w:div>
                  </w:divsChild>
                </w:div>
                <w:div w:id="1344816109">
                  <w:marLeft w:val="0"/>
                  <w:marRight w:val="0"/>
                  <w:marTop w:val="0"/>
                  <w:marBottom w:val="0"/>
                  <w:divBdr>
                    <w:top w:val="none" w:sz="0" w:space="0" w:color="auto"/>
                    <w:left w:val="none" w:sz="0" w:space="0" w:color="auto"/>
                    <w:bottom w:val="none" w:sz="0" w:space="0" w:color="auto"/>
                    <w:right w:val="none" w:sz="0" w:space="0" w:color="auto"/>
                  </w:divBdr>
                  <w:divsChild>
                    <w:div w:id="225605042">
                      <w:marLeft w:val="0"/>
                      <w:marRight w:val="0"/>
                      <w:marTop w:val="0"/>
                      <w:marBottom w:val="0"/>
                      <w:divBdr>
                        <w:top w:val="none" w:sz="0" w:space="0" w:color="auto"/>
                        <w:left w:val="none" w:sz="0" w:space="0" w:color="auto"/>
                        <w:bottom w:val="none" w:sz="0" w:space="0" w:color="auto"/>
                        <w:right w:val="none" w:sz="0" w:space="0" w:color="auto"/>
                      </w:divBdr>
                    </w:div>
                  </w:divsChild>
                </w:div>
                <w:div w:id="1863519248">
                  <w:marLeft w:val="0"/>
                  <w:marRight w:val="0"/>
                  <w:marTop w:val="0"/>
                  <w:marBottom w:val="0"/>
                  <w:divBdr>
                    <w:top w:val="none" w:sz="0" w:space="0" w:color="auto"/>
                    <w:left w:val="none" w:sz="0" w:space="0" w:color="auto"/>
                    <w:bottom w:val="none" w:sz="0" w:space="0" w:color="auto"/>
                    <w:right w:val="none" w:sz="0" w:space="0" w:color="auto"/>
                  </w:divBdr>
                  <w:divsChild>
                    <w:div w:id="1681081792">
                      <w:marLeft w:val="0"/>
                      <w:marRight w:val="0"/>
                      <w:marTop w:val="0"/>
                      <w:marBottom w:val="0"/>
                      <w:divBdr>
                        <w:top w:val="none" w:sz="0" w:space="0" w:color="auto"/>
                        <w:left w:val="none" w:sz="0" w:space="0" w:color="auto"/>
                        <w:bottom w:val="none" w:sz="0" w:space="0" w:color="auto"/>
                        <w:right w:val="none" w:sz="0" w:space="0" w:color="auto"/>
                      </w:divBdr>
                    </w:div>
                  </w:divsChild>
                </w:div>
                <w:div w:id="1893036333">
                  <w:marLeft w:val="0"/>
                  <w:marRight w:val="0"/>
                  <w:marTop w:val="0"/>
                  <w:marBottom w:val="0"/>
                  <w:divBdr>
                    <w:top w:val="none" w:sz="0" w:space="0" w:color="auto"/>
                    <w:left w:val="none" w:sz="0" w:space="0" w:color="auto"/>
                    <w:bottom w:val="none" w:sz="0" w:space="0" w:color="auto"/>
                    <w:right w:val="none" w:sz="0" w:space="0" w:color="auto"/>
                  </w:divBdr>
                  <w:divsChild>
                    <w:div w:id="1315529978">
                      <w:marLeft w:val="0"/>
                      <w:marRight w:val="0"/>
                      <w:marTop w:val="0"/>
                      <w:marBottom w:val="0"/>
                      <w:divBdr>
                        <w:top w:val="none" w:sz="0" w:space="0" w:color="auto"/>
                        <w:left w:val="none" w:sz="0" w:space="0" w:color="auto"/>
                        <w:bottom w:val="none" w:sz="0" w:space="0" w:color="auto"/>
                        <w:right w:val="none" w:sz="0" w:space="0" w:color="auto"/>
                      </w:divBdr>
                    </w:div>
                  </w:divsChild>
                </w:div>
                <w:div w:id="248663950">
                  <w:marLeft w:val="0"/>
                  <w:marRight w:val="0"/>
                  <w:marTop w:val="0"/>
                  <w:marBottom w:val="0"/>
                  <w:divBdr>
                    <w:top w:val="none" w:sz="0" w:space="0" w:color="auto"/>
                    <w:left w:val="none" w:sz="0" w:space="0" w:color="auto"/>
                    <w:bottom w:val="none" w:sz="0" w:space="0" w:color="auto"/>
                    <w:right w:val="none" w:sz="0" w:space="0" w:color="auto"/>
                  </w:divBdr>
                  <w:divsChild>
                    <w:div w:id="2089189072">
                      <w:marLeft w:val="0"/>
                      <w:marRight w:val="0"/>
                      <w:marTop w:val="0"/>
                      <w:marBottom w:val="0"/>
                      <w:divBdr>
                        <w:top w:val="none" w:sz="0" w:space="0" w:color="auto"/>
                        <w:left w:val="none" w:sz="0" w:space="0" w:color="auto"/>
                        <w:bottom w:val="none" w:sz="0" w:space="0" w:color="auto"/>
                        <w:right w:val="none" w:sz="0" w:space="0" w:color="auto"/>
                      </w:divBdr>
                    </w:div>
                  </w:divsChild>
                </w:div>
                <w:div w:id="181355908">
                  <w:marLeft w:val="0"/>
                  <w:marRight w:val="0"/>
                  <w:marTop w:val="0"/>
                  <w:marBottom w:val="0"/>
                  <w:divBdr>
                    <w:top w:val="none" w:sz="0" w:space="0" w:color="auto"/>
                    <w:left w:val="none" w:sz="0" w:space="0" w:color="auto"/>
                    <w:bottom w:val="none" w:sz="0" w:space="0" w:color="auto"/>
                    <w:right w:val="none" w:sz="0" w:space="0" w:color="auto"/>
                  </w:divBdr>
                  <w:divsChild>
                    <w:div w:id="495848456">
                      <w:marLeft w:val="0"/>
                      <w:marRight w:val="0"/>
                      <w:marTop w:val="0"/>
                      <w:marBottom w:val="0"/>
                      <w:divBdr>
                        <w:top w:val="none" w:sz="0" w:space="0" w:color="auto"/>
                        <w:left w:val="none" w:sz="0" w:space="0" w:color="auto"/>
                        <w:bottom w:val="none" w:sz="0" w:space="0" w:color="auto"/>
                        <w:right w:val="none" w:sz="0" w:space="0" w:color="auto"/>
                      </w:divBdr>
                    </w:div>
                  </w:divsChild>
                </w:div>
                <w:div w:id="49545819">
                  <w:marLeft w:val="0"/>
                  <w:marRight w:val="0"/>
                  <w:marTop w:val="0"/>
                  <w:marBottom w:val="0"/>
                  <w:divBdr>
                    <w:top w:val="none" w:sz="0" w:space="0" w:color="auto"/>
                    <w:left w:val="none" w:sz="0" w:space="0" w:color="auto"/>
                    <w:bottom w:val="none" w:sz="0" w:space="0" w:color="auto"/>
                    <w:right w:val="none" w:sz="0" w:space="0" w:color="auto"/>
                  </w:divBdr>
                  <w:divsChild>
                    <w:div w:id="18995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306889">
          <w:marLeft w:val="0"/>
          <w:marRight w:val="0"/>
          <w:marTop w:val="0"/>
          <w:marBottom w:val="0"/>
          <w:divBdr>
            <w:top w:val="none" w:sz="0" w:space="0" w:color="auto"/>
            <w:left w:val="none" w:sz="0" w:space="0" w:color="auto"/>
            <w:bottom w:val="none" w:sz="0" w:space="0" w:color="auto"/>
            <w:right w:val="none" w:sz="0" w:space="0" w:color="auto"/>
          </w:divBdr>
        </w:div>
        <w:div w:id="2128236878">
          <w:marLeft w:val="0"/>
          <w:marRight w:val="0"/>
          <w:marTop w:val="0"/>
          <w:marBottom w:val="0"/>
          <w:divBdr>
            <w:top w:val="none" w:sz="0" w:space="0" w:color="auto"/>
            <w:left w:val="none" w:sz="0" w:space="0" w:color="auto"/>
            <w:bottom w:val="none" w:sz="0" w:space="0" w:color="auto"/>
            <w:right w:val="none" w:sz="0" w:space="0" w:color="auto"/>
          </w:divBdr>
        </w:div>
        <w:div w:id="1044329129">
          <w:marLeft w:val="0"/>
          <w:marRight w:val="0"/>
          <w:marTop w:val="0"/>
          <w:marBottom w:val="0"/>
          <w:divBdr>
            <w:top w:val="none" w:sz="0" w:space="0" w:color="auto"/>
            <w:left w:val="none" w:sz="0" w:space="0" w:color="auto"/>
            <w:bottom w:val="none" w:sz="0" w:space="0" w:color="auto"/>
            <w:right w:val="none" w:sz="0" w:space="0" w:color="auto"/>
          </w:divBdr>
        </w:div>
        <w:div w:id="183370168">
          <w:marLeft w:val="0"/>
          <w:marRight w:val="0"/>
          <w:marTop w:val="0"/>
          <w:marBottom w:val="0"/>
          <w:divBdr>
            <w:top w:val="none" w:sz="0" w:space="0" w:color="auto"/>
            <w:left w:val="none" w:sz="0" w:space="0" w:color="auto"/>
            <w:bottom w:val="none" w:sz="0" w:space="0" w:color="auto"/>
            <w:right w:val="none" w:sz="0" w:space="0" w:color="auto"/>
          </w:divBdr>
        </w:div>
        <w:div w:id="2131321324">
          <w:marLeft w:val="0"/>
          <w:marRight w:val="0"/>
          <w:marTop w:val="0"/>
          <w:marBottom w:val="0"/>
          <w:divBdr>
            <w:top w:val="none" w:sz="0" w:space="0" w:color="auto"/>
            <w:left w:val="none" w:sz="0" w:space="0" w:color="auto"/>
            <w:bottom w:val="none" w:sz="0" w:space="0" w:color="auto"/>
            <w:right w:val="none" w:sz="0" w:space="0" w:color="auto"/>
          </w:divBdr>
          <w:divsChild>
            <w:div w:id="1757482942">
              <w:marLeft w:val="-75"/>
              <w:marRight w:val="0"/>
              <w:marTop w:val="30"/>
              <w:marBottom w:val="30"/>
              <w:divBdr>
                <w:top w:val="none" w:sz="0" w:space="0" w:color="auto"/>
                <w:left w:val="none" w:sz="0" w:space="0" w:color="auto"/>
                <w:bottom w:val="none" w:sz="0" w:space="0" w:color="auto"/>
                <w:right w:val="none" w:sz="0" w:space="0" w:color="auto"/>
              </w:divBdr>
              <w:divsChild>
                <w:div w:id="838084748">
                  <w:marLeft w:val="0"/>
                  <w:marRight w:val="0"/>
                  <w:marTop w:val="0"/>
                  <w:marBottom w:val="0"/>
                  <w:divBdr>
                    <w:top w:val="none" w:sz="0" w:space="0" w:color="auto"/>
                    <w:left w:val="none" w:sz="0" w:space="0" w:color="auto"/>
                    <w:bottom w:val="none" w:sz="0" w:space="0" w:color="auto"/>
                    <w:right w:val="none" w:sz="0" w:space="0" w:color="auto"/>
                  </w:divBdr>
                  <w:divsChild>
                    <w:div w:id="2090539044">
                      <w:marLeft w:val="0"/>
                      <w:marRight w:val="0"/>
                      <w:marTop w:val="0"/>
                      <w:marBottom w:val="0"/>
                      <w:divBdr>
                        <w:top w:val="none" w:sz="0" w:space="0" w:color="auto"/>
                        <w:left w:val="none" w:sz="0" w:space="0" w:color="auto"/>
                        <w:bottom w:val="none" w:sz="0" w:space="0" w:color="auto"/>
                        <w:right w:val="none" w:sz="0" w:space="0" w:color="auto"/>
                      </w:divBdr>
                    </w:div>
                  </w:divsChild>
                </w:div>
                <w:div w:id="2136217643">
                  <w:marLeft w:val="0"/>
                  <w:marRight w:val="0"/>
                  <w:marTop w:val="0"/>
                  <w:marBottom w:val="0"/>
                  <w:divBdr>
                    <w:top w:val="none" w:sz="0" w:space="0" w:color="auto"/>
                    <w:left w:val="none" w:sz="0" w:space="0" w:color="auto"/>
                    <w:bottom w:val="none" w:sz="0" w:space="0" w:color="auto"/>
                    <w:right w:val="none" w:sz="0" w:space="0" w:color="auto"/>
                  </w:divBdr>
                  <w:divsChild>
                    <w:div w:id="185481617">
                      <w:marLeft w:val="0"/>
                      <w:marRight w:val="0"/>
                      <w:marTop w:val="0"/>
                      <w:marBottom w:val="0"/>
                      <w:divBdr>
                        <w:top w:val="none" w:sz="0" w:space="0" w:color="auto"/>
                        <w:left w:val="none" w:sz="0" w:space="0" w:color="auto"/>
                        <w:bottom w:val="none" w:sz="0" w:space="0" w:color="auto"/>
                        <w:right w:val="none" w:sz="0" w:space="0" w:color="auto"/>
                      </w:divBdr>
                    </w:div>
                  </w:divsChild>
                </w:div>
                <w:div w:id="769357423">
                  <w:marLeft w:val="0"/>
                  <w:marRight w:val="0"/>
                  <w:marTop w:val="0"/>
                  <w:marBottom w:val="0"/>
                  <w:divBdr>
                    <w:top w:val="none" w:sz="0" w:space="0" w:color="auto"/>
                    <w:left w:val="none" w:sz="0" w:space="0" w:color="auto"/>
                    <w:bottom w:val="none" w:sz="0" w:space="0" w:color="auto"/>
                    <w:right w:val="none" w:sz="0" w:space="0" w:color="auto"/>
                  </w:divBdr>
                  <w:divsChild>
                    <w:div w:id="1007756568">
                      <w:marLeft w:val="0"/>
                      <w:marRight w:val="0"/>
                      <w:marTop w:val="0"/>
                      <w:marBottom w:val="0"/>
                      <w:divBdr>
                        <w:top w:val="none" w:sz="0" w:space="0" w:color="auto"/>
                        <w:left w:val="none" w:sz="0" w:space="0" w:color="auto"/>
                        <w:bottom w:val="none" w:sz="0" w:space="0" w:color="auto"/>
                        <w:right w:val="none" w:sz="0" w:space="0" w:color="auto"/>
                      </w:divBdr>
                    </w:div>
                  </w:divsChild>
                </w:div>
                <w:div w:id="1842312791">
                  <w:marLeft w:val="0"/>
                  <w:marRight w:val="0"/>
                  <w:marTop w:val="0"/>
                  <w:marBottom w:val="0"/>
                  <w:divBdr>
                    <w:top w:val="none" w:sz="0" w:space="0" w:color="auto"/>
                    <w:left w:val="none" w:sz="0" w:space="0" w:color="auto"/>
                    <w:bottom w:val="none" w:sz="0" w:space="0" w:color="auto"/>
                    <w:right w:val="none" w:sz="0" w:space="0" w:color="auto"/>
                  </w:divBdr>
                  <w:divsChild>
                    <w:div w:id="460029260">
                      <w:marLeft w:val="0"/>
                      <w:marRight w:val="0"/>
                      <w:marTop w:val="0"/>
                      <w:marBottom w:val="0"/>
                      <w:divBdr>
                        <w:top w:val="none" w:sz="0" w:space="0" w:color="auto"/>
                        <w:left w:val="none" w:sz="0" w:space="0" w:color="auto"/>
                        <w:bottom w:val="none" w:sz="0" w:space="0" w:color="auto"/>
                        <w:right w:val="none" w:sz="0" w:space="0" w:color="auto"/>
                      </w:divBdr>
                    </w:div>
                  </w:divsChild>
                </w:div>
                <w:div w:id="1236160122">
                  <w:marLeft w:val="0"/>
                  <w:marRight w:val="0"/>
                  <w:marTop w:val="0"/>
                  <w:marBottom w:val="0"/>
                  <w:divBdr>
                    <w:top w:val="none" w:sz="0" w:space="0" w:color="auto"/>
                    <w:left w:val="none" w:sz="0" w:space="0" w:color="auto"/>
                    <w:bottom w:val="none" w:sz="0" w:space="0" w:color="auto"/>
                    <w:right w:val="none" w:sz="0" w:space="0" w:color="auto"/>
                  </w:divBdr>
                  <w:divsChild>
                    <w:div w:id="220480682">
                      <w:marLeft w:val="0"/>
                      <w:marRight w:val="0"/>
                      <w:marTop w:val="0"/>
                      <w:marBottom w:val="0"/>
                      <w:divBdr>
                        <w:top w:val="none" w:sz="0" w:space="0" w:color="auto"/>
                        <w:left w:val="none" w:sz="0" w:space="0" w:color="auto"/>
                        <w:bottom w:val="none" w:sz="0" w:space="0" w:color="auto"/>
                        <w:right w:val="none" w:sz="0" w:space="0" w:color="auto"/>
                      </w:divBdr>
                    </w:div>
                  </w:divsChild>
                </w:div>
                <w:div w:id="42802110">
                  <w:marLeft w:val="0"/>
                  <w:marRight w:val="0"/>
                  <w:marTop w:val="0"/>
                  <w:marBottom w:val="0"/>
                  <w:divBdr>
                    <w:top w:val="none" w:sz="0" w:space="0" w:color="auto"/>
                    <w:left w:val="none" w:sz="0" w:space="0" w:color="auto"/>
                    <w:bottom w:val="none" w:sz="0" w:space="0" w:color="auto"/>
                    <w:right w:val="none" w:sz="0" w:space="0" w:color="auto"/>
                  </w:divBdr>
                  <w:divsChild>
                    <w:div w:id="1037435394">
                      <w:marLeft w:val="0"/>
                      <w:marRight w:val="0"/>
                      <w:marTop w:val="0"/>
                      <w:marBottom w:val="0"/>
                      <w:divBdr>
                        <w:top w:val="none" w:sz="0" w:space="0" w:color="auto"/>
                        <w:left w:val="none" w:sz="0" w:space="0" w:color="auto"/>
                        <w:bottom w:val="none" w:sz="0" w:space="0" w:color="auto"/>
                        <w:right w:val="none" w:sz="0" w:space="0" w:color="auto"/>
                      </w:divBdr>
                    </w:div>
                  </w:divsChild>
                </w:div>
                <w:div w:id="749080665">
                  <w:marLeft w:val="0"/>
                  <w:marRight w:val="0"/>
                  <w:marTop w:val="0"/>
                  <w:marBottom w:val="0"/>
                  <w:divBdr>
                    <w:top w:val="none" w:sz="0" w:space="0" w:color="auto"/>
                    <w:left w:val="none" w:sz="0" w:space="0" w:color="auto"/>
                    <w:bottom w:val="none" w:sz="0" w:space="0" w:color="auto"/>
                    <w:right w:val="none" w:sz="0" w:space="0" w:color="auto"/>
                  </w:divBdr>
                  <w:divsChild>
                    <w:div w:id="1442527160">
                      <w:marLeft w:val="0"/>
                      <w:marRight w:val="0"/>
                      <w:marTop w:val="0"/>
                      <w:marBottom w:val="0"/>
                      <w:divBdr>
                        <w:top w:val="none" w:sz="0" w:space="0" w:color="auto"/>
                        <w:left w:val="none" w:sz="0" w:space="0" w:color="auto"/>
                        <w:bottom w:val="none" w:sz="0" w:space="0" w:color="auto"/>
                        <w:right w:val="none" w:sz="0" w:space="0" w:color="auto"/>
                      </w:divBdr>
                    </w:div>
                  </w:divsChild>
                </w:div>
                <w:div w:id="1898397651">
                  <w:marLeft w:val="0"/>
                  <w:marRight w:val="0"/>
                  <w:marTop w:val="0"/>
                  <w:marBottom w:val="0"/>
                  <w:divBdr>
                    <w:top w:val="none" w:sz="0" w:space="0" w:color="auto"/>
                    <w:left w:val="none" w:sz="0" w:space="0" w:color="auto"/>
                    <w:bottom w:val="none" w:sz="0" w:space="0" w:color="auto"/>
                    <w:right w:val="none" w:sz="0" w:space="0" w:color="auto"/>
                  </w:divBdr>
                  <w:divsChild>
                    <w:div w:id="972709867">
                      <w:marLeft w:val="0"/>
                      <w:marRight w:val="0"/>
                      <w:marTop w:val="0"/>
                      <w:marBottom w:val="0"/>
                      <w:divBdr>
                        <w:top w:val="none" w:sz="0" w:space="0" w:color="auto"/>
                        <w:left w:val="none" w:sz="0" w:space="0" w:color="auto"/>
                        <w:bottom w:val="none" w:sz="0" w:space="0" w:color="auto"/>
                        <w:right w:val="none" w:sz="0" w:space="0" w:color="auto"/>
                      </w:divBdr>
                    </w:div>
                  </w:divsChild>
                </w:div>
                <w:div w:id="728111266">
                  <w:marLeft w:val="0"/>
                  <w:marRight w:val="0"/>
                  <w:marTop w:val="0"/>
                  <w:marBottom w:val="0"/>
                  <w:divBdr>
                    <w:top w:val="none" w:sz="0" w:space="0" w:color="auto"/>
                    <w:left w:val="none" w:sz="0" w:space="0" w:color="auto"/>
                    <w:bottom w:val="none" w:sz="0" w:space="0" w:color="auto"/>
                    <w:right w:val="none" w:sz="0" w:space="0" w:color="auto"/>
                  </w:divBdr>
                  <w:divsChild>
                    <w:div w:id="745686359">
                      <w:marLeft w:val="0"/>
                      <w:marRight w:val="0"/>
                      <w:marTop w:val="0"/>
                      <w:marBottom w:val="0"/>
                      <w:divBdr>
                        <w:top w:val="none" w:sz="0" w:space="0" w:color="auto"/>
                        <w:left w:val="none" w:sz="0" w:space="0" w:color="auto"/>
                        <w:bottom w:val="none" w:sz="0" w:space="0" w:color="auto"/>
                        <w:right w:val="none" w:sz="0" w:space="0" w:color="auto"/>
                      </w:divBdr>
                    </w:div>
                  </w:divsChild>
                </w:div>
                <w:div w:id="305597511">
                  <w:marLeft w:val="0"/>
                  <w:marRight w:val="0"/>
                  <w:marTop w:val="0"/>
                  <w:marBottom w:val="0"/>
                  <w:divBdr>
                    <w:top w:val="none" w:sz="0" w:space="0" w:color="auto"/>
                    <w:left w:val="none" w:sz="0" w:space="0" w:color="auto"/>
                    <w:bottom w:val="none" w:sz="0" w:space="0" w:color="auto"/>
                    <w:right w:val="none" w:sz="0" w:space="0" w:color="auto"/>
                  </w:divBdr>
                  <w:divsChild>
                    <w:div w:id="343241219">
                      <w:marLeft w:val="0"/>
                      <w:marRight w:val="0"/>
                      <w:marTop w:val="0"/>
                      <w:marBottom w:val="0"/>
                      <w:divBdr>
                        <w:top w:val="none" w:sz="0" w:space="0" w:color="auto"/>
                        <w:left w:val="none" w:sz="0" w:space="0" w:color="auto"/>
                        <w:bottom w:val="none" w:sz="0" w:space="0" w:color="auto"/>
                        <w:right w:val="none" w:sz="0" w:space="0" w:color="auto"/>
                      </w:divBdr>
                    </w:div>
                  </w:divsChild>
                </w:div>
                <w:div w:id="1534272167">
                  <w:marLeft w:val="0"/>
                  <w:marRight w:val="0"/>
                  <w:marTop w:val="0"/>
                  <w:marBottom w:val="0"/>
                  <w:divBdr>
                    <w:top w:val="none" w:sz="0" w:space="0" w:color="auto"/>
                    <w:left w:val="none" w:sz="0" w:space="0" w:color="auto"/>
                    <w:bottom w:val="none" w:sz="0" w:space="0" w:color="auto"/>
                    <w:right w:val="none" w:sz="0" w:space="0" w:color="auto"/>
                  </w:divBdr>
                  <w:divsChild>
                    <w:div w:id="443113504">
                      <w:marLeft w:val="0"/>
                      <w:marRight w:val="0"/>
                      <w:marTop w:val="0"/>
                      <w:marBottom w:val="0"/>
                      <w:divBdr>
                        <w:top w:val="none" w:sz="0" w:space="0" w:color="auto"/>
                        <w:left w:val="none" w:sz="0" w:space="0" w:color="auto"/>
                        <w:bottom w:val="none" w:sz="0" w:space="0" w:color="auto"/>
                        <w:right w:val="none" w:sz="0" w:space="0" w:color="auto"/>
                      </w:divBdr>
                    </w:div>
                  </w:divsChild>
                </w:div>
                <w:div w:id="639842738">
                  <w:marLeft w:val="0"/>
                  <w:marRight w:val="0"/>
                  <w:marTop w:val="0"/>
                  <w:marBottom w:val="0"/>
                  <w:divBdr>
                    <w:top w:val="none" w:sz="0" w:space="0" w:color="auto"/>
                    <w:left w:val="none" w:sz="0" w:space="0" w:color="auto"/>
                    <w:bottom w:val="none" w:sz="0" w:space="0" w:color="auto"/>
                    <w:right w:val="none" w:sz="0" w:space="0" w:color="auto"/>
                  </w:divBdr>
                  <w:divsChild>
                    <w:div w:id="30032361">
                      <w:marLeft w:val="0"/>
                      <w:marRight w:val="0"/>
                      <w:marTop w:val="0"/>
                      <w:marBottom w:val="0"/>
                      <w:divBdr>
                        <w:top w:val="none" w:sz="0" w:space="0" w:color="auto"/>
                        <w:left w:val="none" w:sz="0" w:space="0" w:color="auto"/>
                        <w:bottom w:val="none" w:sz="0" w:space="0" w:color="auto"/>
                        <w:right w:val="none" w:sz="0" w:space="0" w:color="auto"/>
                      </w:divBdr>
                    </w:div>
                  </w:divsChild>
                </w:div>
                <w:div w:id="396173079">
                  <w:marLeft w:val="0"/>
                  <w:marRight w:val="0"/>
                  <w:marTop w:val="0"/>
                  <w:marBottom w:val="0"/>
                  <w:divBdr>
                    <w:top w:val="none" w:sz="0" w:space="0" w:color="auto"/>
                    <w:left w:val="none" w:sz="0" w:space="0" w:color="auto"/>
                    <w:bottom w:val="none" w:sz="0" w:space="0" w:color="auto"/>
                    <w:right w:val="none" w:sz="0" w:space="0" w:color="auto"/>
                  </w:divBdr>
                  <w:divsChild>
                    <w:div w:id="2040280605">
                      <w:marLeft w:val="0"/>
                      <w:marRight w:val="0"/>
                      <w:marTop w:val="0"/>
                      <w:marBottom w:val="0"/>
                      <w:divBdr>
                        <w:top w:val="none" w:sz="0" w:space="0" w:color="auto"/>
                        <w:left w:val="none" w:sz="0" w:space="0" w:color="auto"/>
                        <w:bottom w:val="none" w:sz="0" w:space="0" w:color="auto"/>
                        <w:right w:val="none" w:sz="0" w:space="0" w:color="auto"/>
                      </w:divBdr>
                    </w:div>
                  </w:divsChild>
                </w:div>
                <w:div w:id="602614765">
                  <w:marLeft w:val="0"/>
                  <w:marRight w:val="0"/>
                  <w:marTop w:val="0"/>
                  <w:marBottom w:val="0"/>
                  <w:divBdr>
                    <w:top w:val="none" w:sz="0" w:space="0" w:color="auto"/>
                    <w:left w:val="none" w:sz="0" w:space="0" w:color="auto"/>
                    <w:bottom w:val="none" w:sz="0" w:space="0" w:color="auto"/>
                    <w:right w:val="none" w:sz="0" w:space="0" w:color="auto"/>
                  </w:divBdr>
                  <w:divsChild>
                    <w:div w:id="1266763925">
                      <w:marLeft w:val="0"/>
                      <w:marRight w:val="0"/>
                      <w:marTop w:val="0"/>
                      <w:marBottom w:val="0"/>
                      <w:divBdr>
                        <w:top w:val="none" w:sz="0" w:space="0" w:color="auto"/>
                        <w:left w:val="none" w:sz="0" w:space="0" w:color="auto"/>
                        <w:bottom w:val="none" w:sz="0" w:space="0" w:color="auto"/>
                        <w:right w:val="none" w:sz="0" w:space="0" w:color="auto"/>
                      </w:divBdr>
                    </w:div>
                  </w:divsChild>
                </w:div>
                <w:div w:id="1227108415">
                  <w:marLeft w:val="0"/>
                  <w:marRight w:val="0"/>
                  <w:marTop w:val="0"/>
                  <w:marBottom w:val="0"/>
                  <w:divBdr>
                    <w:top w:val="none" w:sz="0" w:space="0" w:color="auto"/>
                    <w:left w:val="none" w:sz="0" w:space="0" w:color="auto"/>
                    <w:bottom w:val="none" w:sz="0" w:space="0" w:color="auto"/>
                    <w:right w:val="none" w:sz="0" w:space="0" w:color="auto"/>
                  </w:divBdr>
                  <w:divsChild>
                    <w:div w:id="1100446243">
                      <w:marLeft w:val="0"/>
                      <w:marRight w:val="0"/>
                      <w:marTop w:val="0"/>
                      <w:marBottom w:val="0"/>
                      <w:divBdr>
                        <w:top w:val="none" w:sz="0" w:space="0" w:color="auto"/>
                        <w:left w:val="none" w:sz="0" w:space="0" w:color="auto"/>
                        <w:bottom w:val="none" w:sz="0" w:space="0" w:color="auto"/>
                        <w:right w:val="none" w:sz="0" w:space="0" w:color="auto"/>
                      </w:divBdr>
                    </w:div>
                  </w:divsChild>
                </w:div>
                <w:div w:id="1567449013">
                  <w:marLeft w:val="0"/>
                  <w:marRight w:val="0"/>
                  <w:marTop w:val="0"/>
                  <w:marBottom w:val="0"/>
                  <w:divBdr>
                    <w:top w:val="none" w:sz="0" w:space="0" w:color="auto"/>
                    <w:left w:val="none" w:sz="0" w:space="0" w:color="auto"/>
                    <w:bottom w:val="none" w:sz="0" w:space="0" w:color="auto"/>
                    <w:right w:val="none" w:sz="0" w:space="0" w:color="auto"/>
                  </w:divBdr>
                  <w:divsChild>
                    <w:div w:id="531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76756">
          <w:marLeft w:val="0"/>
          <w:marRight w:val="0"/>
          <w:marTop w:val="0"/>
          <w:marBottom w:val="0"/>
          <w:divBdr>
            <w:top w:val="none" w:sz="0" w:space="0" w:color="auto"/>
            <w:left w:val="none" w:sz="0" w:space="0" w:color="auto"/>
            <w:bottom w:val="none" w:sz="0" w:space="0" w:color="auto"/>
            <w:right w:val="none" w:sz="0" w:space="0" w:color="auto"/>
          </w:divBdr>
          <w:divsChild>
            <w:div w:id="1291520356">
              <w:marLeft w:val="0"/>
              <w:marRight w:val="0"/>
              <w:marTop w:val="0"/>
              <w:marBottom w:val="0"/>
              <w:divBdr>
                <w:top w:val="none" w:sz="0" w:space="0" w:color="auto"/>
                <w:left w:val="none" w:sz="0" w:space="0" w:color="auto"/>
                <w:bottom w:val="none" w:sz="0" w:space="0" w:color="auto"/>
                <w:right w:val="none" w:sz="0" w:space="0" w:color="auto"/>
              </w:divBdr>
            </w:div>
            <w:div w:id="1074356519">
              <w:marLeft w:val="0"/>
              <w:marRight w:val="0"/>
              <w:marTop w:val="0"/>
              <w:marBottom w:val="0"/>
              <w:divBdr>
                <w:top w:val="none" w:sz="0" w:space="0" w:color="auto"/>
                <w:left w:val="none" w:sz="0" w:space="0" w:color="auto"/>
                <w:bottom w:val="none" w:sz="0" w:space="0" w:color="auto"/>
                <w:right w:val="none" w:sz="0" w:space="0" w:color="auto"/>
              </w:divBdr>
            </w:div>
            <w:div w:id="917010263">
              <w:marLeft w:val="0"/>
              <w:marRight w:val="0"/>
              <w:marTop w:val="0"/>
              <w:marBottom w:val="0"/>
              <w:divBdr>
                <w:top w:val="none" w:sz="0" w:space="0" w:color="auto"/>
                <w:left w:val="none" w:sz="0" w:space="0" w:color="auto"/>
                <w:bottom w:val="none" w:sz="0" w:space="0" w:color="auto"/>
                <w:right w:val="none" w:sz="0" w:space="0" w:color="auto"/>
              </w:divBdr>
            </w:div>
            <w:div w:id="1163592768">
              <w:marLeft w:val="0"/>
              <w:marRight w:val="0"/>
              <w:marTop w:val="0"/>
              <w:marBottom w:val="0"/>
              <w:divBdr>
                <w:top w:val="none" w:sz="0" w:space="0" w:color="auto"/>
                <w:left w:val="none" w:sz="0" w:space="0" w:color="auto"/>
                <w:bottom w:val="none" w:sz="0" w:space="0" w:color="auto"/>
                <w:right w:val="none" w:sz="0" w:space="0" w:color="auto"/>
              </w:divBdr>
            </w:div>
            <w:div w:id="147980313">
              <w:marLeft w:val="0"/>
              <w:marRight w:val="0"/>
              <w:marTop w:val="0"/>
              <w:marBottom w:val="0"/>
              <w:divBdr>
                <w:top w:val="none" w:sz="0" w:space="0" w:color="auto"/>
                <w:left w:val="none" w:sz="0" w:space="0" w:color="auto"/>
                <w:bottom w:val="none" w:sz="0" w:space="0" w:color="auto"/>
                <w:right w:val="none" w:sz="0" w:space="0" w:color="auto"/>
              </w:divBdr>
            </w:div>
            <w:div w:id="1020161529">
              <w:marLeft w:val="0"/>
              <w:marRight w:val="0"/>
              <w:marTop w:val="0"/>
              <w:marBottom w:val="0"/>
              <w:divBdr>
                <w:top w:val="none" w:sz="0" w:space="0" w:color="auto"/>
                <w:left w:val="none" w:sz="0" w:space="0" w:color="auto"/>
                <w:bottom w:val="none" w:sz="0" w:space="0" w:color="auto"/>
                <w:right w:val="none" w:sz="0" w:space="0" w:color="auto"/>
              </w:divBdr>
            </w:div>
            <w:div w:id="128519185">
              <w:marLeft w:val="0"/>
              <w:marRight w:val="0"/>
              <w:marTop w:val="0"/>
              <w:marBottom w:val="0"/>
              <w:divBdr>
                <w:top w:val="none" w:sz="0" w:space="0" w:color="auto"/>
                <w:left w:val="none" w:sz="0" w:space="0" w:color="auto"/>
                <w:bottom w:val="none" w:sz="0" w:space="0" w:color="auto"/>
                <w:right w:val="none" w:sz="0" w:space="0" w:color="auto"/>
              </w:divBdr>
            </w:div>
            <w:div w:id="870992674">
              <w:marLeft w:val="0"/>
              <w:marRight w:val="0"/>
              <w:marTop w:val="0"/>
              <w:marBottom w:val="0"/>
              <w:divBdr>
                <w:top w:val="none" w:sz="0" w:space="0" w:color="auto"/>
                <w:left w:val="none" w:sz="0" w:space="0" w:color="auto"/>
                <w:bottom w:val="none" w:sz="0" w:space="0" w:color="auto"/>
                <w:right w:val="none" w:sz="0" w:space="0" w:color="auto"/>
              </w:divBdr>
            </w:div>
            <w:div w:id="1944072519">
              <w:marLeft w:val="0"/>
              <w:marRight w:val="0"/>
              <w:marTop w:val="0"/>
              <w:marBottom w:val="0"/>
              <w:divBdr>
                <w:top w:val="none" w:sz="0" w:space="0" w:color="auto"/>
                <w:left w:val="none" w:sz="0" w:space="0" w:color="auto"/>
                <w:bottom w:val="none" w:sz="0" w:space="0" w:color="auto"/>
                <w:right w:val="none" w:sz="0" w:space="0" w:color="auto"/>
              </w:divBdr>
            </w:div>
            <w:div w:id="2107925274">
              <w:marLeft w:val="0"/>
              <w:marRight w:val="0"/>
              <w:marTop w:val="0"/>
              <w:marBottom w:val="0"/>
              <w:divBdr>
                <w:top w:val="none" w:sz="0" w:space="0" w:color="auto"/>
                <w:left w:val="none" w:sz="0" w:space="0" w:color="auto"/>
                <w:bottom w:val="none" w:sz="0" w:space="0" w:color="auto"/>
                <w:right w:val="none" w:sz="0" w:space="0" w:color="auto"/>
              </w:divBdr>
            </w:div>
            <w:div w:id="1963728345">
              <w:marLeft w:val="0"/>
              <w:marRight w:val="0"/>
              <w:marTop w:val="0"/>
              <w:marBottom w:val="0"/>
              <w:divBdr>
                <w:top w:val="none" w:sz="0" w:space="0" w:color="auto"/>
                <w:left w:val="none" w:sz="0" w:space="0" w:color="auto"/>
                <w:bottom w:val="none" w:sz="0" w:space="0" w:color="auto"/>
                <w:right w:val="none" w:sz="0" w:space="0" w:color="auto"/>
              </w:divBdr>
            </w:div>
          </w:divsChild>
        </w:div>
        <w:div w:id="1766682686">
          <w:marLeft w:val="0"/>
          <w:marRight w:val="0"/>
          <w:marTop w:val="0"/>
          <w:marBottom w:val="0"/>
          <w:divBdr>
            <w:top w:val="none" w:sz="0" w:space="0" w:color="auto"/>
            <w:left w:val="none" w:sz="0" w:space="0" w:color="auto"/>
            <w:bottom w:val="none" w:sz="0" w:space="0" w:color="auto"/>
            <w:right w:val="none" w:sz="0" w:space="0" w:color="auto"/>
          </w:divBdr>
          <w:divsChild>
            <w:div w:id="1798837512">
              <w:marLeft w:val="-75"/>
              <w:marRight w:val="0"/>
              <w:marTop w:val="30"/>
              <w:marBottom w:val="30"/>
              <w:divBdr>
                <w:top w:val="none" w:sz="0" w:space="0" w:color="auto"/>
                <w:left w:val="none" w:sz="0" w:space="0" w:color="auto"/>
                <w:bottom w:val="none" w:sz="0" w:space="0" w:color="auto"/>
                <w:right w:val="none" w:sz="0" w:space="0" w:color="auto"/>
              </w:divBdr>
              <w:divsChild>
                <w:div w:id="1948152323">
                  <w:marLeft w:val="0"/>
                  <w:marRight w:val="0"/>
                  <w:marTop w:val="0"/>
                  <w:marBottom w:val="0"/>
                  <w:divBdr>
                    <w:top w:val="none" w:sz="0" w:space="0" w:color="auto"/>
                    <w:left w:val="none" w:sz="0" w:space="0" w:color="auto"/>
                    <w:bottom w:val="none" w:sz="0" w:space="0" w:color="auto"/>
                    <w:right w:val="none" w:sz="0" w:space="0" w:color="auto"/>
                  </w:divBdr>
                  <w:divsChild>
                    <w:div w:id="1231421656">
                      <w:marLeft w:val="0"/>
                      <w:marRight w:val="0"/>
                      <w:marTop w:val="0"/>
                      <w:marBottom w:val="0"/>
                      <w:divBdr>
                        <w:top w:val="none" w:sz="0" w:space="0" w:color="auto"/>
                        <w:left w:val="none" w:sz="0" w:space="0" w:color="auto"/>
                        <w:bottom w:val="none" w:sz="0" w:space="0" w:color="auto"/>
                        <w:right w:val="none" w:sz="0" w:space="0" w:color="auto"/>
                      </w:divBdr>
                    </w:div>
                  </w:divsChild>
                </w:div>
                <w:div w:id="393352742">
                  <w:marLeft w:val="0"/>
                  <w:marRight w:val="0"/>
                  <w:marTop w:val="0"/>
                  <w:marBottom w:val="0"/>
                  <w:divBdr>
                    <w:top w:val="none" w:sz="0" w:space="0" w:color="auto"/>
                    <w:left w:val="none" w:sz="0" w:space="0" w:color="auto"/>
                    <w:bottom w:val="none" w:sz="0" w:space="0" w:color="auto"/>
                    <w:right w:val="none" w:sz="0" w:space="0" w:color="auto"/>
                  </w:divBdr>
                  <w:divsChild>
                    <w:div w:id="397166591">
                      <w:marLeft w:val="0"/>
                      <w:marRight w:val="0"/>
                      <w:marTop w:val="0"/>
                      <w:marBottom w:val="0"/>
                      <w:divBdr>
                        <w:top w:val="none" w:sz="0" w:space="0" w:color="auto"/>
                        <w:left w:val="none" w:sz="0" w:space="0" w:color="auto"/>
                        <w:bottom w:val="none" w:sz="0" w:space="0" w:color="auto"/>
                        <w:right w:val="none" w:sz="0" w:space="0" w:color="auto"/>
                      </w:divBdr>
                    </w:div>
                  </w:divsChild>
                </w:div>
                <w:div w:id="1162427111">
                  <w:marLeft w:val="0"/>
                  <w:marRight w:val="0"/>
                  <w:marTop w:val="0"/>
                  <w:marBottom w:val="0"/>
                  <w:divBdr>
                    <w:top w:val="none" w:sz="0" w:space="0" w:color="auto"/>
                    <w:left w:val="none" w:sz="0" w:space="0" w:color="auto"/>
                    <w:bottom w:val="none" w:sz="0" w:space="0" w:color="auto"/>
                    <w:right w:val="none" w:sz="0" w:space="0" w:color="auto"/>
                  </w:divBdr>
                  <w:divsChild>
                    <w:div w:id="961692235">
                      <w:marLeft w:val="0"/>
                      <w:marRight w:val="0"/>
                      <w:marTop w:val="0"/>
                      <w:marBottom w:val="0"/>
                      <w:divBdr>
                        <w:top w:val="none" w:sz="0" w:space="0" w:color="auto"/>
                        <w:left w:val="none" w:sz="0" w:space="0" w:color="auto"/>
                        <w:bottom w:val="none" w:sz="0" w:space="0" w:color="auto"/>
                        <w:right w:val="none" w:sz="0" w:space="0" w:color="auto"/>
                      </w:divBdr>
                    </w:div>
                  </w:divsChild>
                </w:div>
                <w:div w:id="933822620">
                  <w:marLeft w:val="0"/>
                  <w:marRight w:val="0"/>
                  <w:marTop w:val="0"/>
                  <w:marBottom w:val="0"/>
                  <w:divBdr>
                    <w:top w:val="none" w:sz="0" w:space="0" w:color="auto"/>
                    <w:left w:val="none" w:sz="0" w:space="0" w:color="auto"/>
                    <w:bottom w:val="none" w:sz="0" w:space="0" w:color="auto"/>
                    <w:right w:val="none" w:sz="0" w:space="0" w:color="auto"/>
                  </w:divBdr>
                  <w:divsChild>
                    <w:div w:id="1363046005">
                      <w:marLeft w:val="0"/>
                      <w:marRight w:val="0"/>
                      <w:marTop w:val="0"/>
                      <w:marBottom w:val="0"/>
                      <w:divBdr>
                        <w:top w:val="none" w:sz="0" w:space="0" w:color="auto"/>
                        <w:left w:val="none" w:sz="0" w:space="0" w:color="auto"/>
                        <w:bottom w:val="none" w:sz="0" w:space="0" w:color="auto"/>
                        <w:right w:val="none" w:sz="0" w:space="0" w:color="auto"/>
                      </w:divBdr>
                    </w:div>
                  </w:divsChild>
                </w:div>
                <w:div w:id="482936269">
                  <w:marLeft w:val="0"/>
                  <w:marRight w:val="0"/>
                  <w:marTop w:val="0"/>
                  <w:marBottom w:val="0"/>
                  <w:divBdr>
                    <w:top w:val="none" w:sz="0" w:space="0" w:color="auto"/>
                    <w:left w:val="none" w:sz="0" w:space="0" w:color="auto"/>
                    <w:bottom w:val="none" w:sz="0" w:space="0" w:color="auto"/>
                    <w:right w:val="none" w:sz="0" w:space="0" w:color="auto"/>
                  </w:divBdr>
                  <w:divsChild>
                    <w:div w:id="1721977939">
                      <w:marLeft w:val="0"/>
                      <w:marRight w:val="0"/>
                      <w:marTop w:val="0"/>
                      <w:marBottom w:val="0"/>
                      <w:divBdr>
                        <w:top w:val="none" w:sz="0" w:space="0" w:color="auto"/>
                        <w:left w:val="none" w:sz="0" w:space="0" w:color="auto"/>
                        <w:bottom w:val="none" w:sz="0" w:space="0" w:color="auto"/>
                        <w:right w:val="none" w:sz="0" w:space="0" w:color="auto"/>
                      </w:divBdr>
                    </w:div>
                  </w:divsChild>
                </w:div>
                <w:div w:id="833106294">
                  <w:marLeft w:val="0"/>
                  <w:marRight w:val="0"/>
                  <w:marTop w:val="0"/>
                  <w:marBottom w:val="0"/>
                  <w:divBdr>
                    <w:top w:val="none" w:sz="0" w:space="0" w:color="auto"/>
                    <w:left w:val="none" w:sz="0" w:space="0" w:color="auto"/>
                    <w:bottom w:val="none" w:sz="0" w:space="0" w:color="auto"/>
                    <w:right w:val="none" w:sz="0" w:space="0" w:color="auto"/>
                  </w:divBdr>
                  <w:divsChild>
                    <w:div w:id="397020863">
                      <w:marLeft w:val="0"/>
                      <w:marRight w:val="0"/>
                      <w:marTop w:val="0"/>
                      <w:marBottom w:val="0"/>
                      <w:divBdr>
                        <w:top w:val="none" w:sz="0" w:space="0" w:color="auto"/>
                        <w:left w:val="none" w:sz="0" w:space="0" w:color="auto"/>
                        <w:bottom w:val="none" w:sz="0" w:space="0" w:color="auto"/>
                        <w:right w:val="none" w:sz="0" w:space="0" w:color="auto"/>
                      </w:divBdr>
                    </w:div>
                  </w:divsChild>
                </w:div>
                <w:div w:id="977567197">
                  <w:marLeft w:val="0"/>
                  <w:marRight w:val="0"/>
                  <w:marTop w:val="0"/>
                  <w:marBottom w:val="0"/>
                  <w:divBdr>
                    <w:top w:val="none" w:sz="0" w:space="0" w:color="auto"/>
                    <w:left w:val="none" w:sz="0" w:space="0" w:color="auto"/>
                    <w:bottom w:val="none" w:sz="0" w:space="0" w:color="auto"/>
                    <w:right w:val="none" w:sz="0" w:space="0" w:color="auto"/>
                  </w:divBdr>
                  <w:divsChild>
                    <w:div w:id="338894978">
                      <w:marLeft w:val="0"/>
                      <w:marRight w:val="0"/>
                      <w:marTop w:val="0"/>
                      <w:marBottom w:val="0"/>
                      <w:divBdr>
                        <w:top w:val="none" w:sz="0" w:space="0" w:color="auto"/>
                        <w:left w:val="none" w:sz="0" w:space="0" w:color="auto"/>
                        <w:bottom w:val="none" w:sz="0" w:space="0" w:color="auto"/>
                        <w:right w:val="none" w:sz="0" w:space="0" w:color="auto"/>
                      </w:divBdr>
                    </w:div>
                  </w:divsChild>
                </w:div>
                <w:div w:id="1789810294">
                  <w:marLeft w:val="0"/>
                  <w:marRight w:val="0"/>
                  <w:marTop w:val="0"/>
                  <w:marBottom w:val="0"/>
                  <w:divBdr>
                    <w:top w:val="none" w:sz="0" w:space="0" w:color="auto"/>
                    <w:left w:val="none" w:sz="0" w:space="0" w:color="auto"/>
                    <w:bottom w:val="none" w:sz="0" w:space="0" w:color="auto"/>
                    <w:right w:val="none" w:sz="0" w:space="0" w:color="auto"/>
                  </w:divBdr>
                  <w:divsChild>
                    <w:div w:id="689987300">
                      <w:marLeft w:val="0"/>
                      <w:marRight w:val="0"/>
                      <w:marTop w:val="0"/>
                      <w:marBottom w:val="0"/>
                      <w:divBdr>
                        <w:top w:val="none" w:sz="0" w:space="0" w:color="auto"/>
                        <w:left w:val="none" w:sz="0" w:space="0" w:color="auto"/>
                        <w:bottom w:val="none" w:sz="0" w:space="0" w:color="auto"/>
                        <w:right w:val="none" w:sz="0" w:space="0" w:color="auto"/>
                      </w:divBdr>
                    </w:div>
                  </w:divsChild>
                </w:div>
                <w:div w:id="2100324245">
                  <w:marLeft w:val="0"/>
                  <w:marRight w:val="0"/>
                  <w:marTop w:val="0"/>
                  <w:marBottom w:val="0"/>
                  <w:divBdr>
                    <w:top w:val="none" w:sz="0" w:space="0" w:color="auto"/>
                    <w:left w:val="none" w:sz="0" w:space="0" w:color="auto"/>
                    <w:bottom w:val="none" w:sz="0" w:space="0" w:color="auto"/>
                    <w:right w:val="none" w:sz="0" w:space="0" w:color="auto"/>
                  </w:divBdr>
                  <w:divsChild>
                    <w:div w:id="68385840">
                      <w:marLeft w:val="0"/>
                      <w:marRight w:val="0"/>
                      <w:marTop w:val="0"/>
                      <w:marBottom w:val="0"/>
                      <w:divBdr>
                        <w:top w:val="none" w:sz="0" w:space="0" w:color="auto"/>
                        <w:left w:val="none" w:sz="0" w:space="0" w:color="auto"/>
                        <w:bottom w:val="none" w:sz="0" w:space="0" w:color="auto"/>
                        <w:right w:val="none" w:sz="0" w:space="0" w:color="auto"/>
                      </w:divBdr>
                    </w:div>
                  </w:divsChild>
                </w:div>
                <w:div w:id="439763425">
                  <w:marLeft w:val="0"/>
                  <w:marRight w:val="0"/>
                  <w:marTop w:val="0"/>
                  <w:marBottom w:val="0"/>
                  <w:divBdr>
                    <w:top w:val="none" w:sz="0" w:space="0" w:color="auto"/>
                    <w:left w:val="none" w:sz="0" w:space="0" w:color="auto"/>
                    <w:bottom w:val="none" w:sz="0" w:space="0" w:color="auto"/>
                    <w:right w:val="none" w:sz="0" w:space="0" w:color="auto"/>
                  </w:divBdr>
                  <w:divsChild>
                    <w:div w:id="1679386568">
                      <w:marLeft w:val="0"/>
                      <w:marRight w:val="0"/>
                      <w:marTop w:val="0"/>
                      <w:marBottom w:val="0"/>
                      <w:divBdr>
                        <w:top w:val="none" w:sz="0" w:space="0" w:color="auto"/>
                        <w:left w:val="none" w:sz="0" w:space="0" w:color="auto"/>
                        <w:bottom w:val="none" w:sz="0" w:space="0" w:color="auto"/>
                        <w:right w:val="none" w:sz="0" w:space="0" w:color="auto"/>
                      </w:divBdr>
                    </w:div>
                  </w:divsChild>
                </w:div>
                <w:div w:id="1256790329">
                  <w:marLeft w:val="0"/>
                  <w:marRight w:val="0"/>
                  <w:marTop w:val="0"/>
                  <w:marBottom w:val="0"/>
                  <w:divBdr>
                    <w:top w:val="none" w:sz="0" w:space="0" w:color="auto"/>
                    <w:left w:val="none" w:sz="0" w:space="0" w:color="auto"/>
                    <w:bottom w:val="none" w:sz="0" w:space="0" w:color="auto"/>
                    <w:right w:val="none" w:sz="0" w:space="0" w:color="auto"/>
                  </w:divBdr>
                  <w:divsChild>
                    <w:div w:id="2078551172">
                      <w:marLeft w:val="0"/>
                      <w:marRight w:val="0"/>
                      <w:marTop w:val="0"/>
                      <w:marBottom w:val="0"/>
                      <w:divBdr>
                        <w:top w:val="none" w:sz="0" w:space="0" w:color="auto"/>
                        <w:left w:val="none" w:sz="0" w:space="0" w:color="auto"/>
                        <w:bottom w:val="none" w:sz="0" w:space="0" w:color="auto"/>
                        <w:right w:val="none" w:sz="0" w:space="0" w:color="auto"/>
                      </w:divBdr>
                    </w:div>
                  </w:divsChild>
                </w:div>
                <w:div w:id="185288501">
                  <w:marLeft w:val="0"/>
                  <w:marRight w:val="0"/>
                  <w:marTop w:val="0"/>
                  <w:marBottom w:val="0"/>
                  <w:divBdr>
                    <w:top w:val="none" w:sz="0" w:space="0" w:color="auto"/>
                    <w:left w:val="none" w:sz="0" w:space="0" w:color="auto"/>
                    <w:bottom w:val="none" w:sz="0" w:space="0" w:color="auto"/>
                    <w:right w:val="none" w:sz="0" w:space="0" w:color="auto"/>
                  </w:divBdr>
                  <w:divsChild>
                    <w:div w:id="924336706">
                      <w:marLeft w:val="0"/>
                      <w:marRight w:val="0"/>
                      <w:marTop w:val="0"/>
                      <w:marBottom w:val="0"/>
                      <w:divBdr>
                        <w:top w:val="none" w:sz="0" w:space="0" w:color="auto"/>
                        <w:left w:val="none" w:sz="0" w:space="0" w:color="auto"/>
                        <w:bottom w:val="none" w:sz="0" w:space="0" w:color="auto"/>
                        <w:right w:val="none" w:sz="0" w:space="0" w:color="auto"/>
                      </w:divBdr>
                    </w:div>
                  </w:divsChild>
                </w:div>
                <w:div w:id="1025985633">
                  <w:marLeft w:val="0"/>
                  <w:marRight w:val="0"/>
                  <w:marTop w:val="0"/>
                  <w:marBottom w:val="0"/>
                  <w:divBdr>
                    <w:top w:val="none" w:sz="0" w:space="0" w:color="auto"/>
                    <w:left w:val="none" w:sz="0" w:space="0" w:color="auto"/>
                    <w:bottom w:val="none" w:sz="0" w:space="0" w:color="auto"/>
                    <w:right w:val="none" w:sz="0" w:space="0" w:color="auto"/>
                  </w:divBdr>
                  <w:divsChild>
                    <w:div w:id="1786653180">
                      <w:marLeft w:val="0"/>
                      <w:marRight w:val="0"/>
                      <w:marTop w:val="0"/>
                      <w:marBottom w:val="0"/>
                      <w:divBdr>
                        <w:top w:val="none" w:sz="0" w:space="0" w:color="auto"/>
                        <w:left w:val="none" w:sz="0" w:space="0" w:color="auto"/>
                        <w:bottom w:val="none" w:sz="0" w:space="0" w:color="auto"/>
                        <w:right w:val="none" w:sz="0" w:space="0" w:color="auto"/>
                      </w:divBdr>
                    </w:div>
                  </w:divsChild>
                </w:div>
                <w:div w:id="2112509625">
                  <w:marLeft w:val="0"/>
                  <w:marRight w:val="0"/>
                  <w:marTop w:val="0"/>
                  <w:marBottom w:val="0"/>
                  <w:divBdr>
                    <w:top w:val="none" w:sz="0" w:space="0" w:color="auto"/>
                    <w:left w:val="none" w:sz="0" w:space="0" w:color="auto"/>
                    <w:bottom w:val="none" w:sz="0" w:space="0" w:color="auto"/>
                    <w:right w:val="none" w:sz="0" w:space="0" w:color="auto"/>
                  </w:divBdr>
                  <w:divsChild>
                    <w:div w:id="1296328104">
                      <w:marLeft w:val="0"/>
                      <w:marRight w:val="0"/>
                      <w:marTop w:val="0"/>
                      <w:marBottom w:val="0"/>
                      <w:divBdr>
                        <w:top w:val="none" w:sz="0" w:space="0" w:color="auto"/>
                        <w:left w:val="none" w:sz="0" w:space="0" w:color="auto"/>
                        <w:bottom w:val="none" w:sz="0" w:space="0" w:color="auto"/>
                        <w:right w:val="none" w:sz="0" w:space="0" w:color="auto"/>
                      </w:divBdr>
                    </w:div>
                  </w:divsChild>
                </w:div>
                <w:div w:id="1328559050">
                  <w:marLeft w:val="0"/>
                  <w:marRight w:val="0"/>
                  <w:marTop w:val="0"/>
                  <w:marBottom w:val="0"/>
                  <w:divBdr>
                    <w:top w:val="none" w:sz="0" w:space="0" w:color="auto"/>
                    <w:left w:val="none" w:sz="0" w:space="0" w:color="auto"/>
                    <w:bottom w:val="none" w:sz="0" w:space="0" w:color="auto"/>
                    <w:right w:val="none" w:sz="0" w:space="0" w:color="auto"/>
                  </w:divBdr>
                  <w:divsChild>
                    <w:div w:id="372193893">
                      <w:marLeft w:val="0"/>
                      <w:marRight w:val="0"/>
                      <w:marTop w:val="0"/>
                      <w:marBottom w:val="0"/>
                      <w:divBdr>
                        <w:top w:val="none" w:sz="0" w:space="0" w:color="auto"/>
                        <w:left w:val="none" w:sz="0" w:space="0" w:color="auto"/>
                        <w:bottom w:val="none" w:sz="0" w:space="0" w:color="auto"/>
                        <w:right w:val="none" w:sz="0" w:space="0" w:color="auto"/>
                      </w:divBdr>
                    </w:div>
                  </w:divsChild>
                </w:div>
                <w:div w:id="607591222">
                  <w:marLeft w:val="0"/>
                  <w:marRight w:val="0"/>
                  <w:marTop w:val="0"/>
                  <w:marBottom w:val="0"/>
                  <w:divBdr>
                    <w:top w:val="none" w:sz="0" w:space="0" w:color="auto"/>
                    <w:left w:val="none" w:sz="0" w:space="0" w:color="auto"/>
                    <w:bottom w:val="none" w:sz="0" w:space="0" w:color="auto"/>
                    <w:right w:val="none" w:sz="0" w:space="0" w:color="auto"/>
                  </w:divBdr>
                  <w:divsChild>
                    <w:div w:id="1800341719">
                      <w:marLeft w:val="0"/>
                      <w:marRight w:val="0"/>
                      <w:marTop w:val="0"/>
                      <w:marBottom w:val="0"/>
                      <w:divBdr>
                        <w:top w:val="none" w:sz="0" w:space="0" w:color="auto"/>
                        <w:left w:val="none" w:sz="0" w:space="0" w:color="auto"/>
                        <w:bottom w:val="none" w:sz="0" w:space="0" w:color="auto"/>
                        <w:right w:val="none" w:sz="0" w:space="0" w:color="auto"/>
                      </w:divBdr>
                    </w:div>
                  </w:divsChild>
                </w:div>
                <w:div w:id="583536746">
                  <w:marLeft w:val="0"/>
                  <w:marRight w:val="0"/>
                  <w:marTop w:val="0"/>
                  <w:marBottom w:val="0"/>
                  <w:divBdr>
                    <w:top w:val="none" w:sz="0" w:space="0" w:color="auto"/>
                    <w:left w:val="none" w:sz="0" w:space="0" w:color="auto"/>
                    <w:bottom w:val="none" w:sz="0" w:space="0" w:color="auto"/>
                    <w:right w:val="none" w:sz="0" w:space="0" w:color="auto"/>
                  </w:divBdr>
                  <w:divsChild>
                    <w:div w:id="1728609002">
                      <w:marLeft w:val="0"/>
                      <w:marRight w:val="0"/>
                      <w:marTop w:val="0"/>
                      <w:marBottom w:val="0"/>
                      <w:divBdr>
                        <w:top w:val="none" w:sz="0" w:space="0" w:color="auto"/>
                        <w:left w:val="none" w:sz="0" w:space="0" w:color="auto"/>
                        <w:bottom w:val="none" w:sz="0" w:space="0" w:color="auto"/>
                        <w:right w:val="none" w:sz="0" w:space="0" w:color="auto"/>
                      </w:divBdr>
                    </w:div>
                  </w:divsChild>
                </w:div>
                <w:div w:id="1532107100">
                  <w:marLeft w:val="0"/>
                  <w:marRight w:val="0"/>
                  <w:marTop w:val="0"/>
                  <w:marBottom w:val="0"/>
                  <w:divBdr>
                    <w:top w:val="none" w:sz="0" w:space="0" w:color="auto"/>
                    <w:left w:val="none" w:sz="0" w:space="0" w:color="auto"/>
                    <w:bottom w:val="none" w:sz="0" w:space="0" w:color="auto"/>
                    <w:right w:val="none" w:sz="0" w:space="0" w:color="auto"/>
                  </w:divBdr>
                  <w:divsChild>
                    <w:div w:id="959919790">
                      <w:marLeft w:val="0"/>
                      <w:marRight w:val="0"/>
                      <w:marTop w:val="0"/>
                      <w:marBottom w:val="0"/>
                      <w:divBdr>
                        <w:top w:val="none" w:sz="0" w:space="0" w:color="auto"/>
                        <w:left w:val="none" w:sz="0" w:space="0" w:color="auto"/>
                        <w:bottom w:val="none" w:sz="0" w:space="0" w:color="auto"/>
                        <w:right w:val="none" w:sz="0" w:space="0" w:color="auto"/>
                      </w:divBdr>
                    </w:div>
                  </w:divsChild>
                </w:div>
                <w:div w:id="1260794115">
                  <w:marLeft w:val="0"/>
                  <w:marRight w:val="0"/>
                  <w:marTop w:val="0"/>
                  <w:marBottom w:val="0"/>
                  <w:divBdr>
                    <w:top w:val="none" w:sz="0" w:space="0" w:color="auto"/>
                    <w:left w:val="none" w:sz="0" w:space="0" w:color="auto"/>
                    <w:bottom w:val="none" w:sz="0" w:space="0" w:color="auto"/>
                    <w:right w:val="none" w:sz="0" w:space="0" w:color="auto"/>
                  </w:divBdr>
                  <w:divsChild>
                    <w:div w:id="1772704339">
                      <w:marLeft w:val="0"/>
                      <w:marRight w:val="0"/>
                      <w:marTop w:val="0"/>
                      <w:marBottom w:val="0"/>
                      <w:divBdr>
                        <w:top w:val="none" w:sz="0" w:space="0" w:color="auto"/>
                        <w:left w:val="none" w:sz="0" w:space="0" w:color="auto"/>
                        <w:bottom w:val="none" w:sz="0" w:space="0" w:color="auto"/>
                        <w:right w:val="none" w:sz="0" w:space="0" w:color="auto"/>
                      </w:divBdr>
                    </w:div>
                  </w:divsChild>
                </w:div>
                <w:div w:id="860827114">
                  <w:marLeft w:val="0"/>
                  <w:marRight w:val="0"/>
                  <w:marTop w:val="0"/>
                  <w:marBottom w:val="0"/>
                  <w:divBdr>
                    <w:top w:val="none" w:sz="0" w:space="0" w:color="auto"/>
                    <w:left w:val="none" w:sz="0" w:space="0" w:color="auto"/>
                    <w:bottom w:val="none" w:sz="0" w:space="0" w:color="auto"/>
                    <w:right w:val="none" w:sz="0" w:space="0" w:color="auto"/>
                  </w:divBdr>
                  <w:divsChild>
                    <w:div w:id="1225407700">
                      <w:marLeft w:val="0"/>
                      <w:marRight w:val="0"/>
                      <w:marTop w:val="0"/>
                      <w:marBottom w:val="0"/>
                      <w:divBdr>
                        <w:top w:val="none" w:sz="0" w:space="0" w:color="auto"/>
                        <w:left w:val="none" w:sz="0" w:space="0" w:color="auto"/>
                        <w:bottom w:val="none" w:sz="0" w:space="0" w:color="auto"/>
                        <w:right w:val="none" w:sz="0" w:space="0" w:color="auto"/>
                      </w:divBdr>
                    </w:div>
                  </w:divsChild>
                </w:div>
                <w:div w:id="116414211">
                  <w:marLeft w:val="0"/>
                  <w:marRight w:val="0"/>
                  <w:marTop w:val="0"/>
                  <w:marBottom w:val="0"/>
                  <w:divBdr>
                    <w:top w:val="none" w:sz="0" w:space="0" w:color="auto"/>
                    <w:left w:val="none" w:sz="0" w:space="0" w:color="auto"/>
                    <w:bottom w:val="none" w:sz="0" w:space="0" w:color="auto"/>
                    <w:right w:val="none" w:sz="0" w:space="0" w:color="auto"/>
                  </w:divBdr>
                  <w:divsChild>
                    <w:div w:id="1975326028">
                      <w:marLeft w:val="0"/>
                      <w:marRight w:val="0"/>
                      <w:marTop w:val="0"/>
                      <w:marBottom w:val="0"/>
                      <w:divBdr>
                        <w:top w:val="none" w:sz="0" w:space="0" w:color="auto"/>
                        <w:left w:val="none" w:sz="0" w:space="0" w:color="auto"/>
                        <w:bottom w:val="none" w:sz="0" w:space="0" w:color="auto"/>
                        <w:right w:val="none" w:sz="0" w:space="0" w:color="auto"/>
                      </w:divBdr>
                    </w:div>
                  </w:divsChild>
                </w:div>
                <w:div w:id="311910181">
                  <w:marLeft w:val="0"/>
                  <w:marRight w:val="0"/>
                  <w:marTop w:val="0"/>
                  <w:marBottom w:val="0"/>
                  <w:divBdr>
                    <w:top w:val="none" w:sz="0" w:space="0" w:color="auto"/>
                    <w:left w:val="none" w:sz="0" w:space="0" w:color="auto"/>
                    <w:bottom w:val="none" w:sz="0" w:space="0" w:color="auto"/>
                    <w:right w:val="none" w:sz="0" w:space="0" w:color="auto"/>
                  </w:divBdr>
                  <w:divsChild>
                    <w:div w:id="794836279">
                      <w:marLeft w:val="0"/>
                      <w:marRight w:val="0"/>
                      <w:marTop w:val="0"/>
                      <w:marBottom w:val="0"/>
                      <w:divBdr>
                        <w:top w:val="none" w:sz="0" w:space="0" w:color="auto"/>
                        <w:left w:val="none" w:sz="0" w:space="0" w:color="auto"/>
                        <w:bottom w:val="none" w:sz="0" w:space="0" w:color="auto"/>
                        <w:right w:val="none" w:sz="0" w:space="0" w:color="auto"/>
                      </w:divBdr>
                    </w:div>
                  </w:divsChild>
                </w:div>
                <w:div w:id="1921214164">
                  <w:marLeft w:val="0"/>
                  <w:marRight w:val="0"/>
                  <w:marTop w:val="0"/>
                  <w:marBottom w:val="0"/>
                  <w:divBdr>
                    <w:top w:val="none" w:sz="0" w:space="0" w:color="auto"/>
                    <w:left w:val="none" w:sz="0" w:space="0" w:color="auto"/>
                    <w:bottom w:val="none" w:sz="0" w:space="0" w:color="auto"/>
                    <w:right w:val="none" w:sz="0" w:space="0" w:color="auto"/>
                  </w:divBdr>
                  <w:divsChild>
                    <w:div w:id="846208569">
                      <w:marLeft w:val="0"/>
                      <w:marRight w:val="0"/>
                      <w:marTop w:val="0"/>
                      <w:marBottom w:val="0"/>
                      <w:divBdr>
                        <w:top w:val="none" w:sz="0" w:space="0" w:color="auto"/>
                        <w:left w:val="none" w:sz="0" w:space="0" w:color="auto"/>
                        <w:bottom w:val="none" w:sz="0" w:space="0" w:color="auto"/>
                        <w:right w:val="none" w:sz="0" w:space="0" w:color="auto"/>
                      </w:divBdr>
                    </w:div>
                  </w:divsChild>
                </w:div>
                <w:div w:id="43412952">
                  <w:marLeft w:val="0"/>
                  <w:marRight w:val="0"/>
                  <w:marTop w:val="0"/>
                  <w:marBottom w:val="0"/>
                  <w:divBdr>
                    <w:top w:val="none" w:sz="0" w:space="0" w:color="auto"/>
                    <w:left w:val="none" w:sz="0" w:space="0" w:color="auto"/>
                    <w:bottom w:val="none" w:sz="0" w:space="0" w:color="auto"/>
                    <w:right w:val="none" w:sz="0" w:space="0" w:color="auto"/>
                  </w:divBdr>
                  <w:divsChild>
                    <w:div w:id="74131535">
                      <w:marLeft w:val="0"/>
                      <w:marRight w:val="0"/>
                      <w:marTop w:val="0"/>
                      <w:marBottom w:val="0"/>
                      <w:divBdr>
                        <w:top w:val="none" w:sz="0" w:space="0" w:color="auto"/>
                        <w:left w:val="none" w:sz="0" w:space="0" w:color="auto"/>
                        <w:bottom w:val="none" w:sz="0" w:space="0" w:color="auto"/>
                        <w:right w:val="none" w:sz="0" w:space="0" w:color="auto"/>
                      </w:divBdr>
                    </w:div>
                  </w:divsChild>
                </w:div>
                <w:div w:id="204030310">
                  <w:marLeft w:val="0"/>
                  <w:marRight w:val="0"/>
                  <w:marTop w:val="0"/>
                  <w:marBottom w:val="0"/>
                  <w:divBdr>
                    <w:top w:val="none" w:sz="0" w:space="0" w:color="auto"/>
                    <w:left w:val="none" w:sz="0" w:space="0" w:color="auto"/>
                    <w:bottom w:val="none" w:sz="0" w:space="0" w:color="auto"/>
                    <w:right w:val="none" w:sz="0" w:space="0" w:color="auto"/>
                  </w:divBdr>
                  <w:divsChild>
                    <w:div w:id="502623093">
                      <w:marLeft w:val="0"/>
                      <w:marRight w:val="0"/>
                      <w:marTop w:val="0"/>
                      <w:marBottom w:val="0"/>
                      <w:divBdr>
                        <w:top w:val="none" w:sz="0" w:space="0" w:color="auto"/>
                        <w:left w:val="none" w:sz="0" w:space="0" w:color="auto"/>
                        <w:bottom w:val="none" w:sz="0" w:space="0" w:color="auto"/>
                        <w:right w:val="none" w:sz="0" w:space="0" w:color="auto"/>
                      </w:divBdr>
                    </w:div>
                  </w:divsChild>
                </w:div>
                <w:div w:id="230770587">
                  <w:marLeft w:val="0"/>
                  <w:marRight w:val="0"/>
                  <w:marTop w:val="0"/>
                  <w:marBottom w:val="0"/>
                  <w:divBdr>
                    <w:top w:val="none" w:sz="0" w:space="0" w:color="auto"/>
                    <w:left w:val="none" w:sz="0" w:space="0" w:color="auto"/>
                    <w:bottom w:val="none" w:sz="0" w:space="0" w:color="auto"/>
                    <w:right w:val="none" w:sz="0" w:space="0" w:color="auto"/>
                  </w:divBdr>
                  <w:divsChild>
                    <w:div w:id="1895892923">
                      <w:marLeft w:val="0"/>
                      <w:marRight w:val="0"/>
                      <w:marTop w:val="0"/>
                      <w:marBottom w:val="0"/>
                      <w:divBdr>
                        <w:top w:val="none" w:sz="0" w:space="0" w:color="auto"/>
                        <w:left w:val="none" w:sz="0" w:space="0" w:color="auto"/>
                        <w:bottom w:val="none" w:sz="0" w:space="0" w:color="auto"/>
                        <w:right w:val="none" w:sz="0" w:space="0" w:color="auto"/>
                      </w:divBdr>
                    </w:div>
                  </w:divsChild>
                </w:div>
                <w:div w:id="521238778">
                  <w:marLeft w:val="0"/>
                  <w:marRight w:val="0"/>
                  <w:marTop w:val="0"/>
                  <w:marBottom w:val="0"/>
                  <w:divBdr>
                    <w:top w:val="none" w:sz="0" w:space="0" w:color="auto"/>
                    <w:left w:val="none" w:sz="0" w:space="0" w:color="auto"/>
                    <w:bottom w:val="none" w:sz="0" w:space="0" w:color="auto"/>
                    <w:right w:val="none" w:sz="0" w:space="0" w:color="auto"/>
                  </w:divBdr>
                  <w:divsChild>
                    <w:div w:id="546644148">
                      <w:marLeft w:val="0"/>
                      <w:marRight w:val="0"/>
                      <w:marTop w:val="0"/>
                      <w:marBottom w:val="0"/>
                      <w:divBdr>
                        <w:top w:val="none" w:sz="0" w:space="0" w:color="auto"/>
                        <w:left w:val="none" w:sz="0" w:space="0" w:color="auto"/>
                        <w:bottom w:val="none" w:sz="0" w:space="0" w:color="auto"/>
                        <w:right w:val="none" w:sz="0" w:space="0" w:color="auto"/>
                      </w:divBdr>
                    </w:div>
                  </w:divsChild>
                </w:div>
                <w:div w:id="936519162">
                  <w:marLeft w:val="0"/>
                  <w:marRight w:val="0"/>
                  <w:marTop w:val="0"/>
                  <w:marBottom w:val="0"/>
                  <w:divBdr>
                    <w:top w:val="none" w:sz="0" w:space="0" w:color="auto"/>
                    <w:left w:val="none" w:sz="0" w:space="0" w:color="auto"/>
                    <w:bottom w:val="none" w:sz="0" w:space="0" w:color="auto"/>
                    <w:right w:val="none" w:sz="0" w:space="0" w:color="auto"/>
                  </w:divBdr>
                  <w:divsChild>
                    <w:div w:id="924846415">
                      <w:marLeft w:val="0"/>
                      <w:marRight w:val="0"/>
                      <w:marTop w:val="0"/>
                      <w:marBottom w:val="0"/>
                      <w:divBdr>
                        <w:top w:val="none" w:sz="0" w:space="0" w:color="auto"/>
                        <w:left w:val="none" w:sz="0" w:space="0" w:color="auto"/>
                        <w:bottom w:val="none" w:sz="0" w:space="0" w:color="auto"/>
                        <w:right w:val="none" w:sz="0" w:space="0" w:color="auto"/>
                      </w:divBdr>
                    </w:div>
                  </w:divsChild>
                </w:div>
                <w:div w:id="132187356">
                  <w:marLeft w:val="0"/>
                  <w:marRight w:val="0"/>
                  <w:marTop w:val="0"/>
                  <w:marBottom w:val="0"/>
                  <w:divBdr>
                    <w:top w:val="none" w:sz="0" w:space="0" w:color="auto"/>
                    <w:left w:val="none" w:sz="0" w:space="0" w:color="auto"/>
                    <w:bottom w:val="none" w:sz="0" w:space="0" w:color="auto"/>
                    <w:right w:val="none" w:sz="0" w:space="0" w:color="auto"/>
                  </w:divBdr>
                  <w:divsChild>
                    <w:div w:id="210120561">
                      <w:marLeft w:val="0"/>
                      <w:marRight w:val="0"/>
                      <w:marTop w:val="0"/>
                      <w:marBottom w:val="0"/>
                      <w:divBdr>
                        <w:top w:val="none" w:sz="0" w:space="0" w:color="auto"/>
                        <w:left w:val="none" w:sz="0" w:space="0" w:color="auto"/>
                        <w:bottom w:val="none" w:sz="0" w:space="0" w:color="auto"/>
                        <w:right w:val="none" w:sz="0" w:space="0" w:color="auto"/>
                      </w:divBdr>
                    </w:div>
                  </w:divsChild>
                </w:div>
                <w:div w:id="1021930504">
                  <w:marLeft w:val="0"/>
                  <w:marRight w:val="0"/>
                  <w:marTop w:val="0"/>
                  <w:marBottom w:val="0"/>
                  <w:divBdr>
                    <w:top w:val="none" w:sz="0" w:space="0" w:color="auto"/>
                    <w:left w:val="none" w:sz="0" w:space="0" w:color="auto"/>
                    <w:bottom w:val="none" w:sz="0" w:space="0" w:color="auto"/>
                    <w:right w:val="none" w:sz="0" w:space="0" w:color="auto"/>
                  </w:divBdr>
                  <w:divsChild>
                    <w:div w:id="1822042640">
                      <w:marLeft w:val="0"/>
                      <w:marRight w:val="0"/>
                      <w:marTop w:val="0"/>
                      <w:marBottom w:val="0"/>
                      <w:divBdr>
                        <w:top w:val="none" w:sz="0" w:space="0" w:color="auto"/>
                        <w:left w:val="none" w:sz="0" w:space="0" w:color="auto"/>
                        <w:bottom w:val="none" w:sz="0" w:space="0" w:color="auto"/>
                        <w:right w:val="none" w:sz="0" w:space="0" w:color="auto"/>
                      </w:divBdr>
                    </w:div>
                  </w:divsChild>
                </w:div>
                <w:div w:id="457529870">
                  <w:marLeft w:val="0"/>
                  <w:marRight w:val="0"/>
                  <w:marTop w:val="0"/>
                  <w:marBottom w:val="0"/>
                  <w:divBdr>
                    <w:top w:val="none" w:sz="0" w:space="0" w:color="auto"/>
                    <w:left w:val="none" w:sz="0" w:space="0" w:color="auto"/>
                    <w:bottom w:val="none" w:sz="0" w:space="0" w:color="auto"/>
                    <w:right w:val="none" w:sz="0" w:space="0" w:color="auto"/>
                  </w:divBdr>
                  <w:divsChild>
                    <w:div w:id="388961185">
                      <w:marLeft w:val="0"/>
                      <w:marRight w:val="0"/>
                      <w:marTop w:val="0"/>
                      <w:marBottom w:val="0"/>
                      <w:divBdr>
                        <w:top w:val="none" w:sz="0" w:space="0" w:color="auto"/>
                        <w:left w:val="none" w:sz="0" w:space="0" w:color="auto"/>
                        <w:bottom w:val="none" w:sz="0" w:space="0" w:color="auto"/>
                        <w:right w:val="none" w:sz="0" w:space="0" w:color="auto"/>
                      </w:divBdr>
                    </w:div>
                  </w:divsChild>
                </w:div>
                <w:div w:id="2095710974">
                  <w:marLeft w:val="0"/>
                  <w:marRight w:val="0"/>
                  <w:marTop w:val="0"/>
                  <w:marBottom w:val="0"/>
                  <w:divBdr>
                    <w:top w:val="none" w:sz="0" w:space="0" w:color="auto"/>
                    <w:left w:val="none" w:sz="0" w:space="0" w:color="auto"/>
                    <w:bottom w:val="none" w:sz="0" w:space="0" w:color="auto"/>
                    <w:right w:val="none" w:sz="0" w:space="0" w:color="auto"/>
                  </w:divBdr>
                  <w:divsChild>
                    <w:div w:id="1676958356">
                      <w:marLeft w:val="0"/>
                      <w:marRight w:val="0"/>
                      <w:marTop w:val="0"/>
                      <w:marBottom w:val="0"/>
                      <w:divBdr>
                        <w:top w:val="none" w:sz="0" w:space="0" w:color="auto"/>
                        <w:left w:val="none" w:sz="0" w:space="0" w:color="auto"/>
                        <w:bottom w:val="none" w:sz="0" w:space="0" w:color="auto"/>
                        <w:right w:val="none" w:sz="0" w:space="0" w:color="auto"/>
                      </w:divBdr>
                    </w:div>
                  </w:divsChild>
                </w:div>
                <w:div w:id="364525520">
                  <w:marLeft w:val="0"/>
                  <w:marRight w:val="0"/>
                  <w:marTop w:val="0"/>
                  <w:marBottom w:val="0"/>
                  <w:divBdr>
                    <w:top w:val="none" w:sz="0" w:space="0" w:color="auto"/>
                    <w:left w:val="none" w:sz="0" w:space="0" w:color="auto"/>
                    <w:bottom w:val="none" w:sz="0" w:space="0" w:color="auto"/>
                    <w:right w:val="none" w:sz="0" w:space="0" w:color="auto"/>
                  </w:divBdr>
                  <w:divsChild>
                    <w:div w:id="1221790961">
                      <w:marLeft w:val="0"/>
                      <w:marRight w:val="0"/>
                      <w:marTop w:val="0"/>
                      <w:marBottom w:val="0"/>
                      <w:divBdr>
                        <w:top w:val="none" w:sz="0" w:space="0" w:color="auto"/>
                        <w:left w:val="none" w:sz="0" w:space="0" w:color="auto"/>
                        <w:bottom w:val="none" w:sz="0" w:space="0" w:color="auto"/>
                        <w:right w:val="none" w:sz="0" w:space="0" w:color="auto"/>
                      </w:divBdr>
                    </w:div>
                  </w:divsChild>
                </w:div>
                <w:div w:id="1411462337">
                  <w:marLeft w:val="0"/>
                  <w:marRight w:val="0"/>
                  <w:marTop w:val="0"/>
                  <w:marBottom w:val="0"/>
                  <w:divBdr>
                    <w:top w:val="none" w:sz="0" w:space="0" w:color="auto"/>
                    <w:left w:val="none" w:sz="0" w:space="0" w:color="auto"/>
                    <w:bottom w:val="none" w:sz="0" w:space="0" w:color="auto"/>
                    <w:right w:val="none" w:sz="0" w:space="0" w:color="auto"/>
                  </w:divBdr>
                  <w:divsChild>
                    <w:div w:id="1186286179">
                      <w:marLeft w:val="0"/>
                      <w:marRight w:val="0"/>
                      <w:marTop w:val="0"/>
                      <w:marBottom w:val="0"/>
                      <w:divBdr>
                        <w:top w:val="none" w:sz="0" w:space="0" w:color="auto"/>
                        <w:left w:val="none" w:sz="0" w:space="0" w:color="auto"/>
                        <w:bottom w:val="none" w:sz="0" w:space="0" w:color="auto"/>
                        <w:right w:val="none" w:sz="0" w:space="0" w:color="auto"/>
                      </w:divBdr>
                    </w:div>
                  </w:divsChild>
                </w:div>
                <w:div w:id="1672413715">
                  <w:marLeft w:val="0"/>
                  <w:marRight w:val="0"/>
                  <w:marTop w:val="0"/>
                  <w:marBottom w:val="0"/>
                  <w:divBdr>
                    <w:top w:val="none" w:sz="0" w:space="0" w:color="auto"/>
                    <w:left w:val="none" w:sz="0" w:space="0" w:color="auto"/>
                    <w:bottom w:val="none" w:sz="0" w:space="0" w:color="auto"/>
                    <w:right w:val="none" w:sz="0" w:space="0" w:color="auto"/>
                  </w:divBdr>
                  <w:divsChild>
                    <w:div w:id="1458333355">
                      <w:marLeft w:val="0"/>
                      <w:marRight w:val="0"/>
                      <w:marTop w:val="0"/>
                      <w:marBottom w:val="0"/>
                      <w:divBdr>
                        <w:top w:val="none" w:sz="0" w:space="0" w:color="auto"/>
                        <w:left w:val="none" w:sz="0" w:space="0" w:color="auto"/>
                        <w:bottom w:val="none" w:sz="0" w:space="0" w:color="auto"/>
                        <w:right w:val="none" w:sz="0" w:space="0" w:color="auto"/>
                      </w:divBdr>
                    </w:div>
                  </w:divsChild>
                </w:div>
                <w:div w:id="1609697792">
                  <w:marLeft w:val="0"/>
                  <w:marRight w:val="0"/>
                  <w:marTop w:val="0"/>
                  <w:marBottom w:val="0"/>
                  <w:divBdr>
                    <w:top w:val="none" w:sz="0" w:space="0" w:color="auto"/>
                    <w:left w:val="none" w:sz="0" w:space="0" w:color="auto"/>
                    <w:bottom w:val="none" w:sz="0" w:space="0" w:color="auto"/>
                    <w:right w:val="none" w:sz="0" w:space="0" w:color="auto"/>
                  </w:divBdr>
                  <w:divsChild>
                    <w:div w:id="583027906">
                      <w:marLeft w:val="0"/>
                      <w:marRight w:val="0"/>
                      <w:marTop w:val="0"/>
                      <w:marBottom w:val="0"/>
                      <w:divBdr>
                        <w:top w:val="none" w:sz="0" w:space="0" w:color="auto"/>
                        <w:left w:val="none" w:sz="0" w:space="0" w:color="auto"/>
                        <w:bottom w:val="none" w:sz="0" w:space="0" w:color="auto"/>
                        <w:right w:val="none" w:sz="0" w:space="0" w:color="auto"/>
                      </w:divBdr>
                    </w:div>
                  </w:divsChild>
                </w:div>
                <w:div w:id="580258382">
                  <w:marLeft w:val="0"/>
                  <w:marRight w:val="0"/>
                  <w:marTop w:val="0"/>
                  <w:marBottom w:val="0"/>
                  <w:divBdr>
                    <w:top w:val="none" w:sz="0" w:space="0" w:color="auto"/>
                    <w:left w:val="none" w:sz="0" w:space="0" w:color="auto"/>
                    <w:bottom w:val="none" w:sz="0" w:space="0" w:color="auto"/>
                    <w:right w:val="none" w:sz="0" w:space="0" w:color="auto"/>
                  </w:divBdr>
                  <w:divsChild>
                    <w:div w:id="589582623">
                      <w:marLeft w:val="0"/>
                      <w:marRight w:val="0"/>
                      <w:marTop w:val="0"/>
                      <w:marBottom w:val="0"/>
                      <w:divBdr>
                        <w:top w:val="none" w:sz="0" w:space="0" w:color="auto"/>
                        <w:left w:val="none" w:sz="0" w:space="0" w:color="auto"/>
                        <w:bottom w:val="none" w:sz="0" w:space="0" w:color="auto"/>
                        <w:right w:val="none" w:sz="0" w:space="0" w:color="auto"/>
                      </w:divBdr>
                    </w:div>
                  </w:divsChild>
                </w:div>
                <w:div w:id="47152692">
                  <w:marLeft w:val="0"/>
                  <w:marRight w:val="0"/>
                  <w:marTop w:val="0"/>
                  <w:marBottom w:val="0"/>
                  <w:divBdr>
                    <w:top w:val="none" w:sz="0" w:space="0" w:color="auto"/>
                    <w:left w:val="none" w:sz="0" w:space="0" w:color="auto"/>
                    <w:bottom w:val="none" w:sz="0" w:space="0" w:color="auto"/>
                    <w:right w:val="none" w:sz="0" w:space="0" w:color="auto"/>
                  </w:divBdr>
                  <w:divsChild>
                    <w:div w:id="1508247319">
                      <w:marLeft w:val="0"/>
                      <w:marRight w:val="0"/>
                      <w:marTop w:val="0"/>
                      <w:marBottom w:val="0"/>
                      <w:divBdr>
                        <w:top w:val="none" w:sz="0" w:space="0" w:color="auto"/>
                        <w:left w:val="none" w:sz="0" w:space="0" w:color="auto"/>
                        <w:bottom w:val="none" w:sz="0" w:space="0" w:color="auto"/>
                        <w:right w:val="none" w:sz="0" w:space="0" w:color="auto"/>
                      </w:divBdr>
                    </w:div>
                  </w:divsChild>
                </w:div>
                <w:div w:id="1256204048">
                  <w:marLeft w:val="0"/>
                  <w:marRight w:val="0"/>
                  <w:marTop w:val="0"/>
                  <w:marBottom w:val="0"/>
                  <w:divBdr>
                    <w:top w:val="none" w:sz="0" w:space="0" w:color="auto"/>
                    <w:left w:val="none" w:sz="0" w:space="0" w:color="auto"/>
                    <w:bottom w:val="none" w:sz="0" w:space="0" w:color="auto"/>
                    <w:right w:val="none" w:sz="0" w:space="0" w:color="auto"/>
                  </w:divBdr>
                  <w:divsChild>
                    <w:div w:id="752243813">
                      <w:marLeft w:val="0"/>
                      <w:marRight w:val="0"/>
                      <w:marTop w:val="0"/>
                      <w:marBottom w:val="0"/>
                      <w:divBdr>
                        <w:top w:val="none" w:sz="0" w:space="0" w:color="auto"/>
                        <w:left w:val="none" w:sz="0" w:space="0" w:color="auto"/>
                        <w:bottom w:val="none" w:sz="0" w:space="0" w:color="auto"/>
                        <w:right w:val="none" w:sz="0" w:space="0" w:color="auto"/>
                      </w:divBdr>
                    </w:div>
                  </w:divsChild>
                </w:div>
                <w:div w:id="132021132">
                  <w:marLeft w:val="0"/>
                  <w:marRight w:val="0"/>
                  <w:marTop w:val="0"/>
                  <w:marBottom w:val="0"/>
                  <w:divBdr>
                    <w:top w:val="none" w:sz="0" w:space="0" w:color="auto"/>
                    <w:left w:val="none" w:sz="0" w:space="0" w:color="auto"/>
                    <w:bottom w:val="none" w:sz="0" w:space="0" w:color="auto"/>
                    <w:right w:val="none" w:sz="0" w:space="0" w:color="auto"/>
                  </w:divBdr>
                  <w:divsChild>
                    <w:div w:id="576522447">
                      <w:marLeft w:val="0"/>
                      <w:marRight w:val="0"/>
                      <w:marTop w:val="0"/>
                      <w:marBottom w:val="0"/>
                      <w:divBdr>
                        <w:top w:val="none" w:sz="0" w:space="0" w:color="auto"/>
                        <w:left w:val="none" w:sz="0" w:space="0" w:color="auto"/>
                        <w:bottom w:val="none" w:sz="0" w:space="0" w:color="auto"/>
                        <w:right w:val="none" w:sz="0" w:space="0" w:color="auto"/>
                      </w:divBdr>
                    </w:div>
                  </w:divsChild>
                </w:div>
                <w:div w:id="622883079">
                  <w:marLeft w:val="0"/>
                  <w:marRight w:val="0"/>
                  <w:marTop w:val="0"/>
                  <w:marBottom w:val="0"/>
                  <w:divBdr>
                    <w:top w:val="none" w:sz="0" w:space="0" w:color="auto"/>
                    <w:left w:val="none" w:sz="0" w:space="0" w:color="auto"/>
                    <w:bottom w:val="none" w:sz="0" w:space="0" w:color="auto"/>
                    <w:right w:val="none" w:sz="0" w:space="0" w:color="auto"/>
                  </w:divBdr>
                  <w:divsChild>
                    <w:div w:id="1238057593">
                      <w:marLeft w:val="0"/>
                      <w:marRight w:val="0"/>
                      <w:marTop w:val="0"/>
                      <w:marBottom w:val="0"/>
                      <w:divBdr>
                        <w:top w:val="none" w:sz="0" w:space="0" w:color="auto"/>
                        <w:left w:val="none" w:sz="0" w:space="0" w:color="auto"/>
                        <w:bottom w:val="none" w:sz="0" w:space="0" w:color="auto"/>
                        <w:right w:val="none" w:sz="0" w:space="0" w:color="auto"/>
                      </w:divBdr>
                    </w:div>
                  </w:divsChild>
                </w:div>
                <w:div w:id="1705062190">
                  <w:marLeft w:val="0"/>
                  <w:marRight w:val="0"/>
                  <w:marTop w:val="0"/>
                  <w:marBottom w:val="0"/>
                  <w:divBdr>
                    <w:top w:val="none" w:sz="0" w:space="0" w:color="auto"/>
                    <w:left w:val="none" w:sz="0" w:space="0" w:color="auto"/>
                    <w:bottom w:val="none" w:sz="0" w:space="0" w:color="auto"/>
                    <w:right w:val="none" w:sz="0" w:space="0" w:color="auto"/>
                  </w:divBdr>
                  <w:divsChild>
                    <w:div w:id="1335263163">
                      <w:marLeft w:val="0"/>
                      <w:marRight w:val="0"/>
                      <w:marTop w:val="0"/>
                      <w:marBottom w:val="0"/>
                      <w:divBdr>
                        <w:top w:val="none" w:sz="0" w:space="0" w:color="auto"/>
                        <w:left w:val="none" w:sz="0" w:space="0" w:color="auto"/>
                        <w:bottom w:val="none" w:sz="0" w:space="0" w:color="auto"/>
                        <w:right w:val="none" w:sz="0" w:space="0" w:color="auto"/>
                      </w:divBdr>
                    </w:div>
                  </w:divsChild>
                </w:div>
                <w:div w:id="432288298">
                  <w:marLeft w:val="0"/>
                  <w:marRight w:val="0"/>
                  <w:marTop w:val="0"/>
                  <w:marBottom w:val="0"/>
                  <w:divBdr>
                    <w:top w:val="none" w:sz="0" w:space="0" w:color="auto"/>
                    <w:left w:val="none" w:sz="0" w:space="0" w:color="auto"/>
                    <w:bottom w:val="none" w:sz="0" w:space="0" w:color="auto"/>
                    <w:right w:val="none" w:sz="0" w:space="0" w:color="auto"/>
                  </w:divBdr>
                  <w:divsChild>
                    <w:div w:id="149101991">
                      <w:marLeft w:val="0"/>
                      <w:marRight w:val="0"/>
                      <w:marTop w:val="0"/>
                      <w:marBottom w:val="0"/>
                      <w:divBdr>
                        <w:top w:val="none" w:sz="0" w:space="0" w:color="auto"/>
                        <w:left w:val="none" w:sz="0" w:space="0" w:color="auto"/>
                        <w:bottom w:val="none" w:sz="0" w:space="0" w:color="auto"/>
                        <w:right w:val="none" w:sz="0" w:space="0" w:color="auto"/>
                      </w:divBdr>
                    </w:div>
                  </w:divsChild>
                </w:div>
                <w:div w:id="92286622">
                  <w:marLeft w:val="0"/>
                  <w:marRight w:val="0"/>
                  <w:marTop w:val="0"/>
                  <w:marBottom w:val="0"/>
                  <w:divBdr>
                    <w:top w:val="none" w:sz="0" w:space="0" w:color="auto"/>
                    <w:left w:val="none" w:sz="0" w:space="0" w:color="auto"/>
                    <w:bottom w:val="none" w:sz="0" w:space="0" w:color="auto"/>
                    <w:right w:val="none" w:sz="0" w:space="0" w:color="auto"/>
                  </w:divBdr>
                  <w:divsChild>
                    <w:div w:id="426075470">
                      <w:marLeft w:val="0"/>
                      <w:marRight w:val="0"/>
                      <w:marTop w:val="0"/>
                      <w:marBottom w:val="0"/>
                      <w:divBdr>
                        <w:top w:val="none" w:sz="0" w:space="0" w:color="auto"/>
                        <w:left w:val="none" w:sz="0" w:space="0" w:color="auto"/>
                        <w:bottom w:val="none" w:sz="0" w:space="0" w:color="auto"/>
                        <w:right w:val="none" w:sz="0" w:space="0" w:color="auto"/>
                      </w:divBdr>
                    </w:div>
                  </w:divsChild>
                </w:div>
                <w:div w:id="1926764489">
                  <w:marLeft w:val="0"/>
                  <w:marRight w:val="0"/>
                  <w:marTop w:val="0"/>
                  <w:marBottom w:val="0"/>
                  <w:divBdr>
                    <w:top w:val="none" w:sz="0" w:space="0" w:color="auto"/>
                    <w:left w:val="none" w:sz="0" w:space="0" w:color="auto"/>
                    <w:bottom w:val="none" w:sz="0" w:space="0" w:color="auto"/>
                    <w:right w:val="none" w:sz="0" w:space="0" w:color="auto"/>
                  </w:divBdr>
                  <w:divsChild>
                    <w:div w:id="2017149512">
                      <w:marLeft w:val="0"/>
                      <w:marRight w:val="0"/>
                      <w:marTop w:val="0"/>
                      <w:marBottom w:val="0"/>
                      <w:divBdr>
                        <w:top w:val="none" w:sz="0" w:space="0" w:color="auto"/>
                        <w:left w:val="none" w:sz="0" w:space="0" w:color="auto"/>
                        <w:bottom w:val="none" w:sz="0" w:space="0" w:color="auto"/>
                        <w:right w:val="none" w:sz="0" w:space="0" w:color="auto"/>
                      </w:divBdr>
                    </w:div>
                  </w:divsChild>
                </w:div>
                <w:div w:id="1253733703">
                  <w:marLeft w:val="0"/>
                  <w:marRight w:val="0"/>
                  <w:marTop w:val="0"/>
                  <w:marBottom w:val="0"/>
                  <w:divBdr>
                    <w:top w:val="none" w:sz="0" w:space="0" w:color="auto"/>
                    <w:left w:val="none" w:sz="0" w:space="0" w:color="auto"/>
                    <w:bottom w:val="none" w:sz="0" w:space="0" w:color="auto"/>
                    <w:right w:val="none" w:sz="0" w:space="0" w:color="auto"/>
                  </w:divBdr>
                  <w:divsChild>
                    <w:div w:id="310332250">
                      <w:marLeft w:val="0"/>
                      <w:marRight w:val="0"/>
                      <w:marTop w:val="0"/>
                      <w:marBottom w:val="0"/>
                      <w:divBdr>
                        <w:top w:val="none" w:sz="0" w:space="0" w:color="auto"/>
                        <w:left w:val="none" w:sz="0" w:space="0" w:color="auto"/>
                        <w:bottom w:val="none" w:sz="0" w:space="0" w:color="auto"/>
                        <w:right w:val="none" w:sz="0" w:space="0" w:color="auto"/>
                      </w:divBdr>
                    </w:div>
                  </w:divsChild>
                </w:div>
                <w:div w:id="1344671750">
                  <w:marLeft w:val="0"/>
                  <w:marRight w:val="0"/>
                  <w:marTop w:val="0"/>
                  <w:marBottom w:val="0"/>
                  <w:divBdr>
                    <w:top w:val="none" w:sz="0" w:space="0" w:color="auto"/>
                    <w:left w:val="none" w:sz="0" w:space="0" w:color="auto"/>
                    <w:bottom w:val="none" w:sz="0" w:space="0" w:color="auto"/>
                    <w:right w:val="none" w:sz="0" w:space="0" w:color="auto"/>
                  </w:divBdr>
                  <w:divsChild>
                    <w:div w:id="1161894419">
                      <w:marLeft w:val="0"/>
                      <w:marRight w:val="0"/>
                      <w:marTop w:val="0"/>
                      <w:marBottom w:val="0"/>
                      <w:divBdr>
                        <w:top w:val="none" w:sz="0" w:space="0" w:color="auto"/>
                        <w:left w:val="none" w:sz="0" w:space="0" w:color="auto"/>
                        <w:bottom w:val="none" w:sz="0" w:space="0" w:color="auto"/>
                        <w:right w:val="none" w:sz="0" w:space="0" w:color="auto"/>
                      </w:divBdr>
                    </w:div>
                  </w:divsChild>
                </w:div>
                <w:div w:id="100297361">
                  <w:marLeft w:val="0"/>
                  <w:marRight w:val="0"/>
                  <w:marTop w:val="0"/>
                  <w:marBottom w:val="0"/>
                  <w:divBdr>
                    <w:top w:val="none" w:sz="0" w:space="0" w:color="auto"/>
                    <w:left w:val="none" w:sz="0" w:space="0" w:color="auto"/>
                    <w:bottom w:val="none" w:sz="0" w:space="0" w:color="auto"/>
                    <w:right w:val="none" w:sz="0" w:space="0" w:color="auto"/>
                  </w:divBdr>
                  <w:divsChild>
                    <w:div w:id="100350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316395">
          <w:marLeft w:val="0"/>
          <w:marRight w:val="0"/>
          <w:marTop w:val="0"/>
          <w:marBottom w:val="0"/>
          <w:divBdr>
            <w:top w:val="none" w:sz="0" w:space="0" w:color="auto"/>
            <w:left w:val="none" w:sz="0" w:space="0" w:color="auto"/>
            <w:bottom w:val="none" w:sz="0" w:space="0" w:color="auto"/>
            <w:right w:val="none" w:sz="0" w:space="0" w:color="auto"/>
          </w:divBdr>
        </w:div>
      </w:divsChild>
    </w:div>
    <w:div w:id="1104500846">
      <w:bodyDiv w:val="1"/>
      <w:marLeft w:val="0"/>
      <w:marRight w:val="0"/>
      <w:marTop w:val="0"/>
      <w:marBottom w:val="0"/>
      <w:divBdr>
        <w:top w:val="none" w:sz="0" w:space="0" w:color="auto"/>
        <w:left w:val="none" w:sz="0" w:space="0" w:color="auto"/>
        <w:bottom w:val="none" w:sz="0" w:space="0" w:color="auto"/>
        <w:right w:val="none" w:sz="0" w:space="0" w:color="auto"/>
      </w:divBdr>
    </w:div>
    <w:div w:id="1108739788">
      <w:bodyDiv w:val="1"/>
      <w:marLeft w:val="0"/>
      <w:marRight w:val="0"/>
      <w:marTop w:val="0"/>
      <w:marBottom w:val="0"/>
      <w:divBdr>
        <w:top w:val="none" w:sz="0" w:space="0" w:color="auto"/>
        <w:left w:val="none" w:sz="0" w:space="0" w:color="auto"/>
        <w:bottom w:val="none" w:sz="0" w:space="0" w:color="auto"/>
        <w:right w:val="none" w:sz="0" w:space="0" w:color="auto"/>
      </w:divBdr>
    </w:div>
    <w:div w:id="1120416101">
      <w:bodyDiv w:val="1"/>
      <w:marLeft w:val="0"/>
      <w:marRight w:val="0"/>
      <w:marTop w:val="0"/>
      <w:marBottom w:val="0"/>
      <w:divBdr>
        <w:top w:val="none" w:sz="0" w:space="0" w:color="auto"/>
        <w:left w:val="none" w:sz="0" w:space="0" w:color="auto"/>
        <w:bottom w:val="none" w:sz="0" w:space="0" w:color="auto"/>
        <w:right w:val="none" w:sz="0" w:space="0" w:color="auto"/>
      </w:divBdr>
    </w:div>
    <w:div w:id="1151679949">
      <w:bodyDiv w:val="1"/>
      <w:marLeft w:val="0"/>
      <w:marRight w:val="0"/>
      <w:marTop w:val="0"/>
      <w:marBottom w:val="0"/>
      <w:divBdr>
        <w:top w:val="none" w:sz="0" w:space="0" w:color="auto"/>
        <w:left w:val="none" w:sz="0" w:space="0" w:color="auto"/>
        <w:bottom w:val="none" w:sz="0" w:space="0" w:color="auto"/>
        <w:right w:val="none" w:sz="0" w:space="0" w:color="auto"/>
      </w:divBdr>
      <w:divsChild>
        <w:div w:id="329408711">
          <w:marLeft w:val="0"/>
          <w:marRight w:val="0"/>
          <w:marTop w:val="0"/>
          <w:marBottom w:val="0"/>
          <w:divBdr>
            <w:top w:val="none" w:sz="0" w:space="0" w:color="auto"/>
            <w:left w:val="none" w:sz="0" w:space="0" w:color="auto"/>
            <w:bottom w:val="none" w:sz="0" w:space="0" w:color="auto"/>
            <w:right w:val="none" w:sz="0" w:space="0" w:color="auto"/>
          </w:divBdr>
        </w:div>
        <w:div w:id="1597517444">
          <w:marLeft w:val="0"/>
          <w:marRight w:val="0"/>
          <w:marTop w:val="0"/>
          <w:marBottom w:val="0"/>
          <w:divBdr>
            <w:top w:val="none" w:sz="0" w:space="0" w:color="auto"/>
            <w:left w:val="none" w:sz="0" w:space="0" w:color="auto"/>
            <w:bottom w:val="none" w:sz="0" w:space="0" w:color="auto"/>
            <w:right w:val="none" w:sz="0" w:space="0" w:color="auto"/>
          </w:divBdr>
        </w:div>
        <w:div w:id="563176794">
          <w:marLeft w:val="0"/>
          <w:marRight w:val="0"/>
          <w:marTop w:val="0"/>
          <w:marBottom w:val="0"/>
          <w:divBdr>
            <w:top w:val="none" w:sz="0" w:space="0" w:color="auto"/>
            <w:left w:val="none" w:sz="0" w:space="0" w:color="auto"/>
            <w:bottom w:val="none" w:sz="0" w:space="0" w:color="auto"/>
            <w:right w:val="none" w:sz="0" w:space="0" w:color="auto"/>
          </w:divBdr>
        </w:div>
      </w:divsChild>
    </w:div>
    <w:div w:id="1179150911">
      <w:bodyDiv w:val="1"/>
      <w:marLeft w:val="0"/>
      <w:marRight w:val="0"/>
      <w:marTop w:val="0"/>
      <w:marBottom w:val="0"/>
      <w:divBdr>
        <w:top w:val="none" w:sz="0" w:space="0" w:color="auto"/>
        <w:left w:val="none" w:sz="0" w:space="0" w:color="auto"/>
        <w:bottom w:val="none" w:sz="0" w:space="0" w:color="auto"/>
        <w:right w:val="none" w:sz="0" w:space="0" w:color="auto"/>
      </w:divBdr>
      <w:divsChild>
        <w:div w:id="2138908372">
          <w:marLeft w:val="0"/>
          <w:marRight w:val="0"/>
          <w:marTop w:val="0"/>
          <w:marBottom w:val="0"/>
          <w:divBdr>
            <w:top w:val="none" w:sz="0" w:space="0" w:color="auto"/>
            <w:left w:val="none" w:sz="0" w:space="0" w:color="auto"/>
            <w:bottom w:val="none" w:sz="0" w:space="0" w:color="auto"/>
            <w:right w:val="none" w:sz="0" w:space="0" w:color="auto"/>
          </w:divBdr>
          <w:divsChild>
            <w:div w:id="1037395084">
              <w:marLeft w:val="0"/>
              <w:marRight w:val="0"/>
              <w:marTop w:val="0"/>
              <w:marBottom w:val="0"/>
              <w:divBdr>
                <w:top w:val="none" w:sz="0" w:space="0" w:color="auto"/>
                <w:left w:val="none" w:sz="0" w:space="0" w:color="auto"/>
                <w:bottom w:val="none" w:sz="0" w:space="0" w:color="auto"/>
                <w:right w:val="none" w:sz="0" w:space="0" w:color="auto"/>
              </w:divBdr>
            </w:div>
          </w:divsChild>
        </w:div>
        <w:div w:id="124392706">
          <w:marLeft w:val="0"/>
          <w:marRight w:val="0"/>
          <w:marTop w:val="0"/>
          <w:marBottom w:val="0"/>
          <w:divBdr>
            <w:top w:val="none" w:sz="0" w:space="0" w:color="auto"/>
            <w:left w:val="none" w:sz="0" w:space="0" w:color="auto"/>
            <w:bottom w:val="none" w:sz="0" w:space="0" w:color="auto"/>
            <w:right w:val="none" w:sz="0" w:space="0" w:color="auto"/>
          </w:divBdr>
          <w:divsChild>
            <w:div w:id="723716223">
              <w:marLeft w:val="0"/>
              <w:marRight w:val="0"/>
              <w:marTop w:val="0"/>
              <w:marBottom w:val="0"/>
              <w:divBdr>
                <w:top w:val="none" w:sz="0" w:space="0" w:color="auto"/>
                <w:left w:val="none" w:sz="0" w:space="0" w:color="auto"/>
                <w:bottom w:val="none" w:sz="0" w:space="0" w:color="auto"/>
                <w:right w:val="none" w:sz="0" w:space="0" w:color="auto"/>
              </w:divBdr>
            </w:div>
          </w:divsChild>
        </w:div>
        <w:div w:id="727385906">
          <w:marLeft w:val="0"/>
          <w:marRight w:val="0"/>
          <w:marTop w:val="0"/>
          <w:marBottom w:val="0"/>
          <w:divBdr>
            <w:top w:val="none" w:sz="0" w:space="0" w:color="auto"/>
            <w:left w:val="none" w:sz="0" w:space="0" w:color="auto"/>
            <w:bottom w:val="none" w:sz="0" w:space="0" w:color="auto"/>
            <w:right w:val="none" w:sz="0" w:space="0" w:color="auto"/>
          </w:divBdr>
          <w:divsChild>
            <w:div w:id="2046442708">
              <w:marLeft w:val="0"/>
              <w:marRight w:val="0"/>
              <w:marTop w:val="0"/>
              <w:marBottom w:val="0"/>
              <w:divBdr>
                <w:top w:val="none" w:sz="0" w:space="0" w:color="auto"/>
                <w:left w:val="none" w:sz="0" w:space="0" w:color="auto"/>
                <w:bottom w:val="none" w:sz="0" w:space="0" w:color="auto"/>
                <w:right w:val="none" w:sz="0" w:space="0" w:color="auto"/>
              </w:divBdr>
            </w:div>
          </w:divsChild>
        </w:div>
        <w:div w:id="1629433071">
          <w:marLeft w:val="0"/>
          <w:marRight w:val="0"/>
          <w:marTop w:val="0"/>
          <w:marBottom w:val="0"/>
          <w:divBdr>
            <w:top w:val="none" w:sz="0" w:space="0" w:color="auto"/>
            <w:left w:val="none" w:sz="0" w:space="0" w:color="auto"/>
            <w:bottom w:val="none" w:sz="0" w:space="0" w:color="auto"/>
            <w:right w:val="none" w:sz="0" w:space="0" w:color="auto"/>
          </w:divBdr>
          <w:divsChild>
            <w:div w:id="189614544">
              <w:marLeft w:val="0"/>
              <w:marRight w:val="0"/>
              <w:marTop w:val="0"/>
              <w:marBottom w:val="0"/>
              <w:divBdr>
                <w:top w:val="none" w:sz="0" w:space="0" w:color="auto"/>
                <w:left w:val="none" w:sz="0" w:space="0" w:color="auto"/>
                <w:bottom w:val="none" w:sz="0" w:space="0" w:color="auto"/>
                <w:right w:val="none" w:sz="0" w:space="0" w:color="auto"/>
              </w:divBdr>
            </w:div>
          </w:divsChild>
        </w:div>
        <w:div w:id="447546022">
          <w:marLeft w:val="0"/>
          <w:marRight w:val="0"/>
          <w:marTop w:val="0"/>
          <w:marBottom w:val="0"/>
          <w:divBdr>
            <w:top w:val="none" w:sz="0" w:space="0" w:color="auto"/>
            <w:left w:val="none" w:sz="0" w:space="0" w:color="auto"/>
            <w:bottom w:val="none" w:sz="0" w:space="0" w:color="auto"/>
            <w:right w:val="none" w:sz="0" w:space="0" w:color="auto"/>
          </w:divBdr>
          <w:divsChild>
            <w:div w:id="1832868391">
              <w:marLeft w:val="0"/>
              <w:marRight w:val="0"/>
              <w:marTop w:val="0"/>
              <w:marBottom w:val="0"/>
              <w:divBdr>
                <w:top w:val="none" w:sz="0" w:space="0" w:color="auto"/>
                <w:left w:val="none" w:sz="0" w:space="0" w:color="auto"/>
                <w:bottom w:val="none" w:sz="0" w:space="0" w:color="auto"/>
                <w:right w:val="none" w:sz="0" w:space="0" w:color="auto"/>
              </w:divBdr>
            </w:div>
          </w:divsChild>
        </w:div>
        <w:div w:id="1772581819">
          <w:marLeft w:val="0"/>
          <w:marRight w:val="0"/>
          <w:marTop w:val="0"/>
          <w:marBottom w:val="0"/>
          <w:divBdr>
            <w:top w:val="none" w:sz="0" w:space="0" w:color="auto"/>
            <w:left w:val="none" w:sz="0" w:space="0" w:color="auto"/>
            <w:bottom w:val="none" w:sz="0" w:space="0" w:color="auto"/>
            <w:right w:val="none" w:sz="0" w:space="0" w:color="auto"/>
          </w:divBdr>
          <w:divsChild>
            <w:div w:id="367803692">
              <w:marLeft w:val="0"/>
              <w:marRight w:val="0"/>
              <w:marTop w:val="0"/>
              <w:marBottom w:val="0"/>
              <w:divBdr>
                <w:top w:val="none" w:sz="0" w:space="0" w:color="auto"/>
                <w:left w:val="none" w:sz="0" w:space="0" w:color="auto"/>
                <w:bottom w:val="none" w:sz="0" w:space="0" w:color="auto"/>
                <w:right w:val="none" w:sz="0" w:space="0" w:color="auto"/>
              </w:divBdr>
            </w:div>
          </w:divsChild>
        </w:div>
        <w:div w:id="1017656975">
          <w:marLeft w:val="0"/>
          <w:marRight w:val="0"/>
          <w:marTop w:val="0"/>
          <w:marBottom w:val="0"/>
          <w:divBdr>
            <w:top w:val="none" w:sz="0" w:space="0" w:color="auto"/>
            <w:left w:val="none" w:sz="0" w:space="0" w:color="auto"/>
            <w:bottom w:val="none" w:sz="0" w:space="0" w:color="auto"/>
            <w:right w:val="none" w:sz="0" w:space="0" w:color="auto"/>
          </w:divBdr>
          <w:divsChild>
            <w:div w:id="1997487467">
              <w:marLeft w:val="0"/>
              <w:marRight w:val="0"/>
              <w:marTop w:val="0"/>
              <w:marBottom w:val="0"/>
              <w:divBdr>
                <w:top w:val="none" w:sz="0" w:space="0" w:color="auto"/>
                <w:left w:val="none" w:sz="0" w:space="0" w:color="auto"/>
                <w:bottom w:val="none" w:sz="0" w:space="0" w:color="auto"/>
                <w:right w:val="none" w:sz="0" w:space="0" w:color="auto"/>
              </w:divBdr>
            </w:div>
          </w:divsChild>
        </w:div>
        <w:div w:id="567155791">
          <w:marLeft w:val="0"/>
          <w:marRight w:val="0"/>
          <w:marTop w:val="0"/>
          <w:marBottom w:val="0"/>
          <w:divBdr>
            <w:top w:val="none" w:sz="0" w:space="0" w:color="auto"/>
            <w:left w:val="none" w:sz="0" w:space="0" w:color="auto"/>
            <w:bottom w:val="none" w:sz="0" w:space="0" w:color="auto"/>
            <w:right w:val="none" w:sz="0" w:space="0" w:color="auto"/>
          </w:divBdr>
          <w:divsChild>
            <w:div w:id="722674448">
              <w:marLeft w:val="0"/>
              <w:marRight w:val="0"/>
              <w:marTop w:val="0"/>
              <w:marBottom w:val="0"/>
              <w:divBdr>
                <w:top w:val="none" w:sz="0" w:space="0" w:color="auto"/>
                <w:left w:val="none" w:sz="0" w:space="0" w:color="auto"/>
                <w:bottom w:val="none" w:sz="0" w:space="0" w:color="auto"/>
                <w:right w:val="none" w:sz="0" w:space="0" w:color="auto"/>
              </w:divBdr>
            </w:div>
          </w:divsChild>
        </w:div>
        <w:div w:id="1878815491">
          <w:marLeft w:val="0"/>
          <w:marRight w:val="0"/>
          <w:marTop w:val="0"/>
          <w:marBottom w:val="0"/>
          <w:divBdr>
            <w:top w:val="none" w:sz="0" w:space="0" w:color="auto"/>
            <w:left w:val="none" w:sz="0" w:space="0" w:color="auto"/>
            <w:bottom w:val="none" w:sz="0" w:space="0" w:color="auto"/>
            <w:right w:val="none" w:sz="0" w:space="0" w:color="auto"/>
          </w:divBdr>
          <w:divsChild>
            <w:div w:id="579407749">
              <w:marLeft w:val="0"/>
              <w:marRight w:val="0"/>
              <w:marTop w:val="0"/>
              <w:marBottom w:val="0"/>
              <w:divBdr>
                <w:top w:val="none" w:sz="0" w:space="0" w:color="auto"/>
                <w:left w:val="none" w:sz="0" w:space="0" w:color="auto"/>
                <w:bottom w:val="none" w:sz="0" w:space="0" w:color="auto"/>
                <w:right w:val="none" w:sz="0" w:space="0" w:color="auto"/>
              </w:divBdr>
            </w:div>
          </w:divsChild>
        </w:div>
        <w:div w:id="1727953750">
          <w:marLeft w:val="0"/>
          <w:marRight w:val="0"/>
          <w:marTop w:val="0"/>
          <w:marBottom w:val="0"/>
          <w:divBdr>
            <w:top w:val="none" w:sz="0" w:space="0" w:color="auto"/>
            <w:left w:val="none" w:sz="0" w:space="0" w:color="auto"/>
            <w:bottom w:val="none" w:sz="0" w:space="0" w:color="auto"/>
            <w:right w:val="none" w:sz="0" w:space="0" w:color="auto"/>
          </w:divBdr>
          <w:divsChild>
            <w:div w:id="1476608818">
              <w:marLeft w:val="0"/>
              <w:marRight w:val="0"/>
              <w:marTop w:val="0"/>
              <w:marBottom w:val="0"/>
              <w:divBdr>
                <w:top w:val="none" w:sz="0" w:space="0" w:color="auto"/>
                <w:left w:val="none" w:sz="0" w:space="0" w:color="auto"/>
                <w:bottom w:val="none" w:sz="0" w:space="0" w:color="auto"/>
                <w:right w:val="none" w:sz="0" w:space="0" w:color="auto"/>
              </w:divBdr>
            </w:div>
          </w:divsChild>
        </w:div>
        <w:div w:id="1526596241">
          <w:marLeft w:val="0"/>
          <w:marRight w:val="0"/>
          <w:marTop w:val="0"/>
          <w:marBottom w:val="0"/>
          <w:divBdr>
            <w:top w:val="none" w:sz="0" w:space="0" w:color="auto"/>
            <w:left w:val="none" w:sz="0" w:space="0" w:color="auto"/>
            <w:bottom w:val="none" w:sz="0" w:space="0" w:color="auto"/>
            <w:right w:val="none" w:sz="0" w:space="0" w:color="auto"/>
          </w:divBdr>
          <w:divsChild>
            <w:div w:id="980502842">
              <w:marLeft w:val="0"/>
              <w:marRight w:val="0"/>
              <w:marTop w:val="0"/>
              <w:marBottom w:val="0"/>
              <w:divBdr>
                <w:top w:val="none" w:sz="0" w:space="0" w:color="auto"/>
                <w:left w:val="none" w:sz="0" w:space="0" w:color="auto"/>
                <w:bottom w:val="none" w:sz="0" w:space="0" w:color="auto"/>
                <w:right w:val="none" w:sz="0" w:space="0" w:color="auto"/>
              </w:divBdr>
            </w:div>
          </w:divsChild>
        </w:div>
        <w:div w:id="1917858167">
          <w:marLeft w:val="0"/>
          <w:marRight w:val="0"/>
          <w:marTop w:val="0"/>
          <w:marBottom w:val="0"/>
          <w:divBdr>
            <w:top w:val="none" w:sz="0" w:space="0" w:color="auto"/>
            <w:left w:val="none" w:sz="0" w:space="0" w:color="auto"/>
            <w:bottom w:val="none" w:sz="0" w:space="0" w:color="auto"/>
            <w:right w:val="none" w:sz="0" w:space="0" w:color="auto"/>
          </w:divBdr>
          <w:divsChild>
            <w:div w:id="2071608804">
              <w:marLeft w:val="0"/>
              <w:marRight w:val="0"/>
              <w:marTop w:val="0"/>
              <w:marBottom w:val="0"/>
              <w:divBdr>
                <w:top w:val="none" w:sz="0" w:space="0" w:color="auto"/>
                <w:left w:val="none" w:sz="0" w:space="0" w:color="auto"/>
                <w:bottom w:val="none" w:sz="0" w:space="0" w:color="auto"/>
                <w:right w:val="none" w:sz="0" w:space="0" w:color="auto"/>
              </w:divBdr>
            </w:div>
          </w:divsChild>
        </w:div>
        <w:div w:id="696270023">
          <w:marLeft w:val="0"/>
          <w:marRight w:val="0"/>
          <w:marTop w:val="0"/>
          <w:marBottom w:val="0"/>
          <w:divBdr>
            <w:top w:val="none" w:sz="0" w:space="0" w:color="auto"/>
            <w:left w:val="none" w:sz="0" w:space="0" w:color="auto"/>
            <w:bottom w:val="none" w:sz="0" w:space="0" w:color="auto"/>
            <w:right w:val="none" w:sz="0" w:space="0" w:color="auto"/>
          </w:divBdr>
          <w:divsChild>
            <w:div w:id="759522739">
              <w:marLeft w:val="0"/>
              <w:marRight w:val="0"/>
              <w:marTop w:val="0"/>
              <w:marBottom w:val="0"/>
              <w:divBdr>
                <w:top w:val="none" w:sz="0" w:space="0" w:color="auto"/>
                <w:left w:val="none" w:sz="0" w:space="0" w:color="auto"/>
                <w:bottom w:val="none" w:sz="0" w:space="0" w:color="auto"/>
                <w:right w:val="none" w:sz="0" w:space="0" w:color="auto"/>
              </w:divBdr>
            </w:div>
          </w:divsChild>
        </w:div>
        <w:div w:id="865754736">
          <w:marLeft w:val="0"/>
          <w:marRight w:val="0"/>
          <w:marTop w:val="0"/>
          <w:marBottom w:val="0"/>
          <w:divBdr>
            <w:top w:val="none" w:sz="0" w:space="0" w:color="auto"/>
            <w:left w:val="none" w:sz="0" w:space="0" w:color="auto"/>
            <w:bottom w:val="none" w:sz="0" w:space="0" w:color="auto"/>
            <w:right w:val="none" w:sz="0" w:space="0" w:color="auto"/>
          </w:divBdr>
          <w:divsChild>
            <w:div w:id="812261373">
              <w:marLeft w:val="0"/>
              <w:marRight w:val="0"/>
              <w:marTop w:val="0"/>
              <w:marBottom w:val="0"/>
              <w:divBdr>
                <w:top w:val="none" w:sz="0" w:space="0" w:color="auto"/>
                <w:left w:val="none" w:sz="0" w:space="0" w:color="auto"/>
                <w:bottom w:val="none" w:sz="0" w:space="0" w:color="auto"/>
                <w:right w:val="none" w:sz="0" w:space="0" w:color="auto"/>
              </w:divBdr>
            </w:div>
          </w:divsChild>
        </w:div>
        <w:div w:id="1957102872">
          <w:marLeft w:val="0"/>
          <w:marRight w:val="0"/>
          <w:marTop w:val="0"/>
          <w:marBottom w:val="0"/>
          <w:divBdr>
            <w:top w:val="none" w:sz="0" w:space="0" w:color="auto"/>
            <w:left w:val="none" w:sz="0" w:space="0" w:color="auto"/>
            <w:bottom w:val="none" w:sz="0" w:space="0" w:color="auto"/>
            <w:right w:val="none" w:sz="0" w:space="0" w:color="auto"/>
          </w:divBdr>
          <w:divsChild>
            <w:div w:id="118957795">
              <w:marLeft w:val="0"/>
              <w:marRight w:val="0"/>
              <w:marTop w:val="0"/>
              <w:marBottom w:val="0"/>
              <w:divBdr>
                <w:top w:val="none" w:sz="0" w:space="0" w:color="auto"/>
                <w:left w:val="none" w:sz="0" w:space="0" w:color="auto"/>
                <w:bottom w:val="none" w:sz="0" w:space="0" w:color="auto"/>
                <w:right w:val="none" w:sz="0" w:space="0" w:color="auto"/>
              </w:divBdr>
            </w:div>
          </w:divsChild>
        </w:div>
        <w:div w:id="1304970326">
          <w:marLeft w:val="0"/>
          <w:marRight w:val="0"/>
          <w:marTop w:val="0"/>
          <w:marBottom w:val="0"/>
          <w:divBdr>
            <w:top w:val="none" w:sz="0" w:space="0" w:color="auto"/>
            <w:left w:val="none" w:sz="0" w:space="0" w:color="auto"/>
            <w:bottom w:val="none" w:sz="0" w:space="0" w:color="auto"/>
            <w:right w:val="none" w:sz="0" w:space="0" w:color="auto"/>
          </w:divBdr>
          <w:divsChild>
            <w:div w:id="1659991934">
              <w:marLeft w:val="0"/>
              <w:marRight w:val="0"/>
              <w:marTop w:val="0"/>
              <w:marBottom w:val="0"/>
              <w:divBdr>
                <w:top w:val="none" w:sz="0" w:space="0" w:color="auto"/>
                <w:left w:val="none" w:sz="0" w:space="0" w:color="auto"/>
                <w:bottom w:val="none" w:sz="0" w:space="0" w:color="auto"/>
                <w:right w:val="none" w:sz="0" w:space="0" w:color="auto"/>
              </w:divBdr>
            </w:div>
          </w:divsChild>
        </w:div>
        <w:div w:id="1062945506">
          <w:marLeft w:val="0"/>
          <w:marRight w:val="0"/>
          <w:marTop w:val="0"/>
          <w:marBottom w:val="0"/>
          <w:divBdr>
            <w:top w:val="none" w:sz="0" w:space="0" w:color="auto"/>
            <w:left w:val="none" w:sz="0" w:space="0" w:color="auto"/>
            <w:bottom w:val="none" w:sz="0" w:space="0" w:color="auto"/>
            <w:right w:val="none" w:sz="0" w:space="0" w:color="auto"/>
          </w:divBdr>
          <w:divsChild>
            <w:div w:id="548221370">
              <w:marLeft w:val="0"/>
              <w:marRight w:val="0"/>
              <w:marTop w:val="0"/>
              <w:marBottom w:val="0"/>
              <w:divBdr>
                <w:top w:val="none" w:sz="0" w:space="0" w:color="auto"/>
                <w:left w:val="none" w:sz="0" w:space="0" w:color="auto"/>
                <w:bottom w:val="none" w:sz="0" w:space="0" w:color="auto"/>
                <w:right w:val="none" w:sz="0" w:space="0" w:color="auto"/>
              </w:divBdr>
            </w:div>
          </w:divsChild>
        </w:div>
        <w:div w:id="1489639541">
          <w:marLeft w:val="0"/>
          <w:marRight w:val="0"/>
          <w:marTop w:val="0"/>
          <w:marBottom w:val="0"/>
          <w:divBdr>
            <w:top w:val="none" w:sz="0" w:space="0" w:color="auto"/>
            <w:left w:val="none" w:sz="0" w:space="0" w:color="auto"/>
            <w:bottom w:val="none" w:sz="0" w:space="0" w:color="auto"/>
            <w:right w:val="none" w:sz="0" w:space="0" w:color="auto"/>
          </w:divBdr>
          <w:divsChild>
            <w:div w:id="5762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20388">
      <w:bodyDiv w:val="1"/>
      <w:marLeft w:val="0"/>
      <w:marRight w:val="0"/>
      <w:marTop w:val="0"/>
      <w:marBottom w:val="0"/>
      <w:divBdr>
        <w:top w:val="none" w:sz="0" w:space="0" w:color="auto"/>
        <w:left w:val="none" w:sz="0" w:space="0" w:color="auto"/>
        <w:bottom w:val="none" w:sz="0" w:space="0" w:color="auto"/>
        <w:right w:val="none" w:sz="0" w:space="0" w:color="auto"/>
      </w:divBdr>
      <w:divsChild>
        <w:div w:id="502934397">
          <w:marLeft w:val="0"/>
          <w:marRight w:val="0"/>
          <w:marTop w:val="0"/>
          <w:marBottom w:val="0"/>
          <w:divBdr>
            <w:top w:val="none" w:sz="0" w:space="0" w:color="auto"/>
            <w:left w:val="none" w:sz="0" w:space="0" w:color="auto"/>
            <w:bottom w:val="none" w:sz="0" w:space="0" w:color="auto"/>
            <w:right w:val="none" w:sz="0" w:space="0" w:color="auto"/>
          </w:divBdr>
        </w:div>
        <w:div w:id="2121608307">
          <w:marLeft w:val="0"/>
          <w:marRight w:val="0"/>
          <w:marTop w:val="0"/>
          <w:marBottom w:val="0"/>
          <w:divBdr>
            <w:top w:val="none" w:sz="0" w:space="0" w:color="auto"/>
            <w:left w:val="none" w:sz="0" w:space="0" w:color="auto"/>
            <w:bottom w:val="none" w:sz="0" w:space="0" w:color="auto"/>
            <w:right w:val="none" w:sz="0" w:space="0" w:color="auto"/>
          </w:divBdr>
        </w:div>
        <w:div w:id="1356493273">
          <w:marLeft w:val="0"/>
          <w:marRight w:val="0"/>
          <w:marTop w:val="0"/>
          <w:marBottom w:val="0"/>
          <w:divBdr>
            <w:top w:val="none" w:sz="0" w:space="0" w:color="auto"/>
            <w:left w:val="none" w:sz="0" w:space="0" w:color="auto"/>
            <w:bottom w:val="none" w:sz="0" w:space="0" w:color="auto"/>
            <w:right w:val="none" w:sz="0" w:space="0" w:color="auto"/>
          </w:divBdr>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43032266">
      <w:bodyDiv w:val="1"/>
      <w:marLeft w:val="0"/>
      <w:marRight w:val="0"/>
      <w:marTop w:val="0"/>
      <w:marBottom w:val="0"/>
      <w:divBdr>
        <w:top w:val="none" w:sz="0" w:space="0" w:color="auto"/>
        <w:left w:val="none" w:sz="0" w:space="0" w:color="auto"/>
        <w:bottom w:val="none" w:sz="0" w:space="0" w:color="auto"/>
        <w:right w:val="none" w:sz="0" w:space="0" w:color="auto"/>
      </w:divBdr>
    </w:div>
    <w:div w:id="1246840180">
      <w:bodyDiv w:val="1"/>
      <w:marLeft w:val="0"/>
      <w:marRight w:val="0"/>
      <w:marTop w:val="0"/>
      <w:marBottom w:val="0"/>
      <w:divBdr>
        <w:top w:val="none" w:sz="0" w:space="0" w:color="auto"/>
        <w:left w:val="none" w:sz="0" w:space="0" w:color="auto"/>
        <w:bottom w:val="none" w:sz="0" w:space="0" w:color="auto"/>
        <w:right w:val="none" w:sz="0" w:space="0" w:color="auto"/>
      </w:divBdr>
    </w:div>
    <w:div w:id="1283419640">
      <w:bodyDiv w:val="1"/>
      <w:marLeft w:val="0"/>
      <w:marRight w:val="0"/>
      <w:marTop w:val="0"/>
      <w:marBottom w:val="0"/>
      <w:divBdr>
        <w:top w:val="none" w:sz="0" w:space="0" w:color="auto"/>
        <w:left w:val="none" w:sz="0" w:space="0" w:color="auto"/>
        <w:bottom w:val="none" w:sz="0" w:space="0" w:color="auto"/>
        <w:right w:val="none" w:sz="0" w:space="0" w:color="auto"/>
      </w:divBdr>
    </w:div>
    <w:div w:id="1334529576">
      <w:bodyDiv w:val="1"/>
      <w:marLeft w:val="0"/>
      <w:marRight w:val="0"/>
      <w:marTop w:val="0"/>
      <w:marBottom w:val="0"/>
      <w:divBdr>
        <w:top w:val="none" w:sz="0" w:space="0" w:color="auto"/>
        <w:left w:val="none" w:sz="0" w:space="0" w:color="auto"/>
        <w:bottom w:val="none" w:sz="0" w:space="0" w:color="auto"/>
        <w:right w:val="none" w:sz="0" w:space="0" w:color="auto"/>
      </w:divBdr>
    </w:div>
    <w:div w:id="1365406715">
      <w:bodyDiv w:val="1"/>
      <w:marLeft w:val="0"/>
      <w:marRight w:val="0"/>
      <w:marTop w:val="0"/>
      <w:marBottom w:val="0"/>
      <w:divBdr>
        <w:top w:val="none" w:sz="0" w:space="0" w:color="auto"/>
        <w:left w:val="none" w:sz="0" w:space="0" w:color="auto"/>
        <w:bottom w:val="none" w:sz="0" w:space="0" w:color="auto"/>
        <w:right w:val="none" w:sz="0" w:space="0" w:color="auto"/>
      </w:divBdr>
    </w:div>
    <w:div w:id="1388333796">
      <w:bodyDiv w:val="1"/>
      <w:marLeft w:val="0"/>
      <w:marRight w:val="0"/>
      <w:marTop w:val="0"/>
      <w:marBottom w:val="0"/>
      <w:divBdr>
        <w:top w:val="none" w:sz="0" w:space="0" w:color="auto"/>
        <w:left w:val="none" w:sz="0" w:space="0" w:color="auto"/>
        <w:bottom w:val="none" w:sz="0" w:space="0" w:color="auto"/>
        <w:right w:val="none" w:sz="0" w:space="0" w:color="auto"/>
      </w:divBdr>
    </w:div>
    <w:div w:id="1389841842">
      <w:bodyDiv w:val="1"/>
      <w:marLeft w:val="0"/>
      <w:marRight w:val="0"/>
      <w:marTop w:val="0"/>
      <w:marBottom w:val="0"/>
      <w:divBdr>
        <w:top w:val="none" w:sz="0" w:space="0" w:color="auto"/>
        <w:left w:val="none" w:sz="0" w:space="0" w:color="auto"/>
        <w:bottom w:val="none" w:sz="0" w:space="0" w:color="auto"/>
        <w:right w:val="none" w:sz="0" w:space="0" w:color="auto"/>
      </w:divBdr>
    </w:div>
    <w:div w:id="1402825810">
      <w:bodyDiv w:val="1"/>
      <w:marLeft w:val="0"/>
      <w:marRight w:val="0"/>
      <w:marTop w:val="0"/>
      <w:marBottom w:val="0"/>
      <w:divBdr>
        <w:top w:val="none" w:sz="0" w:space="0" w:color="auto"/>
        <w:left w:val="none" w:sz="0" w:space="0" w:color="auto"/>
        <w:bottom w:val="none" w:sz="0" w:space="0" w:color="auto"/>
        <w:right w:val="none" w:sz="0" w:space="0" w:color="auto"/>
      </w:divBdr>
    </w:div>
    <w:div w:id="1434397078">
      <w:bodyDiv w:val="1"/>
      <w:marLeft w:val="0"/>
      <w:marRight w:val="0"/>
      <w:marTop w:val="0"/>
      <w:marBottom w:val="0"/>
      <w:divBdr>
        <w:top w:val="none" w:sz="0" w:space="0" w:color="auto"/>
        <w:left w:val="none" w:sz="0" w:space="0" w:color="auto"/>
        <w:bottom w:val="none" w:sz="0" w:space="0" w:color="auto"/>
        <w:right w:val="none" w:sz="0" w:space="0" w:color="auto"/>
      </w:divBdr>
    </w:div>
    <w:div w:id="1469207364">
      <w:bodyDiv w:val="1"/>
      <w:marLeft w:val="0"/>
      <w:marRight w:val="0"/>
      <w:marTop w:val="0"/>
      <w:marBottom w:val="0"/>
      <w:divBdr>
        <w:top w:val="none" w:sz="0" w:space="0" w:color="auto"/>
        <w:left w:val="none" w:sz="0" w:space="0" w:color="auto"/>
        <w:bottom w:val="none" w:sz="0" w:space="0" w:color="auto"/>
        <w:right w:val="none" w:sz="0" w:space="0" w:color="auto"/>
      </w:divBdr>
      <w:divsChild>
        <w:div w:id="2061779201">
          <w:marLeft w:val="0"/>
          <w:marRight w:val="0"/>
          <w:marTop w:val="0"/>
          <w:marBottom w:val="0"/>
          <w:divBdr>
            <w:top w:val="none" w:sz="0" w:space="0" w:color="auto"/>
            <w:left w:val="none" w:sz="0" w:space="0" w:color="auto"/>
            <w:bottom w:val="none" w:sz="0" w:space="0" w:color="auto"/>
            <w:right w:val="none" w:sz="0" w:space="0" w:color="auto"/>
          </w:divBdr>
        </w:div>
        <w:div w:id="1820223205">
          <w:marLeft w:val="0"/>
          <w:marRight w:val="0"/>
          <w:marTop w:val="0"/>
          <w:marBottom w:val="0"/>
          <w:divBdr>
            <w:top w:val="none" w:sz="0" w:space="0" w:color="auto"/>
            <w:left w:val="none" w:sz="0" w:space="0" w:color="auto"/>
            <w:bottom w:val="none" w:sz="0" w:space="0" w:color="auto"/>
            <w:right w:val="none" w:sz="0" w:space="0" w:color="auto"/>
          </w:divBdr>
        </w:div>
        <w:div w:id="2084913553">
          <w:marLeft w:val="0"/>
          <w:marRight w:val="0"/>
          <w:marTop w:val="0"/>
          <w:marBottom w:val="0"/>
          <w:divBdr>
            <w:top w:val="none" w:sz="0" w:space="0" w:color="auto"/>
            <w:left w:val="none" w:sz="0" w:space="0" w:color="auto"/>
            <w:bottom w:val="none" w:sz="0" w:space="0" w:color="auto"/>
            <w:right w:val="none" w:sz="0" w:space="0" w:color="auto"/>
          </w:divBdr>
        </w:div>
        <w:div w:id="2109231045">
          <w:marLeft w:val="0"/>
          <w:marRight w:val="0"/>
          <w:marTop w:val="0"/>
          <w:marBottom w:val="0"/>
          <w:divBdr>
            <w:top w:val="none" w:sz="0" w:space="0" w:color="auto"/>
            <w:left w:val="none" w:sz="0" w:space="0" w:color="auto"/>
            <w:bottom w:val="none" w:sz="0" w:space="0" w:color="auto"/>
            <w:right w:val="none" w:sz="0" w:space="0" w:color="auto"/>
          </w:divBdr>
        </w:div>
      </w:divsChild>
    </w:div>
    <w:div w:id="1480422671">
      <w:bodyDiv w:val="1"/>
      <w:marLeft w:val="0"/>
      <w:marRight w:val="0"/>
      <w:marTop w:val="0"/>
      <w:marBottom w:val="0"/>
      <w:divBdr>
        <w:top w:val="none" w:sz="0" w:space="0" w:color="auto"/>
        <w:left w:val="none" w:sz="0" w:space="0" w:color="auto"/>
        <w:bottom w:val="none" w:sz="0" w:space="0" w:color="auto"/>
        <w:right w:val="none" w:sz="0" w:space="0" w:color="auto"/>
      </w:divBdr>
    </w:div>
    <w:div w:id="1496648825">
      <w:bodyDiv w:val="1"/>
      <w:marLeft w:val="0"/>
      <w:marRight w:val="0"/>
      <w:marTop w:val="0"/>
      <w:marBottom w:val="0"/>
      <w:divBdr>
        <w:top w:val="none" w:sz="0" w:space="0" w:color="auto"/>
        <w:left w:val="none" w:sz="0" w:space="0" w:color="auto"/>
        <w:bottom w:val="none" w:sz="0" w:space="0" w:color="auto"/>
        <w:right w:val="none" w:sz="0" w:space="0" w:color="auto"/>
      </w:divBdr>
    </w:div>
    <w:div w:id="1506944702">
      <w:bodyDiv w:val="1"/>
      <w:marLeft w:val="0"/>
      <w:marRight w:val="0"/>
      <w:marTop w:val="0"/>
      <w:marBottom w:val="0"/>
      <w:divBdr>
        <w:top w:val="none" w:sz="0" w:space="0" w:color="auto"/>
        <w:left w:val="none" w:sz="0" w:space="0" w:color="auto"/>
        <w:bottom w:val="none" w:sz="0" w:space="0" w:color="auto"/>
        <w:right w:val="none" w:sz="0" w:space="0" w:color="auto"/>
      </w:divBdr>
    </w:div>
    <w:div w:id="1568413939">
      <w:bodyDiv w:val="1"/>
      <w:marLeft w:val="0"/>
      <w:marRight w:val="0"/>
      <w:marTop w:val="0"/>
      <w:marBottom w:val="0"/>
      <w:divBdr>
        <w:top w:val="none" w:sz="0" w:space="0" w:color="auto"/>
        <w:left w:val="none" w:sz="0" w:space="0" w:color="auto"/>
        <w:bottom w:val="none" w:sz="0" w:space="0" w:color="auto"/>
        <w:right w:val="none" w:sz="0" w:space="0" w:color="auto"/>
      </w:divBdr>
    </w:div>
    <w:div w:id="1592467864">
      <w:bodyDiv w:val="1"/>
      <w:marLeft w:val="0"/>
      <w:marRight w:val="0"/>
      <w:marTop w:val="0"/>
      <w:marBottom w:val="0"/>
      <w:divBdr>
        <w:top w:val="none" w:sz="0" w:space="0" w:color="auto"/>
        <w:left w:val="none" w:sz="0" w:space="0" w:color="auto"/>
        <w:bottom w:val="none" w:sz="0" w:space="0" w:color="auto"/>
        <w:right w:val="none" w:sz="0" w:space="0" w:color="auto"/>
      </w:divBdr>
    </w:div>
    <w:div w:id="1598824585">
      <w:bodyDiv w:val="1"/>
      <w:marLeft w:val="0"/>
      <w:marRight w:val="0"/>
      <w:marTop w:val="0"/>
      <w:marBottom w:val="0"/>
      <w:divBdr>
        <w:top w:val="none" w:sz="0" w:space="0" w:color="auto"/>
        <w:left w:val="none" w:sz="0" w:space="0" w:color="auto"/>
        <w:bottom w:val="none" w:sz="0" w:space="0" w:color="auto"/>
        <w:right w:val="none" w:sz="0" w:space="0" w:color="auto"/>
      </w:divBdr>
    </w:div>
    <w:div w:id="1663193722">
      <w:bodyDiv w:val="1"/>
      <w:marLeft w:val="0"/>
      <w:marRight w:val="0"/>
      <w:marTop w:val="0"/>
      <w:marBottom w:val="0"/>
      <w:divBdr>
        <w:top w:val="none" w:sz="0" w:space="0" w:color="auto"/>
        <w:left w:val="none" w:sz="0" w:space="0" w:color="auto"/>
        <w:bottom w:val="none" w:sz="0" w:space="0" w:color="auto"/>
        <w:right w:val="none" w:sz="0" w:space="0" w:color="auto"/>
      </w:divBdr>
      <w:divsChild>
        <w:div w:id="41760046">
          <w:marLeft w:val="0"/>
          <w:marRight w:val="0"/>
          <w:marTop w:val="0"/>
          <w:marBottom w:val="0"/>
          <w:divBdr>
            <w:top w:val="none" w:sz="0" w:space="0" w:color="auto"/>
            <w:left w:val="none" w:sz="0" w:space="0" w:color="auto"/>
            <w:bottom w:val="none" w:sz="0" w:space="0" w:color="auto"/>
            <w:right w:val="none" w:sz="0" w:space="0" w:color="auto"/>
          </w:divBdr>
        </w:div>
        <w:div w:id="1175682920">
          <w:marLeft w:val="0"/>
          <w:marRight w:val="0"/>
          <w:marTop w:val="0"/>
          <w:marBottom w:val="0"/>
          <w:divBdr>
            <w:top w:val="none" w:sz="0" w:space="0" w:color="auto"/>
            <w:left w:val="none" w:sz="0" w:space="0" w:color="auto"/>
            <w:bottom w:val="none" w:sz="0" w:space="0" w:color="auto"/>
            <w:right w:val="none" w:sz="0" w:space="0" w:color="auto"/>
          </w:divBdr>
        </w:div>
      </w:divsChild>
    </w:div>
    <w:div w:id="1669671606">
      <w:bodyDiv w:val="1"/>
      <w:marLeft w:val="0"/>
      <w:marRight w:val="0"/>
      <w:marTop w:val="0"/>
      <w:marBottom w:val="0"/>
      <w:divBdr>
        <w:top w:val="none" w:sz="0" w:space="0" w:color="auto"/>
        <w:left w:val="none" w:sz="0" w:space="0" w:color="auto"/>
        <w:bottom w:val="none" w:sz="0" w:space="0" w:color="auto"/>
        <w:right w:val="none" w:sz="0" w:space="0" w:color="auto"/>
      </w:divBdr>
      <w:divsChild>
        <w:div w:id="178198347">
          <w:marLeft w:val="0"/>
          <w:marRight w:val="0"/>
          <w:marTop w:val="0"/>
          <w:marBottom w:val="0"/>
          <w:divBdr>
            <w:top w:val="none" w:sz="0" w:space="0" w:color="auto"/>
            <w:left w:val="none" w:sz="0" w:space="0" w:color="auto"/>
            <w:bottom w:val="none" w:sz="0" w:space="0" w:color="auto"/>
            <w:right w:val="none" w:sz="0" w:space="0" w:color="auto"/>
          </w:divBdr>
        </w:div>
        <w:div w:id="753481072">
          <w:marLeft w:val="0"/>
          <w:marRight w:val="0"/>
          <w:marTop w:val="0"/>
          <w:marBottom w:val="0"/>
          <w:divBdr>
            <w:top w:val="none" w:sz="0" w:space="0" w:color="auto"/>
            <w:left w:val="none" w:sz="0" w:space="0" w:color="auto"/>
            <w:bottom w:val="none" w:sz="0" w:space="0" w:color="auto"/>
            <w:right w:val="none" w:sz="0" w:space="0" w:color="auto"/>
          </w:divBdr>
        </w:div>
        <w:div w:id="801196163">
          <w:marLeft w:val="0"/>
          <w:marRight w:val="0"/>
          <w:marTop w:val="0"/>
          <w:marBottom w:val="0"/>
          <w:divBdr>
            <w:top w:val="none" w:sz="0" w:space="0" w:color="auto"/>
            <w:left w:val="none" w:sz="0" w:space="0" w:color="auto"/>
            <w:bottom w:val="none" w:sz="0" w:space="0" w:color="auto"/>
            <w:right w:val="none" w:sz="0" w:space="0" w:color="auto"/>
          </w:divBdr>
        </w:div>
      </w:divsChild>
    </w:div>
    <w:div w:id="1670983145">
      <w:bodyDiv w:val="1"/>
      <w:marLeft w:val="0"/>
      <w:marRight w:val="0"/>
      <w:marTop w:val="0"/>
      <w:marBottom w:val="0"/>
      <w:divBdr>
        <w:top w:val="none" w:sz="0" w:space="0" w:color="auto"/>
        <w:left w:val="none" w:sz="0" w:space="0" w:color="auto"/>
        <w:bottom w:val="none" w:sz="0" w:space="0" w:color="auto"/>
        <w:right w:val="none" w:sz="0" w:space="0" w:color="auto"/>
      </w:divBdr>
    </w:div>
    <w:div w:id="1672755879">
      <w:bodyDiv w:val="1"/>
      <w:marLeft w:val="0"/>
      <w:marRight w:val="0"/>
      <w:marTop w:val="0"/>
      <w:marBottom w:val="0"/>
      <w:divBdr>
        <w:top w:val="none" w:sz="0" w:space="0" w:color="auto"/>
        <w:left w:val="none" w:sz="0" w:space="0" w:color="auto"/>
        <w:bottom w:val="none" w:sz="0" w:space="0" w:color="auto"/>
        <w:right w:val="none" w:sz="0" w:space="0" w:color="auto"/>
      </w:divBdr>
    </w:div>
    <w:div w:id="1706100127">
      <w:bodyDiv w:val="1"/>
      <w:marLeft w:val="0"/>
      <w:marRight w:val="0"/>
      <w:marTop w:val="0"/>
      <w:marBottom w:val="0"/>
      <w:divBdr>
        <w:top w:val="none" w:sz="0" w:space="0" w:color="auto"/>
        <w:left w:val="none" w:sz="0" w:space="0" w:color="auto"/>
        <w:bottom w:val="none" w:sz="0" w:space="0" w:color="auto"/>
        <w:right w:val="none" w:sz="0" w:space="0" w:color="auto"/>
      </w:divBdr>
      <w:divsChild>
        <w:div w:id="1523350316">
          <w:marLeft w:val="0"/>
          <w:marRight w:val="0"/>
          <w:marTop w:val="0"/>
          <w:marBottom w:val="0"/>
          <w:divBdr>
            <w:top w:val="none" w:sz="0" w:space="0" w:color="auto"/>
            <w:left w:val="none" w:sz="0" w:space="0" w:color="auto"/>
            <w:bottom w:val="none" w:sz="0" w:space="0" w:color="auto"/>
            <w:right w:val="none" w:sz="0" w:space="0" w:color="auto"/>
          </w:divBdr>
        </w:div>
        <w:div w:id="652486651">
          <w:marLeft w:val="0"/>
          <w:marRight w:val="0"/>
          <w:marTop w:val="0"/>
          <w:marBottom w:val="0"/>
          <w:divBdr>
            <w:top w:val="none" w:sz="0" w:space="0" w:color="auto"/>
            <w:left w:val="none" w:sz="0" w:space="0" w:color="auto"/>
            <w:bottom w:val="none" w:sz="0" w:space="0" w:color="auto"/>
            <w:right w:val="none" w:sz="0" w:space="0" w:color="auto"/>
          </w:divBdr>
          <w:divsChild>
            <w:div w:id="601423960">
              <w:marLeft w:val="0"/>
              <w:marRight w:val="0"/>
              <w:marTop w:val="30"/>
              <w:marBottom w:val="30"/>
              <w:divBdr>
                <w:top w:val="none" w:sz="0" w:space="0" w:color="auto"/>
                <w:left w:val="none" w:sz="0" w:space="0" w:color="auto"/>
                <w:bottom w:val="none" w:sz="0" w:space="0" w:color="auto"/>
                <w:right w:val="none" w:sz="0" w:space="0" w:color="auto"/>
              </w:divBdr>
              <w:divsChild>
                <w:div w:id="46034684">
                  <w:marLeft w:val="0"/>
                  <w:marRight w:val="0"/>
                  <w:marTop w:val="0"/>
                  <w:marBottom w:val="0"/>
                  <w:divBdr>
                    <w:top w:val="none" w:sz="0" w:space="0" w:color="auto"/>
                    <w:left w:val="none" w:sz="0" w:space="0" w:color="auto"/>
                    <w:bottom w:val="none" w:sz="0" w:space="0" w:color="auto"/>
                    <w:right w:val="none" w:sz="0" w:space="0" w:color="auto"/>
                  </w:divBdr>
                  <w:divsChild>
                    <w:div w:id="1976107645">
                      <w:marLeft w:val="0"/>
                      <w:marRight w:val="0"/>
                      <w:marTop w:val="0"/>
                      <w:marBottom w:val="0"/>
                      <w:divBdr>
                        <w:top w:val="none" w:sz="0" w:space="0" w:color="auto"/>
                        <w:left w:val="none" w:sz="0" w:space="0" w:color="auto"/>
                        <w:bottom w:val="none" w:sz="0" w:space="0" w:color="auto"/>
                        <w:right w:val="none" w:sz="0" w:space="0" w:color="auto"/>
                      </w:divBdr>
                    </w:div>
                  </w:divsChild>
                </w:div>
                <w:div w:id="1957128824">
                  <w:marLeft w:val="0"/>
                  <w:marRight w:val="0"/>
                  <w:marTop w:val="0"/>
                  <w:marBottom w:val="0"/>
                  <w:divBdr>
                    <w:top w:val="none" w:sz="0" w:space="0" w:color="auto"/>
                    <w:left w:val="none" w:sz="0" w:space="0" w:color="auto"/>
                    <w:bottom w:val="none" w:sz="0" w:space="0" w:color="auto"/>
                    <w:right w:val="none" w:sz="0" w:space="0" w:color="auto"/>
                  </w:divBdr>
                  <w:divsChild>
                    <w:div w:id="1630168704">
                      <w:marLeft w:val="0"/>
                      <w:marRight w:val="0"/>
                      <w:marTop w:val="0"/>
                      <w:marBottom w:val="0"/>
                      <w:divBdr>
                        <w:top w:val="none" w:sz="0" w:space="0" w:color="auto"/>
                        <w:left w:val="none" w:sz="0" w:space="0" w:color="auto"/>
                        <w:bottom w:val="none" w:sz="0" w:space="0" w:color="auto"/>
                        <w:right w:val="none" w:sz="0" w:space="0" w:color="auto"/>
                      </w:divBdr>
                    </w:div>
                  </w:divsChild>
                </w:div>
                <w:div w:id="1712269233">
                  <w:marLeft w:val="0"/>
                  <w:marRight w:val="0"/>
                  <w:marTop w:val="0"/>
                  <w:marBottom w:val="0"/>
                  <w:divBdr>
                    <w:top w:val="none" w:sz="0" w:space="0" w:color="auto"/>
                    <w:left w:val="none" w:sz="0" w:space="0" w:color="auto"/>
                    <w:bottom w:val="none" w:sz="0" w:space="0" w:color="auto"/>
                    <w:right w:val="none" w:sz="0" w:space="0" w:color="auto"/>
                  </w:divBdr>
                  <w:divsChild>
                    <w:div w:id="683288588">
                      <w:marLeft w:val="0"/>
                      <w:marRight w:val="0"/>
                      <w:marTop w:val="0"/>
                      <w:marBottom w:val="0"/>
                      <w:divBdr>
                        <w:top w:val="none" w:sz="0" w:space="0" w:color="auto"/>
                        <w:left w:val="none" w:sz="0" w:space="0" w:color="auto"/>
                        <w:bottom w:val="none" w:sz="0" w:space="0" w:color="auto"/>
                        <w:right w:val="none" w:sz="0" w:space="0" w:color="auto"/>
                      </w:divBdr>
                    </w:div>
                  </w:divsChild>
                </w:div>
                <w:div w:id="320352628">
                  <w:marLeft w:val="0"/>
                  <w:marRight w:val="0"/>
                  <w:marTop w:val="0"/>
                  <w:marBottom w:val="0"/>
                  <w:divBdr>
                    <w:top w:val="none" w:sz="0" w:space="0" w:color="auto"/>
                    <w:left w:val="none" w:sz="0" w:space="0" w:color="auto"/>
                    <w:bottom w:val="none" w:sz="0" w:space="0" w:color="auto"/>
                    <w:right w:val="none" w:sz="0" w:space="0" w:color="auto"/>
                  </w:divBdr>
                  <w:divsChild>
                    <w:div w:id="1475677015">
                      <w:marLeft w:val="0"/>
                      <w:marRight w:val="0"/>
                      <w:marTop w:val="0"/>
                      <w:marBottom w:val="0"/>
                      <w:divBdr>
                        <w:top w:val="none" w:sz="0" w:space="0" w:color="auto"/>
                        <w:left w:val="none" w:sz="0" w:space="0" w:color="auto"/>
                        <w:bottom w:val="none" w:sz="0" w:space="0" w:color="auto"/>
                        <w:right w:val="none" w:sz="0" w:space="0" w:color="auto"/>
                      </w:divBdr>
                    </w:div>
                  </w:divsChild>
                </w:div>
                <w:div w:id="1267034305">
                  <w:marLeft w:val="0"/>
                  <w:marRight w:val="0"/>
                  <w:marTop w:val="0"/>
                  <w:marBottom w:val="0"/>
                  <w:divBdr>
                    <w:top w:val="none" w:sz="0" w:space="0" w:color="auto"/>
                    <w:left w:val="none" w:sz="0" w:space="0" w:color="auto"/>
                    <w:bottom w:val="none" w:sz="0" w:space="0" w:color="auto"/>
                    <w:right w:val="none" w:sz="0" w:space="0" w:color="auto"/>
                  </w:divBdr>
                  <w:divsChild>
                    <w:div w:id="1124034252">
                      <w:marLeft w:val="0"/>
                      <w:marRight w:val="0"/>
                      <w:marTop w:val="0"/>
                      <w:marBottom w:val="0"/>
                      <w:divBdr>
                        <w:top w:val="none" w:sz="0" w:space="0" w:color="auto"/>
                        <w:left w:val="none" w:sz="0" w:space="0" w:color="auto"/>
                        <w:bottom w:val="none" w:sz="0" w:space="0" w:color="auto"/>
                        <w:right w:val="none" w:sz="0" w:space="0" w:color="auto"/>
                      </w:divBdr>
                    </w:div>
                  </w:divsChild>
                </w:div>
                <w:div w:id="1286426728">
                  <w:marLeft w:val="0"/>
                  <w:marRight w:val="0"/>
                  <w:marTop w:val="0"/>
                  <w:marBottom w:val="0"/>
                  <w:divBdr>
                    <w:top w:val="none" w:sz="0" w:space="0" w:color="auto"/>
                    <w:left w:val="none" w:sz="0" w:space="0" w:color="auto"/>
                    <w:bottom w:val="none" w:sz="0" w:space="0" w:color="auto"/>
                    <w:right w:val="none" w:sz="0" w:space="0" w:color="auto"/>
                  </w:divBdr>
                  <w:divsChild>
                    <w:div w:id="1448697070">
                      <w:marLeft w:val="0"/>
                      <w:marRight w:val="0"/>
                      <w:marTop w:val="0"/>
                      <w:marBottom w:val="0"/>
                      <w:divBdr>
                        <w:top w:val="none" w:sz="0" w:space="0" w:color="auto"/>
                        <w:left w:val="none" w:sz="0" w:space="0" w:color="auto"/>
                        <w:bottom w:val="none" w:sz="0" w:space="0" w:color="auto"/>
                        <w:right w:val="none" w:sz="0" w:space="0" w:color="auto"/>
                      </w:divBdr>
                    </w:div>
                  </w:divsChild>
                </w:div>
                <w:div w:id="1082026331">
                  <w:marLeft w:val="0"/>
                  <w:marRight w:val="0"/>
                  <w:marTop w:val="0"/>
                  <w:marBottom w:val="0"/>
                  <w:divBdr>
                    <w:top w:val="none" w:sz="0" w:space="0" w:color="auto"/>
                    <w:left w:val="none" w:sz="0" w:space="0" w:color="auto"/>
                    <w:bottom w:val="none" w:sz="0" w:space="0" w:color="auto"/>
                    <w:right w:val="none" w:sz="0" w:space="0" w:color="auto"/>
                  </w:divBdr>
                  <w:divsChild>
                    <w:div w:id="1112748664">
                      <w:marLeft w:val="0"/>
                      <w:marRight w:val="0"/>
                      <w:marTop w:val="0"/>
                      <w:marBottom w:val="0"/>
                      <w:divBdr>
                        <w:top w:val="none" w:sz="0" w:space="0" w:color="auto"/>
                        <w:left w:val="none" w:sz="0" w:space="0" w:color="auto"/>
                        <w:bottom w:val="none" w:sz="0" w:space="0" w:color="auto"/>
                        <w:right w:val="none" w:sz="0" w:space="0" w:color="auto"/>
                      </w:divBdr>
                    </w:div>
                  </w:divsChild>
                </w:div>
                <w:div w:id="1732271622">
                  <w:marLeft w:val="0"/>
                  <w:marRight w:val="0"/>
                  <w:marTop w:val="0"/>
                  <w:marBottom w:val="0"/>
                  <w:divBdr>
                    <w:top w:val="none" w:sz="0" w:space="0" w:color="auto"/>
                    <w:left w:val="none" w:sz="0" w:space="0" w:color="auto"/>
                    <w:bottom w:val="none" w:sz="0" w:space="0" w:color="auto"/>
                    <w:right w:val="none" w:sz="0" w:space="0" w:color="auto"/>
                  </w:divBdr>
                  <w:divsChild>
                    <w:div w:id="1935017220">
                      <w:marLeft w:val="0"/>
                      <w:marRight w:val="0"/>
                      <w:marTop w:val="0"/>
                      <w:marBottom w:val="0"/>
                      <w:divBdr>
                        <w:top w:val="none" w:sz="0" w:space="0" w:color="auto"/>
                        <w:left w:val="none" w:sz="0" w:space="0" w:color="auto"/>
                        <w:bottom w:val="none" w:sz="0" w:space="0" w:color="auto"/>
                        <w:right w:val="none" w:sz="0" w:space="0" w:color="auto"/>
                      </w:divBdr>
                    </w:div>
                  </w:divsChild>
                </w:div>
                <w:div w:id="155995711">
                  <w:marLeft w:val="0"/>
                  <w:marRight w:val="0"/>
                  <w:marTop w:val="0"/>
                  <w:marBottom w:val="0"/>
                  <w:divBdr>
                    <w:top w:val="none" w:sz="0" w:space="0" w:color="auto"/>
                    <w:left w:val="none" w:sz="0" w:space="0" w:color="auto"/>
                    <w:bottom w:val="none" w:sz="0" w:space="0" w:color="auto"/>
                    <w:right w:val="none" w:sz="0" w:space="0" w:color="auto"/>
                  </w:divBdr>
                  <w:divsChild>
                    <w:div w:id="1002203180">
                      <w:marLeft w:val="0"/>
                      <w:marRight w:val="0"/>
                      <w:marTop w:val="0"/>
                      <w:marBottom w:val="0"/>
                      <w:divBdr>
                        <w:top w:val="none" w:sz="0" w:space="0" w:color="auto"/>
                        <w:left w:val="none" w:sz="0" w:space="0" w:color="auto"/>
                        <w:bottom w:val="none" w:sz="0" w:space="0" w:color="auto"/>
                        <w:right w:val="none" w:sz="0" w:space="0" w:color="auto"/>
                      </w:divBdr>
                    </w:div>
                  </w:divsChild>
                </w:div>
                <w:div w:id="1489899288">
                  <w:marLeft w:val="0"/>
                  <w:marRight w:val="0"/>
                  <w:marTop w:val="0"/>
                  <w:marBottom w:val="0"/>
                  <w:divBdr>
                    <w:top w:val="none" w:sz="0" w:space="0" w:color="auto"/>
                    <w:left w:val="none" w:sz="0" w:space="0" w:color="auto"/>
                    <w:bottom w:val="none" w:sz="0" w:space="0" w:color="auto"/>
                    <w:right w:val="none" w:sz="0" w:space="0" w:color="auto"/>
                  </w:divBdr>
                  <w:divsChild>
                    <w:div w:id="1660885853">
                      <w:marLeft w:val="0"/>
                      <w:marRight w:val="0"/>
                      <w:marTop w:val="0"/>
                      <w:marBottom w:val="0"/>
                      <w:divBdr>
                        <w:top w:val="none" w:sz="0" w:space="0" w:color="auto"/>
                        <w:left w:val="none" w:sz="0" w:space="0" w:color="auto"/>
                        <w:bottom w:val="none" w:sz="0" w:space="0" w:color="auto"/>
                        <w:right w:val="none" w:sz="0" w:space="0" w:color="auto"/>
                      </w:divBdr>
                    </w:div>
                  </w:divsChild>
                </w:div>
                <w:div w:id="1946183031">
                  <w:marLeft w:val="0"/>
                  <w:marRight w:val="0"/>
                  <w:marTop w:val="0"/>
                  <w:marBottom w:val="0"/>
                  <w:divBdr>
                    <w:top w:val="none" w:sz="0" w:space="0" w:color="auto"/>
                    <w:left w:val="none" w:sz="0" w:space="0" w:color="auto"/>
                    <w:bottom w:val="none" w:sz="0" w:space="0" w:color="auto"/>
                    <w:right w:val="none" w:sz="0" w:space="0" w:color="auto"/>
                  </w:divBdr>
                  <w:divsChild>
                    <w:div w:id="625701142">
                      <w:marLeft w:val="0"/>
                      <w:marRight w:val="0"/>
                      <w:marTop w:val="0"/>
                      <w:marBottom w:val="0"/>
                      <w:divBdr>
                        <w:top w:val="none" w:sz="0" w:space="0" w:color="auto"/>
                        <w:left w:val="none" w:sz="0" w:space="0" w:color="auto"/>
                        <w:bottom w:val="none" w:sz="0" w:space="0" w:color="auto"/>
                        <w:right w:val="none" w:sz="0" w:space="0" w:color="auto"/>
                      </w:divBdr>
                    </w:div>
                  </w:divsChild>
                </w:div>
                <w:div w:id="733041117">
                  <w:marLeft w:val="0"/>
                  <w:marRight w:val="0"/>
                  <w:marTop w:val="0"/>
                  <w:marBottom w:val="0"/>
                  <w:divBdr>
                    <w:top w:val="none" w:sz="0" w:space="0" w:color="auto"/>
                    <w:left w:val="none" w:sz="0" w:space="0" w:color="auto"/>
                    <w:bottom w:val="none" w:sz="0" w:space="0" w:color="auto"/>
                    <w:right w:val="none" w:sz="0" w:space="0" w:color="auto"/>
                  </w:divBdr>
                  <w:divsChild>
                    <w:div w:id="796989299">
                      <w:marLeft w:val="0"/>
                      <w:marRight w:val="0"/>
                      <w:marTop w:val="0"/>
                      <w:marBottom w:val="0"/>
                      <w:divBdr>
                        <w:top w:val="none" w:sz="0" w:space="0" w:color="auto"/>
                        <w:left w:val="none" w:sz="0" w:space="0" w:color="auto"/>
                        <w:bottom w:val="none" w:sz="0" w:space="0" w:color="auto"/>
                        <w:right w:val="none" w:sz="0" w:space="0" w:color="auto"/>
                      </w:divBdr>
                    </w:div>
                  </w:divsChild>
                </w:div>
                <w:div w:id="131993457">
                  <w:marLeft w:val="0"/>
                  <w:marRight w:val="0"/>
                  <w:marTop w:val="0"/>
                  <w:marBottom w:val="0"/>
                  <w:divBdr>
                    <w:top w:val="none" w:sz="0" w:space="0" w:color="auto"/>
                    <w:left w:val="none" w:sz="0" w:space="0" w:color="auto"/>
                    <w:bottom w:val="none" w:sz="0" w:space="0" w:color="auto"/>
                    <w:right w:val="none" w:sz="0" w:space="0" w:color="auto"/>
                  </w:divBdr>
                  <w:divsChild>
                    <w:div w:id="1038044529">
                      <w:marLeft w:val="0"/>
                      <w:marRight w:val="0"/>
                      <w:marTop w:val="0"/>
                      <w:marBottom w:val="0"/>
                      <w:divBdr>
                        <w:top w:val="none" w:sz="0" w:space="0" w:color="auto"/>
                        <w:left w:val="none" w:sz="0" w:space="0" w:color="auto"/>
                        <w:bottom w:val="none" w:sz="0" w:space="0" w:color="auto"/>
                        <w:right w:val="none" w:sz="0" w:space="0" w:color="auto"/>
                      </w:divBdr>
                    </w:div>
                  </w:divsChild>
                </w:div>
                <w:div w:id="421685631">
                  <w:marLeft w:val="0"/>
                  <w:marRight w:val="0"/>
                  <w:marTop w:val="0"/>
                  <w:marBottom w:val="0"/>
                  <w:divBdr>
                    <w:top w:val="none" w:sz="0" w:space="0" w:color="auto"/>
                    <w:left w:val="none" w:sz="0" w:space="0" w:color="auto"/>
                    <w:bottom w:val="none" w:sz="0" w:space="0" w:color="auto"/>
                    <w:right w:val="none" w:sz="0" w:space="0" w:color="auto"/>
                  </w:divBdr>
                  <w:divsChild>
                    <w:div w:id="2095930468">
                      <w:marLeft w:val="0"/>
                      <w:marRight w:val="0"/>
                      <w:marTop w:val="0"/>
                      <w:marBottom w:val="0"/>
                      <w:divBdr>
                        <w:top w:val="none" w:sz="0" w:space="0" w:color="auto"/>
                        <w:left w:val="none" w:sz="0" w:space="0" w:color="auto"/>
                        <w:bottom w:val="none" w:sz="0" w:space="0" w:color="auto"/>
                        <w:right w:val="none" w:sz="0" w:space="0" w:color="auto"/>
                      </w:divBdr>
                    </w:div>
                  </w:divsChild>
                </w:div>
                <w:div w:id="348875782">
                  <w:marLeft w:val="0"/>
                  <w:marRight w:val="0"/>
                  <w:marTop w:val="0"/>
                  <w:marBottom w:val="0"/>
                  <w:divBdr>
                    <w:top w:val="none" w:sz="0" w:space="0" w:color="auto"/>
                    <w:left w:val="none" w:sz="0" w:space="0" w:color="auto"/>
                    <w:bottom w:val="none" w:sz="0" w:space="0" w:color="auto"/>
                    <w:right w:val="none" w:sz="0" w:space="0" w:color="auto"/>
                  </w:divBdr>
                  <w:divsChild>
                    <w:div w:id="1247114192">
                      <w:marLeft w:val="0"/>
                      <w:marRight w:val="0"/>
                      <w:marTop w:val="0"/>
                      <w:marBottom w:val="0"/>
                      <w:divBdr>
                        <w:top w:val="none" w:sz="0" w:space="0" w:color="auto"/>
                        <w:left w:val="none" w:sz="0" w:space="0" w:color="auto"/>
                        <w:bottom w:val="none" w:sz="0" w:space="0" w:color="auto"/>
                        <w:right w:val="none" w:sz="0" w:space="0" w:color="auto"/>
                      </w:divBdr>
                    </w:div>
                  </w:divsChild>
                </w:div>
                <w:div w:id="645086965">
                  <w:marLeft w:val="0"/>
                  <w:marRight w:val="0"/>
                  <w:marTop w:val="0"/>
                  <w:marBottom w:val="0"/>
                  <w:divBdr>
                    <w:top w:val="none" w:sz="0" w:space="0" w:color="auto"/>
                    <w:left w:val="none" w:sz="0" w:space="0" w:color="auto"/>
                    <w:bottom w:val="none" w:sz="0" w:space="0" w:color="auto"/>
                    <w:right w:val="none" w:sz="0" w:space="0" w:color="auto"/>
                  </w:divBdr>
                  <w:divsChild>
                    <w:div w:id="1180968783">
                      <w:marLeft w:val="0"/>
                      <w:marRight w:val="0"/>
                      <w:marTop w:val="0"/>
                      <w:marBottom w:val="0"/>
                      <w:divBdr>
                        <w:top w:val="none" w:sz="0" w:space="0" w:color="auto"/>
                        <w:left w:val="none" w:sz="0" w:space="0" w:color="auto"/>
                        <w:bottom w:val="none" w:sz="0" w:space="0" w:color="auto"/>
                        <w:right w:val="none" w:sz="0" w:space="0" w:color="auto"/>
                      </w:divBdr>
                    </w:div>
                  </w:divsChild>
                </w:div>
                <w:div w:id="125440006">
                  <w:marLeft w:val="0"/>
                  <w:marRight w:val="0"/>
                  <w:marTop w:val="0"/>
                  <w:marBottom w:val="0"/>
                  <w:divBdr>
                    <w:top w:val="none" w:sz="0" w:space="0" w:color="auto"/>
                    <w:left w:val="none" w:sz="0" w:space="0" w:color="auto"/>
                    <w:bottom w:val="none" w:sz="0" w:space="0" w:color="auto"/>
                    <w:right w:val="none" w:sz="0" w:space="0" w:color="auto"/>
                  </w:divBdr>
                  <w:divsChild>
                    <w:div w:id="1423180730">
                      <w:marLeft w:val="0"/>
                      <w:marRight w:val="0"/>
                      <w:marTop w:val="0"/>
                      <w:marBottom w:val="0"/>
                      <w:divBdr>
                        <w:top w:val="none" w:sz="0" w:space="0" w:color="auto"/>
                        <w:left w:val="none" w:sz="0" w:space="0" w:color="auto"/>
                        <w:bottom w:val="none" w:sz="0" w:space="0" w:color="auto"/>
                        <w:right w:val="none" w:sz="0" w:space="0" w:color="auto"/>
                      </w:divBdr>
                    </w:div>
                  </w:divsChild>
                </w:div>
                <w:div w:id="1604724250">
                  <w:marLeft w:val="0"/>
                  <w:marRight w:val="0"/>
                  <w:marTop w:val="0"/>
                  <w:marBottom w:val="0"/>
                  <w:divBdr>
                    <w:top w:val="none" w:sz="0" w:space="0" w:color="auto"/>
                    <w:left w:val="none" w:sz="0" w:space="0" w:color="auto"/>
                    <w:bottom w:val="none" w:sz="0" w:space="0" w:color="auto"/>
                    <w:right w:val="none" w:sz="0" w:space="0" w:color="auto"/>
                  </w:divBdr>
                  <w:divsChild>
                    <w:div w:id="805313207">
                      <w:marLeft w:val="0"/>
                      <w:marRight w:val="0"/>
                      <w:marTop w:val="0"/>
                      <w:marBottom w:val="0"/>
                      <w:divBdr>
                        <w:top w:val="none" w:sz="0" w:space="0" w:color="auto"/>
                        <w:left w:val="none" w:sz="0" w:space="0" w:color="auto"/>
                        <w:bottom w:val="none" w:sz="0" w:space="0" w:color="auto"/>
                        <w:right w:val="none" w:sz="0" w:space="0" w:color="auto"/>
                      </w:divBdr>
                    </w:div>
                  </w:divsChild>
                </w:div>
                <w:div w:id="688946110">
                  <w:marLeft w:val="0"/>
                  <w:marRight w:val="0"/>
                  <w:marTop w:val="0"/>
                  <w:marBottom w:val="0"/>
                  <w:divBdr>
                    <w:top w:val="none" w:sz="0" w:space="0" w:color="auto"/>
                    <w:left w:val="none" w:sz="0" w:space="0" w:color="auto"/>
                    <w:bottom w:val="none" w:sz="0" w:space="0" w:color="auto"/>
                    <w:right w:val="none" w:sz="0" w:space="0" w:color="auto"/>
                  </w:divBdr>
                  <w:divsChild>
                    <w:div w:id="927348277">
                      <w:marLeft w:val="0"/>
                      <w:marRight w:val="0"/>
                      <w:marTop w:val="0"/>
                      <w:marBottom w:val="0"/>
                      <w:divBdr>
                        <w:top w:val="none" w:sz="0" w:space="0" w:color="auto"/>
                        <w:left w:val="none" w:sz="0" w:space="0" w:color="auto"/>
                        <w:bottom w:val="none" w:sz="0" w:space="0" w:color="auto"/>
                        <w:right w:val="none" w:sz="0" w:space="0" w:color="auto"/>
                      </w:divBdr>
                    </w:div>
                  </w:divsChild>
                </w:div>
                <w:div w:id="426079548">
                  <w:marLeft w:val="0"/>
                  <w:marRight w:val="0"/>
                  <w:marTop w:val="0"/>
                  <w:marBottom w:val="0"/>
                  <w:divBdr>
                    <w:top w:val="none" w:sz="0" w:space="0" w:color="auto"/>
                    <w:left w:val="none" w:sz="0" w:space="0" w:color="auto"/>
                    <w:bottom w:val="none" w:sz="0" w:space="0" w:color="auto"/>
                    <w:right w:val="none" w:sz="0" w:space="0" w:color="auto"/>
                  </w:divBdr>
                  <w:divsChild>
                    <w:div w:id="1202549692">
                      <w:marLeft w:val="0"/>
                      <w:marRight w:val="0"/>
                      <w:marTop w:val="0"/>
                      <w:marBottom w:val="0"/>
                      <w:divBdr>
                        <w:top w:val="none" w:sz="0" w:space="0" w:color="auto"/>
                        <w:left w:val="none" w:sz="0" w:space="0" w:color="auto"/>
                        <w:bottom w:val="none" w:sz="0" w:space="0" w:color="auto"/>
                        <w:right w:val="none" w:sz="0" w:space="0" w:color="auto"/>
                      </w:divBdr>
                    </w:div>
                  </w:divsChild>
                </w:div>
                <w:div w:id="1896967803">
                  <w:marLeft w:val="0"/>
                  <w:marRight w:val="0"/>
                  <w:marTop w:val="0"/>
                  <w:marBottom w:val="0"/>
                  <w:divBdr>
                    <w:top w:val="none" w:sz="0" w:space="0" w:color="auto"/>
                    <w:left w:val="none" w:sz="0" w:space="0" w:color="auto"/>
                    <w:bottom w:val="none" w:sz="0" w:space="0" w:color="auto"/>
                    <w:right w:val="none" w:sz="0" w:space="0" w:color="auto"/>
                  </w:divBdr>
                  <w:divsChild>
                    <w:div w:id="479887218">
                      <w:marLeft w:val="0"/>
                      <w:marRight w:val="0"/>
                      <w:marTop w:val="0"/>
                      <w:marBottom w:val="0"/>
                      <w:divBdr>
                        <w:top w:val="none" w:sz="0" w:space="0" w:color="auto"/>
                        <w:left w:val="none" w:sz="0" w:space="0" w:color="auto"/>
                        <w:bottom w:val="none" w:sz="0" w:space="0" w:color="auto"/>
                        <w:right w:val="none" w:sz="0" w:space="0" w:color="auto"/>
                      </w:divBdr>
                    </w:div>
                  </w:divsChild>
                </w:div>
                <w:div w:id="1831556344">
                  <w:marLeft w:val="0"/>
                  <w:marRight w:val="0"/>
                  <w:marTop w:val="0"/>
                  <w:marBottom w:val="0"/>
                  <w:divBdr>
                    <w:top w:val="none" w:sz="0" w:space="0" w:color="auto"/>
                    <w:left w:val="none" w:sz="0" w:space="0" w:color="auto"/>
                    <w:bottom w:val="none" w:sz="0" w:space="0" w:color="auto"/>
                    <w:right w:val="none" w:sz="0" w:space="0" w:color="auto"/>
                  </w:divBdr>
                  <w:divsChild>
                    <w:div w:id="33338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283835">
      <w:bodyDiv w:val="1"/>
      <w:marLeft w:val="0"/>
      <w:marRight w:val="0"/>
      <w:marTop w:val="0"/>
      <w:marBottom w:val="0"/>
      <w:divBdr>
        <w:top w:val="none" w:sz="0" w:space="0" w:color="auto"/>
        <w:left w:val="none" w:sz="0" w:space="0" w:color="auto"/>
        <w:bottom w:val="none" w:sz="0" w:space="0" w:color="auto"/>
        <w:right w:val="none" w:sz="0" w:space="0" w:color="auto"/>
      </w:divBdr>
    </w:div>
    <w:div w:id="1741905872">
      <w:bodyDiv w:val="1"/>
      <w:marLeft w:val="0"/>
      <w:marRight w:val="0"/>
      <w:marTop w:val="0"/>
      <w:marBottom w:val="0"/>
      <w:divBdr>
        <w:top w:val="none" w:sz="0" w:space="0" w:color="auto"/>
        <w:left w:val="none" w:sz="0" w:space="0" w:color="auto"/>
        <w:bottom w:val="none" w:sz="0" w:space="0" w:color="auto"/>
        <w:right w:val="none" w:sz="0" w:space="0" w:color="auto"/>
      </w:divBdr>
    </w:div>
    <w:div w:id="1754278031">
      <w:bodyDiv w:val="1"/>
      <w:marLeft w:val="0"/>
      <w:marRight w:val="0"/>
      <w:marTop w:val="0"/>
      <w:marBottom w:val="0"/>
      <w:divBdr>
        <w:top w:val="none" w:sz="0" w:space="0" w:color="auto"/>
        <w:left w:val="none" w:sz="0" w:space="0" w:color="auto"/>
        <w:bottom w:val="none" w:sz="0" w:space="0" w:color="auto"/>
        <w:right w:val="none" w:sz="0" w:space="0" w:color="auto"/>
      </w:divBdr>
    </w:div>
    <w:div w:id="1762796034">
      <w:bodyDiv w:val="1"/>
      <w:marLeft w:val="0"/>
      <w:marRight w:val="0"/>
      <w:marTop w:val="0"/>
      <w:marBottom w:val="0"/>
      <w:divBdr>
        <w:top w:val="none" w:sz="0" w:space="0" w:color="auto"/>
        <w:left w:val="none" w:sz="0" w:space="0" w:color="auto"/>
        <w:bottom w:val="none" w:sz="0" w:space="0" w:color="auto"/>
        <w:right w:val="none" w:sz="0" w:space="0" w:color="auto"/>
      </w:divBdr>
    </w:div>
    <w:div w:id="1805193428">
      <w:bodyDiv w:val="1"/>
      <w:marLeft w:val="0"/>
      <w:marRight w:val="0"/>
      <w:marTop w:val="0"/>
      <w:marBottom w:val="0"/>
      <w:divBdr>
        <w:top w:val="none" w:sz="0" w:space="0" w:color="auto"/>
        <w:left w:val="none" w:sz="0" w:space="0" w:color="auto"/>
        <w:bottom w:val="none" w:sz="0" w:space="0" w:color="auto"/>
        <w:right w:val="none" w:sz="0" w:space="0" w:color="auto"/>
      </w:divBdr>
      <w:divsChild>
        <w:div w:id="857547630">
          <w:marLeft w:val="0"/>
          <w:marRight w:val="0"/>
          <w:marTop w:val="0"/>
          <w:marBottom w:val="0"/>
          <w:divBdr>
            <w:top w:val="none" w:sz="0" w:space="0" w:color="auto"/>
            <w:left w:val="none" w:sz="0" w:space="0" w:color="auto"/>
            <w:bottom w:val="none" w:sz="0" w:space="0" w:color="auto"/>
            <w:right w:val="none" w:sz="0" w:space="0" w:color="auto"/>
          </w:divBdr>
        </w:div>
        <w:div w:id="1348210387">
          <w:marLeft w:val="0"/>
          <w:marRight w:val="0"/>
          <w:marTop w:val="0"/>
          <w:marBottom w:val="0"/>
          <w:divBdr>
            <w:top w:val="none" w:sz="0" w:space="0" w:color="auto"/>
            <w:left w:val="none" w:sz="0" w:space="0" w:color="auto"/>
            <w:bottom w:val="none" w:sz="0" w:space="0" w:color="auto"/>
            <w:right w:val="none" w:sz="0" w:space="0" w:color="auto"/>
          </w:divBdr>
          <w:divsChild>
            <w:div w:id="1484270025">
              <w:marLeft w:val="0"/>
              <w:marRight w:val="0"/>
              <w:marTop w:val="0"/>
              <w:marBottom w:val="0"/>
              <w:divBdr>
                <w:top w:val="none" w:sz="0" w:space="0" w:color="auto"/>
                <w:left w:val="none" w:sz="0" w:space="0" w:color="auto"/>
                <w:bottom w:val="none" w:sz="0" w:space="0" w:color="auto"/>
                <w:right w:val="none" w:sz="0" w:space="0" w:color="auto"/>
              </w:divBdr>
            </w:div>
            <w:div w:id="722489127">
              <w:marLeft w:val="0"/>
              <w:marRight w:val="0"/>
              <w:marTop w:val="0"/>
              <w:marBottom w:val="0"/>
              <w:divBdr>
                <w:top w:val="none" w:sz="0" w:space="0" w:color="auto"/>
                <w:left w:val="none" w:sz="0" w:space="0" w:color="auto"/>
                <w:bottom w:val="none" w:sz="0" w:space="0" w:color="auto"/>
                <w:right w:val="none" w:sz="0" w:space="0" w:color="auto"/>
              </w:divBdr>
            </w:div>
            <w:div w:id="133253936">
              <w:marLeft w:val="0"/>
              <w:marRight w:val="0"/>
              <w:marTop w:val="0"/>
              <w:marBottom w:val="0"/>
              <w:divBdr>
                <w:top w:val="none" w:sz="0" w:space="0" w:color="auto"/>
                <w:left w:val="none" w:sz="0" w:space="0" w:color="auto"/>
                <w:bottom w:val="none" w:sz="0" w:space="0" w:color="auto"/>
                <w:right w:val="none" w:sz="0" w:space="0" w:color="auto"/>
              </w:divBdr>
            </w:div>
            <w:div w:id="398401812">
              <w:marLeft w:val="0"/>
              <w:marRight w:val="0"/>
              <w:marTop w:val="0"/>
              <w:marBottom w:val="0"/>
              <w:divBdr>
                <w:top w:val="none" w:sz="0" w:space="0" w:color="auto"/>
                <w:left w:val="none" w:sz="0" w:space="0" w:color="auto"/>
                <w:bottom w:val="none" w:sz="0" w:space="0" w:color="auto"/>
                <w:right w:val="none" w:sz="0" w:space="0" w:color="auto"/>
              </w:divBdr>
            </w:div>
            <w:div w:id="107623666">
              <w:marLeft w:val="0"/>
              <w:marRight w:val="0"/>
              <w:marTop w:val="0"/>
              <w:marBottom w:val="0"/>
              <w:divBdr>
                <w:top w:val="none" w:sz="0" w:space="0" w:color="auto"/>
                <w:left w:val="none" w:sz="0" w:space="0" w:color="auto"/>
                <w:bottom w:val="none" w:sz="0" w:space="0" w:color="auto"/>
                <w:right w:val="none" w:sz="0" w:space="0" w:color="auto"/>
              </w:divBdr>
            </w:div>
            <w:div w:id="1013610546">
              <w:marLeft w:val="0"/>
              <w:marRight w:val="0"/>
              <w:marTop w:val="0"/>
              <w:marBottom w:val="0"/>
              <w:divBdr>
                <w:top w:val="none" w:sz="0" w:space="0" w:color="auto"/>
                <w:left w:val="none" w:sz="0" w:space="0" w:color="auto"/>
                <w:bottom w:val="none" w:sz="0" w:space="0" w:color="auto"/>
                <w:right w:val="none" w:sz="0" w:space="0" w:color="auto"/>
              </w:divBdr>
            </w:div>
            <w:div w:id="817377614">
              <w:marLeft w:val="0"/>
              <w:marRight w:val="0"/>
              <w:marTop w:val="0"/>
              <w:marBottom w:val="0"/>
              <w:divBdr>
                <w:top w:val="none" w:sz="0" w:space="0" w:color="auto"/>
                <w:left w:val="none" w:sz="0" w:space="0" w:color="auto"/>
                <w:bottom w:val="none" w:sz="0" w:space="0" w:color="auto"/>
                <w:right w:val="none" w:sz="0" w:space="0" w:color="auto"/>
              </w:divBdr>
            </w:div>
            <w:div w:id="513031363">
              <w:marLeft w:val="0"/>
              <w:marRight w:val="0"/>
              <w:marTop w:val="0"/>
              <w:marBottom w:val="0"/>
              <w:divBdr>
                <w:top w:val="none" w:sz="0" w:space="0" w:color="auto"/>
                <w:left w:val="none" w:sz="0" w:space="0" w:color="auto"/>
                <w:bottom w:val="none" w:sz="0" w:space="0" w:color="auto"/>
                <w:right w:val="none" w:sz="0" w:space="0" w:color="auto"/>
              </w:divBdr>
            </w:div>
            <w:div w:id="797459319">
              <w:marLeft w:val="0"/>
              <w:marRight w:val="0"/>
              <w:marTop w:val="0"/>
              <w:marBottom w:val="0"/>
              <w:divBdr>
                <w:top w:val="none" w:sz="0" w:space="0" w:color="auto"/>
                <w:left w:val="none" w:sz="0" w:space="0" w:color="auto"/>
                <w:bottom w:val="none" w:sz="0" w:space="0" w:color="auto"/>
                <w:right w:val="none" w:sz="0" w:space="0" w:color="auto"/>
              </w:divBdr>
            </w:div>
            <w:div w:id="1364941661">
              <w:marLeft w:val="0"/>
              <w:marRight w:val="0"/>
              <w:marTop w:val="0"/>
              <w:marBottom w:val="0"/>
              <w:divBdr>
                <w:top w:val="none" w:sz="0" w:space="0" w:color="auto"/>
                <w:left w:val="none" w:sz="0" w:space="0" w:color="auto"/>
                <w:bottom w:val="none" w:sz="0" w:space="0" w:color="auto"/>
                <w:right w:val="none" w:sz="0" w:space="0" w:color="auto"/>
              </w:divBdr>
            </w:div>
            <w:div w:id="256448065">
              <w:marLeft w:val="0"/>
              <w:marRight w:val="0"/>
              <w:marTop w:val="0"/>
              <w:marBottom w:val="0"/>
              <w:divBdr>
                <w:top w:val="none" w:sz="0" w:space="0" w:color="auto"/>
                <w:left w:val="none" w:sz="0" w:space="0" w:color="auto"/>
                <w:bottom w:val="none" w:sz="0" w:space="0" w:color="auto"/>
                <w:right w:val="none" w:sz="0" w:space="0" w:color="auto"/>
              </w:divBdr>
            </w:div>
          </w:divsChild>
        </w:div>
        <w:div w:id="1231577359">
          <w:marLeft w:val="0"/>
          <w:marRight w:val="0"/>
          <w:marTop w:val="0"/>
          <w:marBottom w:val="0"/>
          <w:divBdr>
            <w:top w:val="none" w:sz="0" w:space="0" w:color="auto"/>
            <w:left w:val="none" w:sz="0" w:space="0" w:color="auto"/>
            <w:bottom w:val="none" w:sz="0" w:space="0" w:color="auto"/>
            <w:right w:val="none" w:sz="0" w:space="0" w:color="auto"/>
          </w:divBdr>
          <w:divsChild>
            <w:div w:id="1001003008">
              <w:marLeft w:val="-75"/>
              <w:marRight w:val="0"/>
              <w:marTop w:val="30"/>
              <w:marBottom w:val="30"/>
              <w:divBdr>
                <w:top w:val="none" w:sz="0" w:space="0" w:color="auto"/>
                <w:left w:val="none" w:sz="0" w:space="0" w:color="auto"/>
                <w:bottom w:val="none" w:sz="0" w:space="0" w:color="auto"/>
                <w:right w:val="none" w:sz="0" w:space="0" w:color="auto"/>
              </w:divBdr>
              <w:divsChild>
                <w:div w:id="956175847">
                  <w:marLeft w:val="0"/>
                  <w:marRight w:val="0"/>
                  <w:marTop w:val="0"/>
                  <w:marBottom w:val="0"/>
                  <w:divBdr>
                    <w:top w:val="none" w:sz="0" w:space="0" w:color="auto"/>
                    <w:left w:val="none" w:sz="0" w:space="0" w:color="auto"/>
                    <w:bottom w:val="none" w:sz="0" w:space="0" w:color="auto"/>
                    <w:right w:val="none" w:sz="0" w:space="0" w:color="auto"/>
                  </w:divBdr>
                  <w:divsChild>
                    <w:div w:id="892346455">
                      <w:marLeft w:val="0"/>
                      <w:marRight w:val="0"/>
                      <w:marTop w:val="0"/>
                      <w:marBottom w:val="0"/>
                      <w:divBdr>
                        <w:top w:val="none" w:sz="0" w:space="0" w:color="auto"/>
                        <w:left w:val="none" w:sz="0" w:space="0" w:color="auto"/>
                        <w:bottom w:val="none" w:sz="0" w:space="0" w:color="auto"/>
                        <w:right w:val="none" w:sz="0" w:space="0" w:color="auto"/>
                      </w:divBdr>
                    </w:div>
                  </w:divsChild>
                </w:div>
                <w:div w:id="1223758326">
                  <w:marLeft w:val="0"/>
                  <w:marRight w:val="0"/>
                  <w:marTop w:val="0"/>
                  <w:marBottom w:val="0"/>
                  <w:divBdr>
                    <w:top w:val="none" w:sz="0" w:space="0" w:color="auto"/>
                    <w:left w:val="none" w:sz="0" w:space="0" w:color="auto"/>
                    <w:bottom w:val="none" w:sz="0" w:space="0" w:color="auto"/>
                    <w:right w:val="none" w:sz="0" w:space="0" w:color="auto"/>
                  </w:divBdr>
                  <w:divsChild>
                    <w:div w:id="1010062143">
                      <w:marLeft w:val="0"/>
                      <w:marRight w:val="0"/>
                      <w:marTop w:val="0"/>
                      <w:marBottom w:val="0"/>
                      <w:divBdr>
                        <w:top w:val="none" w:sz="0" w:space="0" w:color="auto"/>
                        <w:left w:val="none" w:sz="0" w:space="0" w:color="auto"/>
                        <w:bottom w:val="none" w:sz="0" w:space="0" w:color="auto"/>
                        <w:right w:val="none" w:sz="0" w:space="0" w:color="auto"/>
                      </w:divBdr>
                    </w:div>
                  </w:divsChild>
                </w:div>
                <w:div w:id="4334746">
                  <w:marLeft w:val="0"/>
                  <w:marRight w:val="0"/>
                  <w:marTop w:val="0"/>
                  <w:marBottom w:val="0"/>
                  <w:divBdr>
                    <w:top w:val="none" w:sz="0" w:space="0" w:color="auto"/>
                    <w:left w:val="none" w:sz="0" w:space="0" w:color="auto"/>
                    <w:bottom w:val="none" w:sz="0" w:space="0" w:color="auto"/>
                    <w:right w:val="none" w:sz="0" w:space="0" w:color="auto"/>
                  </w:divBdr>
                  <w:divsChild>
                    <w:div w:id="618419566">
                      <w:marLeft w:val="0"/>
                      <w:marRight w:val="0"/>
                      <w:marTop w:val="0"/>
                      <w:marBottom w:val="0"/>
                      <w:divBdr>
                        <w:top w:val="none" w:sz="0" w:space="0" w:color="auto"/>
                        <w:left w:val="none" w:sz="0" w:space="0" w:color="auto"/>
                        <w:bottom w:val="none" w:sz="0" w:space="0" w:color="auto"/>
                        <w:right w:val="none" w:sz="0" w:space="0" w:color="auto"/>
                      </w:divBdr>
                    </w:div>
                  </w:divsChild>
                </w:div>
                <w:div w:id="543831872">
                  <w:marLeft w:val="0"/>
                  <w:marRight w:val="0"/>
                  <w:marTop w:val="0"/>
                  <w:marBottom w:val="0"/>
                  <w:divBdr>
                    <w:top w:val="none" w:sz="0" w:space="0" w:color="auto"/>
                    <w:left w:val="none" w:sz="0" w:space="0" w:color="auto"/>
                    <w:bottom w:val="none" w:sz="0" w:space="0" w:color="auto"/>
                    <w:right w:val="none" w:sz="0" w:space="0" w:color="auto"/>
                  </w:divBdr>
                  <w:divsChild>
                    <w:div w:id="1105464238">
                      <w:marLeft w:val="0"/>
                      <w:marRight w:val="0"/>
                      <w:marTop w:val="0"/>
                      <w:marBottom w:val="0"/>
                      <w:divBdr>
                        <w:top w:val="none" w:sz="0" w:space="0" w:color="auto"/>
                        <w:left w:val="none" w:sz="0" w:space="0" w:color="auto"/>
                        <w:bottom w:val="none" w:sz="0" w:space="0" w:color="auto"/>
                        <w:right w:val="none" w:sz="0" w:space="0" w:color="auto"/>
                      </w:divBdr>
                    </w:div>
                  </w:divsChild>
                </w:div>
                <w:div w:id="235290466">
                  <w:marLeft w:val="0"/>
                  <w:marRight w:val="0"/>
                  <w:marTop w:val="0"/>
                  <w:marBottom w:val="0"/>
                  <w:divBdr>
                    <w:top w:val="none" w:sz="0" w:space="0" w:color="auto"/>
                    <w:left w:val="none" w:sz="0" w:space="0" w:color="auto"/>
                    <w:bottom w:val="none" w:sz="0" w:space="0" w:color="auto"/>
                    <w:right w:val="none" w:sz="0" w:space="0" w:color="auto"/>
                  </w:divBdr>
                  <w:divsChild>
                    <w:div w:id="1004867188">
                      <w:marLeft w:val="0"/>
                      <w:marRight w:val="0"/>
                      <w:marTop w:val="0"/>
                      <w:marBottom w:val="0"/>
                      <w:divBdr>
                        <w:top w:val="none" w:sz="0" w:space="0" w:color="auto"/>
                        <w:left w:val="none" w:sz="0" w:space="0" w:color="auto"/>
                        <w:bottom w:val="none" w:sz="0" w:space="0" w:color="auto"/>
                        <w:right w:val="none" w:sz="0" w:space="0" w:color="auto"/>
                      </w:divBdr>
                    </w:div>
                  </w:divsChild>
                </w:div>
                <w:div w:id="638463936">
                  <w:marLeft w:val="0"/>
                  <w:marRight w:val="0"/>
                  <w:marTop w:val="0"/>
                  <w:marBottom w:val="0"/>
                  <w:divBdr>
                    <w:top w:val="none" w:sz="0" w:space="0" w:color="auto"/>
                    <w:left w:val="none" w:sz="0" w:space="0" w:color="auto"/>
                    <w:bottom w:val="none" w:sz="0" w:space="0" w:color="auto"/>
                    <w:right w:val="none" w:sz="0" w:space="0" w:color="auto"/>
                  </w:divBdr>
                  <w:divsChild>
                    <w:div w:id="716471399">
                      <w:marLeft w:val="0"/>
                      <w:marRight w:val="0"/>
                      <w:marTop w:val="0"/>
                      <w:marBottom w:val="0"/>
                      <w:divBdr>
                        <w:top w:val="none" w:sz="0" w:space="0" w:color="auto"/>
                        <w:left w:val="none" w:sz="0" w:space="0" w:color="auto"/>
                        <w:bottom w:val="none" w:sz="0" w:space="0" w:color="auto"/>
                        <w:right w:val="none" w:sz="0" w:space="0" w:color="auto"/>
                      </w:divBdr>
                    </w:div>
                  </w:divsChild>
                </w:div>
                <w:div w:id="979698676">
                  <w:marLeft w:val="0"/>
                  <w:marRight w:val="0"/>
                  <w:marTop w:val="0"/>
                  <w:marBottom w:val="0"/>
                  <w:divBdr>
                    <w:top w:val="none" w:sz="0" w:space="0" w:color="auto"/>
                    <w:left w:val="none" w:sz="0" w:space="0" w:color="auto"/>
                    <w:bottom w:val="none" w:sz="0" w:space="0" w:color="auto"/>
                    <w:right w:val="none" w:sz="0" w:space="0" w:color="auto"/>
                  </w:divBdr>
                  <w:divsChild>
                    <w:div w:id="1920210490">
                      <w:marLeft w:val="0"/>
                      <w:marRight w:val="0"/>
                      <w:marTop w:val="0"/>
                      <w:marBottom w:val="0"/>
                      <w:divBdr>
                        <w:top w:val="none" w:sz="0" w:space="0" w:color="auto"/>
                        <w:left w:val="none" w:sz="0" w:space="0" w:color="auto"/>
                        <w:bottom w:val="none" w:sz="0" w:space="0" w:color="auto"/>
                        <w:right w:val="none" w:sz="0" w:space="0" w:color="auto"/>
                      </w:divBdr>
                    </w:div>
                  </w:divsChild>
                </w:div>
                <w:div w:id="2027099217">
                  <w:marLeft w:val="0"/>
                  <w:marRight w:val="0"/>
                  <w:marTop w:val="0"/>
                  <w:marBottom w:val="0"/>
                  <w:divBdr>
                    <w:top w:val="none" w:sz="0" w:space="0" w:color="auto"/>
                    <w:left w:val="none" w:sz="0" w:space="0" w:color="auto"/>
                    <w:bottom w:val="none" w:sz="0" w:space="0" w:color="auto"/>
                    <w:right w:val="none" w:sz="0" w:space="0" w:color="auto"/>
                  </w:divBdr>
                  <w:divsChild>
                    <w:div w:id="714085544">
                      <w:marLeft w:val="0"/>
                      <w:marRight w:val="0"/>
                      <w:marTop w:val="0"/>
                      <w:marBottom w:val="0"/>
                      <w:divBdr>
                        <w:top w:val="none" w:sz="0" w:space="0" w:color="auto"/>
                        <w:left w:val="none" w:sz="0" w:space="0" w:color="auto"/>
                        <w:bottom w:val="none" w:sz="0" w:space="0" w:color="auto"/>
                        <w:right w:val="none" w:sz="0" w:space="0" w:color="auto"/>
                      </w:divBdr>
                    </w:div>
                  </w:divsChild>
                </w:div>
                <w:div w:id="425853834">
                  <w:marLeft w:val="0"/>
                  <w:marRight w:val="0"/>
                  <w:marTop w:val="0"/>
                  <w:marBottom w:val="0"/>
                  <w:divBdr>
                    <w:top w:val="none" w:sz="0" w:space="0" w:color="auto"/>
                    <w:left w:val="none" w:sz="0" w:space="0" w:color="auto"/>
                    <w:bottom w:val="none" w:sz="0" w:space="0" w:color="auto"/>
                    <w:right w:val="none" w:sz="0" w:space="0" w:color="auto"/>
                  </w:divBdr>
                  <w:divsChild>
                    <w:div w:id="1881895651">
                      <w:marLeft w:val="0"/>
                      <w:marRight w:val="0"/>
                      <w:marTop w:val="0"/>
                      <w:marBottom w:val="0"/>
                      <w:divBdr>
                        <w:top w:val="none" w:sz="0" w:space="0" w:color="auto"/>
                        <w:left w:val="none" w:sz="0" w:space="0" w:color="auto"/>
                        <w:bottom w:val="none" w:sz="0" w:space="0" w:color="auto"/>
                        <w:right w:val="none" w:sz="0" w:space="0" w:color="auto"/>
                      </w:divBdr>
                    </w:div>
                  </w:divsChild>
                </w:div>
                <w:div w:id="1226069571">
                  <w:marLeft w:val="0"/>
                  <w:marRight w:val="0"/>
                  <w:marTop w:val="0"/>
                  <w:marBottom w:val="0"/>
                  <w:divBdr>
                    <w:top w:val="none" w:sz="0" w:space="0" w:color="auto"/>
                    <w:left w:val="none" w:sz="0" w:space="0" w:color="auto"/>
                    <w:bottom w:val="none" w:sz="0" w:space="0" w:color="auto"/>
                    <w:right w:val="none" w:sz="0" w:space="0" w:color="auto"/>
                  </w:divBdr>
                  <w:divsChild>
                    <w:div w:id="1617253080">
                      <w:marLeft w:val="0"/>
                      <w:marRight w:val="0"/>
                      <w:marTop w:val="0"/>
                      <w:marBottom w:val="0"/>
                      <w:divBdr>
                        <w:top w:val="none" w:sz="0" w:space="0" w:color="auto"/>
                        <w:left w:val="none" w:sz="0" w:space="0" w:color="auto"/>
                        <w:bottom w:val="none" w:sz="0" w:space="0" w:color="auto"/>
                        <w:right w:val="none" w:sz="0" w:space="0" w:color="auto"/>
                      </w:divBdr>
                    </w:div>
                  </w:divsChild>
                </w:div>
                <w:div w:id="1920097389">
                  <w:marLeft w:val="0"/>
                  <w:marRight w:val="0"/>
                  <w:marTop w:val="0"/>
                  <w:marBottom w:val="0"/>
                  <w:divBdr>
                    <w:top w:val="none" w:sz="0" w:space="0" w:color="auto"/>
                    <w:left w:val="none" w:sz="0" w:space="0" w:color="auto"/>
                    <w:bottom w:val="none" w:sz="0" w:space="0" w:color="auto"/>
                    <w:right w:val="none" w:sz="0" w:space="0" w:color="auto"/>
                  </w:divBdr>
                  <w:divsChild>
                    <w:div w:id="1618902805">
                      <w:marLeft w:val="0"/>
                      <w:marRight w:val="0"/>
                      <w:marTop w:val="0"/>
                      <w:marBottom w:val="0"/>
                      <w:divBdr>
                        <w:top w:val="none" w:sz="0" w:space="0" w:color="auto"/>
                        <w:left w:val="none" w:sz="0" w:space="0" w:color="auto"/>
                        <w:bottom w:val="none" w:sz="0" w:space="0" w:color="auto"/>
                        <w:right w:val="none" w:sz="0" w:space="0" w:color="auto"/>
                      </w:divBdr>
                    </w:div>
                  </w:divsChild>
                </w:div>
                <w:div w:id="1493373690">
                  <w:marLeft w:val="0"/>
                  <w:marRight w:val="0"/>
                  <w:marTop w:val="0"/>
                  <w:marBottom w:val="0"/>
                  <w:divBdr>
                    <w:top w:val="none" w:sz="0" w:space="0" w:color="auto"/>
                    <w:left w:val="none" w:sz="0" w:space="0" w:color="auto"/>
                    <w:bottom w:val="none" w:sz="0" w:space="0" w:color="auto"/>
                    <w:right w:val="none" w:sz="0" w:space="0" w:color="auto"/>
                  </w:divBdr>
                  <w:divsChild>
                    <w:div w:id="1398554671">
                      <w:marLeft w:val="0"/>
                      <w:marRight w:val="0"/>
                      <w:marTop w:val="0"/>
                      <w:marBottom w:val="0"/>
                      <w:divBdr>
                        <w:top w:val="none" w:sz="0" w:space="0" w:color="auto"/>
                        <w:left w:val="none" w:sz="0" w:space="0" w:color="auto"/>
                        <w:bottom w:val="none" w:sz="0" w:space="0" w:color="auto"/>
                        <w:right w:val="none" w:sz="0" w:space="0" w:color="auto"/>
                      </w:divBdr>
                    </w:div>
                  </w:divsChild>
                </w:div>
                <w:div w:id="223368688">
                  <w:marLeft w:val="0"/>
                  <w:marRight w:val="0"/>
                  <w:marTop w:val="0"/>
                  <w:marBottom w:val="0"/>
                  <w:divBdr>
                    <w:top w:val="none" w:sz="0" w:space="0" w:color="auto"/>
                    <w:left w:val="none" w:sz="0" w:space="0" w:color="auto"/>
                    <w:bottom w:val="none" w:sz="0" w:space="0" w:color="auto"/>
                    <w:right w:val="none" w:sz="0" w:space="0" w:color="auto"/>
                  </w:divBdr>
                  <w:divsChild>
                    <w:div w:id="66655904">
                      <w:marLeft w:val="0"/>
                      <w:marRight w:val="0"/>
                      <w:marTop w:val="0"/>
                      <w:marBottom w:val="0"/>
                      <w:divBdr>
                        <w:top w:val="none" w:sz="0" w:space="0" w:color="auto"/>
                        <w:left w:val="none" w:sz="0" w:space="0" w:color="auto"/>
                        <w:bottom w:val="none" w:sz="0" w:space="0" w:color="auto"/>
                        <w:right w:val="none" w:sz="0" w:space="0" w:color="auto"/>
                      </w:divBdr>
                    </w:div>
                  </w:divsChild>
                </w:div>
                <w:div w:id="1623422648">
                  <w:marLeft w:val="0"/>
                  <w:marRight w:val="0"/>
                  <w:marTop w:val="0"/>
                  <w:marBottom w:val="0"/>
                  <w:divBdr>
                    <w:top w:val="none" w:sz="0" w:space="0" w:color="auto"/>
                    <w:left w:val="none" w:sz="0" w:space="0" w:color="auto"/>
                    <w:bottom w:val="none" w:sz="0" w:space="0" w:color="auto"/>
                    <w:right w:val="none" w:sz="0" w:space="0" w:color="auto"/>
                  </w:divBdr>
                  <w:divsChild>
                    <w:div w:id="20666683">
                      <w:marLeft w:val="0"/>
                      <w:marRight w:val="0"/>
                      <w:marTop w:val="0"/>
                      <w:marBottom w:val="0"/>
                      <w:divBdr>
                        <w:top w:val="none" w:sz="0" w:space="0" w:color="auto"/>
                        <w:left w:val="none" w:sz="0" w:space="0" w:color="auto"/>
                        <w:bottom w:val="none" w:sz="0" w:space="0" w:color="auto"/>
                        <w:right w:val="none" w:sz="0" w:space="0" w:color="auto"/>
                      </w:divBdr>
                    </w:div>
                  </w:divsChild>
                </w:div>
                <w:div w:id="1276904363">
                  <w:marLeft w:val="0"/>
                  <w:marRight w:val="0"/>
                  <w:marTop w:val="0"/>
                  <w:marBottom w:val="0"/>
                  <w:divBdr>
                    <w:top w:val="none" w:sz="0" w:space="0" w:color="auto"/>
                    <w:left w:val="none" w:sz="0" w:space="0" w:color="auto"/>
                    <w:bottom w:val="none" w:sz="0" w:space="0" w:color="auto"/>
                    <w:right w:val="none" w:sz="0" w:space="0" w:color="auto"/>
                  </w:divBdr>
                  <w:divsChild>
                    <w:div w:id="511842057">
                      <w:marLeft w:val="0"/>
                      <w:marRight w:val="0"/>
                      <w:marTop w:val="0"/>
                      <w:marBottom w:val="0"/>
                      <w:divBdr>
                        <w:top w:val="none" w:sz="0" w:space="0" w:color="auto"/>
                        <w:left w:val="none" w:sz="0" w:space="0" w:color="auto"/>
                        <w:bottom w:val="none" w:sz="0" w:space="0" w:color="auto"/>
                        <w:right w:val="none" w:sz="0" w:space="0" w:color="auto"/>
                      </w:divBdr>
                    </w:div>
                  </w:divsChild>
                </w:div>
                <w:div w:id="1025908305">
                  <w:marLeft w:val="0"/>
                  <w:marRight w:val="0"/>
                  <w:marTop w:val="0"/>
                  <w:marBottom w:val="0"/>
                  <w:divBdr>
                    <w:top w:val="none" w:sz="0" w:space="0" w:color="auto"/>
                    <w:left w:val="none" w:sz="0" w:space="0" w:color="auto"/>
                    <w:bottom w:val="none" w:sz="0" w:space="0" w:color="auto"/>
                    <w:right w:val="none" w:sz="0" w:space="0" w:color="auto"/>
                  </w:divBdr>
                  <w:divsChild>
                    <w:div w:id="1260329434">
                      <w:marLeft w:val="0"/>
                      <w:marRight w:val="0"/>
                      <w:marTop w:val="0"/>
                      <w:marBottom w:val="0"/>
                      <w:divBdr>
                        <w:top w:val="none" w:sz="0" w:space="0" w:color="auto"/>
                        <w:left w:val="none" w:sz="0" w:space="0" w:color="auto"/>
                        <w:bottom w:val="none" w:sz="0" w:space="0" w:color="auto"/>
                        <w:right w:val="none" w:sz="0" w:space="0" w:color="auto"/>
                      </w:divBdr>
                    </w:div>
                  </w:divsChild>
                </w:div>
                <w:div w:id="2144079744">
                  <w:marLeft w:val="0"/>
                  <w:marRight w:val="0"/>
                  <w:marTop w:val="0"/>
                  <w:marBottom w:val="0"/>
                  <w:divBdr>
                    <w:top w:val="none" w:sz="0" w:space="0" w:color="auto"/>
                    <w:left w:val="none" w:sz="0" w:space="0" w:color="auto"/>
                    <w:bottom w:val="none" w:sz="0" w:space="0" w:color="auto"/>
                    <w:right w:val="none" w:sz="0" w:space="0" w:color="auto"/>
                  </w:divBdr>
                  <w:divsChild>
                    <w:div w:id="426268945">
                      <w:marLeft w:val="0"/>
                      <w:marRight w:val="0"/>
                      <w:marTop w:val="0"/>
                      <w:marBottom w:val="0"/>
                      <w:divBdr>
                        <w:top w:val="none" w:sz="0" w:space="0" w:color="auto"/>
                        <w:left w:val="none" w:sz="0" w:space="0" w:color="auto"/>
                        <w:bottom w:val="none" w:sz="0" w:space="0" w:color="auto"/>
                        <w:right w:val="none" w:sz="0" w:space="0" w:color="auto"/>
                      </w:divBdr>
                    </w:div>
                  </w:divsChild>
                </w:div>
                <w:div w:id="1412853743">
                  <w:marLeft w:val="0"/>
                  <w:marRight w:val="0"/>
                  <w:marTop w:val="0"/>
                  <w:marBottom w:val="0"/>
                  <w:divBdr>
                    <w:top w:val="none" w:sz="0" w:space="0" w:color="auto"/>
                    <w:left w:val="none" w:sz="0" w:space="0" w:color="auto"/>
                    <w:bottom w:val="none" w:sz="0" w:space="0" w:color="auto"/>
                    <w:right w:val="none" w:sz="0" w:space="0" w:color="auto"/>
                  </w:divBdr>
                  <w:divsChild>
                    <w:div w:id="90545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456796">
          <w:marLeft w:val="0"/>
          <w:marRight w:val="0"/>
          <w:marTop w:val="0"/>
          <w:marBottom w:val="0"/>
          <w:divBdr>
            <w:top w:val="none" w:sz="0" w:space="0" w:color="auto"/>
            <w:left w:val="none" w:sz="0" w:space="0" w:color="auto"/>
            <w:bottom w:val="none" w:sz="0" w:space="0" w:color="auto"/>
            <w:right w:val="none" w:sz="0" w:space="0" w:color="auto"/>
          </w:divBdr>
          <w:divsChild>
            <w:div w:id="732460082">
              <w:marLeft w:val="0"/>
              <w:marRight w:val="0"/>
              <w:marTop w:val="0"/>
              <w:marBottom w:val="0"/>
              <w:divBdr>
                <w:top w:val="none" w:sz="0" w:space="0" w:color="auto"/>
                <w:left w:val="none" w:sz="0" w:space="0" w:color="auto"/>
                <w:bottom w:val="none" w:sz="0" w:space="0" w:color="auto"/>
                <w:right w:val="none" w:sz="0" w:space="0" w:color="auto"/>
              </w:divBdr>
            </w:div>
            <w:div w:id="1034767059">
              <w:marLeft w:val="0"/>
              <w:marRight w:val="0"/>
              <w:marTop w:val="0"/>
              <w:marBottom w:val="0"/>
              <w:divBdr>
                <w:top w:val="none" w:sz="0" w:space="0" w:color="auto"/>
                <w:left w:val="none" w:sz="0" w:space="0" w:color="auto"/>
                <w:bottom w:val="none" w:sz="0" w:space="0" w:color="auto"/>
                <w:right w:val="none" w:sz="0" w:space="0" w:color="auto"/>
              </w:divBdr>
            </w:div>
            <w:div w:id="971207580">
              <w:marLeft w:val="0"/>
              <w:marRight w:val="0"/>
              <w:marTop w:val="0"/>
              <w:marBottom w:val="0"/>
              <w:divBdr>
                <w:top w:val="none" w:sz="0" w:space="0" w:color="auto"/>
                <w:left w:val="none" w:sz="0" w:space="0" w:color="auto"/>
                <w:bottom w:val="none" w:sz="0" w:space="0" w:color="auto"/>
                <w:right w:val="none" w:sz="0" w:space="0" w:color="auto"/>
              </w:divBdr>
            </w:div>
            <w:div w:id="1075279363">
              <w:marLeft w:val="0"/>
              <w:marRight w:val="0"/>
              <w:marTop w:val="0"/>
              <w:marBottom w:val="0"/>
              <w:divBdr>
                <w:top w:val="none" w:sz="0" w:space="0" w:color="auto"/>
                <w:left w:val="none" w:sz="0" w:space="0" w:color="auto"/>
                <w:bottom w:val="none" w:sz="0" w:space="0" w:color="auto"/>
                <w:right w:val="none" w:sz="0" w:space="0" w:color="auto"/>
              </w:divBdr>
            </w:div>
            <w:div w:id="1802570882">
              <w:marLeft w:val="0"/>
              <w:marRight w:val="0"/>
              <w:marTop w:val="0"/>
              <w:marBottom w:val="0"/>
              <w:divBdr>
                <w:top w:val="none" w:sz="0" w:space="0" w:color="auto"/>
                <w:left w:val="none" w:sz="0" w:space="0" w:color="auto"/>
                <w:bottom w:val="none" w:sz="0" w:space="0" w:color="auto"/>
                <w:right w:val="none" w:sz="0" w:space="0" w:color="auto"/>
              </w:divBdr>
            </w:div>
            <w:div w:id="1658921444">
              <w:marLeft w:val="0"/>
              <w:marRight w:val="0"/>
              <w:marTop w:val="0"/>
              <w:marBottom w:val="0"/>
              <w:divBdr>
                <w:top w:val="none" w:sz="0" w:space="0" w:color="auto"/>
                <w:left w:val="none" w:sz="0" w:space="0" w:color="auto"/>
                <w:bottom w:val="none" w:sz="0" w:space="0" w:color="auto"/>
                <w:right w:val="none" w:sz="0" w:space="0" w:color="auto"/>
              </w:divBdr>
            </w:div>
            <w:div w:id="945623954">
              <w:marLeft w:val="0"/>
              <w:marRight w:val="0"/>
              <w:marTop w:val="0"/>
              <w:marBottom w:val="0"/>
              <w:divBdr>
                <w:top w:val="none" w:sz="0" w:space="0" w:color="auto"/>
                <w:left w:val="none" w:sz="0" w:space="0" w:color="auto"/>
                <w:bottom w:val="none" w:sz="0" w:space="0" w:color="auto"/>
                <w:right w:val="none" w:sz="0" w:space="0" w:color="auto"/>
              </w:divBdr>
            </w:div>
            <w:div w:id="1319655470">
              <w:marLeft w:val="0"/>
              <w:marRight w:val="0"/>
              <w:marTop w:val="0"/>
              <w:marBottom w:val="0"/>
              <w:divBdr>
                <w:top w:val="none" w:sz="0" w:space="0" w:color="auto"/>
                <w:left w:val="none" w:sz="0" w:space="0" w:color="auto"/>
                <w:bottom w:val="none" w:sz="0" w:space="0" w:color="auto"/>
                <w:right w:val="none" w:sz="0" w:space="0" w:color="auto"/>
              </w:divBdr>
            </w:div>
            <w:div w:id="1884055311">
              <w:marLeft w:val="0"/>
              <w:marRight w:val="0"/>
              <w:marTop w:val="0"/>
              <w:marBottom w:val="0"/>
              <w:divBdr>
                <w:top w:val="none" w:sz="0" w:space="0" w:color="auto"/>
                <w:left w:val="none" w:sz="0" w:space="0" w:color="auto"/>
                <w:bottom w:val="none" w:sz="0" w:space="0" w:color="auto"/>
                <w:right w:val="none" w:sz="0" w:space="0" w:color="auto"/>
              </w:divBdr>
            </w:div>
            <w:div w:id="1376735170">
              <w:marLeft w:val="0"/>
              <w:marRight w:val="0"/>
              <w:marTop w:val="0"/>
              <w:marBottom w:val="0"/>
              <w:divBdr>
                <w:top w:val="none" w:sz="0" w:space="0" w:color="auto"/>
                <w:left w:val="none" w:sz="0" w:space="0" w:color="auto"/>
                <w:bottom w:val="none" w:sz="0" w:space="0" w:color="auto"/>
                <w:right w:val="none" w:sz="0" w:space="0" w:color="auto"/>
              </w:divBdr>
            </w:div>
          </w:divsChild>
        </w:div>
        <w:div w:id="1957446933">
          <w:marLeft w:val="0"/>
          <w:marRight w:val="0"/>
          <w:marTop w:val="0"/>
          <w:marBottom w:val="0"/>
          <w:divBdr>
            <w:top w:val="none" w:sz="0" w:space="0" w:color="auto"/>
            <w:left w:val="none" w:sz="0" w:space="0" w:color="auto"/>
            <w:bottom w:val="none" w:sz="0" w:space="0" w:color="auto"/>
            <w:right w:val="none" w:sz="0" w:space="0" w:color="auto"/>
          </w:divBdr>
          <w:divsChild>
            <w:div w:id="885684042">
              <w:marLeft w:val="-75"/>
              <w:marRight w:val="0"/>
              <w:marTop w:val="30"/>
              <w:marBottom w:val="30"/>
              <w:divBdr>
                <w:top w:val="none" w:sz="0" w:space="0" w:color="auto"/>
                <w:left w:val="none" w:sz="0" w:space="0" w:color="auto"/>
                <w:bottom w:val="none" w:sz="0" w:space="0" w:color="auto"/>
                <w:right w:val="none" w:sz="0" w:space="0" w:color="auto"/>
              </w:divBdr>
              <w:divsChild>
                <w:div w:id="86200833">
                  <w:marLeft w:val="0"/>
                  <w:marRight w:val="0"/>
                  <w:marTop w:val="0"/>
                  <w:marBottom w:val="0"/>
                  <w:divBdr>
                    <w:top w:val="none" w:sz="0" w:space="0" w:color="auto"/>
                    <w:left w:val="none" w:sz="0" w:space="0" w:color="auto"/>
                    <w:bottom w:val="none" w:sz="0" w:space="0" w:color="auto"/>
                    <w:right w:val="none" w:sz="0" w:space="0" w:color="auto"/>
                  </w:divBdr>
                  <w:divsChild>
                    <w:div w:id="170607938">
                      <w:marLeft w:val="0"/>
                      <w:marRight w:val="0"/>
                      <w:marTop w:val="0"/>
                      <w:marBottom w:val="0"/>
                      <w:divBdr>
                        <w:top w:val="none" w:sz="0" w:space="0" w:color="auto"/>
                        <w:left w:val="none" w:sz="0" w:space="0" w:color="auto"/>
                        <w:bottom w:val="none" w:sz="0" w:space="0" w:color="auto"/>
                        <w:right w:val="none" w:sz="0" w:space="0" w:color="auto"/>
                      </w:divBdr>
                    </w:div>
                  </w:divsChild>
                </w:div>
                <w:div w:id="470485084">
                  <w:marLeft w:val="0"/>
                  <w:marRight w:val="0"/>
                  <w:marTop w:val="0"/>
                  <w:marBottom w:val="0"/>
                  <w:divBdr>
                    <w:top w:val="none" w:sz="0" w:space="0" w:color="auto"/>
                    <w:left w:val="none" w:sz="0" w:space="0" w:color="auto"/>
                    <w:bottom w:val="none" w:sz="0" w:space="0" w:color="auto"/>
                    <w:right w:val="none" w:sz="0" w:space="0" w:color="auto"/>
                  </w:divBdr>
                  <w:divsChild>
                    <w:div w:id="2128087441">
                      <w:marLeft w:val="0"/>
                      <w:marRight w:val="0"/>
                      <w:marTop w:val="0"/>
                      <w:marBottom w:val="0"/>
                      <w:divBdr>
                        <w:top w:val="none" w:sz="0" w:space="0" w:color="auto"/>
                        <w:left w:val="none" w:sz="0" w:space="0" w:color="auto"/>
                        <w:bottom w:val="none" w:sz="0" w:space="0" w:color="auto"/>
                        <w:right w:val="none" w:sz="0" w:space="0" w:color="auto"/>
                      </w:divBdr>
                    </w:div>
                  </w:divsChild>
                </w:div>
                <w:div w:id="1284076480">
                  <w:marLeft w:val="0"/>
                  <w:marRight w:val="0"/>
                  <w:marTop w:val="0"/>
                  <w:marBottom w:val="0"/>
                  <w:divBdr>
                    <w:top w:val="none" w:sz="0" w:space="0" w:color="auto"/>
                    <w:left w:val="none" w:sz="0" w:space="0" w:color="auto"/>
                    <w:bottom w:val="none" w:sz="0" w:space="0" w:color="auto"/>
                    <w:right w:val="none" w:sz="0" w:space="0" w:color="auto"/>
                  </w:divBdr>
                  <w:divsChild>
                    <w:div w:id="1105148000">
                      <w:marLeft w:val="0"/>
                      <w:marRight w:val="0"/>
                      <w:marTop w:val="0"/>
                      <w:marBottom w:val="0"/>
                      <w:divBdr>
                        <w:top w:val="none" w:sz="0" w:space="0" w:color="auto"/>
                        <w:left w:val="none" w:sz="0" w:space="0" w:color="auto"/>
                        <w:bottom w:val="none" w:sz="0" w:space="0" w:color="auto"/>
                        <w:right w:val="none" w:sz="0" w:space="0" w:color="auto"/>
                      </w:divBdr>
                    </w:div>
                  </w:divsChild>
                </w:div>
                <w:div w:id="412515053">
                  <w:marLeft w:val="0"/>
                  <w:marRight w:val="0"/>
                  <w:marTop w:val="0"/>
                  <w:marBottom w:val="0"/>
                  <w:divBdr>
                    <w:top w:val="none" w:sz="0" w:space="0" w:color="auto"/>
                    <w:left w:val="none" w:sz="0" w:space="0" w:color="auto"/>
                    <w:bottom w:val="none" w:sz="0" w:space="0" w:color="auto"/>
                    <w:right w:val="none" w:sz="0" w:space="0" w:color="auto"/>
                  </w:divBdr>
                  <w:divsChild>
                    <w:div w:id="683358876">
                      <w:marLeft w:val="0"/>
                      <w:marRight w:val="0"/>
                      <w:marTop w:val="0"/>
                      <w:marBottom w:val="0"/>
                      <w:divBdr>
                        <w:top w:val="none" w:sz="0" w:space="0" w:color="auto"/>
                        <w:left w:val="none" w:sz="0" w:space="0" w:color="auto"/>
                        <w:bottom w:val="none" w:sz="0" w:space="0" w:color="auto"/>
                        <w:right w:val="none" w:sz="0" w:space="0" w:color="auto"/>
                      </w:divBdr>
                    </w:div>
                  </w:divsChild>
                </w:div>
                <w:div w:id="1930653579">
                  <w:marLeft w:val="0"/>
                  <w:marRight w:val="0"/>
                  <w:marTop w:val="0"/>
                  <w:marBottom w:val="0"/>
                  <w:divBdr>
                    <w:top w:val="none" w:sz="0" w:space="0" w:color="auto"/>
                    <w:left w:val="none" w:sz="0" w:space="0" w:color="auto"/>
                    <w:bottom w:val="none" w:sz="0" w:space="0" w:color="auto"/>
                    <w:right w:val="none" w:sz="0" w:space="0" w:color="auto"/>
                  </w:divBdr>
                  <w:divsChild>
                    <w:div w:id="364140089">
                      <w:marLeft w:val="0"/>
                      <w:marRight w:val="0"/>
                      <w:marTop w:val="0"/>
                      <w:marBottom w:val="0"/>
                      <w:divBdr>
                        <w:top w:val="none" w:sz="0" w:space="0" w:color="auto"/>
                        <w:left w:val="none" w:sz="0" w:space="0" w:color="auto"/>
                        <w:bottom w:val="none" w:sz="0" w:space="0" w:color="auto"/>
                        <w:right w:val="none" w:sz="0" w:space="0" w:color="auto"/>
                      </w:divBdr>
                    </w:div>
                  </w:divsChild>
                </w:div>
                <w:div w:id="1012026241">
                  <w:marLeft w:val="0"/>
                  <w:marRight w:val="0"/>
                  <w:marTop w:val="0"/>
                  <w:marBottom w:val="0"/>
                  <w:divBdr>
                    <w:top w:val="none" w:sz="0" w:space="0" w:color="auto"/>
                    <w:left w:val="none" w:sz="0" w:space="0" w:color="auto"/>
                    <w:bottom w:val="none" w:sz="0" w:space="0" w:color="auto"/>
                    <w:right w:val="none" w:sz="0" w:space="0" w:color="auto"/>
                  </w:divBdr>
                  <w:divsChild>
                    <w:div w:id="1273587187">
                      <w:marLeft w:val="0"/>
                      <w:marRight w:val="0"/>
                      <w:marTop w:val="0"/>
                      <w:marBottom w:val="0"/>
                      <w:divBdr>
                        <w:top w:val="none" w:sz="0" w:space="0" w:color="auto"/>
                        <w:left w:val="none" w:sz="0" w:space="0" w:color="auto"/>
                        <w:bottom w:val="none" w:sz="0" w:space="0" w:color="auto"/>
                        <w:right w:val="none" w:sz="0" w:space="0" w:color="auto"/>
                      </w:divBdr>
                    </w:div>
                  </w:divsChild>
                </w:div>
                <w:div w:id="16195490">
                  <w:marLeft w:val="0"/>
                  <w:marRight w:val="0"/>
                  <w:marTop w:val="0"/>
                  <w:marBottom w:val="0"/>
                  <w:divBdr>
                    <w:top w:val="none" w:sz="0" w:space="0" w:color="auto"/>
                    <w:left w:val="none" w:sz="0" w:space="0" w:color="auto"/>
                    <w:bottom w:val="none" w:sz="0" w:space="0" w:color="auto"/>
                    <w:right w:val="none" w:sz="0" w:space="0" w:color="auto"/>
                  </w:divBdr>
                  <w:divsChild>
                    <w:div w:id="858742297">
                      <w:marLeft w:val="0"/>
                      <w:marRight w:val="0"/>
                      <w:marTop w:val="0"/>
                      <w:marBottom w:val="0"/>
                      <w:divBdr>
                        <w:top w:val="none" w:sz="0" w:space="0" w:color="auto"/>
                        <w:left w:val="none" w:sz="0" w:space="0" w:color="auto"/>
                        <w:bottom w:val="none" w:sz="0" w:space="0" w:color="auto"/>
                        <w:right w:val="none" w:sz="0" w:space="0" w:color="auto"/>
                      </w:divBdr>
                    </w:div>
                  </w:divsChild>
                </w:div>
                <w:div w:id="717970682">
                  <w:marLeft w:val="0"/>
                  <w:marRight w:val="0"/>
                  <w:marTop w:val="0"/>
                  <w:marBottom w:val="0"/>
                  <w:divBdr>
                    <w:top w:val="none" w:sz="0" w:space="0" w:color="auto"/>
                    <w:left w:val="none" w:sz="0" w:space="0" w:color="auto"/>
                    <w:bottom w:val="none" w:sz="0" w:space="0" w:color="auto"/>
                    <w:right w:val="none" w:sz="0" w:space="0" w:color="auto"/>
                  </w:divBdr>
                  <w:divsChild>
                    <w:div w:id="498467801">
                      <w:marLeft w:val="0"/>
                      <w:marRight w:val="0"/>
                      <w:marTop w:val="0"/>
                      <w:marBottom w:val="0"/>
                      <w:divBdr>
                        <w:top w:val="none" w:sz="0" w:space="0" w:color="auto"/>
                        <w:left w:val="none" w:sz="0" w:space="0" w:color="auto"/>
                        <w:bottom w:val="none" w:sz="0" w:space="0" w:color="auto"/>
                        <w:right w:val="none" w:sz="0" w:space="0" w:color="auto"/>
                      </w:divBdr>
                    </w:div>
                  </w:divsChild>
                </w:div>
                <w:div w:id="1063017865">
                  <w:marLeft w:val="0"/>
                  <w:marRight w:val="0"/>
                  <w:marTop w:val="0"/>
                  <w:marBottom w:val="0"/>
                  <w:divBdr>
                    <w:top w:val="none" w:sz="0" w:space="0" w:color="auto"/>
                    <w:left w:val="none" w:sz="0" w:space="0" w:color="auto"/>
                    <w:bottom w:val="none" w:sz="0" w:space="0" w:color="auto"/>
                    <w:right w:val="none" w:sz="0" w:space="0" w:color="auto"/>
                  </w:divBdr>
                  <w:divsChild>
                    <w:div w:id="27337392">
                      <w:marLeft w:val="0"/>
                      <w:marRight w:val="0"/>
                      <w:marTop w:val="0"/>
                      <w:marBottom w:val="0"/>
                      <w:divBdr>
                        <w:top w:val="none" w:sz="0" w:space="0" w:color="auto"/>
                        <w:left w:val="none" w:sz="0" w:space="0" w:color="auto"/>
                        <w:bottom w:val="none" w:sz="0" w:space="0" w:color="auto"/>
                        <w:right w:val="none" w:sz="0" w:space="0" w:color="auto"/>
                      </w:divBdr>
                    </w:div>
                  </w:divsChild>
                </w:div>
                <w:div w:id="2030910932">
                  <w:marLeft w:val="0"/>
                  <w:marRight w:val="0"/>
                  <w:marTop w:val="0"/>
                  <w:marBottom w:val="0"/>
                  <w:divBdr>
                    <w:top w:val="none" w:sz="0" w:space="0" w:color="auto"/>
                    <w:left w:val="none" w:sz="0" w:space="0" w:color="auto"/>
                    <w:bottom w:val="none" w:sz="0" w:space="0" w:color="auto"/>
                    <w:right w:val="none" w:sz="0" w:space="0" w:color="auto"/>
                  </w:divBdr>
                  <w:divsChild>
                    <w:div w:id="1648850902">
                      <w:marLeft w:val="0"/>
                      <w:marRight w:val="0"/>
                      <w:marTop w:val="0"/>
                      <w:marBottom w:val="0"/>
                      <w:divBdr>
                        <w:top w:val="none" w:sz="0" w:space="0" w:color="auto"/>
                        <w:left w:val="none" w:sz="0" w:space="0" w:color="auto"/>
                        <w:bottom w:val="none" w:sz="0" w:space="0" w:color="auto"/>
                        <w:right w:val="none" w:sz="0" w:space="0" w:color="auto"/>
                      </w:divBdr>
                    </w:div>
                  </w:divsChild>
                </w:div>
                <w:div w:id="168642561">
                  <w:marLeft w:val="0"/>
                  <w:marRight w:val="0"/>
                  <w:marTop w:val="0"/>
                  <w:marBottom w:val="0"/>
                  <w:divBdr>
                    <w:top w:val="none" w:sz="0" w:space="0" w:color="auto"/>
                    <w:left w:val="none" w:sz="0" w:space="0" w:color="auto"/>
                    <w:bottom w:val="none" w:sz="0" w:space="0" w:color="auto"/>
                    <w:right w:val="none" w:sz="0" w:space="0" w:color="auto"/>
                  </w:divBdr>
                  <w:divsChild>
                    <w:div w:id="77217406">
                      <w:marLeft w:val="0"/>
                      <w:marRight w:val="0"/>
                      <w:marTop w:val="0"/>
                      <w:marBottom w:val="0"/>
                      <w:divBdr>
                        <w:top w:val="none" w:sz="0" w:space="0" w:color="auto"/>
                        <w:left w:val="none" w:sz="0" w:space="0" w:color="auto"/>
                        <w:bottom w:val="none" w:sz="0" w:space="0" w:color="auto"/>
                        <w:right w:val="none" w:sz="0" w:space="0" w:color="auto"/>
                      </w:divBdr>
                    </w:div>
                  </w:divsChild>
                </w:div>
                <w:div w:id="1511026744">
                  <w:marLeft w:val="0"/>
                  <w:marRight w:val="0"/>
                  <w:marTop w:val="0"/>
                  <w:marBottom w:val="0"/>
                  <w:divBdr>
                    <w:top w:val="none" w:sz="0" w:space="0" w:color="auto"/>
                    <w:left w:val="none" w:sz="0" w:space="0" w:color="auto"/>
                    <w:bottom w:val="none" w:sz="0" w:space="0" w:color="auto"/>
                    <w:right w:val="none" w:sz="0" w:space="0" w:color="auto"/>
                  </w:divBdr>
                  <w:divsChild>
                    <w:div w:id="1885213713">
                      <w:marLeft w:val="0"/>
                      <w:marRight w:val="0"/>
                      <w:marTop w:val="0"/>
                      <w:marBottom w:val="0"/>
                      <w:divBdr>
                        <w:top w:val="none" w:sz="0" w:space="0" w:color="auto"/>
                        <w:left w:val="none" w:sz="0" w:space="0" w:color="auto"/>
                        <w:bottom w:val="none" w:sz="0" w:space="0" w:color="auto"/>
                        <w:right w:val="none" w:sz="0" w:space="0" w:color="auto"/>
                      </w:divBdr>
                    </w:div>
                  </w:divsChild>
                </w:div>
                <w:div w:id="183791485">
                  <w:marLeft w:val="0"/>
                  <w:marRight w:val="0"/>
                  <w:marTop w:val="0"/>
                  <w:marBottom w:val="0"/>
                  <w:divBdr>
                    <w:top w:val="none" w:sz="0" w:space="0" w:color="auto"/>
                    <w:left w:val="none" w:sz="0" w:space="0" w:color="auto"/>
                    <w:bottom w:val="none" w:sz="0" w:space="0" w:color="auto"/>
                    <w:right w:val="none" w:sz="0" w:space="0" w:color="auto"/>
                  </w:divBdr>
                  <w:divsChild>
                    <w:div w:id="1358702805">
                      <w:marLeft w:val="0"/>
                      <w:marRight w:val="0"/>
                      <w:marTop w:val="0"/>
                      <w:marBottom w:val="0"/>
                      <w:divBdr>
                        <w:top w:val="none" w:sz="0" w:space="0" w:color="auto"/>
                        <w:left w:val="none" w:sz="0" w:space="0" w:color="auto"/>
                        <w:bottom w:val="none" w:sz="0" w:space="0" w:color="auto"/>
                        <w:right w:val="none" w:sz="0" w:space="0" w:color="auto"/>
                      </w:divBdr>
                    </w:div>
                  </w:divsChild>
                </w:div>
                <w:div w:id="359671721">
                  <w:marLeft w:val="0"/>
                  <w:marRight w:val="0"/>
                  <w:marTop w:val="0"/>
                  <w:marBottom w:val="0"/>
                  <w:divBdr>
                    <w:top w:val="none" w:sz="0" w:space="0" w:color="auto"/>
                    <w:left w:val="none" w:sz="0" w:space="0" w:color="auto"/>
                    <w:bottom w:val="none" w:sz="0" w:space="0" w:color="auto"/>
                    <w:right w:val="none" w:sz="0" w:space="0" w:color="auto"/>
                  </w:divBdr>
                  <w:divsChild>
                    <w:div w:id="761921960">
                      <w:marLeft w:val="0"/>
                      <w:marRight w:val="0"/>
                      <w:marTop w:val="0"/>
                      <w:marBottom w:val="0"/>
                      <w:divBdr>
                        <w:top w:val="none" w:sz="0" w:space="0" w:color="auto"/>
                        <w:left w:val="none" w:sz="0" w:space="0" w:color="auto"/>
                        <w:bottom w:val="none" w:sz="0" w:space="0" w:color="auto"/>
                        <w:right w:val="none" w:sz="0" w:space="0" w:color="auto"/>
                      </w:divBdr>
                    </w:div>
                  </w:divsChild>
                </w:div>
                <w:div w:id="708575716">
                  <w:marLeft w:val="0"/>
                  <w:marRight w:val="0"/>
                  <w:marTop w:val="0"/>
                  <w:marBottom w:val="0"/>
                  <w:divBdr>
                    <w:top w:val="none" w:sz="0" w:space="0" w:color="auto"/>
                    <w:left w:val="none" w:sz="0" w:space="0" w:color="auto"/>
                    <w:bottom w:val="none" w:sz="0" w:space="0" w:color="auto"/>
                    <w:right w:val="none" w:sz="0" w:space="0" w:color="auto"/>
                  </w:divBdr>
                  <w:divsChild>
                    <w:div w:id="283971943">
                      <w:marLeft w:val="0"/>
                      <w:marRight w:val="0"/>
                      <w:marTop w:val="0"/>
                      <w:marBottom w:val="0"/>
                      <w:divBdr>
                        <w:top w:val="none" w:sz="0" w:space="0" w:color="auto"/>
                        <w:left w:val="none" w:sz="0" w:space="0" w:color="auto"/>
                        <w:bottom w:val="none" w:sz="0" w:space="0" w:color="auto"/>
                        <w:right w:val="none" w:sz="0" w:space="0" w:color="auto"/>
                      </w:divBdr>
                    </w:div>
                  </w:divsChild>
                </w:div>
                <w:div w:id="1217666724">
                  <w:marLeft w:val="0"/>
                  <w:marRight w:val="0"/>
                  <w:marTop w:val="0"/>
                  <w:marBottom w:val="0"/>
                  <w:divBdr>
                    <w:top w:val="none" w:sz="0" w:space="0" w:color="auto"/>
                    <w:left w:val="none" w:sz="0" w:space="0" w:color="auto"/>
                    <w:bottom w:val="none" w:sz="0" w:space="0" w:color="auto"/>
                    <w:right w:val="none" w:sz="0" w:space="0" w:color="auto"/>
                  </w:divBdr>
                  <w:divsChild>
                    <w:div w:id="563221107">
                      <w:marLeft w:val="0"/>
                      <w:marRight w:val="0"/>
                      <w:marTop w:val="0"/>
                      <w:marBottom w:val="0"/>
                      <w:divBdr>
                        <w:top w:val="none" w:sz="0" w:space="0" w:color="auto"/>
                        <w:left w:val="none" w:sz="0" w:space="0" w:color="auto"/>
                        <w:bottom w:val="none" w:sz="0" w:space="0" w:color="auto"/>
                        <w:right w:val="none" w:sz="0" w:space="0" w:color="auto"/>
                      </w:divBdr>
                    </w:div>
                  </w:divsChild>
                </w:div>
                <w:div w:id="1649433061">
                  <w:marLeft w:val="0"/>
                  <w:marRight w:val="0"/>
                  <w:marTop w:val="0"/>
                  <w:marBottom w:val="0"/>
                  <w:divBdr>
                    <w:top w:val="none" w:sz="0" w:space="0" w:color="auto"/>
                    <w:left w:val="none" w:sz="0" w:space="0" w:color="auto"/>
                    <w:bottom w:val="none" w:sz="0" w:space="0" w:color="auto"/>
                    <w:right w:val="none" w:sz="0" w:space="0" w:color="auto"/>
                  </w:divBdr>
                  <w:divsChild>
                    <w:div w:id="405689376">
                      <w:marLeft w:val="0"/>
                      <w:marRight w:val="0"/>
                      <w:marTop w:val="0"/>
                      <w:marBottom w:val="0"/>
                      <w:divBdr>
                        <w:top w:val="none" w:sz="0" w:space="0" w:color="auto"/>
                        <w:left w:val="none" w:sz="0" w:space="0" w:color="auto"/>
                        <w:bottom w:val="none" w:sz="0" w:space="0" w:color="auto"/>
                        <w:right w:val="none" w:sz="0" w:space="0" w:color="auto"/>
                      </w:divBdr>
                    </w:div>
                  </w:divsChild>
                </w:div>
                <w:div w:id="1749574242">
                  <w:marLeft w:val="0"/>
                  <w:marRight w:val="0"/>
                  <w:marTop w:val="0"/>
                  <w:marBottom w:val="0"/>
                  <w:divBdr>
                    <w:top w:val="none" w:sz="0" w:space="0" w:color="auto"/>
                    <w:left w:val="none" w:sz="0" w:space="0" w:color="auto"/>
                    <w:bottom w:val="none" w:sz="0" w:space="0" w:color="auto"/>
                    <w:right w:val="none" w:sz="0" w:space="0" w:color="auto"/>
                  </w:divBdr>
                  <w:divsChild>
                    <w:div w:id="1290236859">
                      <w:marLeft w:val="0"/>
                      <w:marRight w:val="0"/>
                      <w:marTop w:val="0"/>
                      <w:marBottom w:val="0"/>
                      <w:divBdr>
                        <w:top w:val="none" w:sz="0" w:space="0" w:color="auto"/>
                        <w:left w:val="none" w:sz="0" w:space="0" w:color="auto"/>
                        <w:bottom w:val="none" w:sz="0" w:space="0" w:color="auto"/>
                        <w:right w:val="none" w:sz="0" w:space="0" w:color="auto"/>
                      </w:divBdr>
                    </w:div>
                  </w:divsChild>
                </w:div>
                <w:div w:id="368917817">
                  <w:marLeft w:val="0"/>
                  <w:marRight w:val="0"/>
                  <w:marTop w:val="0"/>
                  <w:marBottom w:val="0"/>
                  <w:divBdr>
                    <w:top w:val="none" w:sz="0" w:space="0" w:color="auto"/>
                    <w:left w:val="none" w:sz="0" w:space="0" w:color="auto"/>
                    <w:bottom w:val="none" w:sz="0" w:space="0" w:color="auto"/>
                    <w:right w:val="none" w:sz="0" w:space="0" w:color="auto"/>
                  </w:divBdr>
                  <w:divsChild>
                    <w:div w:id="2119988863">
                      <w:marLeft w:val="0"/>
                      <w:marRight w:val="0"/>
                      <w:marTop w:val="0"/>
                      <w:marBottom w:val="0"/>
                      <w:divBdr>
                        <w:top w:val="none" w:sz="0" w:space="0" w:color="auto"/>
                        <w:left w:val="none" w:sz="0" w:space="0" w:color="auto"/>
                        <w:bottom w:val="none" w:sz="0" w:space="0" w:color="auto"/>
                        <w:right w:val="none" w:sz="0" w:space="0" w:color="auto"/>
                      </w:divBdr>
                    </w:div>
                  </w:divsChild>
                </w:div>
                <w:div w:id="1104957660">
                  <w:marLeft w:val="0"/>
                  <w:marRight w:val="0"/>
                  <w:marTop w:val="0"/>
                  <w:marBottom w:val="0"/>
                  <w:divBdr>
                    <w:top w:val="none" w:sz="0" w:space="0" w:color="auto"/>
                    <w:left w:val="none" w:sz="0" w:space="0" w:color="auto"/>
                    <w:bottom w:val="none" w:sz="0" w:space="0" w:color="auto"/>
                    <w:right w:val="none" w:sz="0" w:space="0" w:color="auto"/>
                  </w:divBdr>
                  <w:divsChild>
                    <w:div w:id="1573269999">
                      <w:marLeft w:val="0"/>
                      <w:marRight w:val="0"/>
                      <w:marTop w:val="0"/>
                      <w:marBottom w:val="0"/>
                      <w:divBdr>
                        <w:top w:val="none" w:sz="0" w:space="0" w:color="auto"/>
                        <w:left w:val="none" w:sz="0" w:space="0" w:color="auto"/>
                        <w:bottom w:val="none" w:sz="0" w:space="0" w:color="auto"/>
                        <w:right w:val="none" w:sz="0" w:space="0" w:color="auto"/>
                      </w:divBdr>
                    </w:div>
                  </w:divsChild>
                </w:div>
                <w:div w:id="1935674763">
                  <w:marLeft w:val="0"/>
                  <w:marRight w:val="0"/>
                  <w:marTop w:val="0"/>
                  <w:marBottom w:val="0"/>
                  <w:divBdr>
                    <w:top w:val="none" w:sz="0" w:space="0" w:color="auto"/>
                    <w:left w:val="none" w:sz="0" w:space="0" w:color="auto"/>
                    <w:bottom w:val="none" w:sz="0" w:space="0" w:color="auto"/>
                    <w:right w:val="none" w:sz="0" w:space="0" w:color="auto"/>
                  </w:divBdr>
                  <w:divsChild>
                    <w:div w:id="566771996">
                      <w:marLeft w:val="0"/>
                      <w:marRight w:val="0"/>
                      <w:marTop w:val="0"/>
                      <w:marBottom w:val="0"/>
                      <w:divBdr>
                        <w:top w:val="none" w:sz="0" w:space="0" w:color="auto"/>
                        <w:left w:val="none" w:sz="0" w:space="0" w:color="auto"/>
                        <w:bottom w:val="none" w:sz="0" w:space="0" w:color="auto"/>
                        <w:right w:val="none" w:sz="0" w:space="0" w:color="auto"/>
                      </w:divBdr>
                    </w:div>
                  </w:divsChild>
                </w:div>
                <w:div w:id="1899855756">
                  <w:marLeft w:val="0"/>
                  <w:marRight w:val="0"/>
                  <w:marTop w:val="0"/>
                  <w:marBottom w:val="0"/>
                  <w:divBdr>
                    <w:top w:val="none" w:sz="0" w:space="0" w:color="auto"/>
                    <w:left w:val="none" w:sz="0" w:space="0" w:color="auto"/>
                    <w:bottom w:val="none" w:sz="0" w:space="0" w:color="auto"/>
                    <w:right w:val="none" w:sz="0" w:space="0" w:color="auto"/>
                  </w:divBdr>
                  <w:divsChild>
                    <w:div w:id="3351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80572">
          <w:marLeft w:val="0"/>
          <w:marRight w:val="0"/>
          <w:marTop w:val="0"/>
          <w:marBottom w:val="0"/>
          <w:divBdr>
            <w:top w:val="none" w:sz="0" w:space="0" w:color="auto"/>
            <w:left w:val="none" w:sz="0" w:space="0" w:color="auto"/>
            <w:bottom w:val="none" w:sz="0" w:space="0" w:color="auto"/>
            <w:right w:val="none" w:sz="0" w:space="0" w:color="auto"/>
          </w:divBdr>
        </w:div>
        <w:div w:id="1432043558">
          <w:marLeft w:val="0"/>
          <w:marRight w:val="0"/>
          <w:marTop w:val="0"/>
          <w:marBottom w:val="0"/>
          <w:divBdr>
            <w:top w:val="none" w:sz="0" w:space="0" w:color="auto"/>
            <w:left w:val="none" w:sz="0" w:space="0" w:color="auto"/>
            <w:bottom w:val="none" w:sz="0" w:space="0" w:color="auto"/>
            <w:right w:val="none" w:sz="0" w:space="0" w:color="auto"/>
          </w:divBdr>
        </w:div>
        <w:div w:id="521555572">
          <w:marLeft w:val="0"/>
          <w:marRight w:val="0"/>
          <w:marTop w:val="0"/>
          <w:marBottom w:val="0"/>
          <w:divBdr>
            <w:top w:val="none" w:sz="0" w:space="0" w:color="auto"/>
            <w:left w:val="none" w:sz="0" w:space="0" w:color="auto"/>
            <w:bottom w:val="none" w:sz="0" w:space="0" w:color="auto"/>
            <w:right w:val="none" w:sz="0" w:space="0" w:color="auto"/>
          </w:divBdr>
        </w:div>
        <w:div w:id="1720395856">
          <w:marLeft w:val="0"/>
          <w:marRight w:val="0"/>
          <w:marTop w:val="0"/>
          <w:marBottom w:val="0"/>
          <w:divBdr>
            <w:top w:val="none" w:sz="0" w:space="0" w:color="auto"/>
            <w:left w:val="none" w:sz="0" w:space="0" w:color="auto"/>
            <w:bottom w:val="none" w:sz="0" w:space="0" w:color="auto"/>
            <w:right w:val="none" w:sz="0" w:space="0" w:color="auto"/>
          </w:divBdr>
        </w:div>
        <w:div w:id="1446929015">
          <w:marLeft w:val="0"/>
          <w:marRight w:val="0"/>
          <w:marTop w:val="0"/>
          <w:marBottom w:val="0"/>
          <w:divBdr>
            <w:top w:val="none" w:sz="0" w:space="0" w:color="auto"/>
            <w:left w:val="none" w:sz="0" w:space="0" w:color="auto"/>
            <w:bottom w:val="none" w:sz="0" w:space="0" w:color="auto"/>
            <w:right w:val="none" w:sz="0" w:space="0" w:color="auto"/>
          </w:divBdr>
          <w:divsChild>
            <w:div w:id="1186283323">
              <w:marLeft w:val="-75"/>
              <w:marRight w:val="0"/>
              <w:marTop w:val="30"/>
              <w:marBottom w:val="30"/>
              <w:divBdr>
                <w:top w:val="none" w:sz="0" w:space="0" w:color="auto"/>
                <w:left w:val="none" w:sz="0" w:space="0" w:color="auto"/>
                <w:bottom w:val="none" w:sz="0" w:space="0" w:color="auto"/>
                <w:right w:val="none" w:sz="0" w:space="0" w:color="auto"/>
              </w:divBdr>
              <w:divsChild>
                <w:div w:id="1103844841">
                  <w:marLeft w:val="0"/>
                  <w:marRight w:val="0"/>
                  <w:marTop w:val="0"/>
                  <w:marBottom w:val="0"/>
                  <w:divBdr>
                    <w:top w:val="none" w:sz="0" w:space="0" w:color="auto"/>
                    <w:left w:val="none" w:sz="0" w:space="0" w:color="auto"/>
                    <w:bottom w:val="none" w:sz="0" w:space="0" w:color="auto"/>
                    <w:right w:val="none" w:sz="0" w:space="0" w:color="auto"/>
                  </w:divBdr>
                  <w:divsChild>
                    <w:div w:id="286543786">
                      <w:marLeft w:val="0"/>
                      <w:marRight w:val="0"/>
                      <w:marTop w:val="0"/>
                      <w:marBottom w:val="0"/>
                      <w:divBdr>
                        <w:top w:val="none" w:sz="0" w:space="0" w:color="auto"/>
                        <w:left w:val="none" w:sz="0" w:space="0" w:color="auto"/>
                        <w:bottom w:val="none" w:sz="0" w:space="0" w:color="auto"/>
                        <w:right w:val="none" w:sz="0" w:space="0" w:color="auto"/>
                      </w:divBdr>
                    </w:div>
                  </w:divsChild>
                </w:div>
                <w:div w:id="1940134164">
                  <w:marLeft w:val="0"/>
                  <w:marRight w:val="0"/>
                  <w:marTop w:val="0"/>
                  <w:marBottom w:val="0"/>
                  <w:divBdr>
                    <w:top w:val="none" w:sz="0" w:space="0" w:color="auto"/>
                    <w:left w:val="none" w:sz="0" w:space="0" w:color="auto"/>
                    <w:bottom w:val="none" w:sz="0" w:space="0" w:color="auto"/>
                    <w:right w:val="none" w:sz="0" w:space="0" w:color="auto"/>
                  </w:divBdr>
                  <w:divsChild>
                    <w:div w:id="1974484956">
                      <w:marLeft w:val="0"/>
                      <w:marRight w:val="0"/>
                      <w:marTop w:val="0"/>
                      <w:marBottom w:val="0"/>
                      <w:divBdr>
                        <w:top w:val="none" w:sz="0" w:space="0" w:color="auto"/>
                        <w:left w:val="none" w:sz="0" w:space="0" w:color="auto"/>
                        <w:bottom w:val="none" w:sz="0" w:space="0" w:color="auto"/>
                        <w:right w:val="none" w:sz="0" w:space="0" w:color="auto"/>
                      </w:divBdr>
                    </w:div>
                  </w:divsChild>
                </w:div>
                <w:div w:id="9576332">
                  <w:marLeft w:val="0"/>
                  <w:marRight w:val="0"/>
                  <w:marTop w:val="0"/>
                  <w:marBottom w:val="0"/>
                  <w:divBdr>
                    <w:top w:val="none" w:sz="0" w:space="0" w:color="auto"/>
                    <w:left w:val="none" w:sz="0" w:space="0" w:color="auto"/>
                    <w:bottom w:val="none" w:sz="0" w:space="0" w:color="auto"/>
                    <w:right w:val="none" w:sz="0" w:space="0" w:color="auto"/>
                  </w:divBdr>
                  <w:divsChild>
                    <w:div w:id="753429551">
                      <w:marLeft w:val="0"/>
                      <w:marRight w:val="0"/>
                      <w:marTop w:val="0"/>
                      <w:marBottom w:val="0"/>
                      <w:divBdr>
                        <w:top w:val="none" w:sz="0" w:space="0" w:color="auto"/>
                        <w:left w:val="none" w:sz="0" w:space="0" w:color="auto"/>
                        <w:bottom w:val="none" w:sz="0" w:space="0" w:color="auto"/>
                        <w:right w:val="none" w:sz="0" w:space="0" w:color="auto"/>
                      </w:divBdr>
                    </w:div>
                  </w:divsChild>
                </w:div>
                <w:div w:id="481583582">
                  <w:marLeft w:val="0"/>
                  <w:marRight w:val="0"/>
                  <w:marTop w:val="0"/>
                  <w:marBottom w:val="0"/>
                  <w:divBdr>
                    <w:top w:val="none" w:sz="0" w:space="0" w:color="auto"/>
                    <w:left w:val="none" w:sz="0" w:space="0" w:color="auto"/>
                    <w:bottom w:val="none" w:sz="0" w:space="0" w:color="auto"/>
                    <w:right w:val="none" w:sz="0" w:space="0" w:color="auto"/>
                  </w:divBdr>
                  <w:divsChild>
                    <w:div w:id="1080060005">
                      <w:marLeft w:val="0"/>
                      <w:marRight w:val="0"/>
                      <w:marTop w:val="0"/>
                      <w:marBottom w:val="0"/>
                      <w:divBdr>
                        <w:top w:val="none" w:sz="0" w:space="0" w:color="auto"/>
                        <w:left w:val="none" w:sz="0" w:space="0" w:color="auto"/>
                        <w:bottom w:val="none" w:sz="0" w:space="0" w:color="auto"/>
                        <w:right w:val="none" w:sz="0" w:space="0" w:color="auto"/>
                      </w:divBdr>
                    </w:div>
                  </w:divsChild>
                </w:div>
                <w:div w:id="1587151856">
                  <w:marLeft w:val="0"/>
                  <w:marRight w:val="0"/>
                  <w:marTop w:val="0"/>
                  <w:marBottom w:val="0"/>
                  <w:divBdr>
                    <w:top w:val="none" w:sz="0" w:space="0" w:color="auto"/>
                    <w:left w:val="none" w:sz="0" w:space="0" w:color="auto"/>
                    <w:bottom w:val="none" w:sz="0" w:space="0" w:color="auto"/>
                    <w:right w:val="none" w:sz="0" w:space="0" w:color="auto"/>
                  </w:divBdr>
                  <w:divsChild>
                    <w:div w:id="374355230">
                      <w:marLeft w:val="0"/>
                      <w:marRight w:val="0"/>
                      <w:marTop w:val="0"/>
                      <w:marBottom w:val="0"/>
                      <w:divBdr>
                        <w:top w:val="none" w:sz="0" w:space="0" w:color="auto"/>
                        <w:left w:val="none" w:sz="0" w:space="0" w:color="auto"/>
                        <w:bottom w:val="none" w:sz="0" w:space="0" w:color="auto"/>
                        <w:right w:val="none" w:sz="0" w:space="0" w:color="auto"/>
                      </w:divBdr>
                    </w:div>
                  </w:divsChild>
                </w:div>
                <w:div w:id="183904010">
                  <w:marLeft w:val="0"/>
                  <w:marRight w:val="0"/>
                  <w:marTop w:val="0"/>
                  <w:marBottom w:val="0"/>
                  <w:divBdr>
                    <w:top w:val="none" w:sz="0" w:space="0" w:color="auto"/>
                    <w:left w:val="none" w:sz="0" w:space="0" w:color="auto"/>
                    <w:bottom w:val="none" w:sz="0" w:space="0" w:color="auto"/>
                    <w:right w:val="none" w:sz="0" w:space="0" w:color="auto"/>
                  </w:divBdr>
                  <w:divsChild>
                    <w:div w:id="254478660">
                      <w:marLeft w:val="0"/>
                      <w:marRight w:val="0"/>
                      <w:marTop w:val="0"/>
                      <w:marBottom w:val="0"/>
                      <w:divBdr>
                        <w:top w:val="none" w:sz="0" w:space="0" w:color="auto"/>
                        <w:left w:val="none" w:sz="0" w:space="0" w:color="auto"/>
                        <w:bottom w:val="none" w:sz="0" w:space="0" w:color="auto"/>
                        <w:right w:val="none" w:sz="0" w:space="0" w:color="auto"/>
                      </w:divBdr>
                    </w:div>
                  </w:divsChild>
                </w:div>
                <w:div w:id="999963713">
                  <w:marLeft w:val="0"/>
                  <w:marRight w:val="0"/>
                  <w:marTop w:val="0"/>
                  <w:marBottom w:val="0"/>
                  <w:divBdr>
                    <w:top w:val="none" w:sz="0" w:space="0" w:color="auto"/>
                    <w:left w:val="none" w:sz="0" w:space="0" w:color="auto"/>
                    <w:bottom w:val="none" w:sz="0" w:space="0" w:color="auto"/>
                    <w:right w:val="none" w:sz="0" w:space="0" w:color="auto"/>
                  </w:divBdr>
                  <w:divsChild>
                    <w:div w:id="1053895624">
                      <w:marLeft w:val="0"/>
                      <w:marRight w:val="0"/>
                      <w:marTop w:val="0"/>
                      <w:marBottom w:val="0"/>
                      <w:divBdr>
                        <w:top w:val="none" w:sz="0" w:space="0" w:color="auto"/>
                        <w:left w:val="none" w:sz="0" w:space="0" w:color="auto"/>
                        <w:bottom w:val="none" w:sz="0" w:space="0" w:color="auto"/>
                        <w:right w:val="none" w:sz="0" w:space="0" w:color="auto"/>
                      </w:divBdr>
                    </w:div>
                  </w:divsChild>
                </w:div>
                <w:div w:id="1849903109">
                  <w:marLeft w:val="0"/>
                  <w:marRight w:val="0"/>
                  <w:marTop w:val="0"/>
                  <w:marBottom w:val="0"/>
                  <w:divBdr>
                    <w:top w:val="none" w:sz="0" w:space="0" w:color="auto"/>
                    <w:left w:val="none" w:sz="0" w:space="0" w:color="auto"/>
                    <w:bottom w:val="none" w:sz="0" w:space="0" w:color="auto"/>
                    <w:right w:val="none" w:sz="0" w:space="0" w:color="auto"/>
                  </w:divBdr>
                  <w:divsChild>
                    <w:div w:id="476848977">
                      <w:marLeft w:val="0"/>
                      <w:marRight w:val="0"/>
                      <w:marTop w:val="0"/>
                      <w:marBottom w:val="0"/>
                      <w:divBdr>
                        <w:top w:val="none" w:sz="0" w:space="0" w:color="auto"/>
                        <w:left w:val="none" w:sz="0" w:space="0" w:color="auto"/>
                        <w:bottom w:val="none" w:sz="0" w:space="0" w:color="auto"/>
                        <w:right w:val="none" w:sz="0" w:space="0" w:color="auto"/>
                      </w:divBdr>
                    </w:div>
                  </w:divsChild>
                </w:div>
                <w:div w:id="257326597">
                  <w:marLeft w:val="0"/>
                  <w:marRight w:val="0"/>
                  <w:marTop w:val="0"/>
                  <w:marBottom w:val="0"/>
                  <w:divBdr>
                    <w:top w:val="none" w:sz="0" w:space="0" w:color="auto"/>
                    <w:left w:val="none" w:sz="0" w:space="0" w:color="auto"/>
                    <w:bottom w:val="none" w:sz="0" w:space="0" w:color="auto"/>
                    <w:right w:val="none" w:sz="0" w:space="0" w:color="auto"/>
                  </w:divBdr>
                  <w:divsChild>
                    <w:div w:id="1966034126">
                      <w:marLeft w:val="0"/>
                      <w:marRight w:val="0"/>
                      <w:marTop w:val="0"/>
                      <w:marBottom w:val="0"/>
                      <w:divBdr>
                        <w:top w:val="none" w:sz="0" w:space="0" w:color="auto"/>
                        <w:left w:val="none" w:sz="0" w:space="0" w:color="auto"/>
                        <w:bottom w:val="none" w:sz="0" w:space="0" w:color="auto"/>
                        <w:right w:val="none" w:sz="0" w:space="0" w:color="auto"/>
                      </w:divBdr>
                    </w:div>
                  </w:divsChild>
                </w:div>
                <w:div w:id="1163005332">
                  <w:marLeft w:val="0"/>
                  <w:marRight w:val="0"/>
                  <w:marTop w:val="0"/>
                  <w:marBottom w:val="0"/>
                  <w:divBdr>
                    <w:top w:val="none" w:sz="0" w:space="0" w:color="auto"/>
                    <w:left w:val="none" w:sz="0" w:space="0" w:color="auto"/>
                    <w:bottom w:val="none" w:sz="0" w:space="0" w:color="auto"/>
                    <w:right w:val="none" w:sz="0" w:space="0" w:color="auto"/>
                  </w:divBdr>
                  <w:divsChild>
                    <w:div w:id="573584713">
                      <w:marLeft w:val="0"/>
                      <w:marRight w:val="0"/>
                      <w:marTop w:val="0"/>
                      <w:marBottom w:val="0"/>
                      <w:divBdr>
                        <w:top w:val="none" w:sz="0" w:space="0" w:color="auto"/>
                        <w:left w:val="none" w:sz="0" w:space="0" w:color="auto"/>
                        <w:bottom w:val="none" w:sz="0" w:space="0" w:color="auto"/>
                        <w:right w:val="none" w:sz="0" w:space="0" w:color="auto"/>
                      </w:divBdr>
                    </w:div>
                  </w:divsChild>
                </w:div>
                <w:div w:id="255674778">
                  <w:marLeft w:val="0"/>
                  <w:marRight w:val="0"/>
                  <w:marTop w:val="0"/>
                  <w:marBottom w:val="0"/>
                  <w:divBdr>
                    <w:top w:val="none" w:sz="0" w:space="0" w:color="auto"/>
                    <w:left w:val="none" w:sz="0" w:space="0" w:color="auto"/>
                    <w:bottom w:val="none" w:sz="0" w:space="0" w:color="auto"/>
                    <w:right w:val="none" w:sz="0" w:space="0" w:color="auto"/>
                  </w:divBdr>
                  <w:divsChild>
                    <w:div w:id="1770660163">
                      <w:marLeft w:val="0"/>
                      <w:marRight w:val="0"/>
                      <w:marTop w:val="0"/>
                      <w:marBottom w:val="0"/>
                      <w:divBdr>
                        <w:top w:val="none" w:sz="0" w:space="0" w:color="auto"/>
                        <w:left w:val="none" w:sz="0" w:space="0" w:color="auto"/>
                        <w:bottom w:val="none" w:sz="0" w:space="0" w:color="auto"/>
                        <w:right w:val="none" w:sz="0" w:space="0" w:color="auto"/>
                      </w:divBdr>
                    </w:div>
                  </w:divsChild>
                </w:div>
                <w:div w:id="1723946592">
                  <w:marLeft w:val="0"/>
                  <w:marRight w:val="0"/>
                  <w:marTop w:val="0"/>
                  <w:marBottom w:val="0"/>
                  <w:divBdr>
                    <w:top w:val="none" w:sz="0" w:space="0" w:color="auto"/>
                    <w:left w:val="none" w:sz="0" w:space="0" w:color="auto"/>
                    <w:bottom w:val="none" w:sz="0" w:space="0" w:color="auto"/>
                    <w:right w:val="none" w:sz="0" w:space="0" w:color="auto"/>
                  </w:divBdr>
                  <w:divsChild>
                    <w:div w:id="866219793">
                      <w:marLeft w:val="0"/>
                      <w:marRight w:val="0"/>
                      <w:marTop w:val="0"/>
                      <w:marBottom w:val="0"/>
                      <w:divBdr>
                        <w:top w:val="none" w:sz="0" w:space="0" w:color="auto"/>
                        <w:left w:val="none" w:sz="0" w:space="0" w:color="auto"/>
                        <w:bottom w:val="none" w:sz="0" w:space="0" w:color="auto"/>
                        <w:right w:val="none" w:sz="0" w:space="0" w:color="auto"/>
                      </w:divBdr>
                    </w:div>
                  </w:divsChild>
                </w:div>
                <w:div w:id="512840397">
                  <w:marLeft w:val="0"/>
                  <w:marRight w:val="0"/>
                  <w:marTop w:val="0"/>
                  <w:marBottom w:val="0"/>
                  <w:divBdr>
                    <w:top w:val="none" w:sz="0" w:space="0" w:color="auto"/>
                    <w:left w:val="none" w:sz="0" w:space="0" w:color="auto"/>
                    <w:bottom w:val="none" w:sz="0" w:space="0" w:color="auto"/>
                    <w:right w:val="none" w:sz="0" w:space="0" w:color="auto"/>
                  </w:divBdr>
                  <w:divsChild>
                    <w:div w:id="1407802709">
                      <w:marLeft w:val="0"/>
                      <w:marRight w:val="0"/>
                      <w:marTop w:val="0"/>
                      <w:marBottom w:val="0"/>
                      <w:divBdr>
                        <w:top w:val="none" w:sz="0" w:space="0" w:color="auto"/>
                        <w:left w:val="none" w:sz="0" w:space="0" w:color="auto"/>
                        <w:bottom w:val="none" w:sz="0" w:space="0" w:color="auto"/>
                        <w:right w:val="none" w:sz="0" w:space="0" w:color="auto"/>
                      </w:divBdr>
                    </w:div>
                  </w:divsChild>
                </w:div>
                <w:div w:id="230232875">
                  <w:marLeft w:val="0"/>
                  <w:marRight w:val="0"/>
                  <w:marTop w:val="0"/>
                  <w:marBottom w:val="0"/>
                  <w:divBdr>
                    <w:top w:val="none" w:sz="0" w:space="0" w:color="auto"/>
                    <w:left w:val="none" w:sz="0" w:space="0" w:color="auto"/>
                    <w:bottom w:val="none" w:sz="0" w:space="0" w:color="auto"/>
                    <w:right w:val="none" w:sz="0" w:space="0" w:color="auto"/>
                  </w:divBdr>
                  <w:divsChild>
                    <w:div w:id="287397250">
                      <w:marLeft w:val="0"/>
                      <w:marRight w:val="0"/>
                      <w:marTop w:val="0"/>
                      <w:marBottom w:val="0"/>
                      <w:divBdr>
                        <w:top w:val="none" w:sz="0" w:space="0" w:color="auto"/>
                        <w:left w:val="none" w:sz="0" w:space="0" w:color="auto"/>
                        <w:bottom w:val="none" w:sz="0" w:space="0" w:color="auto"/>
                        <w:right w:val="none" w:sz="0" w:space="0" w:color="auto"/>
                      </w:divBdr>
                    </w:div>
                  </w:divsChild>
                </w:div>
                <w:div w:id="1192304780">
                  <w:marLeft w:val="0"/>
                  <w:marRight w:val="0"/>
                  <w:marTop w:val="0"/>
                  <w:marBottom w:val="0"/>
                  <w:divBdr>
                    <w:top w:val="none" w:sz="0" w:space="0" w:color="auto"/>
                    <w:left w:val="none" w:sz="0" w:space="0" w:color="auto"/>
                    <w:bottom w:val="none" w:sz="0" w:space="0" w:color="auto"/>
                    <w:right w:val="none" w:sz="0" w:space="0" w:color="auto"/>
                  </w:divBdr>
                  <w:divsChild>
                    <w:div w:id="1395469383">
                      <w:marLeft w:val="0"/>
                      <w:marRight w:val="0"/>
                      <w:marTop w:val="0"/>
                      <w:marBottom w:val="0"/>
                      <w:divBdr>
                        <w:top w:val="none" w:sz="0" w:space="0" w:color="auto"/>
                        <w:left w:val="none" w:sz="0" w:space="0" w:color="auto"/>
                        <w:bottom w:val="none" w:sz="0" w:space="0" w:color="auto"/>
                        <w:right w:val="none" w:sz="0" w:space="0" w:color="auto"/>
                      </w:divBdr>
                    </w:div>
                  </w:divsChild>
                </w:div>
                <w:div w:id="409936054">
                  <w:marLeft w:val="0"/>
                  <w:marRight w:val="0"/>
                  <w:marTop w:val="0"/>
                  <w:marBottom w:val="0"/>
                  <w:divBdr>
                    <w:top w:val="none" w:sz="0" w:space="0" w:color="auto"/>
                    <w:left w:val="none" w:sz="0" w:space="0" w:color="auto"/>
                    <w:bottom w:val="none" w:sz="0" w:space="0" w:color="auto"/>
                    <w:right w:val="none" w:sz="0" w:space="0" w:color="auto"/>
                  </w:divBdr>
                  <w:divsChild>
                    <w:div w:id="75289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333283">
          <w:marLeft w:val="0"/>
          <w:marRight w:val="0"/>
          <w:marTop w:val="0"/>
          <w:marBottom w:val="0"/>
          <w:divBdr>
            <w:top w:val="none" w:sz="0" w:space="0" w:color="auto"/>
            <w:left w:val="none" w:sz="0" w:space="0" w:color="auto"/>
            <w:bottom w:val="none" w:sz="0" w:space="0" w:color="auto"/>
            <w:right w:val="none" w:sz="0" w:space="0" w:color="auto"/>
          </w:divBdr>
          <w:divsChild>
            <w:div w:id="536239236">
              <w:marLeft w:val="0"/>
              <w:marRight w:val="0"/>
              <w:marTop w:val="0"/>
              <w:marBottom w:val="0"/>
              <w:divBdr>
                <w:top w:val="none" w:sz="0" w:space="0" w:color="auto"/>
                <w:left w:val="none" w:sz="0" w:space="0" w:color="auto"/>
                <w:bottom w:val="none" w:sz="0" w:space="0" w:color="auto"/>
                <w:right w:val="none" w:sz="0" w:space="0" w:color="auto"/>
              </w:divBdr>
            </w:div>
            <w:div w:id="1470053950">
              <w:marLeft w:val="0"/>
              <w:marRight w:val="0"/>
              <w:marTop w:val="0"/>
              <w:marBottom w:val="0"/>
              <w:divBdr>
                <w:top w:val="none" w:sz="0" w:space="0" w:color="auto"/>
                <w:left w:val="none" w:sz="0" w:space="0" w:color="auto"/>
                <w:bottom w:val="none" w:sz="0" w:space="0" w:color="auto"/>
                <w:right w:val="none" w:sz="0" w:space="0" w:color="auto"/>
              </w:divBdr>
            </w:div>
            <w:div w:id="1697534217">
              <w:marLeft w:val="0"/>
              <w:marRight w:val="0"/>
              <w:marTop w:val="0"/>
              <w:marBottom w:val="0"/>
              <w:divBdr>
                <w:top w:val="none" w:sz="0" w:space="0" w:color="auto"/>
                <w:left w:val="none" w:sz="0" w:space="0" w:color="auto"/>
                <w:bottom w:val="none" w:sz="0" w:space="0" w:color="auto"/>
                <w:right w:val="none" w:sz="0" w:space="0" w:color="auto"/>
              </w:divBdr>
            </w:div>
            <w:div w:id="1561212024">
              <w:marLeft w:val="0"/>
              <w:marRight w:val="0"/>
              <w:marTop w:val="0"/>
              <w:marBottom w:val="0"/>
              <w:divBdr>
                <w:top w:val="none" w:sz="0" w:space="0" w:color="auto"/>
                <w:left w:val="none" w:sz="0" w:space="0" w:color="auto"/>
                <w:bottom w:val="none" w:sz="0" w:space="0" w:color="auto"/>
                <w:right w:val="none" w:sz="0" w:space="0" w:color="auto"/>
              </w:divBdr>
            </w:div>
            <w:div w:id="1964265631">
              <w:marLeft w:val="0"/>
              <w:marRight w:val="0"/>
              <w:marTop w:val="0"/>
              <w:marBottom w:val="0"/>
              <w:divBdr>
                <w:top w:val="none" w:sz="0" w:space="0" w:color="auto"/>
                <w:left w:val="none" w:sz="0" w:space="0" w:color="auto"/>
                <w:bottom w:val="none" w:sz="0" w:space="0" w:color="auto"/>
                <w:right w:val="none" w:sz="0" w:space="0" w:color="auto"/>
              </w:divBdr>
            </w:div>
            <w:div w:id="1891304298">
              <w:marLeft w:val="0"/>
              <w:marRight w:val="0"/>
              <w:marTop w:val="0"/>
              <w:marBottom w:val="0"/>
              <w:divBdr>
                <w:top w:val="none" w:sz="0" w:space="0" w:color="auto"/>
                <w:left w:val="none" w:sz="0" w:space="0" w:color="auto"/>
                <w:bottom w:val="none" w:sz="0" w:space="0" w:color="auto"/>
                <w:right w:val="none" w:sz="0" w:space="0" w:color="auto"/>
              </w:divBdr>
            </w:div>
            <w:div w:id="1885562052">
              <w:marLeft w:val="0"/>
              <w:marRight w:val="0"/>
              <w:marTop w:val="0"/>
              <w:marBottom w:val="0"/>
              <w:divBdr>
                <w:top w:val="none" w:sz="0" w:space="0" w:color="auto"/>
                <w:left w:val="none" w:sz="0" w:space="0" w:color="auto"/>
                <w:bottom w:val="none" w:sz="0" w:space="0" w:color="auto"/>
                <w:right w:val="none" w:sz="0" w:space="0" w:color="auto"/>
              </w:divBdr>
            </w:div>
            <w:div w:id="275646">
              <w:marLeft w:val="0"/>
              <w:marRight w:val="0"/>
              <w:marTop w:val="0"/>
              <w:marBottom w:val="0"/>
              <w:divBdr>
                <w:top w:val="none" w:sz="0" w:space="0" w:color="auto"/>
                <w:left w:val="none" w:sz="0" w:space="0" w:color="auto"/>
                <w:bottom w:val="none" w:sz="0" w:space="0" w:color="auto"/>
                <w:right w:val="none" w:sz="0" w:space="0" w:color="auto"/>
              </w:divBdr>
            </w:div>
            <w:div w:id="104354171">
              <w:marLeft w:val="0"/>
              <w:marRight w:val="0"/>
              <w:marTop w:val="0"/>
              <w:marBottom w:val="0"/>
              <w:divBdr>
                <w:top w:val="none" w:sz="0" w:space="0" w:color="auto"/>
                <w:left w:val="none" w:sz="0" w:space="0" w:color="auto"/>
                <w:bottom w:val="none" w:sz="0" w:space="0" w:color="auto"/>
                <w:right w:val="none" w:sz="0" w:space="0" w:color="auto"/>
              </w:divBdr>
            </w:div>
            <w:div w:id="2049447874">
              <w:marLeft w:val="0"/>
              <w:marRight w:val="0"/>
              <w:marTop w:val="0"/>
              <w:marBottom w:val="0"/>
              <w:divBdr>
                <w:top w:val="none" w:sz="0" w:space="0" w:color="auto"/>
                <w:left w:val="none" w:sz="0" w:space="0" w:color="auto"/>
                <w:bottom w:val="none" w:sz="0" w:space="0" w:color="auto"/>
                <w:right w:val="none" w:sz="0" w:space="0" w:color="auto"/>
              </w:divBdr>
            </w:div>
            <w:div w:id="121268969">
              <w:marLeft w:val="0"/>
              <w:marRight w:val="0"/>
              <w:marTop w:val="0"/>
              <w:marBottom w:val="0"/>
              <w:divBdr>
                <w:top w:val="none" w:sz="0" w:space="0" w:color="auto"/>
                <w:left w:val="none" w:sz="0" w:space="0" w:color="auto"/>
                <w:bottom w:val="none" w:sz="0" w:space="0" w:color="auto"/>
                <w:right w:val="none" w:sz="0" w:space="0" w:color="auto"/>
              </w:divBdr>
            </w:div>
          </w:divsChild>
        </w:div>
        <w:div w:id="1664117540">
          <w:marLeft w:val="0"/>
          <w:marRight w:val="0"/>
          <w:marTop w:val="0"/>
          <w:marBottom w:val="0"/>
          <w:divBdr>
            <w:top w:val="none" w:sz="0" w:space="0" w:color="auto"/>
            <w:left w:val="none" w:sz="0" w:space="0" w:color="auto"/>
            <w:bottom w:val="none" w:sz="0" w:space="0" w:color="auto"/>
            <w:right w:val="none" w:sz="0" w:space="0" w:color="auto"/>
          </w:divBdr>
          <w:divsChild>
            <w:div w:id="1645233943">
              <w:marLeft w:val="-75"/>
              <w:marRight w:val="0"/>
              <w:marTop w:val="30"/>
              <w:marBottom w:val="30"/>
              <w:divBdr>
                <w:top w:val="none" w:sz="0" w:space="0" w:color="auto"/>
                <w:left w:val="none" w:sz="0" w:space="0" w:color="auto"/>
                <w:bottom w:val="none" w:sz="0" w:space="0" w:color="auto"/>
                <w:right w:val="none" w:sz="0" w:space="0" w:color="auto"/>
              </w:divBdr>
              <w:divsChild>
                <w:div w:id="1900434615">
                  <w:marLeft w:val="0"/>
                  <w:marRight w:val="0"/>
                  <w:marTop w:val="0"/>
                  <w:marBottom w:val="0"/>
                  <w:divBdr>
                    <w:top w:val="none" w:sz="0" w:space="0" w:color="auto"/>
                    <w:left w:val="none" w:sz="0" w:space="0" w:color="auto"/>
                    <w:bottom w:val="none" w:sz="0" w:space="0" w:color="auto"/>
                    <w:right w:val="none" w:sz="0" w:space="0" w:color="auto"/>
                  </w:divBdr>
                  <w:divsChild>
                    <w:div w:id="923344931">
                      <w:marLeft w:val="0"/>
                      <w:marRight w:val="0"/>
                      <w:marTop w:val="0"/>
                      <w:marBottom w:val="0"/>
                      <w:divBdr>
                        <w:top w:val="none" w:sz="0" w:space="0" w:color="auto"/>
                        <w:left w:val="none" w:sz="0" w:space="0" w:color="auto"/>
                        <w:bottom w:val="none" w:sz="0" w:space="0" w:color="auto"/>
                        <w:right w:val="none" w:sz="0" w:space="0" w:color="auto"/>
                      </w:divBdr>
                    </w:div>
                  </w:divsChild>
                </w:div>
                <w:div w:id="1551842580">
                  <w:marLeft w:val="0"/>
                  <w:marRight w:val="0"/>
                  <w:marTop w:val="0"/>
                  <w:marBottom w:val="0"/>
                  <w:divBdr>
                    <w:top w:val="none" w:sz="0" w:space="0" w:color="auto"/>
                    <w:left w:val="none" w:sz="0" w:space="0" w:color="auto"/>
                    <w:bottom w:val="none" w:sz="0" w:space="0" w:color="auto"/>
                    <w:right w:val="none" w:sz="0" w:space="0" w:color="auto"/>
                  </w:divBdr>
                  <w:divsChild>
                    <w:div w:id="467941142">
                      <w:marLeft w:val="0"/>
                      <w:marRight w:val="0"/>
                      <w:marTop w:val="0"/>
                      <w:marBottom w:val="0"/>
                      <w:divBdr>
                        <w:top w:val="none" w:sz="0" w:space="0" w:color="auto"/>
                        <w:left w:val="none" w:sz="0" w:space="0" w:color="auto"/>
                        <w:bottom w:val="none" w:sz="0" w:space="0" w:color="auto"/>
                        <w:right w:val="none" w:sz="0" w:space="0" w:color="auto"/>
                      </w:divBdr>
                    </w:div>
                  </w:divsChild>
                </w:div>
                <w:div w:id="784079663">
                  <w:marLeft w:val="0"/>
                  <w:marRight w:val="0"/>
                  <w:marTop w:val="0"/>
                  <w:marBottom w:val="0"/>
                  <w:divBdr>
                    <w:top w:val="none" w:sz="0" w:space="0" w:color="auto"/>
                    <w:left w:val="none" w:sz="0" w:space="0" w:color="auto"/>
                    <w:bottom w:val="none" w:sz="0" w:space="0" w:color="auto"/>
                    <w:right w:val="none" w:sz="0" w:space="0" w:color="auto"/>
                  </w:divBdr>
                  <w:divsChild>
                    <w:div w:id="1426345233">
                      <w:marLeft w:val="0"/>
                      <w:marRight w:val="0"/>
                      <w:marTop w:val="0"/>
                      <w:marBottom w:val="0"/>
                      <w:divBdr>
                        <w:top w:val="none" w:sz="0" w:space="0" w:color="auto"/>
                        <w:left w:val="none" w:sz="0" w:space="0" w:color="auto"/>
                        <w:bottom w:val="none" w:sz="0" w:space="0" w:color="auto"/>
                        <w:right w:val="none" w:sz="0" w:space="0" w:color="auto"/>
                      </w:divBdr>
                    </w:div>
                  </w:divsChild>
                </w:div>
                <w:div w:id="1707869173">
                  <w:marLeft w:val="0"/>
                  <w:marRight w:val="0"/>
                  <w:marTop w:val="0"/>
                  <w:marBottom w:val="0"/>
                  <w:divBdr>
                    <w:top w:val="none" w:sz="0" w:space="0" w:color="auto"/>
                    <w:left w:val="none" w:sz="0" w:space="0" w:color="auto"/>
                    <w:bottom w:val="none" w:sz="0" w:space="0" w:color="auto"/>
                    <w:right w:val="none" w:sz="0" w:space="0" w:color="auto"/>
                  </w:divBdr>
                  <w:divsChild>
                    <w:div w:id="1594245334">
                      <w:marLeft w:val="0"/>
                      <w:marRight w:val="0"/>
                      <w:marTop w:val="0"/>
                      <w:marBottom w:val="0"/>
                      <w:divBdr>
                        <w:top w:val="none" w:sz="0" w:space="0" w:color="auto"/>
                        <w:left w:val="none" w:sz="0" w:space="0" w:color="auto"/>
                        <w:bottom w:val="none" w:sz="0" w:space="0" w:color="auto"/>
                        <w:right w:val="none" w:sz="0" w:space="0" w:color="auto"/>
                      </w:divBdr>
                    </w:div>
                  </w:divsChild>
                </w:div>
                <w:div w:id="982732241">
                  <w:marLeft w:val="0"/>
                  <w:marRight w:val="0"/>
                  <w:marTop w:val="0"/>
                  <w:marBottom w:val="0"/>
                  <w:divBdr>
                    <w:top w:val="none" w:sz="0" w:space="0" w:color="auto"/>
                    <w:left w:val="none" w:sz="0" w:space="0" w:color="auto"/>
                    <w:bottom w:val="none" w:sz="0" w:space="0" w:color="auto"/>
                    <w:right w:val="none" w:sz="0" w:space="0" w:color="auto"/>
                  </w:divBdr>
                  <w:divsChild>
                    <w:div w:id="1228341780">
                      <w:marLeft w:val="0"/>
                      <w:marRight w:val="0"/>
                      <w:marTop w:val="0"/>
                      <w:marBottom w:val="0"/>
                      <w:divBdr>
                        <w:top w:val="none" w:sz="0" w:space="0" w:color="auto"/>
                        <w:left w:val="none" w:sz="0" w:space="0" w:color="auto"/>
                        <w:bottom w:val="none" w:sz="0" w:space="0" w:color="auto"/>
                        <w:right w:val="none" w:sz="0" w:space="0" w:color="auto"/>
                      </w:divBdr>
                    </w:div>
                  </w:divsChild>
                </w:div>
                <w:div w:id="1538813243">
                  <w:marLeft w:val="0"/>
                  <w:marRight w:val="0"/>
                  <w:marTop w:val="0"/>
                  <w:marBottom w:val="0"/>
                  <w:divBdr>
                    <w:top w:val="none" w:sz="0" w:space="0" w:color="auto"/>
                    <w:left w:val="none" w:sz="0" w:space="0" w:color="auto"/>
                    <w:bottom w:val="none" w:sz="0" w:space="0" w:color="auto"/>
                    <w:right w:val="none" w:sz="0" w:space="0" w:color="auto"/>
                  </w:divBdr>
                  <w:divsChild>
                    <w:div w:id="1891574342">
                      <w:marLeft w:val="0"/>
                      <w:marRight w:val="0"/>
                      <w:marTop w:val="0"/>
                      <w:marBottom w:val="0"/>
                      <w:divBdr>
                        <w:top w:val="none" w:sz="0" w:space="0" w:color="auto"/>
                        <w:left w:val="none" w:sz="0" w:space="0" w:color="auto"/>
                        <w:bottom w:val="none" w:sz="0" w:space="0" w:color="auto"/>
                        <w:right w:val="none" w:sz="0" w:space="0" w:color="auto"/>
                      </w:divBdr>
                    </w:div>
                  </w:divsChild>
                </w:div>
                <w:div w:id="1797985205">
                  <w:marLeft w:val="0"/>
                  <w:marRight w:val="0"/>
                  <w:marTop w:val="0"/>
                  <w:marBottom w:val="0"/>
                  <w:divBdr>
                    <w:top w:val="none" w:sz="0" w:space="0" w:color="auto"/>
                    <w:left w:val="none" w:sz="0" w:space="0" w:color="auto"/>
                    <w:bottom w:val="none" w:sz="0" w:space="0" w:color="auto"/>
                    <w:right w:val="none" w:sz="0" w:space="0" w:color="auto"/>
                  </w:divBdr>
                  <w:divsChild>
                    <w:div w:id="394012461">
                      <w:marLeft w:val="0"/>
                      <w:marRight w:val="0"/>
                      <w:marTop w:val="0"/>
                      <w:marBottom w:val="0"/>
                      <w:divBdr>
                        <w:top w:val="none" w:sz="0" w:space="0" w:color="auto"/>
                        <w:left w:val="none" w:sz="0" w:space="0" w:color="auto"/>
                        <w:bottom w:val="none" w:sz="0" w:space="0" w:color="auto"/>
                        <w:right w:val="none" w:sz="0" w:space="0" w:color="auto"/>
                      </w:divBdr>
                    </w:div>
                  </w:divsChild>
                </w:div>
                <w:div w:id="259530940">
                  <w:marLeft w:val="0"/>
                  <w:marRight w:val="0"/>
                  <w:marTop w:val="0"/>
                  <w:marBottom w:val="0"/>
                  <w:divBdr>
                    <w:top w:val="none" w:sz="0" w:space="0" w:color="auto"/>
                    <w:left w:val="none" w:sz="0" w:space="0" w:color="auto"/>
                    <w:bottom w:val="none" w:sz="0" w:space="0" w:color="auto"/>
                    <w:right w:val="none" w:sz="0" w:space="0" w:color="auto"/>
                  </w:divBdr>
                  <w:divsChild>
                    <w:div w:id="174882081">
                      <w:marLeft w:val="0"/>
                      <w:marRight w:val="0"/>
                      <w:marTop w:val="0"/>
                      <w:marBottom w:val="0"/>
                      <w:divBdr>
                        <w:top w:val="none" w:sz="0" w:space="0" w:color="auto"/>
                        <w:left w:val="none" w:sz="0" w:space="0" w:color="auto"/>
                        <w:bottom w:val="none" w:sz="0" w:space="0" w:color="auto"/>
                        <w:right w:val="none" w:sz="0" w:space="0" w:color="auto"/>
                      </w:divBdr>
                    </w:div>
                  </w:divsChild>
                </w:div>
                <w:div w:id="550505571">
                  <w:marLeft w:val="0"/>
                  <w:marRight w:val="0"/>
                  <w:marTop w:val="0"/>
                  <w:marBottom w:val="0"/>
                  <w:divBdr>
                    <w:top w:val="none" w:sz="0" w:space="0" w:color="auto"/>
                    <w:left w:val="none" w:sz="0" w:space="0" w:color="auto"/>
                    <w:bottom w:val="none" w:sz="0" w:space="0" w:color="auto"/>
                    <w:right w:val="none" w:sz="0" w:space="0" w:color="auto"/>
                  </w:divBdr>
                  <w:divsChild>
                    <w:div w:id="1794862509">
                      <w:marLeft w:val="0"/>
                      <w:marRight w:val="0"/>
                      <w:marTop w:val="0"/>
                      <w:marBottom w:val="0"/>
                      <w:divBdr>
                        <w:top w:val="none" w:sz="0" w:space="0" w:color="auto"/>
                        <w:left w:val="none" w:sz="0" w:space="0" w:color="auto"/>
                        <w:bottom w:val="none" w:sz="0" w:space="0" w:color="auto"/>
                        <w:right w:val="none" w:sz="0" w:space="0" w:color="auto"/>
                      </w:divBdr>
                    </w:div>
                  </w:divsChild>
                </w:div>
                <w:div w:id="1753427379">
                  <w:marLeft w:val="0"/>
                  <w:marRight w:val="0"/>
                  <w:marTop w:val="0"/>
                  <w:marBottom w:val="0"/>
                  <w:divBdr>
                    <w:top w:val="none" w:sz="0" w:space="0" w:color="auto"/>
                    <w:left w:val="none" w:sz="0" w:space="0" w:color="auto"/>
                    <w:bottom w:val="none" w:sz="0" w:space="0" w:color="auto"/>
                    <w:right w:val="none" w:sz="0" w:space="0" w:color="auto"/>
                  </w:divBdr>
                  <w:divsChild>
                    <w:div w:id="896672583">
                      <w:marLeft w:val="0"/>
                      <w:marRight w:val="0"/>
                      <w:marTop w:val="0"/>
                      <w:marBottom w:val="0"/>
                      <w:divBdr>
                        <w:top w:val="none" w:sz="0" w:space="0" w:color="auto"/>
                        <w:left w:val="none" w:sz="0" w:space="0" w:color="auto"/>
                        <w:bottom w:val="none" w:sz="0" w:space="0" w:color="auto"/>
                        <w:right w:val="none" w:sz="0" w:space="0" w:color="auto"/>
                      </w:divBdr>
                    </w:div>
                  </w:divsChild>
                </w:div>
                <w:div w:id="1873305096">
                  <w:marLeft w:val="0"/>
                  <w:marRight w:val="0"/>
                  <w:marTop w:val="0"/>
                  <w:marBottom w:val="0"/>
                  <w:divBdr>
                    <w:top w:val="none" w:sz="0" w:space="0" w:color="auto"/>
                    <w:left w:val="none" w:sz="0" w:space="0" w:color="auto"/>
                    <w:bottom w:val="none" w:sz="0" w:space="0" w:color="auto"/>
                    <w:right w:val="none" w:sz="0" w:space="0" w:color="auto"/>
                  </w:divBdr>
                  <w:divsChild>
                    <w:div w:id="1168404280">
                      <w:marLeft w:val="0"/>
                      <w:marRight w:val="0"/>
                      <w:marTop w:val="0"/>
                      <w:marBottom w:val="0"/>
                      <w:divBdr>
                        <w:top w:val="none" w:sz="0" w:space="0" w:color="auto"/>
                        <w:left w:val="none" w:sz="0" w:space="0" w:color="auto"/>
                        <w:bottom w:val="none" w:sz="0" w:space="0" w:color="auto"/>
                        <w:right w:val="none" w:sz="0" w:space="0" w:color="auto"/>
                      </w:divBdr>
                    </w:div>
                  </w:divsChild>
                </w:div>
                <w:div w:id="685135964">
                  <w:marLeft w:val="0"/>
                  <w:marRight w:val="0"/>
                  <w:marTop w:val="0"/>
                  <w:marBottom w:val="0"/>
                  <w:divBdr>
                    <w:top w:val="none" w:sz="0" w:space="0" w:color="auto"/>
                    <w:left w:val="none" w:sz="0" w:space="0" w:color="auto"/>
                    <w:bottom w:val="none" w:sz="0" w:space="0" w:color="auto"/>
                    <w:right w:val="none" w:sz="0" w:space="0" w:color="auto"/>
                  </w:divBdr>
                  <w:divsChild>
                    <w:div w:id="1974215637">
                      <w:marLeft w:val="0"/>
                      <w:marRight w:val="0"/>
                      <w:marTop w:val="0"/>
                      <w:marBottom w:val="0"/>
                      <w:divBdr>
                        <w:top w:val="none" w:sz="0" w:space="0" w:color="auto"/>
                        <w:left w:val="none" w:sz="0" w:space="0" w:color="auto"/>
                        <w:bottom w:val="none" w:sz="0" w:space="0" w:color="auto"/>
                        <w:right w:val="none" w:sz="0" w:space="0" w:color="auto"/>
                      </w:divBdr>
                    </w:div>
                  </w:divsChild>
                </w:div>
                <w:div w:id="851912817">
                  <w:marLeft w:val="0"/>
                  <w:marRight w:val="0"/>
                  <w:marTop w:val="0"/>
                  <w:marBottom w:val="0"/>
                  <w:divBdr>
                    <w:top w:val="none" w:sz="0" w:space="0" w:color="auto"/>
                    <w:left w:val="none" w:sz="0" w:space="0" w:color="auto"/>
                    <w:bottom w:val="none" w:sz="0" w:space="0" w:color="auto"/>
                    <w:right w:val="none" w:sz="0" w:space="0" w:color="auto"/>
                  </w:divBdr>
                  <w:divsChild>
                    <w:div w:id="1847400908">
                      <w:marLeft w:val="0"/>
                      <w:marRight w:val="0"/>
                      <w:marTop w:val="0"/>
                      <w:marBottom w:val="0"/>
                      <w:divBdr>
                        <w:top w:val="none" w:sz="0" w:space="0" w:color="auto"/>
                        <w:left w:val="none" w:sz="0" w:space="0" w:color="auto"/>
                        <w:bottom w:val="none" w:sz="0" w:space="0" w:color="auto"/>
                        <w:right w:val="none" w:sz="0" w:space="0" w:color="auto"/>
                      </w:divBdr>
                    </w:div>
                  </w:divsChild>
                </w:div>
                <w:div w:id="730153480">
                  <w:marLeft w:val="0"/>
                  <w:marRight w:val="0"/>
                  <w:marTop w:val="0"/>
                  <w:marBottom w:val="0"/>
                  <w:divBdr>
                    <w:top w:val="none" w:sz="0" w:space="0" w:color="auto"/>
                    <w:left w:val="none" w:sz="0" w:space="0" w:color="auto"/>
                    <w:bottom w:val="none" w:sz="0" w:space="0" w:color="auto"/>
                    <w:right w:val="none" w:sz="0" w:space="0" w:color="auto"/>
                  </w:divBdr>
                  <w:divsChild>
                    <w:div w:id="505245024">
                      <w:marLeft w:val="0"/>
                      <w:marRight w:val="0"/>
                      <w:marTop w:val="0"/>
                      <w:marBottom w:val="0"/>
                      <w:divBdr>
                        <w:top w:val="none" w:sz="0" w:space="0" w:color="auto"/>
                        <w:left w:val="none" w:sz="0" w:space="0" w:color="auto"/>
                        <w:bottom w:val="none" w:sz="0" w:space="0" w:color="auto"/>
                        <w:right w:val="none" w:sz="0" w:space="0" w:color="auto"/>
                      </w:divBdr>
                    </w:div>
                  </w:divsChild>
                </w:div>
                <w:div w:id="478770275">
                  <w:marLeft w:val="0"/>
                  <w:marRight w:val="0"/>
                  <w:marTop w:val="0"/>
                  <w:marBottom w:val="0"/>
                  <w:divBdr>
                    <w:top w:val="none" w:sz="0" w:space="0" w:color="auto"/>
                    <w:left w:val="none" w:sz="0" w:space="0" w:color="auto"/>
                    <w:bottom w:val="none" w:sz="0" w:space="0" w:color="auto"/>
                    <w:right w:val="none" w:sz="0" w:space="0" w:color="auto"/>
                  </w:divBdr>
                  <w:divsChild>
                    <w:div w:id="1214391473">
                      <w:marLeft w:val="0"/>
                      <w:marRight w:val="0"/>
                      <w:marTop w:val="0"/>
                      <w:marBottom w:val="0"/>
                      <w:divBdr>
                        <w:top w:val="none" w:sz="0" w:space="0" w:color="auto"/>
                        <w:left w:val="none" w:sz="0" w:space="0" w:color="auto"/>
                        <w:bottom w:val="none" w:sz="0" w:space="0" w:color="auto"/>
                        <w:right w:val="none" w:sz="0" w:space="0" w:color="auto"/>
                      </w:divBdr>
                    </w:div>
                  </w:divsChild>
                </w:div>
                <w:div w:id="106586075">
                  <w:marLeft w:val="0"/>
                  <w:marRight w:val="0"/>
                  <w:marTop w:val="0"/>
                  <w:marBottom w:val="0"/>
                  <w:divBdr>
                    <w:top w:val="none" w:sz="0" w:space="0" w:color="auto"/>
                    <w:left w:val="none" w:sz="0" w:space="0" w:color="auto"/>
                    <w:bottom w:val="none" w:sz="0" w:space="0" w:color="auto"/>
                    <w:right w:val="none" w:sz="0" w:space="0" w:color="auto"/>
                  </w:divBdr>
                  <w:divsChild>
                    <w:div w:id="382141380">
                      <w:marLeft w:val="0"/>
                      <w:marRight w:val="0"/>
                      <w:marTop w:val="0"/>
                      <w:marBottom w:val="0"/>
                      <w:divBdr>
                        <w:top w:val="none" w:sz="0" w:space="0" w:color="auto"/>
                        <w:left w:val="none" w:sz="0" w:space="0" w:color="auto"/>
                        <w:bottom w:val="none" w:sz="0" w:space="0" w:color="auto"/>
                        <w:right w:val="none" w:sz="0" w:space="0" w:color="auto"/>
                      </w:divBdr>
                    </w:div>
                  </w:divsChild>
                </w:div>
                <w:div w:id="1241405853">
                  <w:marLeft w:val="0"/>
                  <w:marRight w:val="0"/>
                  <w:marTop w:val="0"/>
                  <w:marBottom w:val="0"/>
                  <w:divBdr>
                    <w:top w:val="none" w:sz="0" w:space="0" w:color="auto"/>
                    <w:left w:val="none" w:sz="0" w:space="0" w:color="auto"/>
                    <w:bottom w:val="none" w:sz="0" w:space="0" w:color="auto"/>
                    <w:right w:val="none" w:sz="0" w:space="0" w:color="auto"/>
                  </w:divBdr>
                  <w:divsChild>
                    <w:div w:id="1754088118">
                      <w:marLeft w:val="0"/>
                      <w:marRight w:val="0"/>
                      <w:marTop w:val="0"/>
                      <w:marBottom w:val="0"/>
                      <w:divBdr>
                        <w:top w:val="none" w:sz="0" w:space="0" w:color="auto"/>
                        <w:left w:val="none" w:sz="0" w:space="0" w:color="auto"/>
                        <w:bottom w:val="none" w:sz="0" w:space="0" w:color="auto"/>
                        <w:right w:val="none" w:sz="0" w:space="0" w:color="auto"/>
                      </w:divBdr>
                    </w:div>
                  </w:divsChild>
                </w:div>
                <w:div w:id="1023635211">
                  <w:marLeft w:val="0"/>
                  <w:marRight w:val="0"/>
                  <w:marTop w:val="0"/>
                  <w:marBottom w:val="0"/>
                  <w:divBdr>
                    <w:top w:val="none" w:sz="0" w:space="0" w:color="auto"/>
                    <w:left w:val="none" w:sz="0" w:space="0" w:color="auto"/>
                    <w:bottom w:val="none" w:sz="0" w:space="0" w:color="auto"/>
                    <w:right w:val="none" w:sz="0" w:space="0" w:color="auto"/>
                  </w:divBdr>
                  <w:divsChild>
                    <w:div w:id="224726355">
                      <w:marLeft w:val="0"/>
                      <w:marRight w:val="0"/>
                      <w:marTop w:val="0"/>
                      <w:marBottom w:val="0"/>
                      <w:divBdr>
                        <w:top w:val="none" w:sz="0" w:space="0" w:color="auto"/>
                        <w:left w:val="none" w:sz="0" w:space="0" w:color="auto"/>
                        <w:bottom w:val="none" w:sz="0" w:space="0" w:color="auto"/>
                        <w:right w:val="none" w:sz="0" w:space="0" w:color="auto"/>
                      </w:divBdr>
                    </w:div>
                  </w:divsChild>
                </w:div>
                <w:div w:id="60031711">
                  <w:marLeft w:val="0"/>
                  <w:marRight w:val="0"/>
                  <w:marTop w:val="0"/>
                  <w:marBottom w:val="0"/>
                  <w:divBdr>
                    <w:top w:val="none" w:sz="0" w:space="0" w:color="auto"/>
                    <w:left w:val="none" w:sz="0" w:space="0" w:color="auto"/>
                    <w:bottom w:val="none" w:sz="0" w:space="0" w:color="auto"/>
                    <w:right w:val="none" w:sz="0" w:space="0" w:color="auto"/>
                  </w:divBdr>
                  <w:divsChild>
                    <w:div w:id="838348990">
                      <w:marLeft w:val="0"/>
                      <w:marRight w:val="0"/>
                      <w:marTop w:val="0"/>
                      <w:marBottom w:val="0"/>
                      <w:divBdr>
                        <w:top w:val="none" w:sz="0" w:space="0" w:color="auto"/>
                        <w:left w:val="none" w:sz="0" w:space="0" w:color="auto"/>
                        <w:bottom w:val="none" w:sz="0" w:space="0" w:color="auto"/>
                        <w:right w:val="none" w:sz="0" w:space="0" w:color="auto"/>
                      </w:divBdr>
                    </w:div>
                  </w:divsChild>
                </w:div>
                <w:div w:id="949704601">
                  <w:marLeft w:val="0"/>
                  <w:marRight w:val="0"/>
                  <w:marTop w:val="0"/>
                  <w:marBottom w:val="0"/>
                  <w:divBdr>
                    <w:top w:val="none" w:sz="0" w:space="0" w:color="auto"/>
                    <w:left w:val="none" w:sz="0" w:space="0" w:color="auto"/>
                    <w:bottom w:val="none" w:sz="0" w:space="0" w:color="auto"/>
                    <w:right w:val="none" w:sz="0" w:space="0" w:color="auto"/>
                  </w:divBdr>
                  <w:divsChild>
                    <w:div w:id="986082530">
                      <w:marLeft w:val="0"/>
                      <w:marRight w:val="0"/>
                      <w:marTop w:val="0"/>
                      <w:marBottom w:val="0"/>
                      <w:divBdr>
                        <w:top w:val="none" w:sz="0" w:space="0" w:color="auto"/>
                        <w:left w:val="none" w:sz="0" w:space="0" w:color="auto"/>
                        <w:bottom w:val="none" w:sz="0" w:space="0" w:color="auto"/>
                        <w:right w:val="none" w:sz="0" w:space="0" w:color="auto"/>
                      </w:divBdr>
                    </w:div>
                  </w:divsChild>
                </w:div>
                <w:div w:id="1024937063">
                  <w:marLeft w:val="0"/>
                  <w:marRight w:val="0"/>
                  <w:marTop w:val="0"/>
                  <w:marBottom w:val="0"/>
                  <w:divBdr>
                    <w:top w:val="none" w:sz="0" w:space="0" w:color="auto"/>
                    <w:left w:val="none" w:sz="0" w:space="0" w:color="auto"/>
                    <w:bottom w:val="none" w:sz="0" w:space="0" w:color="auto"/>
                    <w:right w:val="none" w:sz="0" w:space="0" w:color="auto"/>
                  </w:divBdr>
                  <w:divsChild>
                    <w:div w:id="1037311009">
                      <w:marLeft w:val="0"/>
                      <w:marRight w:val="0"/>
                      <w:marTop w:val="0"/>
                      <w:marBottom w:val="0"/>
                      <w:divBdr>
                        <w:top w:val="none" w:sz="0" w:space="0" w:color="auto"/>
                        <w:left w:val="none" w:sz="0" w:space="0" w:color="auto"/>
                        <w:bottom w:val="none" w:sz="0" w:space="0" w:color="auto"/>
                        <w:right w:val="none" w:sz="0" w:space="0" w:color="auto"/>
                      </w:divBdr>
                    </w:div>
                  </w:divsChild>
                </w:div>
                <w:div w:id="850294680">
                  <w:marLeft w:val="0"/>
                  <w:marRight w:val="0"/>
                  <w:marTop w:val="0"/>
                  <w:marBottom w:val="0"/>
                  <w:divBdr>
                    <w:top w:val="none" w:sz="0" w:space="0" w:color="auto"/>
                    <w:left w:val="none" w:sz="0" w:space="0" w:color="auto"/>
                    <w:bottom w:val="none" w:sz="0" w:space="0" w:color="auto"/>
                    <w:right w:val="none" w:sz="0" w:space="0" w:color="auto"/>
                  </w:divBdr>
                  <w:divsChild>
                    <w:div w:id="897085179">
                      <w:marLeft w:val="0"/>
                      <w:marRight w:val="0"/>
                      <w:marTop w:val="0"/>
                      <w:marBottom w:val="0"/>
                      <w:divBdr>
                        <w:top w:val="none" w:sz="0" w:space="0" w:color="auto"/>
                        <w:left w:val="none" w:sz="0" w:space="0" w:color="auto"/>
                        <w:bottom w:val="none" w:sz="0" w:space="0" w:color="auto"/>
                        <w:right w:val="none" w:sz="0" w:space="0" w:color="auto"/>
                      </w:divBdr>
                    </w:div>
                  </w:divsChild>
                </w:div>
                <w:div w:id="777943180">
                  <w:marLeft w:val="0"/>
                  <w:marRight w:val="0"/>
                  <w:marTop w:val="0"/>
                  <w:marBottom w:val="0"/>
                  <w:divBdr>
                    <w:top w:val="none" w:sz="0" w:space="0" w:color="auto"/>
                    <w:left w:val="none" w:sz="0" w:space="0" w:color="auto"/>
                    <w:bottom w:val="none" w:sz="0" w:space="0" w:color="auto"/>
                    <w:right w:val="none" w:sz="0" w:space="0" w:color="auto"/>
                  </w:divBdr>
                  <w:divsChild>
                    <w:div w:id="585043013">
                      <w:marLeft w:val="0"/>
                      <w:marRight w:val="0"/>
                      <w:marTop w:val="0"/>
                      <w:marBottom w:val="0"/>
                      <w:divBdr>
                        <w:top w:val="none" w:sz="0" w:space="0" w:color="auto"/>
                        <w:left w:val="none" w:sz="0" w:space="0" w:color="auto"/>
                        <w:bottom w:val="none" w:sz="0" w:space="0" w:color="auto"/>
                        <w:right w:val="none" w:sz="0" w:space="0" w:color="auto"/>
                      </w:divBdr>
                    </w:div>
                  </w:divsChild>
                </w:div>
                <w:div w:id="1723096007">
                  <w:marLeft w:val="0"/>
                  <w:marRight w:val="0"/>
                  <w:marTop w:val="0"/>
                  <w:marBottom w:val="0"/>
                  <w:divBdr>
                    <w:top w:val="none" w:sz="0" w:space="0" w:color="auto"/>
                    <w:left w:val="none" w:sz="0" w:space="0" w:color="auto"/>
                    <w:bottom w:val="none" w:sz="0" w:space="0" w:color="auto"/>
                    <w:right w:val="none" w:sz="0" w:space="0" w:color="auto"/>
                  </w:divBdr>
                  <w:divsChild>
                    <w:div w:id="1315452671">
                      <w:marLeft w:val="0"/>
                      <w:marRight w:val="0"/>
                      <w:marTop w:val="0"/>
                      <w:marBottom w:val="0"/>
                      <w:divBdr>
                        <w:top w:val="none" w:sz="0" w:space="0" w:color="auto"/>
                        <w:left w:val="none" w:sz="0" w:space="0" w:color="auto"/>
                        <w:bottom w:val="none" w:sz="0" w:space="0" w:color="auto"/>
                        <w:right w:val="none" w:sz="0" w:space="0" w:color="auto"/>
                      </w:divBdr>
                    </w:div>
                  </w:divsChild>
                </w:div>
                <w:div w:id="1159930145">
                  <w:marLeft w:val="0"/>
                  <w:marRight w:val="0"/>
                  <w:marTop w:val="0"/>
                  <w:marBottom w:val="0"/>
                  <w:divBdr>
                    <w:top w:val="none" w:sz="0" w:space="0" w:color="auto"/>
                    <w:left w:val="none" w:sz="0" w:space="0" w:color="auto"/>
                    <w:bottom w:val="none" w:sz="0" w:space="0" w:color="auto"/>
                    <w:right w:val="none" w:sz="0" w:space="0" w:color="auto"/>
                  </w:divBdr>
                  <w:divsChild>
                    <w:div w:id="226648019">
                      <w:marLeft w:val="0"/>
                      <w:marRight w:val="0"/>
                      <w:marTop w:val="0"/>
                      <w:marBottom w:val="0"/>
                      <w:divBdr>
                        <w:top w:val="none" w:sz="0" w:space="0" w:color="auto"/>
                        <w:left w:val="none" w:sz="0" w:space="0" w:color="auto"/>
                        <w:bottom w:val="none" w:sz="0" w:space="0" w:color="auto"/>
                        <w:right w:val="none" w:sz="0" w:space="0" w:color="auto"/>
                      </w:divBdr>
                    </w:div>
                  </w:divsChild>
                </w:div>
                <w:div w:id="1243443577">
                  <w:marLeft w:val="0"/>
                  <w:marRight w:val="0"/>
                  <w:marTop w:val="0"/>
                  <w:marBottom w:val="0"/>
                  <w:divBdr>
                    <w:top w:val="none" w:sz="0" w:space="0" w:color="auto"/>
                    <w:left w:val="none" w:sz="0" w:space="0" w:color="auto"/>
                    <w:bottom w:val="none" w:sz="0" w:space="0" w:color="auto"/>
                    <w:right w:val="none" w:sz="0" w:space="0" w:color="auto"/>
                  </w:divBdr>
                  <w:divsChild>
                    <w:div w:id="83573786">
                      <w:marLeft w:val="0"/>
                      <w:marRight w:val="0"/>
                      <w:marTop w:val="0"/>
                      <w:marBottom w:val="0"/>
                      <w:divBdr>
                        <w:top w:val="none" w:sz="0" w:space="0" w:color="auto"/>
                        <w:left w:val="none" w:sz="0" w:space="0" w:color="auto"/>
                        <w:bottom w:val="none" w:sz="0" w:space="0" w:color="auto"/>
                        <w:right w:val="none" w:sz="0" w:space="0" w:color="auto"/>
                      </w:divBdr>
                    </w:div>
                  </w:divsChild>
                </w:div>
                <w:div w:id="1117681618">
                  <w:marLeft w:val="0"/>
                  <w:marRight w:val="0"/>
                  <w:marTop w:val="0"/>
                  <w:marBottom w:val="0"/>
                  <w:divBdr>
                    <w:top w:val="none" w:sz="0" w:space="0" w:color="auto"/>
                    <w:left w:val="none" w:sz="0" w:space="0" w:color="auto"/>
                    <w:bottom w:val="none" w:sz="0" w:space="0" w:color="auto"/>
                    <w:right w:val="none" w:sz="0" w:space="0" w:color="auto"/>
                  </w:divBdr>
                  <w:divsChild>
                    <w:div w:id="1782409422">
                      <w:marLeft w:val="0"/>
                      <w:marRight w:val="0"/>
                      <w:marTop w:val="0"/>
                      <w:marBottom w:val="0"/>
                      <w:divBdr>
                        <w:top w:val="none" w:sz="0" w:space="0" w:color="auto"/>
                        <w:left w:val="none" w:sz="0" w:space="0" w:color="auto"/>
                        <w:bottom w:val="none" w:sz="0" w:space="0" w:color="auto"/>
                        <w:right w:val="none" w:sz="0" w:space="0" w:color="auto"/>
                      </w:divBdr>
                    </w:div>
                  </w:divsChild>
                </w:div>
                <w:div w:id="433404265">
                  <w:marLeft w:val="0"/>
                  <w:marRight w:val="0"/>
                  <w:marTop w:val="0"/>
                  <w:marBottom w:val="0"/>
                  <w:divBdr>
                    <w:top w:val="none" w:sz="0" w:space="0" w:color="auto"/>
                    <w:left w:val="none" w:sz="0" w:space="0" w:color="auto"/>
                    <w:bottom w:val="none" w:sz="0" w:space="0" w:color="auto"/>
                    <w:right w:val="none" w:sz="0" w:space="0" w:color="auto"/>
                  </w:divBdr>
                  <w:divsChild>
                    <w:div w:id="1684629609">
                      <w:marLeft w:val="0"/>
                      <w:marRight w:val="0"/>
                      <w:marTop w:val="0"/>
                      <w:marBottom w:val="0"/>
                      <w:divBdr>
                        <w:top w:val="none" w:sz="0" w:space="0" w:color="auto"/>
                        <w:left w:val="none" w:sz="0" w:space="0" w:color="auto"/>
                        <w:bottom w:val="none" w:sz="0" w:space="0" w:color="auto"/>
                        <w:right w:val="none" w:sz="0" w:space="0" w:color="auto"/>
                      </w:divBdr>
                    </w:div>
                  </w:divsChild>
                </w:div>
                <w:div w:id="1317031756">
                  <w:marLeft w:val="0"/>
                  <w:marRight w:val="0"/>
                  <w:marTop w:val="0"/>
                  <w:marBottom w:val="0"/>
                  <w:divBdr>
                    <w:top w:val="none" w:sz="0" w:space="0" w:color="auto"/>
                    <w:left w:val="none" w:sz="0" w:space="0" w:color="auto"/>
                    <w:bottom w:val="none" w:sz="0" w:space="0" w:color="auto"/>
                    <w:right w:val="none" w:sz="0" w:space="0" w:color="auto"/>
                  </w:divBdr>
                  <w:divsChild>
                    <w:div w:id="2146467360">
                      <w:marLeft w:val="0"/>
                      <w:marRight w:val="0"/>
                      <w:marTop w:val="0"/>
                      <w:marBottom w:val="0"/>
                      <w:divBdr>
                        <w:top w:val="none" w:sz="0" w:space="0" w:color="auto"/>
                        <w:left w:val="none" w:sz="0" w:space="0" w:color="auto"/>
                        <w:bottom w:val="none" w:sz="0" w:space="0" w:color="auto"/>
                        <w:right w:val="none" w:sz="0" w:space="0" w:color="auto"/>
                      </w:divBdr>
                    </w:div>
                  </w:divsChild>
                </w:div>
                <w:div w:id="1921791896">
                  <w:marLeft w:val="0"/>
                  <w:marRight w:val="0"/>
                  <w:marTop w:val="0"/>
                  <w:marBottom w:val="0"/>
                  <w:divBdr>
                    <w:top w:val="none" w:sz="0" w:space="0" w:color="auto"/>
                    <w:left w:val="none" w:sz="0" w:space="0" w:color="auto"/>
                    <w:bottom w:val="none" w:sz="0" w:space="0" w:color="auto"/>
                    <w:right w:val="none" w:sz="0" w:space="0" w:color="auto"/>
                  </w:divBdr>
                  <w:divsChild>
                    <w:div w:id="879172232">
                      <w:marLeft w:val="0"/>
                      <w:marRight w:val="0"/>
                      <w:marTop w:val="0"/>
                      <w:marBottom w:val="0"/>
                      <w:divBdr>
                        <w:top w:val="none" w:sz="0" w:space="0" w:color="auto"/>
                        <w:left w:val="none" w:sz="0" w:space="0" w:color="auto"/>
                        <w:bottom w:val="none" w:sz="0" w:space="0" w:color="auto"/>
                        <w:right w:val="none" w:sz="0" w:space="0" w:color="auto"/>
                      </w:divBdr>
                    </w:div>
                  </w:divsChild>
                </w:div>
                <w:div w:id="355692857">
                  <w:marLeft w:val="0"/>
                  <w:marRight w:val="0"/>
                  <w:marTop w:val="0"/>
                  <w:marBottom w:val="0"/>
                  <w:divBdr>
                    <w:top w:val="none" w:sz="0" w:space="0" w:color="auto"/>
                    <w:left w:val="none" w:sz="0" w:space="0" w:color="auto"/>
                    <w:bottom w:val="none" w:sz="0" w:space="0" w:color="auto"/>
                    <w:right w:val="none" w:sz="0" w:space="0" w:color="auto"/>
                  </w:divBdr>
                  <w:divsChild>
                    <w:div w:id="1478255417">
                      <w:marLeft w:val="0"/>
                      <w:marRight w:val="0"/>
                      <w:marTop w:val="0"/>
                      <w:marBottom w:val="0"/>
                      <w:divBdr>
                        <w:top w:val="none" w:sz="0" w:space="0" w:color="auto"/>
                        <w:left w:val="none" w:sz="0" w:space="0" w:color="auto"/>
                        <w:bottom w:val="none" w:sz="0" w:space="0" w:color="auto"/>
                        <w:right w:val="none" w:sz="0" w:space="0" w:color="auto"/>
                      </w:divBdr>
                    </w:div>
                  </w:divsChild>
                </w:div>
                <w:div w:id="33314211">
                  <w:marLeft w:val="0"/>
                  <w:marRight w:val="0"/>
                  <w:marTop w:val="0"/>
                  <w:marBottom w:val="0"/>
                  <w:divBdr>
                    <w:top w:val="none" w:sz="0" w:space="0" w:color="auto"/>
                    <w:left w:val="none" w:sz="0" w:space="0" w:color="auto"/>
                    <w:bottom w:val="none" w:sz="0" w:space="0" w:color="auto"/>
                    <w:right w:val="none" w:sz="0" w:space="0" w:color="auto"/>
                  </w:divBdr>
                  <w:divsChild>
                    <w:div w:id="796802216">
                      <w:marLeft w:val="0"/>
                      <w:marRight w:val="0"/>
                      <w:marTop w:val="0"/>
                      <w:marBottom w:val="0"/>
                      <w:divBdr>
                        <w:top w:val="none" w:sz="0" w:space="0" w:color="auto"/>
                        <w:left w:val="none" w:sz="0" w:space="0" w:color="auto"/>
                        <w:bottom w:val="none" w:sz="0" w:space="0" w:color="auto"/>
                        <w:right w:val="none" w:sz="0" w:space="0" w:color="auto"/>
                      </w:divBdr>
                    </w:div>
                  </w:divsChild>
                </w:div>
                <w:div w:id="969018668">
                  <w:marLeft w:val="0"/>
                  <w:marRight w:val="0"/>
                  <w:marTop w:val="0"/>
                  <w:marBottom w:val="0"/>
                  <w:divBdr>
                    <w:top w:val="none" w:sz="0" w:space="0" w:color="auto"/>
                    <w:left w:val="none" w:sz="0" w:space="0" w:color="auto"/>
                    <w:bottom w:val="none" w:sz="0" w:space="0" w:color="auto"/>
                    <w:right w:val="none" w:sz="0" w:space="0" w:color="auto"/>
                  </w:divBdr>
                  <w:divsChild>
                    <w:div w:id="1832060583">
                      <w:marLeft w:val="0"/>
                      <w:marRight w:val="0"/>
                      <w:marTop w:val="0"/>
                      <w:marBottom w:val="0"/>
                      <w:divBdr>
                        <w:top w:val="none" w:sz="0" w:space="0" w:color="auto"/>
                        <w:left w:val="none" w:sz="0" w:space="0" w:color="auto"/>
                        <w:bottom w:val="none" w:sz="0" w:space="0" w:color="auto"/>
                        <w:right w:val="none" w:sz="0" w:space="0" w:color="auto"/>
                      </w:divBdr>
                    </w:div>
                  </w:divsChild>
                </w:div>
                <w:div w:id="469900863">
                  <w:marLeft w:val="0"/>
                  <w:marRight w:val="0"/>
                  <w:marTop w:val="0"/>
                  <w:marBottom w:val="0"/>
                  <w:divBdr>
                    <w:top w:val="none" w:sz="0" w:space="0" w:color="auto"/>
                    <w:left w:val="none" w:sz="0" w:space="0" w:color="auto"/>
                    <w:bottom w:val="none" w:sz="0" w:space="0" w:color="auto"/>
                    <w:right w:val="none" w:sz="0" w:space="0" w:color="auto"/>
                  </w:divBdr>
                  <w:divsChild>
                    <w:div w:id="1645086598">
                      <w:marLeft w:val="0"/>
                      <w:marRight w:val="0"/>
                      <w:marTop w:val="0"/>
                      <w:marBottom w:val="0"/>
                      <w:divBdr>
                        <w:top w:val="none" w:sz="0" w:space="0" w:color="auto"/>
                        <w:left w:val="none" w:sz="0" w:space="0" w:color="auto"/>
                        <w:bottom w:val="none" w:sz="0" w:space="0" w:color="auto"/>
                        <w:right w:val="none" w:sz="0" w:space="0" w:color="auto"/>
                      </w:divBdr>
                    </w:div>
                  </w:divsChild>
                </w:div>
                <w:div w:id="1332487170">
                  <w:marLeft w:val="0"/>
                  <w:marRight w:val="0"/>
                  <w:marTop w:val="0"/>
                  <w:marBottom w:val="0"/>
                  <w:divBdr>
                    <w:top w:val="none" w:sz="0" w:space="0" w:color="auto"/>
                    <w:left w:val="none" w:sz="0" w:space="0" w:color="auto"/>
                    <w:bottom w:val="none" w:sz="0" w:space="0" w:color="auto"/>
                    <w:right w:val="none" w:sz="0" w:space="0" w:color="auto"/>
                  </w:divBdr>
                  <w:divsChild>
                    <w:div w:id="1972666309">
                      <w:marLeft w:val="0"/>
                      <w:marRight w:val="0"/>
                      <w:marTop w:val="0"/>
                      <w:marBottom w:val="0"/>
                      <w:divBdr>
                        <w:top w:val="none" w:sz="0" w:space="0" w:color="auto"/>
                        <w:left w:val="none" w:sz="0" w:space="0" w:color="auto"/>
                        <w:bottom w:val="none" w:sz="0" w:space="0" w:color="auto"/>
                        <w:right w:val="none" w:sz="0" w:space="0" w:color="auto"/>
                      </w:divBdr>
                    </w:div>
                  </w:divsChild>
                </w:div>
                <w:div w:id="27723726">
                  <w:marLeft w:val="0"/>
                  <w:marRight w:val="0"/>
                  <w:marTop w:val="0"/>
                  <w:marBottom w:val="0"/>
                  <w:divBdr>
                    <w:top w:val="none" w:sz="0" w:space="0" w:color="auto"/>
                    <w:left w:val="none" w:sz="0" w:space="0" w:color="auto"/>
                    <w:bottom w:val="none" w:sz="0" w:space="0" w:color="auto"/>
                    <w:right w:val="none" w:sz="0" w:space="0" w:color="auto"/>
                  </w:divBdr>
                  <w:divsChild>
                    <w:div w:id="1698962624">
                      <w:marLeft w:val="0"/>
                      <w:marRight w:val="0"/>
                      <w:marTop w:val="0"/>
                      <w:marBottom w:val="0"/>
                      <w:divBdr>
                        <w:top w:val="none" w:sz="0" w:space="0" w:color="auto"/>
                        <w:left w:val="none" w:sz="0" w:space="0" w:color="auto"/>
                        <w:bottom w:val="none" w:sz="0" w:space="0" w:color="auto"/>
                        <w:right w:val="none" w:sz="0" w:space="0" w:color="auto"/>
                      </w:divBdr>
                    </w:div>
                  </w:divsChild>
                </w:div>
                <w:div w:id="611130895">
                  <w:marLeft w:val="0"/>
                  <w:marRight w:val="0"/>
                  <w:marTop w:val="0"/>
                  <w:marBottom w:val="0"/>
                  <w:divBdr>
                    <w:top w:val="none" w:sz="0" w:space="0" w:color="auto"/>
                    <w:left w:val="none" w:sz="0" w:space="0" w:color="auto"/>
                    <w:bottom w:val="none" w:sz="0" w:space="0" w:color="auto"/>
                    <w:right w:val="none" w:sz="0" w:space="0" w:color="auto"/>
                  </w:divBdr>
                  <w:divsChild>
                    <w:div w:id="1952544243">
                      <w:marLeft w:val="0"/>
                      <w:marRight w:val="0"/>
                      <w:marTop w:val="0"/>
                      <w:marBottom w:val="0"/>
                      <w:divBdr>
                        <w:top w:val="none" w:sz="0" w:space="0" w:color="auto"/>
                        <w:left w:val="none" w:sz="0" w:space="0" w:color="auto"/>
                        <w:bottom w:val="none" w:sz="0" w:space="0" w:color="auto"/>
                        <w:right w:val="none" w:sz="0" w:space="0" w:color="auto"/>
                      </w:divBdr>
                    </w:div>
                  </w:divsChild>
                </w:div>
                <w:div w:id="1404450599">
                  <w:marLeft w:val="0"/>
                  <w:marRight w:val="0"/>
                  <w:marTop w:val="0"/>
                  <w:marBottom w:val="0"/>
                  <w:divBdr>
                    <w:top w:val="none" w:sz="0" w:space="0" w:color="auto"/>
                    <w:left w:val="none" w:sz="0" w:space="0" w:color="auto"/>
                    <w:bottom w:val="none" w:sz="0" w:space="0" w:color="auto"/>
                    <w:right w:val="none" w:sz="0" w:space="0" w:color="auto"/>
                  </w:divBdr>
                  <w:divsChild>
                    <w:div w:id="1034500512">
                      <w:marLeft w:val="0"/>
                      <w:marRight w:val="0"/>
                      <w:marTop w:val="0"/>
                      <w:marBottom w:val="0"/>
                      <w:divBdr>
                        <w:top w:val="none" w:sz="0" w:space="0" w:color="auto"/>
                        <w:left w:val="none" w:sz="0" w:space="0" w:color="auto"/>
                        <w:bottom w:val="none" w:sz="0" w:space="0" w:color="auto"/>
                        <w:right w:val="none" w:sz="0" w:space="0" w:color="auto"/>
                      </w:divBdr>
                    </w:div>
                  </w:divsChild>
                </w:div>
                <w:div w:id="704603812">
                  <w:marLeft w:val="0"/>
                  <w:marRight w:val="0"/>
                  <w:marTop w:val="0"/>
                  <w:marBottom w:val="0"/>
                  <w:divBdr>
                    <w:top w:val="none" w:sz="0" w:space="0" w:color="auto"/>
                    <w:left w:val="none" w:sz="0" w:space="0" w:color="auto"/>
                    <w:bottom w:val="none" w:sz="0" w:space="0" w:color="auto"/>
                    <w:right w:val="none" w:sz="0" w:space="0" w:color="auto"/>
                  </w:divBdr>
                  <w:divsChild>
                    <w:div w:id="1507674148">
                      <w:marLeft w:val="0"/>
                      <w:marRight w:val="0"/>
                      <w:marTop w:val="0"/>
                      <w:marBottom w:val="0"/>
                      <w:divBdr>
                        <w:top w:val="none" w:sz="0" w:space="0" w:color="auto"/>
                        <w:left w:val="none" w:sz="0" w:space="0" w:color="auto"/>
                        <w:bottom w:val="none" w:sz="0" w:space="0" w:color="auto"/>
                        <w:right w:val="none" w:sz="0" w:space="0" w:color="auto"/>
                      </w:divBdr>
                    </w:div>
                  </w:divsChild>
                </w:div>
                <w:div w:id="1655450062">
                  <w:marLeft w:val="0"/>
                  <w:marRight w:val="0"/>
                  <w:marTop w:val="0"/>
                  <w:marBottom w:val="0"/>
                  <w:divBdr>
                    <w:top w:val="none" w:sz="0" w:space="0" w:color="auto"/>
                    <w:left w:val="none" w:sz="0" w:space="0" w:color="auto"/>
                    <w:bottom w:val="none" w:sz="0" w:space="0" w:color="auto"/>
                    <w:right w:val="none" w:sz="0" w:space="0" w:color="auto"/>
                  </w:divBdr>
                  <w:divsChild>
                    <w:div w:id="1052343988">
                      <w:marLeft w:val="0"/>
                      <w:marRight w:val="0"/>
                      <w:marTop w:val="0"/>
                      <w:marBottom w:val="0"/>
                      <w:divBdr>
                        <w:top w:val="none" w:sz="0" w:space="0" w:color="auto"/>
                        <w:left w:val="none" w:sz="0" w:space="0" w:color="auto"/>
                        <w:bottom w:val="none" w:sz="0" w:space="0" w:color="auto"/>
                        <w:right w:val="none" w:sz="0" w:space="0" w:color="auto"/>
                      </w:divBdr>
                    </w:div>
                  </w:divsChild>
                </w:div>
                <w:div w:id="1992980919">
                  <w:marLeft w:val="0"/>
                  <w:marRight w:val="0"/>
                  <w:marTop w:val="0"/>
                  <w:marBottom w:val="0"/>
                  <w:divBdr>
                    <w:top w:val="none" w:sz="0" w:space="0" w:color="auto"/>
                    <w:left w:val="none" w:sz="0" w:space="0" w:color="auto"/>
                    <w:bottom w:val="none" w:sz="0" w:space="0" w:color="auto"/>
                    <w:right w:val="none" w:sz="0" w:space="0" w:color="auto"/>
                  </w:divBdr>
                  <w:divsChild>
                    <w:div w:id="1581985098">
                      <w:marLeft w:val="0"/>
                      <w:marRight w:val="0"/>
                      <w:marTop w:val="0"/>
                      <w:marBottom w:val="0"/>
                      <w:divBdr>
                        <w:top w:val="none" w:sz="0" w:space="0" w:color="auto"/>
                        <w:left w:val="none" w:sz="0" w:space="0" w:color="auto"/>
                        <w:bottom w:val="none" w:sz="0" w:space="0" w:color="auto"/>
                        <w:right w:val="none" w:sz="0" w:space="0" w:color="auto"/>
                      </w:divBdr>
                    </w:div>
                  </w:divsChild>
                </w:div>
                <w:div w:id="379986151">
                  <w:marLeft w:val="0"/>
                  <w:marRight w:val="0"/>
                  <w:marTop w:val="0"/>
                  <w:marBottom w:val="0"/>
                  <w:divBdr>
                    <w:top w:val="none" w:sz="0" w:space="0" w:color="auto"/>
                    <w:left w:val="none" w:sz="0" w:space="0" w:color="auto"/>
                    <w:bottom w:val="none" w:sz="0" w:space="0" w:color="auto"/>
                    <w:right w:val="none" w:sz="0" w:space="0" w:color="auto"/>
                  </w:divBdr>
                  <w:divsChild>
                    <w:div w:id="121046941">
                      <w:marLeft w:val="0"/>
                      <w:marRight w:val="0"/>
                      <w:marTop w:val="0"/>
                      <w:marBottom w:val="0"/>
                      <w:divBdr>
                        <w:top w:val="none" w:sz="0" w:space="0" w:color="auto"/>
                        <w:left w:val="none" w:sz="0" w:space="0" w:color="auto"/>
                        <w:bottom w:val="none" w:sz="0" w:space="0" w:color="auto"/>
                        <w:right w:val="none" w:sz="0" w:space="0" w:color="auto"/>
                      </w:divBdr>
                    </w:div>
                  </w:divsChild>
                </w:div>
                <w:div w:id="787158981">
                  <w:marLeft w:val="0"/>
                  <w:marRight w:val="0"/>
                  <w:marTop w:val="0"/>
                  <w:marBottom w:val="0"/>
                  <w:divBdr>
                    <w:top w:val="none" w:sz="0" w:space="0" w:color="auto"/>
                    <w:left w:val="none" w:sz="0" w:space="0" w:color="auto"/>
                    <w:bottom w:val="none" w:sz="0" w:space="0" w:color="auto"/>
                    <w:right w:val="none" w:sz="0" w:space="0" w:color="auto"/>
                  </w:divBdr>
                  <w:divsChild>
                    <w:div w:id="1541353997">
                      <w:marLeft w:val="0"/>
                      <w:marRight w:val="0"/>
                      <w:marTop w:val="0"/>
                      <w:marBottom w:val="0"/>
                      <w:divBdr>
                        <w:top w:val="none" w:sz="0" w:space="0" w:color="auto"/>
                        <w:left w:val="none" w:sz="0" w:space="0" w:color="auto"/>
                        <w:bottom w:val="none" w:sz="0" w:space="0" w:color="auto"/>
                        <w:right w:val="none" w:sz="0" w:space="0" w:color="auto"/>
                      </w:divBdr>
                    </w:div>
                  </w:divsChild>
                </w:div>
                <w:div w:id="1632902569">
                  <w:marLeft w:val="0"/>
                  <w:marRight w:val="0"/>
                  <w:marTop w:val="0"/>
                  <w:marBottom w:val="0"/>
                  <w:divBdr>
                    <w:top w:val="none" w:sz="0" w:space="0" w:color="auto"/>
                    <w:left w:val="none" w:sz="0" w:space="0" w:color="auto"/>
                    <w:bottom w:val="none" w:sz="0" w:space="0" w:color="auto"/>
                    <w:right w:val="none" w:sz="0" w:space="0" w:color="auto"/>
                  </w:divBdr>
                  <w:divsChild>
                    <w:div w:id="1674139496">
                      <w:marLeft w:val="0"/>
                      <w:marRight w:val="0"/>
                      <w:marTop w:val="0"/>
                      <w:marBottom w:val="0"/>
                      <w:divBdr>
                        <w:top w:val="none" w:sz="0" w:space="0" w:color="auto"/>
                        <w:left w:val="none" w:sz="0" w:space="0" w:color="auto"/>
                        <w:bottom w:val="none" w:sz="0" w:space="0" w:color="auto"/>
                        <w:right w:val="none" w:sz="0" w:space="0" w:color="auto"/>
                      </w:divBdr>
                    </w:div>
                  </w:divsChild>
                </w:div>
                <w:div w:id="888028484">
                  <w:marLeft w:val="0"/>
                  <w:marRight w:val="0"/>
                  <w:marTop w:val="0"/>
                  <w:marBottom w:val="0"/>
                  <w:divBdr>
                    <w:top w:val="none" w:sz="0" w:space="0" w:color="auto"/>
                    <w:left w:val="none" w:sz="0" w:space="0" w:color="auto"/>
                    <w:bottom w:val="none" w:sz="0" w:space="0" w:color="auto"/>
                    <w:right w:val="none" w:sz="0" w:space="0" w:color="auto"/>
                  </w:divBdr>
                  <w:divsChild>
                    <w:div w:id="1660842680">
                      <w:marLeft w:val="0"/>
                      <w:marRight w:val="0"/>
                      <w:marTop w:val="0"/>
                      <w:marBottom w:val="0"/>
                      <w:divBdr>
                        <w:top w:val="none" w:sz="0" w:space="0" w:color="auto"/>
                        <w:left w:val="none" w:sz="0" w:space="0" w:color="auto"/>
                        <w:bottom w:val="none" w:sz="0" w:space="0" w:color="auto"/>
                        <w:right w:val="none" w:sz="0" w:space="0" w:color="auto"/>
                      </w:divBdr>
                    </w:div>
                  </w:divsChild>
                </w:div>
                <w:div w:id="1658848514">
                  <w:marLeft w:val="0"/>
                  <w:marRight w:val="0"/>
                  <w:marTop w:val="0"/>
                  <w:marBottom w:val="0"/>
                  <w:divBdr>
                    <w:top w:val="none" w:sz="0" w:space="0" w:color="auto"/>
                    <w:left w:val="none" w:sz="0" w:space="0" w:color="auto"/>
                    <w:bottom w:val="none" w:sz="0" w:space="0" w:color="auto"/>
                    <w:right w:val="none" w:sz="0" w:space="0" w:color="auto"/>
                  </w:divBdr>
                  <w:divsChild>
                    <w:div w:id="1975794895">
                      <w:marLeft w:val="0"/>
                      <w:marRight w:val="0"/>
                      <w:marTop w:val="0"/>
                      <w:marBottom w:val="0"/>
                      <w:divBdr>
                        <w:top w:val="none" w:sz="0" w:space="0" w:color="auto"/>
                        <w:left w:val="none" w:sz="0" w:space="0" w:color="auto"/>
                        <w:bottom w:val="none" w:sz="0" w:space="0" w:color="auto"/>
                        <w:right w:val="none" w:sz="0" w:space="0" w:color="auto"/>
                      </w:divBdr>
                    </w:div>
                  </w:divsChild>
                </w:div>
                <w:div w:id="1372800519">
                  <w:marLeft w:val="0"/>
                  <w:marRight w:val="0"/>
                  <w:marTop w:val="0"/>
                  <w:marBottom w:val="0"/>
                  <w:divBdr>
                    <w:top w:val="none" w:sz="0" w:space="0" w:color="auto"/>
                    <w:left w:val="none" w:sz="0" w:space="0" w:color="auto"/>
                    <w:bottom w:val="none" w:sz="0" w:space="0" w:color="auto"/>
                    <w:right w:val="none" w:sz="0" w:space="0" w:color="auto"/>
                  </w:divBdr>
                  <w:divsChild>
                    <w:div w:id="911353450">
                      <w:marLeft w:val="0"/>
                      <w:marRight w:val="0"/>
                      <w:marTop w:val="0"/>
                      <w:marBottom w:val="0"/>
                      <w:divBdr>
                        <w:top w:val="none" w:sz="0" w:space="0" w:color="auto"/>
                        <w:left w:val="none" w:sz="0" w:space="0" w:color="auto"/>
                        <w:bottom w:val="none" w:sz="0" w:space="0" w:color="auto"/>
                        <w:right w:val="none" w:sz="0" w:space="0" w:color="auto"/>
                      </w:divBdr>
                    </w:div>
                  </w:divsChild>
                </w:div>
                <w:div w:id="605190221">
                  <w:marLeft w:val="0"/>
                  <w:marRight w:val="0"/>
                  <w:marTop w:val="0"/>
                  <w:marBottom w:val="0"/>
                  <w:divBdr>
                    <w:top w:val="none" w:sz="0" w:space="0" w:color="auto"/>
                    <w:left w:val="none" w:sz="0" w:space="0" w:color="auto"/>
                    <w:bottom w:val="none" w:sz="0" w:space="0" w:color="auto"/>
                    <w:right w:val="none" w:sz="0" w:space="0" w:color="auto"/>
                  </w:divBdr>
                  <w:divsChild>
                    <w:div w:id="33465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70899">
          <w:marLeft w:val="0"/>
          <w:marRight w:val="0"/>
          <w:marTop w:val="0"/>
          <w:marBottom w:val="0"/>
          <w:divBdr>
            <w:top w:val="none" w:sz="0" w:space="0" w:color="auto"/>
            <w:left w:val="none" w:sz="0" w:space="0" w:color="auto"/>
            <w:bottom w:val="none" w:sz="0" w:space="0" w:color="auto"/>
            <w:right w:val="none" w:sz="0" w:space="0" w:color="auto"/>
          </w:divBdr>
        </w:div>
      </w:divsChild>
    </w:div>
    <w:div w:id="1818909957">
      <w:bodyDiv w:val="1"/>
      <w:marLeft w:val="0"/>
      <w:marRight w:val="0"/>
      <w:marTop w:val="0"/>
      <w:marBottom w:val="0"/>
      <w:divBdr>
        <w:top w:val="none" w:sz="0" w:space="0" w:color="auto"/>
        <w:left w:val="none" w:sz="0" w:space="0" w:color="auto"/>
        <w:bottom w:val="none" w:sz="0" w:space="0" w:color="auto"/>
        <w:right w:val="none" w:sz="0" w:space="0" w:color="auto"/>
      </w:divBdr>
    </w:div>
    <w:div w:id="1838687165">
      <w:bodyDiv w:val="1"/>
      <w:marLeft w:val="0"/>
      <w:marRight w:val="0"/>
      <w:marTop w:val="0"/>
      <w:marBottom w:val="0"/>
      <w:divBdr>
        <w:top w:val="none" w:sz="0" w:space="0" w:color="auto"/>
        <w:left w:val="none" w:sz="0" w:space="0" w:color="auto"/>
        <w:bottom w:val="none" w:sz="0" w:space="0" w:color="auto"/>
        <w:right w:val="none" w:sz="0" w:space="0" w:color="auto"/>
      </w:divBdr>
    </w:div>
    <w:div w:id="1902129806">
      <w:bodyDiv w:val="1"/>
      <w:marLeft w:val="0"/>
      <w:marRight w:val="0"/>
      <w:marTop w:val="0"/>
      <w:marBottom w:val="0"/>
      <w:divBdr>
        <w:top w:val="none" w:sz="0" w:space="0" w:color="auto"/>
        <w:left w:val="none" w:sz="0" w:space="0" w:color="auto"/>
        <w:bottom w:val="none" w:sz="0" w:space="0" w:color="auto"/>
        <w:right w:val="none" w:sz="0" w:space="0" w:color="auto"/>
      </w:divBdr>
      <w:divsChild>
        <w:div w:id="1898976419">
          <w:marLeft w:val="0"/>
          <w:marRight w:val="0"/>
          <w:marTop w:val="0"/>
          <w:marBottom w:val="0"/>
          <w:divBdr>
            <w:top w:val="none" w:sz="0" w:space="0" w:color="auto"/>
            <w:left w:val="none" w:sz="0" w:space="0" w:color="auto"/>
            <w:bottom w:val="none" w:sz="0" w:space="0" w:color="auto"/>
            <w:right w:val="none" w:sz="0" w:space="0" w:color="auto"/>
          </w:divBdr>
        </w:div>
        <w:div w:id="1010331501">
          <w:marLeft w:val="0"/>
          <w:marRight w:val="0"/>
          <w:marTop w:val="0"/>
          <w:marBottom w:val="0"/>
          <w:divBdr>
            <w:top w:val="none" w:sz="0" w:space="0" w:color="auto"/>
            <w:left w:val="none" w:sz="0" w:space="0" w:color="auto"/>
            <w:bottom w:val="none" w:sz="0" w:space="0" w:color="auto"/>
            <w:right w:val="none" w:sz="0" w:space="0" w:color="auto"/>
          </w:divBdr>
        </w:div>
        <w:div w:id="1058019369">
          <w:marLeft w:val="0"/>
          <w:marRight w:val="0"/>
          <w:marTop w:val="0"/>
          <w:marBottom w:val="0"/>
          <w:divBdr>
            <w:top w:val="none" w:sz="0" w:space="0" w:color="auto"/>
            <w:left w:val="none" w:sz="0" w:space="0" w:color="auto"/>
            <w:bottom w:val="none" w:sz="0" w:space="0" w:color="auto"/>
            <w:right w:val="none" w:sz="0" w:space="0" w:color="auto"/>
          </w:divBdr>
        </w:div>
      </w:divsChild>
    </w:div>
    <w:div w:id="1902405444">
      <w:bodyDiv w:val="1"/>
      <w:marLeft w:val="0"/>
      <w:marRight w:val="0"/>
      <w:marTop w:val="0"/>
      <w:marBottom w:val="0"/>
      <w:divBdr>
        <w:top w:val="none" w:sz="0" w:space="0" w:color="auto"/>
        <w:left w:val="none" w:sz="0" w:space="0" w:color="auto"/>
        <w:bottom w:val="none" w:sz="0" w:space="0" w:color="auto"/>
        <w:right w:val="none" w:sz="0" w:space="0" w:color="auto"/>
      </w:divBdr>
      <w:divsChild>
        <w:div w:id="1424491085">
          <w:marLeft w:val="0"/>
          <w:marRight w:val="0"/>
          <w:marTop w:val="0"/>
          <w:marBottom w:val="0"/>
          <w:divBdr>
            <w:top w:val="none" w:sz="0" w:space="0" w:color="auto"/>
            <w:left w:val="none" w:sz="0" w:space="0" w:color="auto"/>
            <w:bottom w:val="none" w:sz="0" w:space="0" w:color="auto"/>
            <w:right w:val="none" w:sz="0" w:space="0" w:color="auto"/>
          </w:divBdr>
        </w:div>
        <w:div w:id="1068528781">
          <w:marLeft w:val="0"/>
          <w:marRight w:val="0"/>
          <w:marTop w:val="0"/>
          <w:marBottom w:val="0"/>
          <w:divBdr>
            <w:top w:val="none" w:sz="0" w:space="0" w:color="auto"/>
            <w:left w:val="none" w:sz="0" w:space="0" w:color="auto"/>
            <w:bottom w:val="none" w:sz="0" w:space="0" w:color="auto"/>
            <w:right w:val="none" w:sz="0" w:space="0" w:color="auto"/>
          </w:divBdr>
          <w:divsChild>
            <w:div w:id="1640528172">
              <w:marLeft w:val="0"/>
              <w:marRight w:val="0"/>
              <w:marTop w:val="30"/>
              <w:marBottom w:val="30"/>
              <w:divBdr>
                <w:top w:val="none" w:sz="0" w:space="0" w:color="auto"/>
                <w:left w:val="none" w:sz="0" w:space="0" w:color="auto"/>
                <w:bottom w:val="none" w:sz="0" w:space="0" w:color="auto"/>
                <w:right w:val="none" w:sz="0" w:space="0" w:color="auto"/>
              </w:divBdr>
              <w:divsChild>
                <w:div w:id="823358522">
                  <w:marLeft w:val="0"/>
                  <w:marRight w:val="0"/>
                  <w:marTop w:val="0"/>
                  <w:marBottom w:val="0"/>
                  <w:divBdr>
                    <w:top w:val="none" w:sz="0" w:space="0" w:color="auto"/>
                    <w:left w:val="none" w:sz="0" w:space="0" w:color="auto"/>
                    <w:bottom w:val="none" w:sz="0" w:space="0" w:color="auto"/>
                    <w:right w:val="none" w:sz="0" w:space="0" w:color="auto"/>
                  </w:divBdr>
                  <w:divsChild>
                    <w:div w:id="1560826096">
                      <w:marLeft w:val="0"/>
                      <w:marRight w:val="0"/>
                      <w:marTop w:val="0"/>
                      <w:marBottom w:val="0"/>
                      <w:divBdr>
                        <w:top w:val="none" w:sz="0" w:space="0" w:color="auto"/>
                        <w:left w:val="none" w:sz="0" w:space="0" w:color="auto"/>
                        <w:bottom w:val="none" w:sz="0" w:space="0" w:color="auto"/>
                        <w:right w:val="none" w:sz="0" w:space="0" w:color="auto"/>
                      </w:divBdr>
                    </w:div>
                  </w:divsChild>
                </w:div>
                <w:div w:id="2041319460">
                  <w:marLeft w:val="0"/>
                  <w:marRight w:val="0"/>
                  <w:marTop w:val="0"/>
                  <w:marBottom w:val="0"/>
                  <w:divBdr>
                    <w:top w:val="none" w:sz="0" w:space="0" w:color="auto"/>
                    <w:left w:val="none" w:sz="0" w:space="0" w:color="auto"/>
                    <w:bottom w:val="none" w:sz="0" w:space="0" w:color="auto"/>
                    <w:right w:val="none" w:sz="0" w:space="0" w:color="auto"/>
                  </w:divBdr>
                  <w:divsChild>
                    <w:div w:id="39789780">
                      <w:marLeft w:val="0"/>
                      <w:marRight w:val="0"/>
                      <w:marTop w:val="0"/>
                      <w:marBottom w:val="0"/>
                      <w:divBdr>
                        <w:top w:val="none" w:sz="0" w:space="0" w:color="auto"/>
                        <w:left w:val="none" w:sz="0" w:space="0" w:color="auto"/>
                        <w:bottom w:val="none" w:sz="0" w:space="0" w:color="auto"/>
                        <w:right w:val="none" w:sz="0" w:space="0" w:color="auto"/>
                      </w:divBdr>
                    </w:div>
                  </w:divsChild>
                </w:div>
                <w:div w:id="1708330901">
                  <w:marLeft w:val="0"/>
                  <w:marRight w:val="0"/>
                  <w:marTop w:val="0"/>
                  <w:marBottom w:val="0"/>
                  <w:divBdr>
                    <w:top w:val="none" w:sz="0" w:space="0" w:color="auto"/>
                    <w:left w:val="none" w:sz="0" w:space="0" w:color="auto"/>
                    <w:bottom w:val="none" w:sz="0" w:space="0" w:color="auto"/>
                    <w:right w:val="none" w:sz="0" w:space="0" w:color="auto"/>
                  </w:divBdr>
                  <w:divsChild>
                    <w:div w:id="1140150447">
                      <w:marLeft w:val="0"/>
                      <w:marRight w:val="0"/>
                      <w:marTop w:val="0"/>
                      <w:marBottom w:val="0"/>
                      <w:divBdr>
                        <w:top w:val="none" w:sz="0" w:space="0" w:color="auto"/>
                        <w:left w:val="none" w:sz="0" w:space="0" w:color="auto"/>
                        <w:bottom w:val="none" w:sz="0" w:space="0" w:color="auto"/>
                        <w:right w:val="none" w:sz="0" w:space="0" w:color="auto"/>
                      </w:divBdr>
                    </w:div>
                  </w:divsChild>
                </w:div>
                <w:div w:id="1619409493">
                  <w:marLeft w:val="0"/>
                  <w:marRight w:val="0"/>
                  <w:marTop w:val="0"/>
                  <w:marBottom w:val="0"/>
                  <w:divBdr>
                    <w:top w:val="none" w:sz="0" w:space="0" w:color="auto"/>
                    <w:left w:val="none" w:sz="0" w:space="0" w:color="auto"/>
                    <w:bottom w:val="none" w:sz="0" w:space="0" w:color="auto"/>
                    <w:right w:val="none" w:sz="0" w:space="0" w:color="auto"/>
                  </w:divBdr>
                  <w:divsChild>
                    <w:div w:id="1533301585">
                      <w:marLeft w:val="0"/>
                      <w:marRight w:val="0"/>
                      <w:marTop w:val="0"/>
                      <w:marBottom w:val="0"/>
                      <w:divBdr>
                        <w:top w:val="none" w:sz="0" w:space="0" w:color="auto"/>
                        <w:left w:val="none" w:sz="0" w:space="0" w:color="auto"/>
                        <w:bottom w:val="none" w:sz="0" w:space="0" w:color="auto"/>
                        <w:right w:val="none" w:sz="0" w:space="0" w:color="auto"/>
                      </w:divBdr>
                    </w:div>
                  </w:divsChild>
                </w:div>
                <w:div w:id="1019699159">
                  <w:marLeft w:val="0"/>
                  <w:marRight w:val="0"/>
                  <w:marTop w:val="0"/>
                  <w:marBottom w:val="0"/>
                  <w:divBdr>
                    <w:top w:val="none" w:sz="0" w:space="0" w:color="auto"/>
                    <w:left w:val="none" w:sz="0" w:space="0" w:color="auto"/>
                    <w:bottom w:val="none" w:sz="0" w:space="0" w:color="auto"/>
                    <w:right w:val="none" w:sz="0" w:space="0" w:color="auto"/>
                  </w:divBdr>
                  <w:divsChild>
                    <w:div w:id="1460689524">
                      <w:marLeft w:val="0"/>
                      <w:marRight w:val="0"/>
                      <w:marTop w:val="0"/>
                      <w:marBottom w:val="0"/>
                      <w:divBdr>
                        <w:top w:val="none" w:sz="0" w:space="0" w:color="auto"/>
                        <w:left w:val="none" w:sz="0" w:space="0" w:color="auto"/>
                        <w:bottom w:val="none" w:sz="0" w:space="0" w:color="auto"/>
                        <w:right w:val="none" w:sz="0" w:space="0" w:color="auto"/>
                      </w:divBdr>
                    </w:div>
                  </w:divsChild>
                </w:div>
                <w:div w:id="16153732">
                  <w:marLeft w:val="0"/>
                  <w:marRight w:val="0"/>
                  <w:marTop w:val="0"/>
                  <w:marBottom w:val="0"/>
                  <w:divBdr>
                    <w:top w:val="none" w:sz="0" w:space="0" w:color="auto"/>
                    <w:left w:val="none" w:sz="0" w:space="0" w:color="auto"/>
                    <w:bottom w:val="none" w:sz="0" w:space="0" w:color="auto"/>
                    <w:right w:val="none" w:sz="0" w:space="0" w:color="auto"/>
                  </w:divBdr>
                  <w:divsChild>
                    <w:div w:id="1843855710">
                      <w:marLeft w:val="0"/>
                      <w:marRight w:val="0"/>
                      <w:marTop w:val="0"/>
                      <w:marBottom w:val="0"/>
                      <w:divBdr>
                        <w:top w:val="none" w:sz="0" w:space="0" w:color="auto"/>
                        <w:left w:val="none" w:sz="0" w:space="0" w:color="auto"/>
                        <w:bottom w:val="none" w:sz="0" w:space="0" w:color="auto"/>
                        <w:right w:val="none" w:sz="0" w:space="0" w:color="auto"/>
                      </w:divBdr>
                    </w:div>
                  </w:divsChild>
                </w:div>
                <w:div w:id="1732385128">
                  <w:marLeft w:val="0"/>
                  <w:marRight w:val="0"/>
                  <w:marTop w:val="0"/>
                  <w:marBottom w:val="0"/>
                  <w:divBdr>
                    <w:top w:val="none" w:sz="0" w:space="0" w:color="auto"/>
                    <w:left w:val="none" w:sz="0" w:space="0" w:color="auto"/>
                    <w:bottom w:val="none" w:sz="0" w:space="0" w:color="auto"/>
                    <w:right w:val="none" w:sz="0" w:space="0" w:color="auto"/>
                  </w:divBdr>
                  <w:divsChild>
                    <w:div w:id="246809136">
                      <w:marLeft w:val="0"/>
                      <w:marRight w:val="0"/>
                      <w:marTop w:val="0"/>
                      <w:marBottom w:val="0"/>
                      <w:divBdr>
                        <w:top w:val="none" w:sz="0" w:space="0" w:color="auto"/>
                        <w:left w:val="none" w:sz="0" w:space="0" w:color="auto"/>
                        <w:bottom w:val="none" w:sz="0" w:space="0" w:color="auto"/>
                        <w:right w:val="none" w:sz="0" w:space="0" w:color="auto"/>
                      </w:divBdr>
                    </w:div>
                  </w:divsChild>
                </w:div>
                <w:div w:id="168643966">
                  <w:marLeft w:val="0"/>
                  <w:marRight w:val="0"/>
                  <w:marTop w:val="0"/>
                  <w:marBottom w:val="0"/>
                  <w:divBdr>
                    <w:top w:val="none" w:sz="0" w:space="0" w:color="auto"/>
                    <w:left w:val="none" w:sz="0" w:space="0" w:color="auto"/>
                    <w:bottom w:val="none" w:sz="0" w:space="0" w:color="auto"/>
                    <w:right w:val="none" w:sz="0" w:space="0" w:color="auto"/>
                  </w:divBdr>
                  <w:divsChild>
                    <w:div w:id="971323876">
                      <w:marLeft w:val="0"/>
                      <w:marRight w:val="0"/>
                      <w:marTop w:val="0"/>
                      <w:marBottom w:val="0"/>
                      <w:divBdr>
                        <w:top w:val="none" w:sz="0" w:space="0" w:color="auto"/>
                        <w:left w:val="none" w:sz="0" w:space="0" w:color="auto"/>
                        <w:bottom w:val="none" w:sz="0" w:space="0" w:color="auto"/>
                        <w:right w:val="none" w:sz="0" w:space="0" w:color="auto"/>
                      </w:divBdr>
                    </w:div>
                  </w:divsChild>
                </w:div>
                <w:div w:id="1431781068">
                  <w:marLeft w:val="0"/>
                  <w:marRight w:val="0"/>
                  <w:marTop w:val="0"/>
                  <w:marBottom w:val="0"/>
                  <w:divBdr>
                    <w:top w:val="none" w:sz="0" w:space="0" w:color="auto"/>
                    <w:left w:val="none" w:sz="0" w:space="0" w:color="auto"/>
                    <w:bottom w:val="none" w:sz="0" w:space="0" w:color="auto"/>
                    <w:right w:val="none" w:sz="0" w:space="0" w:color="auto"/>
                  </w:divBdr>
                  <w:divsChild>
                    <w:div w:id="157431157">
                      <w:marLeft w:val="0"/>
                      <w:marRight w:val="0"/>
                      <w:marTop w:val="0"/>
                      <w:marBottom w:val="0"/>
                      <w:divBdr>
                        <w:top w:val="none" w:sz="0" w:space="0" w:color="auto"/>
                        <w:left w:val="none" w:sz="0" w:space="0" w:color="auto"/>
                        <w:bottom w:val="none" w:sz="0" w:space="0" w:color="auto"/>
                        <w:right w:val="none" w:sz="0" w:space="0" w:color="auto"/>
                      </w:divBdr>
                    </w:div>
                  </w:divsChild>
                </w:div>
                <w:div w:id="327095306">
                  <w:marLeft w:val="0"/>
                  <w:marRight w:val="0"/>
                  <w:marTop w:val="0"/>
                  <w:marBottom w:val="0"/>
                  <w:divBdr>
                    <w:top w:val="none" w:sz="0" w:space="0" w:color="auto"/>
                    <w:left w:val="none" w:sz="0" w:space="0" w:color="auto"/>
                    <w:bottom w:val="none" w:sz="0" w:space="0" w:color="auto"/>
                    <w:right w:val="none" w:sz="0" w:space="0" w:color="auto"/>
                  </w:divBdr>
                  <w:divsChild>
                    <w:div w:id="1047341890">
                      <w:marLeft w:val="0"/>
                      <w:marRight w:val="0"/>
                      <w:marTop w:val="0"/>
                      <w:marBottom w:val="0"/>
                      <w:divBdr>
                        <w:top w:val="none" w:sz="0" w:space="0" w:color="auto"/>
                        <w:left w:val="none" w:sz="0" w:space="0" w:color="auto"/>
                        <w:bottom w:val="none" w:sz="0" w:space="0" w:color="auto"/>
                        <w:right w:val="none" w:sz="0" w:space="0" w:color="auto"/>
                      </w:divBdr>
                    </w:div>
                  </w:divsChild>
                </w:div>
                <w:div w:id="1093161348">
                  <w:marLeft w:val="0"/>
                  <w:marRight w:val="0"/>
                  <w:marTop w:val="0"/>
                  <w:marBottom w:val="0"/>
                  <w:divBdr>
                    <w:top w:val="none" w:sz="0" w:space="0" w:color="auto"/>
                    <w:left w:val="none" w:sz="0" w:space="0" w:color="auto"/>
                    <w:bottom w:val="none" w:sz="0" w:space="0" w:color="auto"/>
                    <w:right w:val="none" w:sz="0" w:space="0" w:color="auto"/>
                  </w:divBdr>
                  <w:divsChild>
                    <w:div w:id="1236476402">
                      <w:marLeft w:val="0"/>
                      <w:marRight w:val="0"/>
                      <w:marTop w:val="0"/>
                      <w:marBottom w:val="0"/>
                      <w:divBdr>
                        <w:top w:val="none" w:sz="0" w:space="0" w:color="auto"/>
                        <w:left w:val="none" w:sz="0" w:space="0" w:color="auto"/>
                        <w:bottom w:val="none" w:sz="0" w:space="0" w:color="auto"/>
                        <w:right w:val="none" w:sz="0" w:space="0" w:color="auto"/>
                      </w:divBdr>
                    </w:div>
                  </w:divsChild>
                </w:div>
                <w:div w:id="923681194">
                  <w:marLeft w:val="0"/>
                  <w:marRight w:val="0"/>
                  <w:marTop w:val="0"/>
                  <w:marBottom w:val="0"/>
                  <w:divBdr>
                    <w:top w:val="none" w:sz="0" w:space="0" w:color="auto"/>
                    <w:left w:val="none" w:sz="0" w:space="0" w:color="auto"/>
                    <w:bottom w:val="none" w:sz="0" w:space="0" w:color="auto"/>
                    <w:right w:val="none" w:sz="0" w:space="0" w:color="auto"/>
                  </w:divBdr>
                  <w:divsChild>
                    <w:div w:id="1604071555">
                      <w:marLeft w:val="0"/>
                      <w:marRight w:val="0"/>
                      <w:marTop w:val="0"/>
                      <w:marBottom w:val="0"/>
                      <w:divBdr>
                        <w:top w:val="none" w:sz="0" w:space="0" w:color="auto"/>
                        <w:left w:val="none" w:sz="0" w:space="0" w:color="auto"/>
                        <w:bottom w:val="none" w:sz="0" w:space="0" w:color="auto"/>
                        <w:right w:val="none" w:sz="0" w:space="0" w:color="auto"/>
                      </w:divBdr>
                    </w:div>
                  </w:divsChild>
                </w:div>
                <w:div w:id="901254207">
                  <w:marLeft w:val="0"/>
                  <w:marRight w:val="0"/>
                  <w:marTop w:val="0"/>
                  <w:marBottom w:val="0"/>
                  <w:divBdr>
                    <w:top w:val="none" w:sz="0" w:space="0" w:color="auto"/>
                    <w:left w:val="none" w:sz="0" w:space="0" w:color="auto"/>
                    <w:bottom w:val="none" w:sz="0" w:space="0" w:color="auto"/>
                    <w:right w:val="none" w:sz="0" w:space="0" w:color="auto"/>
                  </w:divBdr>
                  <w:divsChild>
                    <w:div w:id="1013074704">
                      <w:marLeft w:val="0"/>
                      <w:marRight w:val="0"/>
                      <w:marTop w:val="0"/>
                      <w:marBottom w:val="0"/>
                      <w:divBdr>
                        <w:top w:val="none" w:sz="0" w:space="0" w:color="auto"/>
                        <w:left w:val="none" w:sz="0" w:space="0" w:color="auto"/>
                        <w:bottom w:val="none" w:sz="0" w:space="0" w:color="auto"/>
                        <w:right w:val="none" w:sz="0" w:space="0" w:color="auto"/>
                      </w:divBdr>
                    </w:div>
                  </w:divsChild>
                </w:div>
                <w:div w:id="664939649">
                  <w:marLeft w:val="0"/>
                  <w:marRight w:val="0"/>
                  <w:marTop w:val="0"/>
                  <w:marBottom w:val="0"/>
                  <w:divBdr>
                    <w:top w:val="none" w:sz="0" w:space="0" w:color="auto"/>
                    <w:left w:val="none" w:sz="0" w:space="0" w:color="auto"/>
                    <w:bottom w:val="none" w:sz="0" w:space="0" w:color="auto"/>
                    <w:right w:val="none" w:sz="0" w:space="0" w:color="auto"/>
                  </w:divBdr>
                  <w:divsChild>
                    <w:div w:id="1230308033">
                      <w:marLeft w:val="0"/>
                      <w:marRight w:val="0"/>
                      <w:marTop w:val="0"/>
                      <w:marBottom w:val="0"/>
                      <w:divBdr>
                        <w:top w:val="none" w:sz="0" w:space="0" w:color="auto"/>
                        <w:left w:val="none" w:sz="0" w:space="0" w:color="auto"/>
                        <w:bottom w:val="none" w:sz="0" w:space="0" w:color="auto"/>
                        <w:right w:val="none" w:sz="0" w:space="0" w:color="auto"/>
                      </w:divBdr>
                    </w:div>
                  </w:divsChild>
                </w:div>
                <w:div w:id="1501769396">
                  <w:marLeft w:val="0"/>
                  <w:marRight w:val="0"/>
                  <w:marTop w:val="0"/>
                  <w:marBottom w:val="0"/>
                  <w:divBdr>
                    <w:top w:val="none" w:sz="0" w:space="0" w:color="auto"/>
                    <w:left w:val="none" w:sz="0" w:space="0" w:color="auto"/>
                    <w:bottom w:val="none" w:sz="0" w:space="0" w:color="auto"/>
                    <w:right w:val="none" w:sz="0" w:space="0" w:color="auto"/>
                  </w:divBdr>
                  <w:divsChild>
                    <w:div w:id="2001230410">
                      <w:marLeft w:val="0"/>
                      <w:marRight w:val="0"/>
                      <w:marTop w:val="0"/>
                      <w:marBottom w:val="0"/>
                      <w:divBdr>
                        <w:top w:val="none" w:sz="0" w:space="0" w:color="auto"/>
                        <w:left w:val="none" w:sz="0" w:space="0" w:color="auto"/>
                        <w:bottom w:val="none" w:sz="0" w:space="0" w:color="auto"/>
                        <w:right w:val="none" w:sz="0" w:space="0" w:color="auto"/>
                      </w:divBdr>
                    </w:div>
                  </w:divsChild>
                </w:div>
                <w:div w:id="1737513718">
                  <w:marLeft w:val="0"/>
                  <w:marRight w:val="0"/>
                  <w:marTop w:val="0"/>
                  <w:marBottom w:val="0"/>
                  <w:divBdr>
                    <w:top w:val="none" w:sz="0" w:space="0" w:color="auto"/>
                    <w:left w:val="none" w:sz="0" w:space="0" w:color="auto"/>
                    <w:bottom w:val="none" w:sz="0" w:space="0" w:color="auto"/>
                    <w:right w:val="none" w:sz="0" w:space="0" w:color="auto"/>
                  </w:divBdr>
                  <w:divsChild>
                    <w:div w:id="1416708900">
                      <w:marLeft w:val="0"/>
                      <w:marRight w:val="0"/>
                      <w:marTop w:val="0"/>
                      <w:marBottom w:val="0"/>
                      <w:divBdr>
                        <w:top w:val="none" w:sz="0" w:space="0" w:color="auto"/>
                        <w:left w:val="none" w:sz="0" w:space="0" w:color="auto"/>
                        <w:bottom w:val="none" w:sz="0" w:space="0" w:color="auto"/>
                        <w:right w:val="none" w:sz="0" w:space="0" w:color="auto"/>
                      </w:divBdr>
                    </w:div>
                  </w:divsChild>
                </w:div>
                <w:div w:id="1978030563">
                  <w:marLeft w:val="0"/>
                  <w:marRight w:val="0"/>
                  <w:marTop w:val="0"/>
                  <w:marBottom w:val="0"/>
                  <w:divBdr>
                    <w:top w:val="none" w:sz="0" w:space="0" w:color="auto"/>
                    <w:left w:val="none" w:sz="0" w:space="0" w:color="auto"/>
                    <w:bottom w:val="none" w:sz="0" w:space="0" w:color="auto"/>
                    <w:right w:val="none" w:sz="0" w:space="0" w:color="auto"/>
                  </w:divBdr>
                  <w:divsChild>
                    <w:div w:id="675770139">
                      <w:marLeft w:val="0"/>
                      <w:marRight w:val="0"/>
                      <w:marTop w:val="0"/>
                      <w:marBottom w:val="0"/>
                      <w:divBdr>
                        <w:top w:val="none" w:sz="0" w:space="0" w:color="auto"/>
                        <w:left w:val="none" w:sz="0" w:space="0" w:color="auto"/>
                        <w:bottom w:val="none" w:sz="0" w:space="0" w:color="auto"/>
                        <w:right w:val="none" w:sz="0" w:space="0" w:color="auto"/>
                      </w:divBdr>
                    </w:div>
                  </w:divsChild>
                </w:div>
                <w:div w:id="1586956790">
                  <w:marLeft w:val="0"/>
                  <w:marRight w:val="0"/>
                  <w:marTop w:val="0"/>
                  <w:marBottom w:val="0"/>
                  <w:divBdr>
                    <w:top w:val="none" w:sz="0" w:space="0" w:color="auto"/>
                    <w:left w:val="none" w:sz="0" w:space="0" w:color="auto"/>
                    <w:bottom w:val="none" w:sz="0" w:space="0" w:color="auto"/>
                    <w:right w:val="none" w:sz="0" w:space="0" w:color="auto"/>
                  </w:divBdr>
                  <w:divsChild>
                    <w:div w:id="200098476">
                      <w:marLeft w:val="0"/>
                      <w:marRight w:val="0"/>
                      <w:marTop w:val="0"/>
                      <w:marBottom w:val="0"/>
                      <w:divBdr>
                        <w:top w:val="none" w:sz="0" w:space="0" w:color="auto"/>
                        <w:left w:val="none" w:sz="0" w:space="0" w:color="auto"/>
                        <w:bottom w:val="none" w:sz="0" w:space="0" w:color="auto"/>
                        <w:right w:val="none" w:sz="0" w:space="0" w:color="auto"/>
                      </w:divBdr>
                    </w:div>
                  </w:divsChild>
                </w:div>
                <w:div w:id="1508519974">
                  <w:marLeft w:val="0"/>
                  <w:marRight w:val="0"/>
                  <w:marTop w:val="0"/>
                  <w:marBottom w:val="0"/>
                  <w:divBdr>
                    <w:top w:val="none" w:sz="0" w:space="0" w:color="auto"/>
                    <w:left w:val="none" w:sz="0" w:space="0" w:color="auto"/>
                    <w:bottom w:val="none" w:sz="0" w:space="0" w:color="auto"/>
                    <w:right w:val="none" w:sz="0" w:space="0" w:color="auto"/>
                  </w:divBdr>
                  <w:divsChild>
                    <w:div w:id="922568267">
                      <w:marLeft w:val="0"/>
                      <w:marRight w:val="0"/>
                      <w:marTop w:val="0"/>
                      <w:marBottom w:val="0"/>
                      <w:divBdr>
                        <w:top w:val="none" w:sz="0" w:space="0" w:color="auto"/>
                        <w:left w:val="none" w:sz="0" w:space="0" w:color="auto"/>
                        <w:bottom w:val="none" w:sz="0" w:space="0" w:color="auto"/>
                        <w:right w:val="none" w:sz="0" w:space="0" w:color="auto"/>
                      </w:divBdr>
                    </w:div>
                  </w:divsChild>
                </w:div>
                <w:div w:id="1993943417">
                  <w:marLeft w:val="0"/>
                  <w:marRight w:val="0"/>
                  <w:marTop w:val="0"/>
                  <w:marBottom w:val="0"/>
                  <w:divBdr>
                    <w:top w:val="none" w:sz="0" w:space="0" w:color="auto"/>
                    <w:left w:val="none" w:sz="0" w:space="0" w:color="auto"/>
                    <w:bottom w:val="none" w:sz="0" w:space="0" w:color="auto"/>
                    <w:right w:val="none" w:sz="0" w:space="0" w:color="auto"/>
                  </w:divBdr>
                  <w:divsChild>
                    <w:div w:id="889536756">
                      <w:marLeft w:val="0"/>
                      <w:marRight w:val="0"/>
                      <w:marTop w:val="0"/>
                      <w:marBottom w:val="0"/>
                      <w:divBdr>
                        <w:top w:val="none" w:sz="0" w:space="0" w:color="auto"/>
                        <w:left w:val="none" w:sz="0" w:space="0" w:color="auto"/>
                        <w:bottom w:val="none" w:sz="0" w:space="0" w:color="auto"/>
                        <w:right w:val="none" w:sz="0" w:space="0" w:color="auto"/>
                      </w:divBdr>
                    </w:div>
                  </w:divsChild>
                </w:div>
                <w:div w:id="1865822437">
                  <w:marLeft w:val="0"/>
                  <w:marRight w:val="0"/>
                  <w:marTop w:val="0"/>
                  <w:marBottom w:val="0"/>
                  <w:divBdr>
                    <w:top w:val="none" w:sz="0" w:space="0" w:color="auto"/>
                    <w:left w:val="none" w:sz="0" w:space="0" w:color="auto"/>
                    <w:bottom w:val="none" w:sz="0" w:space="0" w:color="auto"/>
                    <w:right w:val="none" w:sz="0" w:space="0" w:color="auto"/>
                  </w:divBdr>
                  <w:divsChild>
                    <w:div w:id="544218547">
                      <w:marLeft w:val="0"/>
                      <w:marRight w:val="0"/>
                      <w:marTop w:val="0"/>
                      <w:marBottom w:val="0"/>
                      <w:divBdr>
                        <w:top w:val="none" w:sz="0" w:space="0" w:color="auto"/>
                        <w:left w:val="none" w:sz="0" w:space="0" w:color="auto"/>
                        <w:bottom w:val="none" w:sz="0" w:space="0" w:color="auto"/>
                        <w:right w:val="none" w:sz="0" w:space="0" w:color="auto"/>
                      </w:divBdr>
                    </w:div>
                  </w:divsChild>
                </w:div>
                <w:div w:id="246547604">
                  <w:marLeft w:val="0"/>
                  <w:marRight w:val="0"/>
                  <w:marTop w:val="0"/>
                  <w:marBottom w:val="0"/>
                  <w:divBdr>
                    <w:top w:val="none" w:sz="0" w:space="0" w:color="auto"/>
                    <w:left w:val="none" w:sz="0" w:space="0" w:color="auto"/>
                    <w:bottom w:val="none" w:sz="0" w:space="0" w:color="auto"/>
                    <w:right w:val="none" w:sz="0" w:space="0" w:color="auto"/>
                  </w:divBdr>
                  <w:divsChild>
                    <w:div w:id="159424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460948">
      <w:bodyDiv w:val="1"/>
      <w:marLeft w:val="0"/>
      <w:marRight w:val="0"/>
      <w:marTop w:val="0"/>
      <w:marBottom w:val="0"/>
      <w:divBdr>
        <w:top w:val="none" w:sz="0" w:space="0" w:color="auto"/>
        <w:left w:val="none" w:sz="0" w:space="0" w:color="auto"/>
        <w:bottom w:val="none" w:sz="0" w:space="0" w:color="auto"/>
        <w:right w:val="none" w:sz="0" w:space="0" w:color="auto"/>
      </w:divBdr>
    </w:div>
    <w:div w:id="1948195022">
      <w:bodyDiv w:val="1"/>
      <w:marLeft w:val="0"/>
      <w:marRight w:val="0"/>
      <w:marTop w:val="0"/>
      <w:marBottom w:val="0"/>
      <w:divBdr>
        <w:top w:val="none" w:sz="0" w:space="0" w:color="auto"/>
        <w:left w:val="none" w:sz="0" w:space="0" w:color="auto"/>
        <w:bottom w:val="none" w:sz="0" w:space="0" w:color="auto"/>
        <w:right w:val="none" w:sz="0" w:space="0" w:color="auto"/>
      </w:divBdr>
    </w:div>
    <w:div w:id="1948275485">
      <w:bodyDiv w:val="1"/>
      <w:marLeft w:val="0"/>
      <w:marRight w:val="0"/>
      <w:marTop w:val="0"/>
      <w:marBottom w:val="0"/>
      <w:divBdr>
        <w:top w:val="none" w:sz="0" w:space="0" w:color="auto"/>
        <w:left w:val="none" w:sz="0" w:space="0" w:color="auto"/>
        <w:bottom w:val="none" w:sz="0" w:space="0" w:color="auto"/>
        <w:right w:val="none" w:sz="0" w:space="0" w:color="auto"/>
      </w:divBdr>
      <w:divsChild>
        <w:div w:id="1913998706">
          <w:marLeft w:val="0"/>
          <w:marRight w:val="0"/>
          <w:marTop w:val="0"/>
          <w:marBottom w:val="0"/>
          <w:divBdr>
            <w:top w:val="none" w:sz="0" w:space="0" w:color="auto"/>
            <w:left w:val="none" w:sz="0" w:space="0" w:color="auto"/>
            <w:bottom w:val="none" w:sz="0" w:space="0" w:color="auto"/>
            <w:right w:val="none" w:sz="0" w:space="0" w:color="auto"/>
          </w:divBdr>
        </w:div>
        <w:div w:id="1069303610">
          <w:marLeft w:val="0"/>
          <w:marRight w:val="0"/>
          <w:marTop w:val="0"/>
          <w:marBottom w:val="0"/>
          <w:divBdr>
            <w:top w:val="none" w:sz="0" w:space="0" w:color="auto"/>
            <w:left w:val="none" w:sz="0" w:space="0" w:color="auto"/>
            <w:bottom w:val="none" w:sz="0" w:space="0" w:color="auto"/>
            <w:right w:val="none" w:sz="0" w:space="0" w:color="auto"/>
          </w:divBdr>
        </w:div>
        <w:div w:id="654459477">
          <w:marLeft w:val="0"/>
          <w:marRight w:val="0"/>
          <w:marTop w:val="0"/>
          <w:marBottom w:val="0"/>
          <w:divBdr>
            <w:top w:val="none" w:sz="0" w:space="0" w:color="auto"/>
            <w:left w:val="none" w:sz="0" w:space="0" w:color="auto"/>
            <w:bottom w:val="none" w:sz="0" w:space="0" w:color="auto"/>
            <w:right w:val="none" w:sz="0" w:space="0" w:color="auto"/>
          </w:divBdr>
        </w:div>
        <w:div w:id="1117337790">
          <w:marLeft w:val="0"/>
          <w:marRight w:val="0"/>
          <w:marTop w:val="0"/>
          <w:marBottom w:val="0"/>
          <w:divBdr>
            <w:top w:val="none" w:sz="0" w:space="0" w:color="auto"/>
            <w:left w:val="none" w:sz="0" w:space="0" w:color="auto"/>
            <w:bottom w:val="none" w:sz="0" w:space="0" w:color="auto"/>
            <w:right w:val="none" w:sz="0" w:space="0" w:color="auto"/>
          </w:divBdr>
        </w:div>
      </w:divsChild>
    </w:div>
    <w:div w:id="1971158444">
      <w:bodyDiv w:val="1"/>
      <w:marLeft w:val="0"/>
      <w:marRight w:val="0"/>
      <w:marTop w:val="0"/>
      <w:marBottom w:val="0"/>
      <w:divBdr>
        <w:top w:val="none" w:sz="0" w:space="0" w:color="auto"/>
        <w:left w:val="none" w:sz="0" w:space="0" w:color="auto"/>
        <w:bottom w:val="none" w:sz="0" w:space="0" w:color="auto"/>
        <w:right w:val="none" w:sz="0" w:space="0" w:color="auto"/>
      </w:divBdr>
    </w:div>
    <w:div w:id="1998073535">
      <w:bodyDiv w:val="1"/>
      <w:marLeft w:val="0"/>
      <w:marRight w:val="0"/>
      <w:marTop w:val="0"/>
      <w:marBottom w:val="0"/>
      <w:divBdr>
        <w:top w:val="none" w:sz="0" w:space="0" w:color="auto"/>
        <w:left w:val="none" w:sz="0" w:space="0" w:color="auto"/>
        <w:bottom w:val="none" w:sz="0" w:space="0" w:color="auto"/>
        <w:right w:val="none" w:sz="0" w:space="0" w:color="auto"/>
      </w:divBdr>
    </w:div>
    <w:div w:id="1998918943">
      <w:bodyDiv w:val="1"/>
      <w:marLeft w:val="0"/>
      <w:marRight w:val="0"/>
      <w:marTop w:val="0"/>
      <w:marBottom w:val="0"/>
      <w:divBdr>
        <w:top w:val="none" w:sz="0" w:space="0" w:color="auto"/>
        <w:left w:val="none" w:sz="0" w:space="0" w:color="auto"/>
        <w:bottom w:val="none" w:sz="0" w:space="0" w:color="auto"/>
        <w:right w:val="none" w:sz="0" w:space="0" w:color="auto"/>
      </w:divBdr>
    </w:div>
    <w:div w:id="1999652354">
      <w:bodyDiv w:val="1"/>
      <w:marLeft w:val="0"/>
      <w:marRight w:val="0"/>
      <w:marTop w:val="0"/>
      <w:marBottom w:val="0"/>
      <w:divBdr>
        <w:top w:val="none" w:sz="0" w:space="0" w:color="auto"/>
        <w:left w:val="none" w:sz="0" w:space="0" w:color="auto"/>
        <w:bottom w:val="none" w:sz="0" w:space="0" w:color="auto"/>
        <w:right w:val="none" w:sz="0" w:space="0" w:color="auto"/>
      </w:divBdr>
      <w:divsChild>
        <w:div w:id="1536428586">
          <w:marLeft w:val="0"/>
          <w:marRight w:val="0"/>
          <w:marTop w:val="0"/>
          <w:marBottom w:val="0"/>
          <w:divBdr>
            <w:top w:val="none" w:sz="0" w:space="0" w:color="auto"/>
            <w:left w:val="none" w:sz="0" w:space="0" w:color="auto"/>
            <w:bottom w:val="none" w:sz="0" w:space="0" w:color="auto"/>
            <w:right w:val="none" w:sz="0" w:space="0" w:color="auto"/>
          </w:divBdr>
        </w:div>
        <w:div w:id="114451923">
          <w:marLeft w:val="0"/>
          <w:marRight w:val="0"/>
          <w:marTop w:val="0"/>
          <w:marBottom w:val="0"/>
          <w:divBdr>
            <w:top w:val="none" w:sz="0" w:space="0" w:color="auto"/>
            <w:left w:val="none" w:sz="0" w:space="0" w:color="auto"/>
            <w:bottom w:val="none" w:sz="0" w:space="0" w:color="auto"/>
            <w:right w:val="none" w:sz="0" w:space="0" w:color="auto"/>
          </w:divBdr>
        </w:div>
      </w:divsChild>
    </w:div>
    <w:div w:id="2015067688">
      <w:bodyDiv w:val="1"/>
      <w:marLeft w:val="0"/>
      <w:marRight w:val="0"/>
      <w:marTop w:val="0"/>
      <w:marBottom w:val="0"/>
      <w:divBdr>
        <w:top w:val="none" w:sz="0" w:space="0" w:color="auto"/>
        <w:left w:val="none" w:sz="0" w:space="0" w:color="auto"/>
        <w:bottom w:val="none" w:sz="0" w:space="0" w:color="auto"/>
        <w:right w:val="none" w:sz="0" w:space="0" w:color="auto"/>
      </w:divBdr>
    </w:div>
    <w:div w:id="2025353525">
      <w:bodyDiv w:val="1"/>
      <w:marLeft w:val="0"/>
      <w:marRight w:val="0"/>
      <w:marTop w:val="0"/>
      <w:marBottom w:val="0"/>
      <w:divBdr>
        <w:top w:val="none" w:sz="0" w:space="0" w:color="auto"/>
        <w:left w:val="none" w:sz="0" w:space="0" w:color="auto"/>
        <w:bottom w:val="none" w:sz="0" w:space="0" w:color="auto"/>
        <w:right w:val="none" w:sz="0" w:space="0" w:color="auto"/>
      </w:divBdr>
    </w:div>
    <w:div w:id="2046903691">
      <w:bodyDiv w:val="1"/>
      <w:marLeft w:val="0"/>
      <w:marRight w:val="0"/>
      <w:marTop w:val="0"/>
      <w:marBottom w:val="0"/>
      <w:divBdr>
        <w:top w:val="none" w:sz="0" w:space="0" w:color="auto"/>
        <w:left w:val="none" w:sz="0" w:space="0" w:color="auto"/>
        <w:bottom w:val="none" w:sz="0" w:space="0" w:color="auto"/>
        <w:right w:val="none" w:sz="0" w:space="0" w:color="auto"/>
      </w:divBdr>
    </w:div>
    <w:div w:id="2105496100">
      <w:bodyDiv w:val="1"/>
      <w:marLeft w:val="0"/>
      <w:marRight w:val="0"/>
      <w:marTop w:val="0"/>
      <w:marBottom w:val="0"/>
      <w:divBdr>
        <w:top w:val="none" w:sz="0" w:space="0" w:color="auto"/>
        <w:left w:val="none" w:sz="0" w:space="0" w:color="auto"/>
        <w:bottom w:val="none" w:sz="0" w:space="0" w:color="auto"/>
        <w:right w:val="none" w:sz="0" w:space="0" w:color="auto"/>
      </w:divBdr>
    </w:div>
    <w:div w:id="2119249235">
      <w:bodyDiv w:val="1"/>
      <w:marLeft w:val="0"/>
      <w:marRight w:val="0"/>
      <w:marTop w:val="0"/>
      <w:marBottom w:val="0"/>
      <w:divBdr>
        <w:top w:val="none" w:sz="0" w:space="0" w:color="auto"/>
        <w:left w:val="none" w:sz="0" w:space="0" w:color="auto"/>
        <w:bottom w:val="none" w:sz="0" w:space="0" w:color="auto"/>
        <w:right w:val="none" w:sz="0" w:space="0" w:color="auto"/>
      </w:divBdr>
    </w:div>
    <w:div w:id="2123499384">
      <w:bodyDiv w:val="1"/>
      <w:marLeft w:val="0"/>
      <w:marRight w:val="0"/>
      <w:marTop w:val="0"/>
      <w:marBottom w:val="0"/>
      <w:divBdr>
        <w:top w:val="none" w:sz="0" w:space="0" w:color="auto"/>
        <w:left w:val="none" w:sz="0" w:space="0" w:color="auto"/>
        <w:bottom w:val="none" w:sz="0" w:space="0" w:color="auto"/>
        <w:right w:val="none" w:sz="0" w:space="0" w:color="auto"/>
      </w:divBdr>
    </w:div>
    <w:div w:id="2126119783">
      <w:bodyDiv w:val="1"/>
      <w:marLeft w:val="0"/>
      <w:marRight w:val="0"/>
      <w:marTop w:val="0"/>
      <w:marBottom w:val="0"/>
      <w:divBdr>
        <w:top w:val="none" w:sz="0" w:space="0" w:color="auto"/>
        <w:left w:val="none" w:sz="0" w:space="0" w:color="auto"/>
        <w:bottom w:val="none" w:sz="0" w:space="0" w:color="auto"/>
        <w:right w:val="none" w:sz="0" w:space="0" w:color="auto"/>
      </w:divBdr>
    </w:div>
    <w:div w:id="2130390420">
      <w:bodyDiv w:val="1"/>
      <w:marLeft w:val="0"/>
      <w:marRight w:val="0"/>
      <w:marTop w:val="0"/>
      <w:marBottom w:val="0"/>
      <w:divBdr>
        <w:top w:val="none" w:sz="0" w:space="0" w:color="auto"/>
        <w:left w:val="none" w:sz="0" w:space="0" w:color="auto"/>
        <w:bottom w:val="none" w:sz="0" w:space="0" w:color="auto"/>
        <w:right w:val="none" w:sz="0" w:space="0" w:color="auto"/>
      </w:divBdr>
      <w:divsChild>
        <w:div w:id="836269101">
          <w:marLeft w:val="0"/>
          <w:marRight w:val="0"/>
          <w:marTop w:val="0"/>
          <w:marBottom w:val="0"/>
          <w:divBdr>
            <w:top w:val="none" w:sz="0" w:space="0" w:color="auto"/>
            <w:left w:val="none" w:sz="0" w:space="0" w:color="auto"/>
            <w:bottom w:val="none" w:sz="0" w:space="0" w:color="auto"/>
            <w:right w:val="none" w:sz="0" w:space="0" w:color="auto"/>
          </w:divBdr>
        </w:div>
        <w:div w:id="1576360174">
          <w:marLeft w:val="0"/>
          <w:marRight w:val="0"/>
          <w:marTop w:val="0"/>
          <w:marBottom w:val="0"/>
          <w:divBdr>
            <w:top w:val="none" w:sz="0" w:space="0" w:color="auto"/>
            <w:left w:val="none" w:sz="0" w:space="0" w:color="auto"/>
            <w:bottom w:val="none" w:sz="0" w:space="0" w:color="auto"/>
            <w:right w:val="none" w:sz="0" w:space="0" w:color="auto"/>
          </w:divBdr>
          <w:divsChild>
            <w:div w:id="1247572996">
              <w:marLeft w:val="-75"/>
              <w:marRight w:val="0"/>
              <w:marTop w:val="30"/>
              <w:marBottom w:val="30"/>
              <w:divBdr>
                <w:top w:val="none" w:sz="0" w:space="0" w:color="auto"/>
                <w:left w:val="none" w:sz="0" w:space="0" w:color="auto"/>
                <w:bottom w:val="none" w:sz="0" w:space="0" w:color="auto"/>
                <w:right w:val="none" w:sz="0" w:space="0" w:color="auto"/>
              </w:divBdr>
              <w:divsChild>
                <w:div w:id="1860048763">
                  <w:marLeft w:val="0"/>
                  <w:marRight w:val="0"/>
                  <w:marTop w:val="0"/>
                  <w:marBottom w:val="0"/>
                  <w:divBdr>
                    <w:top w:val="none" w:sz="0" w:space="0" w:color="auto"/>
                    <w:left w:val="none" w:sz="0" w:space="0" w:color="auto"/>
                    <w:bottom w:val="none" w:sz="0" w:space="0" w:color="auto"/>
                    <w:right w:val="none" w:sz="0" w:space="0" w:color="auto"/>
                  </w:divBdr>
                  <w:divsChild>
                    <w:div w:id="132990266">
                      <w:marLeft w:val="0"/>
                      <w:marRight w:val="0"/>
                      <w:marTop w:val="0"/>
                      <w:marBottom w:val="0"/>
                      <w:divBdr>
                        <w:top w:val="none" w:sz="0" w:space="0" w:color="auto"/>
                        <w:left w:val="none" w:sz="0" w:space="0" w:color="auto"/>
                        <w:bottom w:val="none" w:sz="0" w:space="0" w:color="auto"/>
                        <w:right w:val="none" w:sz="0" w:space="0" w:color="auto"/>
                      </w:divBdr>
                    </w:div>
                  </w:divsChild>
                </w:div>
                <w:div w:id="1498692799">
                  <w:marLeft w:val="0"/>
                  <w:marRight w:val="0"/>
                  <w:marTop w:val="0"/>
                  <w:marBottom w:val="0"/>
                  <w:divBdr>
                    <w:top w:val="none" w:sz="0" w:space="0" w:color="auto"/>
                    <w:left w:val="none" w:sz="0" w:space="0" w:color="auto"/>
                    <w:bottom w:val="none" w:sz="0" w:space="0" w:color="auto"/>
                    <w:right w:val="none" w:sz="0" w:space="0" w:color="auto"/>
                  </w:divBdr>
                  <w:divsChild>
                    <w:div w:id="1420785725">
                      <w:marLeft w:val="0"/>
                      <w:marRight w:val="0"/>
                      <w:marTop w:val="0"/>
                      <w:marBottom w:val="0"/>
                      <w:divBdr>
                        <w:top w:val="none" w:sz="0" w:space="0" w:color="auto"/>
                        <w:left w:val="none" w:sz="0" w:space="0" w:color="auto"/>
                        <w:bottom w:val="none" w:sz="0" w:space="0" w:color="auto"/>
                        <w:right w:val="none" w:sz="0" w:space="0" w:color="auto"/>
                      </w:divBdr>
                    </w:div>
                  </w:divsChild>
                </w:div>
                <w:div w:id="841353971">
                  <w:marLeft w:val="0"/>
                  <w:marRight w:val="0"/>
                  <w:marTop w:val="0"/>
                  <w:marBottom w:val="0"/>
                  <w:divBdr>
                    <w:top w:val="none" w:sz="0" w:space="0" w:color="auto"/>
                    <w:left w:val="none" w:sz="0" w:space="0" w:color="auto"/>
                    <w:bottom w:val="none" w:sz="0" w:space="0" w:color="auto"/>
                    <w:right w:val="none" w:sz="0" w:space="0" w:color="auto"/>
                  </w:divBdr>
                  <w:divsChild>
                    <w:div w:id="227768246">
                      <w:marLeft w:val="0"/>
                      <w:marRight w:val="0"/>
                      <w:marTop w:val="0"/>
                      <w:marBottom w:val="0"/>
                      <w:divBdr>
                        <w:top w:val="none" w:sz="0" w:space="0" w:color="auto"/>
                        <w:left w:val="none" w:sz="0" w:space="0" w:color="auto"/>
                        <w:bottom w:val="none" w:sz="0" w:space="0" w:color="auto"/>
                        <w:right w:val="none" w:sz="0" w:space="0" w:color="auto"/>
                      </w:divBdr>
                    </w:div>
                  </w:divsChild>
                </w:div>
                <w:div w:id="1698580054">
                  <w:marLeft w:val="0"/>
                  <w:marRight w:val="0"/>
                  <w:marTop w:val="0"/>
                  <w:marBottom w:val="0"/>
                  <w:divBdr>
                    <w:top w:val="none" w:sz="0" w:space="0" w:color="auto"/>
                    <w:left w:val="none" w:sz="0" w:space="0" w:color="auto"/>
                    <w:bottom w:val="none" w:sz="0" w:space="0" w:color="auto"/>
                    <w:right w:val="none" w:sz="0" w:space="0" w:color="auto"/>
                  </w:divBdr>
                  <w:divsChild>
                    <w:div w:id="600722870">
                      <w:marLeft w:val="0"/>
                      <w:marRight w:val="0"/>
                      <w:marTop w:val="0"/>
                      <w:marBottom w:val="0"/>
                      <w:divBdr>
                        <w:top w:val="none" w:sz="0" w:space="0" w:color="auto"/>
                        <w:left w:val="none" w:sz="0" w:space="0" w:color="auto"/>
                        <w:bottom w:val="none" w:sz="0" w:space="0" w:color="auto"/>
                        <w:right w:val="none" w:sz="0" w:space="0" w:color="auto"/>
                      </w:divBdr>
                    </w:div>
                  </w:divsChild>
                </w:div>
                <w:div w:id="597714869">
                  <w:marLeft w:val="0"/>
                  <w:marRight w:val="0"/>
                  <w:marTop w:val="0"/>
                  <w:marBottom w:val="0"/>
                  <w:divBdr>
                    <w:top w:val="none" w:sz="0" w:space="0" w:color="auto"/>
                    <w:left w:val="none" w:sz="0" w:space="0" w:color="auto"/>
                    <w:bottom w:val="none" w:sz="0" w:space="0" w:color="auto"/>
                    <w:right w:val="none" w:sz="0" w:space="0" w:color="auto"/>
                  </w:divBdr>
                  <w:divsChild>
                    <w:div w:id="1908344239">
                      <w:marLeft w:val="0"/>
                      <w:marRight w:val="0"/>
                      <w:marTop w:val="0"/>
                      <w:marBottom w:val="0"/>
                      <w:divBdr>
                        <w:top w:val="none" w:sz="0" w:space="0" w:color="auto"/>
                        <w:left w:val="none" w:sz="0" w:space="0" w:color="auto"/>
                        <w:bottom w:val="none" w:sz="0" w:space="0" w:color="auto"/>
                        <w:right w:val="none" w:sz="0" w:space="0" w:color="auto"/>
                      </w:divBdr>
                    </w:div>
                  </w:divsChild>
                </w:div>
                <w:div w:id="984168461">
                  <w:marLeft w:val="0"/>
                  <w:marRight w:val="0"/>
                  <w:marTop w:val="0"/>
                  <w:marBottom w:val="0"/>
                  <w:divBdr>
                    <w:top w:val="none" w:sz="0" w:space="0" w:color="auto"/>
                    <w:left w:val="none" w:sz="0" w:space="0" w:color="auto"/>
                    <w:bottom w:val="none" w:sz="0" w:space="0" w:color="auto"/>
                    <w:right w:val="none" w:sz="0" w:space="0" w:color="auto"/>
                  </w:divBdr>
                  <w:divsChild>
                    <w:div w:id="849029488">
                      <w:marLeft w:val="0"/>
                      <w:marRight w:val="0"/>
                      <w:marTop w:val="0"/>
                      <w:marBottom w:val="0"/>
                      <w:divBdr>
                        <w:top w:val="none" w:sz="0" w:space="0" w:color="auto"/>
                        <w:left w:val="none" w:sz="0" w:space="0" w:color="auto"/>
                        <w:bottom w:val="none" w:sz="0" w:space="0" w:color="auto"/>
                        <w:right w:val="none" w:sz="0" w:space="0" w:color="auto"/>
                      </w:divBdr>
                    </w:div>
                  </w:divsChild>
                </w:div>
                <w:div w:id="444232392">
                  <w:marLeft w:val="0"/>
                  <w:marRight w:val="0"/>
                  <w:marTop w:val="0"/>
                  <w:marBottom w:val="0"/>
                  <w:divBdr>
                    <w:top w:val="none" w:sz="0" w:space="0" w:color="auto"/>
                    <w:left w:val="none" w:sz="0" w:space="0" w:color="auto"/>
                    <w:bottom w:val="none" w:sz="0" w:space="0" w:color="auto"/>
                    <w:right w:val="none" w:sz="0" w:space="0" w:color="auto"/>
                  </w:divBdr>
                  <w:divsChild>
                    <w:div w:id="1931506790">
                      <w:marLeft w:val="0"/>
                      <w:marRight w:val="0"/>
                      <w:marTop w:val="0"/>
                      <w:marBottom w:val="0"/>
                      <w:divBdr>
                        <w:top w:val="none" w:sz="0" w:space="0" w:color="auto"/>
                        <w:left w:val="none" w:sz="0" w:space="0" w:color="auto"/>
                        <w:bottom w:val="none" w:sz="0" w:space="0" w:color="auto"/>
                        <w:right w:val="none" w:sz="0" w:space="0" w:color="auto"/>
                      </w:divBdr>
                    </w:div>
                  </w:divsChild>
                </w:div>
                <w:div w:id="1837920365">
                  <w:marLeft w:val="0"/>
                  <w:marRight w:val="0"/>
                  <w:marTop w:val="0"/>
                  <w:marBottom w:val="0"/>
                  <w:divBdr>
                    <w:top w:val="none" w:sz="0" w:space="0" w:color="auto"/>
                    <w:left w:val="none" w:sz="0" w:space="0" w:color="auto"/>
                    <w:bottom w:val="none" w:sz="0" w:space="0" w:color="auto"/>
                    <w:right w:val="none" w:sz="0" w:space="0" w:color="auto"/>
                  </w:divBdr>
                  <w:divsChild>
                    <w:div w:id="2066485345">
                      <w:marLeft w:val="0"/>
                      <w:marRight w:val="0"/>
                      <w:marTop w:val="0"/>
                      <w:marBottom w:val="0"/>
                      <w:divBdr>
                        <w:top w:val="none" w:sz="0" w:space="0" w:color="auto"/>
                        <w:left w:val="none" w:sz="0" w:space="0" w:color="auto"/>
                        <w:bottom w:val="none" w:sz="0" w:space="0" w:color="auto"/>
                        <w:right w:val="none" w:sz="0" w:space="0" w:color="auto"/>
                      </w:divBdr>
                    </w:div>
                  </w:divsChild>
                </w:div>
                <w:div w:id="1061058777">
                  <w:marLeft w:val="0"/>
                  <w:marRight w:val="0"/>
                  <w:marTop w:val="0"/>
                  <w:marBottom w:val="0"/>
                  <w:divBdr>
                    <w:top w:val="none" w:sz="0" w:space="0" w:color="auto"/>
                    <w:left w:val="none" w:sz="0" w:space="0" w:color="auto"/>
                    <w:bottom w:val="none" w:sz="0" w:space="0" w:color="auto"/>
                    <w:right w:val="none" w:sz="0" w:space="0" w:color="auto"/>
                  </w:divBdr>
                  <w:divsChild>
                    <w:div w:id="697779473">
                      <w:marLeft w:val="0"/>
                      <w:marRight w:val="0"/>
                      <w:marTop w:val="0"/>
                      <w:marBottom w:val="0"/>
                      <w:divBdr>
                        <w:top w:val="none" w:sz="0" w:space="0" w:color="auto"/>
                        <w:left w:val="none" w:sz="0" w:space="0" w:color="auto"/>
                        <w:bottom w:val="none" w:sz="0" w:space="0" w:color="auto"/>
                        <w:right w:val="none" w:sz="0" w:space="0" w:color="auto"/>
                      </w:divBdr>
                    </w:div>
                  </w:divsChild>
                </w:div>
                <w:div w:id="1728258385">
                  <w:marLeft w:val="0"/>
                  <w:marRight w:val="0"/>
                  <w:marTop w:val="0"/>
                  <w:marBottom w:val="0"/>
                  <w:divBdr>
                    <w:top w:val="none" w:sz="0" w:space="0" w:color="auto"/>
                    <w:left w:val="none" w:sz="0" w:space="0" w:color="auto"/>
                    <w:bottom w:val="none" w:sz="0" w:space="0" w:color="auto"/>
                    <w:right w:val="none" w:sz="0" w:space="0" w:color="auto"/>
                  </w:divBdr>
                  <w:divsChild>
                    <w:div w:id="1374111301">
                      <w:marLeft w:val="0"/>
                      <w:marRight w:val="0"/>
                      <w:marTop w:val="0"/>
                      <w:marBottom w:val="0"/>
                      <w:divBdr>
                        <w:top w:val="none" w:sz="0" w:space="0" w:color="auto"/>
                        <w:left w:val="none" w:sz="0" w:space="0" w:color="auto"/>
                        <w:bottom w:val="none" w:sz="0" w:space="0" w:color="auto"/>
                        <w:right w:val="none" w:sz="0" w:space="0" w:color="auto"/>
                      </w:divBdr>
                    </w:div>
                  </w:divsChild>
                </w:div>
                <w:div w:id="909654719">
                  <w:marLeft w:val="0"/>
                  <w:marRight w:val="0"/>
                  <w:marTop w:val="0"/>
                  <w:marBottom w:val="0"/>
                  <w:divBdr>
                    <w:top w:val="none" w:sz="0" w:space="0" w:color="auto"/>
                    <w:left w:val="none" w:sz="0" w:space="0" w:color="auto"/>
                    <w:bottom w:val="none" w:sz="0" w:space="0" w:color="auto"/>
                    <w:right w:val="none" w:sz="0" w:space="0" w:color="auto"/>
                  </w:divBdr>
                  <w:divsChild>
                    <w:div w:id="1029070249">
                      <w:marLeft w:val="0"/>
                      <w:marRight w:val="0"/>
                      <w:marTop w:val="0"/>
                      <w:marBottom w:val="0"/>
                      <w:divBdr>
                        <w:top w:val="none" w:sz="0" w:space="0" w:color="auto"/>
                        <w:left w:val="none" w:sz="0" w:space="0" w:color="auto"/>
                        <w:bottom w:val="none" w:sz="0" w:space="0" w:color="auto"/>
                        <w:right w:val="none" w:sz="0" w:space="0" w:color="auto"/>
                      </w:divBdr>
                    </w:div>
                  </w:divsChild>
                </w:div>
                <w:div w:id="1684163738">
                  <w:marLeft w:val="0"/>
                  <w:marRight w:val="0"/>
                  <w:marTop w:val="0"/>
                  <w:marBottom w:val="0"/>
                  <w:divBdr>
                    <w:top w:val="none" w:sz="0" w:space="0" w:color="auto"/>
                    <w:left w:val="none" w:sz="0" w:space="0" w:color="auto"/>
                    <w:bottom w:val="none" w:sz="0" w:space="0" w:color="auto"/>
                    <w:right w:val="none" w:sz="0" w:space="0" w:color="auto"/>
                  </w:divBdr>
                  <w:divsChild>
                    <w:div w:id="1526823370">
                      <w:marLeft w:val="0"/>
                      <w:marRight w:val="0"/>
                      <w:marTop w:val="0"/>
                      <w:marBottom w:val="0"/>
                      <w:divBdr>
                        <w:top w:val="none" w:sz="0" w:space="0" w:color="auto"/>
                        <w:left w:val="none" w:sz="0" w:space="0" w:color="auto"/>
                        <w:bottom w:val="none" w:sz="0" w:space="0" w:color="auto"/>
                        <w:right w:val="none" w:sz="0" w:space="0" w:color="auto"/>
                      </w:divBdr>
                    </w:div>
                  </w:divsChild>
                </w:div>
                <w:div w:id="92365262">
                  <w:marLeft w:val="0"/>
                  <w:marRight w:val="0"/>
                  <w:marTop w:val="0"/>
                  <w:marBottom w:val="0"/>
                  <w:divBdr>
                    <w:top w:val="none" w:sz="0" w:space="0" w:color="auto"/>
                    <w:left w:val="none" w:sz="0" w:space="0" w:color="auto"/>
                    <w:bottom w:val="none" w:sz="0" w:space="0" w:color="auto"/>
                    <w:right w:val="none" w:sz="0" w:space="0" w:color="auto"/>
                  </w:divBdr>
                  <w:divsChild>
                    <w:div w:id="1121218811">
                      <w:marLeft w:val="0"/>
                      <w:marRight w:val="0"/>
                      <w:marTop w:val="0"/>
                      <w:marBottom w:val="0"/>
                      <w:divBdr>
                        <w:top w:val="none" w:sz="0" w:space="0" w:color="auto"/>
                        <w:left w:val="none" w:sz="0" w:space="0" w:color="auto"/>
                        <w:bottom w:val="none" w:sz="0" w:space="0" w:color="auto"/>
                        <w:right w:val="none" w:sz="0" w:space="0" w:color="auto"/>
                      </w:divBdr>
                    </w:div>
                  </w:divsChild>
                </w:div>
                <w:div w:id="1939021575">
                  <w:marLeft w:val="0"/>
                  <w:marRight w:val="0"/>
                  <w:marTop w:val="0"/>
                  <w:marBottom w:val="0"/>
                  <w:divBdr>
                    <w:top w:val="none" w:sz="0" w:space="0" w:color="auto"/>
                    <w:left w:val="none" w:sz="0" w:space="0" w:color="auto"/>
                    <w:bottom w:val="none" w:sz="0" w:space="0" w:color="auto"/>
                    <w:right w:val="none" w:sz="0" w:space="0" w:color="auto"/>
                  </w:divBdr>
                  <w:divsChild>
                    <w:div w:id="1001422283">
                      <w:marLeft w:val="0"/>
                      <w:marRight w:val="0"/>
                      <w:marTop w:val="0"/>
                      <w:marBottom w:val="0"/>
                      <w:divBdr>
                        <w:top w:val="none" w:sz="0" w:space="0" w:color="auto"/>
                        <w:left w:val="none" w:sz="0" w:space="0" w:color="auto"/>
                        <w:bottom w:val="none" w:sz="0" w:space="0" w:color="auto"/>
                        <w:right w:val="none" w:sz="0" w:space="0" w:color="auto"/>
                      </w:divBdr>
                    </w:div>
                  </w:divsChild>
                </w:div>
                <w:div w:id="1608542335">
                  <w:marLeft w:val="0"/>
                  <w:marRight w:val="0"/>
                  <w:marTop w:val="0"/>
                  <w:marBottom w:val="0"/>
                  <w:divBdr>
                    <w:top w:val="none" w:sz="0" w:space="0" w:color="auto"/>
                    <w:left w:val="none" w:sz="0" w:space="0" w:color="auto"/>
                    <w:bottom w:val="none" w:sz="0" w:space="0" w:color="auto"/>
                    <w:right w:val="none" w:sz="0" w:space="0" w:color="auto"/>
                  </w:divBdr>
                  <w:divsChild>
                    <w:div w:id="1492328226">
                      <w:marLeft w:val="0"/>
                      <w:marRight w:val="0"/>
                      <w:marTop w:val="0"/>
                      <w:marBottom w:val="0"/>
                      <w:divBdr>
                        <w:top w:val="none" w:sz="0" w:space="0" w:color="auto"/>
                        <w:left w:val="none" w:sz="0" w:space="0" w:color="auto"/>
                        <w:bottom w:val="none" w:sz="0" w:space="0" w:color="auto"/>
                        <w:right w:val="none" w:sz="0" w:space="0" w:color="auto"/>
                      </w:divBdr>
                    </w:div>
                  </w:divsChild>
                </w:div>
                <w:div w:id="1808669970">
                  <w:marLeft w:val="0"/>
                  <w:marRight w:val="0"/>
                  <w:marTop w:val="0"/>
                  <w:marBottom w:val="0"/>
                  <w:divBdr>
                    <w:top w:val="none" w:sz="0" w:space="0" w:color="auto"/>
                    <w:left w:val="none" w:sz="0" w:space="0" w:color="auto"/>
                    <w:bottom w:val="none" w:sz="0" w:space="0" w:color="auto"/>
                    <w:right w:val="none" w:sz="0" w:space="0" w:color="auto"/>
                  </w:divBdr>
                  <w:divsChild>
                    <w:div w:id="43524548">
                      <w:marLeft w:val="0"/>
                      <w:marRight w:val="0"/>
                      <w:marTop w:val="0"/>
                      <w:marBottom w:val="0"/>
                      <w:divBdr>
                        <w:top w:val="none" w:sz="0" w:space="0" w:color="auto"/>
                        <w:left w:val="none" w:sz="0" w:space="0" w:color="auto"/>
                        <w:bottom w:val="none" w:sz="0" w:space="0" w:color="auto"/>
                        <w:right w:val="none" w:sz="0" w:space="0" w:color="auto"/>
                      </w:divBdr>
                    </w:div>
                  </w:divsChild>
                </w:div>
                <w:div w:id="1385328646">
                  <w:marLeft w:val="0"/>
                  <w:marRight w:val="0"/>
                  <w:marTop w:val="0"/>
                  <w:marBottom w:val="0"/>
                  <w:divBdr>
                    <w:top w:val="none" w:sz="0" w:space="0" w:color="auto"/>
                    <w:left w:val="none" w:sz="0" w:space="0" w:color="auto"/>
                    <w:bottom w:val="none" w:sz="0" w:space="0" w:color="auto"/>
                    <w:right w:val="none" w:sz="0" w:space="0" w:color="auto"/>
                  </w:divBdr>
                  <w:divsChild>
                    <w:div w:id="1309437268">
                      <w:marLeft w:val="0"/>
                      <w:marRight w:val="0"/>
                      <w:marTop w:val="0"/>
                      <w:marBottom w:val="0"/>
                      <w:divBdr>
                        <w:top w:val="none" w:sz="0" w:space="0" w:color="auto"/>
                        <w:left w:val="none" w:sz="0" w:space="0" w:color="auto"/>
                        <w:bottom w:val="none" w:sz="0" w:space="0" w:color="auto"/>
                        <w:right w:val="none" w:sz="0" w:space="0" w:color="auto"/>
                      </w:divBdr>
                    </w:div>
                  </w:divsChild>
                </w:div>
                <w:div w:id="369232037">
                  <w:marLeft w:val="0"/>
                  <w:marRight w:val="0"/>
                  <w:marTop w:val="0"/>
                  <w:marBottom w:val="0"/>
                  <w:divBdr>
                    <w:top w:val="none" w:sz="0" w:space="0" w:color="auto"/>
                    <w:left w:val="none" w:sz="0" w:space="0" w:color="auto"/>
                    <w:bottom w:val="none" w:sz="0" w:space="0" w:color="auto"/>
                    <w:right w:val="none" w:sz="0" w:space="0" w:color="auto"/>
                  </w:divBdr>
                  <w:divsChild>
                    <w:div w:id="769424747">
                      <w:marLeft w:val="0"/>
                      <w:marRight w:val="0"/>
                      <w:marTop w:val="0"/>
                      <w:marBottom w:val="0"/>
                      <w:divBdr>
                        <w:top w:val="none" w:sz="0" w:space="0" w:color="auto"/>
                        <w:left w:val="none" w:sz="0" w:space="0" w:color="auto"/>
                        <w:bottom w:val="none" w:sz="0" w:space="0" w:color="auto"/>
                        <w:right w:val="none" w:sz="0" w:space="0" w:color="auto"/>
                      </w:divBdr>
                    </w:div>
                  </w:divsChild>
                </w:div>
                <w:div w:id="2118524135">
                  <w:marLeft w:val="0"/>
                  <w:marRight w:val="0"/>
                  <w:marTop w:val="0"/>
                  <w:marBottom w:val="0"/>
                  <w:divBdr>
                    <w:top w:val="none" w:sz="0" w:space="0" w:color="auto"/>
                    <w:left w:val="none" w:sz="0" w:space="0" w:color="auto"/>
                    <w:bottom w:val="none" w:sz="0" w:space="0" w:color="auto"/>
                    <w:right w:val="none" w:sz="0" w:space="0" w:color="auto"/>
                  </w:divBdr>
                  <w:divsChild>
                    <w:div w:id="1026250514">
                      <w:marLeft w:val="0"/>
                      <w:marRight w:val="0"/>
                      <w:marTop w:val="0"/>
                      <w:marBottom w:val="0"/>
                      <w:divBdr>
                        <w:top w:val="none" w:sz="0" w:space="0" w:color="auto"/>
                        <w:left w:val="none" w:sz="0" w:space="0" w:color="auto"/>
                        <w:bottom w:val="none" w:sz="0" w:space="0" w:color="auto"/>
                        <w:right w:val="none" w:sz="0" w:space="0" w:color="auto"/>
                      </w:divBdr>
                    </w:div>
                  </w:divsChild>
                </w:div>
                <w:div w:id="776171368">
                  <w:marLeft w:val="0"/>
                  <w:marRight w:val="0"/>
                  <w:marTop w:val="0"/>
                  <w:marBottom w:val="0"/>
                  <w:divBdr>
                    <w:top w:val="none" w:sz="0" w:space="0" w:color="auto"/>
                    <w:left w:val="none" w:sz="0" w:space="0" w:color="auto"/>
                    <w:bottom w:val="none" w:sz="0" w:space="0" w:color="auto"/>
                    <w:right w:val="none" w:sz="0" w:space="0" w:color="auto"/>
                  </w:divBdr>
                  <w:divsChild>
                    <w:div w:id="1487697596">
                      <w:marLeft w:val="0"/>
                      <w:marRight w:val="0"/>
                      <w:marTop w:val="0"/>
                      <w:marBottom w:val="0"/>
                      <w:divBdr>
                        <w:top w:val="none" w:sz="0" w:space="0" w:color="auto"/>
                        <w:left w:val="none" w:sz="0" w:space="0" w:color="auto"/>
                        <w:bottom w:val="none" w:sz="0" w:space="0" w:color="auto"/>
                        <w:right w:val="none" w:sz="0" w:space="0" w:color="auto"/>
                      </w:divBdr>
                    </w:div>
                  </w:divsChild>
                </w:div>
                <w:div w:id="930624542">
                  <w:marLeft w:val="0"/>
                  <w:marRight w:val="0"/>
                  <w:marTop w:val="0"/>
                  <w:marBottom w:val="0"/>
                  <w:divBdr>
                    <w:top w:val="none" w:sz="0" w:space="0" w:color="auto"/>
                    <w:left w:val="none" w:sz="0" w:space="0" w:color="auto"/>
                    <w:bottom w:val="none" w:sz="0" w:space="0" w:color="auto"/>
                    <w:right w:val="none" w:sz="0" w:space="0" w:color="auto"/>
                  </w:divBdr>
                  <w:divsChild>
                    <w:div w:id="219563097">
                      <w:marLeft w:val="0"/>
                      <w:marRight w:val="0"/>
                      <w:marTop w:val="0"/>
                      <w:marBottom w:val="0"/>
                      <w:divBdr>
                        <w:top w:val="none" w:sz="0" w:space="0" w:color="auto"/>
                        <w:left w:val="none" w:sz="0" w:space="0" w:color="auto"/>
                        <w:bottom w:val="none" w:sz="0" w:space="0" w:color="auto"/>
                        <w:right w:val="none" w:sz="0" w:space="0" w:color="auto"/>
                      </w:divBdr>
                    </w:div>
                  </w:divsChild>
                </w:div>
                <w:div w:id="1500121706">
                  <w:marLeft w:val="0"/>
                  <w:marRight w:val="0"/>
                  <w:marTop w:val="0"/>
                  <w:marBottom w:val="0"/>
                  <w:divBdr>
                    <w:top w:val="none" w:sz="0" w:space="0" w:color="auto"/>
                    <w:left w:val="none" w:sz="0" w:space="0" w:color="auto"/>
                    <w:bottom w:val="none" w:sz="0" w:space="0" w:color="auto"/>
                    <w:right w:val="none" w:sz="0" w:space="0" w:color="auto"/>
                  </w:divBdr>
                  <w:divsChild>
                    <w:div w:id="2002731652">
                      <w:marLeft w:val="0"/>
                      <w:marRight w:val="0"/>
                      <w:marTop w:val="0"/>
                      <w:marBottom w:val="0"/>
                      <w:divBdr>
                        <w:top w:val="none" w:sz="0" w:space="0" w:color="auto"/>
                        <w:left w:val="none" w:sz="0" w:space="0" w:color="auto"/>
                        <w:bottom w:val="none" w:sz="0" w:space="0" w:color="auto"/>
                        <w:right w:val="none" w:sz="0" w:space="0" w:color="auto"/>
                      </w:divBdr>
                    </w:div>
                  </w:divsChild>
                </w:div>
                <w:div w:id="1495681791">
                  <w:marLeft w:val="0"/>
                  <w:marRight w:val="0"/>
                  <w:marTop w:val="0"/>
                  <w:marBottom w:val="0"/>
                  <w:divBdr>
                    <w:top w:val="none" w:sz="0" w:space="0" w:color="auto"/>
                    <w:left w:val="none" w:sz="0" w:space="0" w:color="auto"/>
                    <w:bottom w:val="none" w:sz="0" w:space="0" w:color="auto"/>
                    <w:right w:val="none" w:sz="0" w:space="0" w:color="auto"/>
                  </w:divBdr>
                  <w:divsChild>
                    <w:div w:id="394016017">
                      <w:marLeft w:val="0"/>
                      <w:marRight w:val="0"/>
                      <w:marTop w:val="0"/>
                      <w:marBottom w:val="0"/>
                      <w:divBdr>
                        <w:top w:val="none" w:sz="0" w:space="0" w:color="auto"/>
                        <w:left w:val="none" w:sz="0" w:space="0" w:color="auto"/>
                        <w:bottom w:val="none" w:sz="0" w:space="0" w:color="auto"/>
                        <w:right w:val="none" w:sz="0" w:space="0" w:color="auto"/>
                      </w:divBdr>
                    </w:div>
                  </w:divsChild>
                </w:div>
                <w:div w:id="179701934">
                  <w:marLeft w:val="0"/>
                  <w:marRight w:val="0"/>
                  <w:marTop w:val="0"/>
                  <w:marBottom w:val="0"/>
                  <w:divBdr>
                    <w:top w:val="none" w:sz="0" w:space="0" w:color="auto"/>
                    <w:left w:val="none" w:sz="0" w:space="0" w:color="auto"/>
                    <w:bottom w:val="none" w:sz="0" w:space="0" w:color="auto"/>
                    <w:right w:val="none" w:sz="0" w:space="0" w:color="auto"/>
                  </w:divBdr>
                  <w:divsChild>
                    <w:div w:id="933976007">
                      <w:marLeft w:val="0"/>
                      <w:marRight w:val="0"/>
                      <w:marTop w:val="0"/>
                      <w:marBottom w:val="0"/>
                      <w:divBdr>
                        <w:top w:val="none" w:sz="0" w:space="0" w:color="auto"/>
                        <w:left w:val="none" w:sz="0" w:space="0" w:color="auto"/>
                        <w:bottom w:val="none" w:sz="0" w:space="0" w:color="auto"/>
                        <w:right w:val="none" w:sz="0" w:space="0" w:color="auto"/>
                      </w:divBdr>
                    </w:div>
                  </w:divsChild>
                </w:div>
                <w:div w:id="1290938348">
                  <w:marLeft w:val="0"/>
                  <w:marRight w:val="0"/>
                  <w:marTop w:val="0"/>
                  <w:marBottom w:val="0"/>
                  <w:divBdr>
                    <w:top w:val="none" w:sz="0" w:space="0" w:color="auto"/>
                    <w:left w:val="none" w:sz="0" w:space="0" w:color="auto"/>
                    <w:bottom w:val="none" w:sz="0" w:space="0" w:color="auto"/>
                    <w:right w:val="none" w:sz="0" w:space="0" w:color="auto"/>
                  </w:divBdr>
                  <w:divsChild>
                    <w:div w:id="316688901">
                      <w:marLeft w:val="0"/>
                      <w:marRight w:val="0"/>
                      <w:marTop w:val="0"/>
                      <w:marBottom w:val="0"/>
                      <w:divBdr>
                        <w:top w:val="none" w:sz="0" w:space="0" w:color="auto"/>
                        <w:left w:val="none" w:sz="0" w:space="0" w:color="auto"/>
                        <w:bottom w:val="none" w:sz="0" w:space="0" w:color="auto"/>
                        <w:right w:val="none" w:sz="0" w:space="0" w:color="auto"/>
                      </w:divBdr>
                    </w:div>
                  </w:divsChild>
                </w:div>
                <w:div w:id="1077434162">
                  <w:marLeft w:val="0"/>
                  <w:marRight w:val="0"/>
                  <w:marTop w:val="0"/>
                  <w:marBottom w:val="0"/>
                  <w:divBdr>
                    <w:top w:val="none" w:sz="0" w:space="0" w:color="auto"/>
                    <w:left w:val="none" w:sz="0" w:space="0" w:color="auto"/>
                    <w:bottom w:val="none" w:sz="0" w:space="0" w:color="auto"/>
                    <w:right w:val="none" w:sz="0" w:space="0" w:color="auto"/>
                  </w:divBdr>
                  <w:divsChild>
                    <w:div w:id="210043962">
                      <w:marLeft w:val="0"/>
                      <w:marRight w:val="0"/>
                      <w:marTop w:val="0"/>
                      <w:marBottom w:val="0"/>
                      <w:divBdr>
                        <w:top w:val="none" w:sz="0" w:space="0" w:color="auto"/>
                        <w:left w:val="none" w:sz="0" w:space="0" w:color="auto"/>
                        <w:bottom w:val="none" w:sz="0" w:space="0" w:color="auto"/>
                        <w:right w:val="none" w:sz="0" w:space="0" w:color="auto"/>
                      </w:divBdr>
                    </w:div>
                  </w:divsChild>
                </w:div>
                <w:div w:id="1314867954">
                  <w:marLeft w:val="0"/>
                  <w:marRight w:val="0"/>
                  <w:marTop w:val="0"/>
                  <w:marBottom w:val="0"/>
                  <w:divBdr>
                    <w:top w:val="none" w:sz="0" w:space="0" w:color="auto"/>
                    <w:left w:val="none" w:sz="0" w:space="0" w:color="auto"/>
                    <w:bottom w:val="none" w:sz="0" w:space="0" w:color="auto"/>
                    <w:right w:val="none" w:sz="0" w:space="0" w:color="auto"/>
                  </w:divBdr>
                  <w:divsChild>
                    <w:div w:id="806623996">
                      <w:marLeft w:val="0"/>
                      <w:marRight w:val="0"/>
                      <w:marTop w:val="0"/>
                      <w:marBottom w:val="0"/>
                      <w:divBdr>
                        <w:top w:val="none" w:sz="0" w:space="0" w:color="auto"/>
                        <w:left w:val="none" w:sz="0" w:space="0" w:color="auto"/>
                        <w:bottom w:val="none" w:sz="0" w:space="0" w:color="auto"/>
                        <w:right w:val="none" w:sz="0" w:space="0" w:color="auto"/>
                      </w:divBdr>
                    </w:div>
                  </w:divsChild>
                </w:div>
                <w:div w:id="2072344730">
                  <w:marLeft w:val="0"/>
                  <w:marRight w:val="0"/>
                  <w:marTop w:val="0"/>
                  <w:marBottom w:val="0"/>
                  <w:divBdr>
                    <w:top w:val="none" w:sz="0" w:space="0" w:color="auto"/>
                    <w:left w:val="none" w:sz="0" w:space="0" w:color="auto"/>
                    <w:bottom w:val="none" w:sz="0" w:space="0" w:color="auto"/>
                    <w:right w:val="none" w:sz="0" w:space="0" w:color="auto"/>
                  </w:divBdr>
                  <w:divsChild>
                    <w:div w:id="1159540566">
                      <w:marLeft w:val="0"/>
                      <w:marRight w:val="0"/>
                      <w:marTop w:val="0"/>
                      <w:marBottom w:val="0"/>
                      <w:divBdr>
                        <w:top w:val="none" w:sz="0" w:space="0" w:color="auto"/>
                        <w:left w:val="none" w:sz="0" w:space="0" w:color="auto"/>
                        <w:bottom w:val="none" w:sz="0" w:space="0" w:color="auto"/>
                        <w:right w:val="none" w:sz="0" w:space="0" w:color="auto"/>
                      </w:divBdr>
                    </w:div>
                  </w:divsChild>
                </w:div>
                <w:div w:id="467018329">
                  <w:marLeft w:val="0"/>
                  <w:marRight w:val="0"/>
                  <w:marTop w:val="0"/>
                  <w:marBottom w:val="0"/>
                  <w:divBdr>
                    <w:top w:val="none" w:sz="0" w:space="0" w:color="auto"/>
                    <w:left w:val="none" w:sz="0" w:space="0" w:color="auto"/>
                    <w:bottom w:val="none" w:sz="0" w:space="0" w:color="auto"/>
                    <w:right w:val="none" w:sz="0" w:space="0" w:color="auto"/>
                  </w:divBdr>
                  <w:divsChild>
                    <w:div w:id="1783643127">
                      <w:marLeft w:val="0"/>
                      <w:marRight w:val="0"/>
                      <w:marTop w:val="0"/>
                      <w:marBottom w:val="0"/>
                      <w:divBdr>
                        <w:top w:val="none" w:sz="0" w:space="0" w:color="auto"/>
                        <w:left w:val="none" w:sz="0" w:space="0" w:color="auto"/>
                        <w:bottom w:val="none" w:sz="0" w:space="0" w:color="auto"/>
                        <w:right w:val="none" w:sz="0" w:space="0" w:color="auto"/>
                      </w:divBdr>
                    </w:div>
                  </w:divsChild>
                </w:div>
                <w:div w:id="79256330">
                  <w:marLeft w:val="0"/>
                  <w:marRight w:val="0"/>
                  <w:marTop w:val="0"/>
                  <w:marBottom w:val="0"/>
                  <w:divBdr>
                    <w:top w:val="none" w:sz="0" w:space="0" w:color="auto"/>
                    <w:left w:val="none" w:sz="0" w:space="0" w:color="auto"/>
                    <w:bottom w:val="none" w:sz="0" w:space="0" w:color="auto"/>
                    <w:right w:val="none" w:sz="0" w:space="0" w:color="auto"/>
                  </w:divBdr>
                  <w:divsChild>
                    <w:div w:id="1182360813">
                      <w:marLeft w:val="0"/>
                      <w:marRight w:val="0"/>
                      <w:marTop w:val="0"/>
                      <w:marBottom w:val="0"/>
                      <w:divBdr>
                        <w:top w:val="none" w:sz="0" w:space="0" w:color="auto"/>
                        <w:left w:val="none" w:sz="0" w:space="0" w:color="auto"/>
                        <w:bottom w:val="none" w:sz="0" w:space="0" w:color="auto"/>
                        <w:right w:val="none" w:sz="0" w:space="0" w:color="auto"/>
                      </w:divBdr>
                    </w:div>
                  </w:divsChild>
                </w:div>
                <w:div w:id="125634359">
                  <w:marLeft w:val="0"/>
                  <w:marRight w:val="0"/>
                  <w:marTop w:val="0"/>
                  <w:marBottom w:val="0"/>
                  <w:divBdr>
                    <w:top w:val="none" w:sz="0" w:space="0" w:color="auto"/>
                    <w:left w:val="none" w:sz="0" w:space="0" w:color="auto"/>
                    <w:bottom w:val="none" w:sz="0" w:space="0" w:color="auto"/>
                    <w:right w:val="none" w:sz="0" w:space="0" w:color="auto"/>
                  </w:divBdr>
                  <w:divsChild>
                    <w:div w:id="789394773">
                      <w:marLeft w:val="0"/>
                      <w:marRight w:val="0"/>
                      <w:marTop w:val="0"/>
                      <w:marBottom w:val="0"/>
                      <w:divBdr>
                        <w:top w:val="none" w:sz="0" w:space="0" w:color="auto"/>
                        <w:left w:val="none" w:sz="0" w:space="0" w:color="auto"/>
                        <w:bottom w:val="none" w:sz="0" w:space="0" w:color="auto"/>
                        <w:right w:val="none" w:sz="0" w:space="0" w:color="auto"/>
                      </w:divBdr>
                    </w:div>
                  </w:divsChild>
                </w:div>
                <w:div w:id="254749945">
                  <w:marLeft w:val="0"/>
                  <w:marRight w:val="0"/>
                  <w:marTop w:val="0"/>
                  <w:marBottom w:val="0"/>
                  <w:divBdr>
                    <w:top w:val="none" w:sz="0" w:space="0" w:color="auto"/>
                    <w:left w:val="none" w:sz="0" w:space="0" w:color="auto"/>
                    <w:bottom w:val="none" w:sz="0" w:space="0" w:color="auto"/>
                    <w:right w:val="none" w:sz="0" w:space="0" w:color="auto"/>
                  </w:divBdr>
                  <w:divsChild>
                    <w:div w:id="1426220860">
                      <w:marLeft w:val="0"/>
                      <w:marRight w:val="0"/>
                      <w:marTop w:val="0"/>
                      <w:marBottom w:val="0"/>
                      <w:divBdr>
                        <w:top w:val="none" w:sz="0" w:space="0" w:color="auto"/>
                        <w:left w:val="none" w:sz="0" w:space="0" w:color="auto"/>
                        <w:bottom w:val="none" w:sz="0" w:space="0" w:color="auto"/>
                        <w:right w:val="none" w:sz="0" w:space="0" w:color="auto"/>
                      </w:divBdr>
                    </w:div>
                  </w:divsChild>
                </w:div>
                <w:div w:id="1023894925">
                  <w:marLeft w:val="0"/>
                  <w:marRight w:val="0"/>
                  <w:marTop w:val="0"/>
                  <w:marBottom w:val="0"/>
                  <w:divBdr>
                    <w:top w:val="none" w:sz="0" w:space="0" w:color="auto"/>
                    <w:left w:val="none" w:sz="0" w:space="0" w:color="auto"/>
                    <w:bottom w:val="none" w:sz="0" w:space="0" w:color="auto"/>
                    <w:right w:val="none" w:sz="0" w:space="0" w:color="auto"/>
                  </w:divBdr>
                  <w:divsChild>
                    <w:div w:id="1418943846">
                      <w:marLeft w:val="0"/>
                      <w:marRight w:val="0"/>
                      <w:marTop w:val="0"/>
                      <w:marBottom w:val="0"/>
                      <w:divBdr>
                        <w:top w:val="none" w:sz="0" w:space="0" w:color="auto"/>
                        <w:left w:val="none" w:sz="0" w:space="0" w:color="auto"/>
                        <w:bottom w:val="none" w:sz="0" w:space="0" w:color="auto"/>
                        <w:right w:val="none" w:sz="0" w:space="0" w:color="auto"/>
                      </w:divBdr>
                    </w:div>
                  </w:divsChild>
                </w:div>
                <w:div w:id="541208177">
                  <w:marLeft w:val="0"/>
                  <w:marRight w:val="0"/>
                  <w:marTop w:val="0"/>
                  <w:marBottom w:val="0"/>
                  <w:divBdr>
                    <w:top w:val="none" w:sz="0" w:space="0" w:color="auto"/>
                    <w:left w:val="none" w:sz="0" w:space="0" w:color="auto"/>
                    <w:bottom w:val="none" w:sz="0" w:space="0" w:color="auto"/>
                    <w:right w:val="none" w:sz="0" w:space="0" w:color="auto"/>
                  </w:divBdr>
                  <w:divsChild>
                    <w:div w:id="96414210">
                      <w:marLeft w:val="0"/>
                      <w:marRight w:val="0"/>
                      <w:marTop w:val="0"/>
                      <w:marBottom w:val="0"/>
                      <w:divBdr>
                        <w:top w:val="none" w:sz="0" w:space="0" w:color="auto"/>
                        <w:left w:val="none" w:sz="0" w:space="0" w:color="auto"/>
                        <w:bottom w:val="none" w:sz="0" w:space="0" w:color="auto"/>
                        <w:right w:val="none" w:sz="0" w:space="0" w:color="auto"/>
                      </w:divBdr>
                    </w:div>
                  </w:divsChild>
                </w:div>
                <w:div w:id="74324160">
                  <w:marLeft w:val="0"/>
                  <w:marRight w:val="0"/>
                  <w:marTop w:val="0"/>
                  <w:marBottom w:val="0"/>
                  <w:divBdr>
                    <w:top w:val="none" w:sz="0" w:space="0" w:color="auto"/>
                    <w:left w:val="none" w:sz="0" w:space="0" w:color="auto"/>
                    <w:bottom w:val="none" w:sz="0" w:space="0" w:color="auto"/>
                    <w:right w:val="none" w:sz="0" w:space="0" w:color="auto"/>
                  </w:divBdr>
                  <w:divsChild>
                    <w:div w:id="943461601">
                      <w:marLeft w:val="0"/>
                      <w:marRight w:val="0"/>
                      <w:marTop w:val="0"/>
                      <w:marBottom w:val="0"/>
                      <w:divBdr>
                        <w:top w:val="none" w:sz="0" w:space="0" w:color="auto"/>
                        <w:left w:val="none" w:sz="0" w:space="0" w:color="auto"/>
                        <w:bottom w:val="none" w:sz="0" w:space="0" w:color="auto"/>
                        <w:right w:val="none" w:sz="0" w:space="0" w:color="auto"/>
                      </w:divBdr>
                    </w:div>
                  </w:divsChild>
                </w:div>
                <w:div w:id="1882592680">
                  <w:marLeft w:val="0"/>
                  <w:marRight w:val="0"/>
                  <w:marTop w:val="0"/>
                  <w:marBottom w:val="0"/>
                  <w:divBdr>
                    <w:top w:val="none" w:sz="0" w:space="0" w:color="auto"/>
                    <w:left w:val="none" w:sz="0" w:space="0" w:color="auto"/>
                    <w:bottom w:val="none" w:sz="0" w:space="0" w:color="auto"/>
                    <w:right w:val="none" w:sz="0" w:space="0" w:color="auto"/>
                  </w:divBdr>
                  <w:divsChild>
                    <w:div w:id="2111586068">
                      <w:marLeft w:val="0"/>
                      <w:marRight w:val="0"/>
                      <w:marTop w:val="0"/>
                      <w:marBottom w:val="0"/>
                      <w:divBdr>
                        <w:top w:val="none" w:sz="0" w:space="0" w:color="auto"/>
                        <w:left w:val="none" w:sz="0" w:space="0" w:color="auto"/>
                        <w:bottom w:val="none" w:sz="0" w:space="0" w:color="auto"/>
                        <w:right w:val="none" w:sz="0" w:space="0" w:color="auto"/>
                      </w:divBdr>
                    </w:div>
                  </w:divsChild>
                </w:div>
                <w:div w:id="1098791589">
                  <w:marLeft w:val="0"/>
                  <w:marRight w:val="0"/>
                  <w:marTop w:val="0"/>
                  <w:marBottom w:val="0"/>
                  <w:divBdr>
                    <w:top w:val="none" w:sz="0" w:space="0" w:color="auto"/>
                    <w:left w:val="none" w:sz="0" w:space="0" w:color="auto"/>
                    <w:bottom w:val="none" w:sz="0" w:space="0" w:color="auto"/>
                    <w:right w:val="none" w:sz="0" w:space="0" w:color="auto"/>
                  </w:divBdr>
                  <w:divsChild>
                    <w:div w:id="1462532423">
                      <w:marLeft w:val="0"/>
                      <w:marRight w:val="0"/>
                      <w:marTop w:val="0"/>
                      <w:marBottom w:val="0"/>
                      <w:divBdr>
                        <w:top w:val="none" w:sz="0" w:space="0" w:color="auto"/>
                        <w:left w:val="none" w:sz="0" w:space="0" w:color="auto"/>
                        <w:bottom w:val="none" w:sz="0" w:space="0" w:color="auto"/>
                        <w:right w:val="none" w:sz="0" w:space="0" w:color="auto"/>
                      </w:divBdr>
                    </w:div>
                  </w:divsChild>
                </w:div>
                <w:div w:id="1301575784">
                  <w:marLeft w:val="0"/>
                  <w:marRight w:val="0"/>
                  <w:marTop w:val="0"/>
                  <w:marBottom w:val="0"/>
                  <w:divBdr>
                    <w:top w:val="none" w:sz="0" w:space="0" w:color="auto"/>
                    <w:left w:val="none" w:sz="0" w:space="0" w:color="auto"/>
                    <w:bottom w:val="none" w:sz="0" w:space="0" w:color="auto"/>
                    <w:right w:val="none" w:sz="0" w:space="0" w:color="auto"/>
                  </w:divBdr>
                  <w:divsChild>
                    <w:div w:id="1894465519">
                      <w:marLeft w:val="0"/>
                      <w:marRight w:val="0"/>
                      <w:marTop w:val="0"/>
                      <w:marBottom w:val="0"/>
                      <w:divBdr>
                        <w:top w:val="none" w:sz="0" w:space="0" w:color="auto"/>
                        <w:left w:val="none" w:sz="0" w:space="0" w:color="auto"/>
                        <w:bottom w:val="none" w:sz="0" w:space="0" w:color="auto"/>
                        <w:right w:val="none" w:sz="0" w:space="0" w:color="auto"/>
                      </w:divBdr>
                    </w:div>
                  </w:divsChild>
                </w:div>
                <w:div w:id="714893158">
                  <w:marLeft w:val="0"/>
                  <w:marRight w:val="0"/>
                  <w:marTop w:val="0"/>
                  <w:marBottom w:val="0"/>
                  <w:divBdr>
                    <w:top w:val="none" w:sz="0" w:space="0" w:color="auto"/>
                    <w:left w:val="none" w:sz="0" w:space="0" w:color="auto"/>
                    <w:bottom w:val="none" w:sz="0" w:space="0" w:color="auto"/>
                    <w:right w:val="none" w:sz="0" w:space="0" w:color="auto"/>
                  </w:divBdr>
                  <w:divsChild>
                    <w:div w:id="1664091978">
                      <w:marLeft w:val="0"/>
                      <w:marRight w:val="0"/>
                      <w:marTop w:val="0"/>
                      <w:marBottom w:val="0"/>
                      <w:divBdr>
                        <w:top w:val="none" w:sz="0" w:space="0" w:color="auto"/>
                        <w:left w:val="none" w:sz="0" w:space="0" w:color="auto"/>
                        <w:bottom w:val="none" w:sz="0" w:space="0" w:color="auto"/>
                        <w:right w:val="none" w:sz="0" w:space="0" w:color="auto"/>
                      </w:divBdr>
                    </w:div>
                  </w:divsChild>
                </w:div>
                <w:div w:id="241573660">
                  <w:marLeft w:val="0"/>
                  <w:marRight w:val="0"/>
                  <w:marTop w:val="0"/>
                  <w:marBottom w:val="0"/>
                  <w:divBdr>
                    <w:top w:val="none" w:sz="0" w:space="0" w:color="auto"/>
                    <w:left w:val="none" w:sz="0" w:space="0" w:color="auto"/>
                    <w:bottom w:val="none" w:sz="0" w:space="0" w:color="auto"/>
                    <w:right w:val="none" w:sz="0" w:space="0" w:color="auto"/>
                  </w:divBdr>
                  <w:divsChild>
                    <w:div w:id="1814174722">
                      <w:marLeft w:val="0"/>
                      <w:marRight w:val="0"/>
                      <w:marTop w:val="0"/>
                      <w:marBottom w:val="0"/>
                      <w:divBdr>
                        <w:top w:val="none" w:sz="0" w:space="0" w:color="auto"/>
                        <w:left w:val="none" w:sz="0" w:space="0" w:color="auto"/>
                        <w:bottom w:val="none" w:sz="0" w:space="0" w:color="auto"/>
                        <w:right w:val="none" w:sz="0" w:space="0" w:color="auto"/>
                      </w:divBdr>
                    </w:div>
                  </w:divsChild>
                </w:div>
                <w:div w:id="1202325482">
                  <w:marLeft w:val="0"/>
                  <w:marRight w:val="0"/>
                  <w:marTop w:val="0"/>
                  <w:marBottom w:val="0"/>
                  <w:divBdr>
                    <w:top w:val="none" w:sz="0" w:space="0" w:color="auto"/>
                    <w:left w:val="none" w:sz="0" w:space="0" w:color="auto"/>
                    <w:bottom w:val="none" w:sz="0" w:space="0" w:color="auto"/>
                    <w:right w:val="none" w:sz="0" w:space="0" w:color="auto"/>
                  </w:divBdr>
                  <w:divsChild>
                    <w:div w:id="2029333128">
                      <w:marLeft w:val="0"/>
                      <w:marRight w:val="0"/>
                      <w:marTop w:val="0"/>
                      <w:marBottom w:val="0"/>
                      <w:divBdr>
                        <w:top w:val="none" w:sz="0" w:space="0" w:color="auto"/>
                        <w:left w:val="none" w:sz="0" w:space="0" w:color="auto"/>
                        <w:bottom w:val="none" w:sz="0" w:space="0" w:color="auto"/>
                        <w:right w:val="none" w:sz="0" w:space="0" w:color="auto"/>
                      </w:divBdr>
                    </w:div>
                  </w:divsChild>
                </w:div>
                <w:div w:id="1799302723">
                  <w:marLeft w:val="0"/>
                  <w:marRight w:val="0"/>
                  <w:marTop w:val="0"/>
                  <w:marBottom w:val="0"/>
                  <w:divBdr>
                    <w:top w:val="none" w:sz="0" w:space="0" w:color="auto"/>
                    <w:left w:val="none" w:sz="0" w:space="0" w:color="auto"/>
                    <w:bottom w:val="none" w:sz="0" w:space="0" w:color="auto"/>
                    <w:right w:val="none" w:sz="0" w:space="0" w:color="auto"/>
                  </w:divBdr>
                  <w:divsChild>
                    <w:div w:id="690422080">
                      <w:marLeft w:val="0"/>
                      <w:marRight w:val="0"/>
                      <w:marTop w:val="0"/>
                      <w:marBottom w:val="0"/>
                      <w:divBdr>
                        <w:top w:val="none" w:sz="0" w:space="0" w:color="auto"/>
                        <w:left w:val="none" w:sz="0" w:space="0" w:color="auto"/>
                        <w:bottom w:val="none" w:sz="0" w:space="0" w:color="auto"/>
                        <w:right w:val="none" w:sz="0" w:space="0" w:color="auto"/>
                      </w:divBdr>
                    </w:div>
                  </w:divsChild>
                </w:div>
                <w:div w:id="1125273528">
                  <w:marLeft w:val="0"/>
                  <w:marRight w:val="0"/>
                  <w:marTop w:val="0"/>
                  <w:marBottom w:val="0"/>
                  <w:divBdr>
                    <w:top w:val="none" w:sz="0" w:space="0" w:color="auto"/>
                    <w:left w:val="none" w:sz="0" w:space="0" w:color="auto"/>
                    <w:bottom w:val="none" w:sz="0" w:space="0" w:color="auto"/>
                    <w:right w:val="none" w:sz="0" w:space="0" w:color="auto"/>
                  </w:divBdr>
                  <w:divsChild>
                    <w:div w:id="1546525309">
                      <w:marLeft w:val="0"/>
                      <w:marRight w:val="0"/>
                      <w:marTop w:val="0"/>
                      <w:marBottom w:val="0"/>
                      <w:divBdr>
                        <w:top w:val="none" w:sz="0" w:space="0" w:color="auto"/>
                        <w:left w:val="none" w:sz="0" w:space="0" w:color="auto"/>
                        <w:bottom w:val="none" w:sz="0" w:space="0" w:color="auto"/>
                        <w:right w:val="none" w:sz="0" w:space="0" w:color="auto"/>
                      </w:divBdr>
                    </w:div>
                  </w:divsChild>
                </w:div>
                <w:div w:id="1923444116">
                  <w:marLeft w:val="0"/>
                  <w:marRight w:val="0"/>
                  <w:marTop w:val="0"/>
                  <w:marBottom w:val="0"/>
                  <w:divBdr>
                    <w:top w:val="none" w:sz="0" w:space="0" w:color="auto"/>
                    <w:left w:val="none" w:sz="0" w:space="0" w:color="auto"/>
                    <w:bottom w:val="none" w:sz="0" w:space="0" w:color="auto"/>
                    <w:right w:val="none" w:sz="0" w:space="0" w:color="auto"/>
                  </w:divBdr>
                  <w:divsChild>
                    <w:div w:id="1816028467">
                      <w:marLeft w:val="0"/>
                      <w:marRight w:val="0"/>
                      <w:marTop w:val="0"/>
                      <w:marBottom w:val="0"/>
                      <w:divBdr>
                        <w:top w:val="none" w:sz="0" w:space="0" w:color="auto"/>
                        <w:left w:val="none" w:sz="0" w:space="0" w:color="auto"/>
                        <w:bottom w:val="none" w:sz="0" w:space="0" w:color="auto"/>
                        <w:right w:val="none" w:sz="0" w:space="0" w:color="auto"/>
                      </w:divBdr>
                    </w:div>
                  </w:divsChild>
                </w:div>
                <w:div w:id="276299994">
                  <w:marLeft w:val="0"/>
                  <w:marRight w:val="0"/>
                  <w:marTop w:val="0"/>
                  <w:marBottom w:val="0"/>
                  <w:divBdr>
                    <w:top w:val="none" w:sz="0" w:space="0" w:color="auto"/>
                    <w:left w:val="none" w:sz="0" w:space="0" w:color="auto"/>
                    <w:bottom w:val="none" w:sz="0" w:space="0" w:color="auto"/>
                    <w:right w:val="none" w:sz="0" w:space="0" w:color="auto"/>
                  </w:divBdr>
                  <w:divsChild>
                    <w:div w:id="1940523629">
                      <w:marLeft w:val="0"/>
                      <w:marRight w:val="0"/>
                      <w:marTop w:val="0"/>
                      <w:marBottom w:val="0"/>
                      <w:divBdr>
                        <w:top w:val="none" w:sz="0" w:space="0" w:color="auto"/>
                        <w:left w:val="none" w:sz="0" w:space="0" w:color="auto"/>
                        <w:bottom w:val="none" w:sz="0" w:space="0" w:color="auto"/>
                        <w:right w:val="none" w:sz="0" w:space="0" w:color="auto"/>
                      </w:divBdr>
                    </w:div>
                  </w:divsChild>
                </w:div>
                <w:div w:id="1483740343">
                  <w:marLeft w:val="0"/>
                  <w:marRight w:val="0"/>
                  <w:marTop w:val="0"/>
                  <w:marBottom w:val="0"/>
                  <w:divBdr>
                    <w:top w:val="none" w:sz="0" w:space="0" w:color="auto"/>
                    <w:left w:val="none" w:sz="0" w:space="0" w:color="auto"/>
                    <w:bottom w:val="none" w:sz="0" w:space="0" w:color="auto"/>
                    <w:right w:val="none" w:sz="0" w:space="0" w:color="auto"/>
                  </w:divBdr>
                  <w:divsChild>
                    <w:div w:id="560213755">
                      <w:marLeft w:val="0"/>
                      <w:marRight w:val="0"/>
                      <w:marTop w:val="0"/>
                      <w:marBottom w:val="0"/>
                      <w:divBdr>
                        <w:top w:val="none" w:sz="0" w:space="0" w:color="auto"/>
                        <w:left w:val="none" w:sz="0" w:space="0" w:color="auto"/>
                        <w:bottom w:val="none" w:sz="0" w:space="0" w:color="auto"/>
                        <w:right w:val="none" w:sz="0" w:space="0" w:color="auto"/>
                      </w:divBdr>
                    </w:div>
                  </w:divsChild>
                </w:div>
                <w:div w:id="1524006858">
                  <w:marLeft w:val="0"/>
                  <w:marRight w:val="0"/>
                  <w:marTop w:val="0"/>
                  <w:marBottom w:val="0"/>
                  <w:divBdr>
                    <w:top w:val="none" w:sz="0" w:space="0" w:color="auto"/>
                    <w:left w:val="none" w:sz="0" w:space="0" w:color="auto"/>
                    <w:bottom w:val="none" w:sz="0" w:space="0" w:color="auto"/>
                    <w:right w:val="none" w:sz="0" w:space="0" w:color="auto"/>
                  </w:divBdr>
                  <w:divsChild>
                    <w:div w:id="891233638">
                      <w:marLeft w:val="0"/>
                      <w:marRight w:val="0"/>
                      <w:marTop w:val="0"/>
                      <w:marBottom w:val="0"/>
                      <w:divBdr>
                        <w:top w:val="none" w:sz="0" w:space="0" w:color="auto"/>
                        <w:left w:val="none" w:sz="0" w:space="0" w:color="auto"/>
                        <w:bottom w:val="none" w:sz="0" w:space="0" w:color="auto"/>
                        <w:right w:val="none" w:sz="0" w:space="0" w:color="auto"/>
                      </w:divBdr>
                    </w:div>
                  </w:divsChild>
                </w:div>
                <w:div w:id="1586065122">
                  <w:marLeft w:val="0"/>
                  <w:marRight w:val="0"/>
                  <w:marTop w:val="0"/>
                  <w:marBottom w:val="0"/>
                  <w:divBdr>
                    <w:top w:val="none" w:sz="0" w:space="0" w:color="auto"/>
                    <w:left w:val="none" w:sz="0" w:space="0" w:color="auto"/>
                    <w:bottom w:val="none" w:sz="0" w:space="0" w:color="auto"/>
                    <w:right w:val="none" w:sz="0" w:space="0" w:color="auto"/>
                  </w:divBdr>
                  <w:divsChild>
                    <w:div w:id="6806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812017">
          <w:marLeft w:val="0"/>
          <w:marRight w:val="0"/>
          <w:marTop w:val="0"/>
          <w:marBottom w:val="0"/>
          <w:divBdr>
            <w:top w:val="none" w:sz="0" w:space="0" w:color="auto"/>
            <w:left w:val="none" w:sz="0" w:space="0" w:color="auto"/>
            <w:bottom w:val="none" w:sz="0" w:space="0" w:color="auto"/>
            <w:right w:val="none" w:sz="0" w:space="0" w:color="auto"/>
          </w:divBdr>
        </w:div>
      </w:divsChild>
    </w:div>
    <w:div w:id="213694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chart" Target="charts/chart17.xml"/><Relationship Id="rId21" Type="http://schemas.openxmlformats.org/officeDocument/2006/relationships/chart" Target="charts/chart5.xml"/><Relationship Id="rId34" Type="http://schemas.openxmlformats.org/officeDocument/2006/relationships/chart" Target="charts/chart13.xml"/><Relationship Id="rId42" Type="http://schemas.openxmlformats.org/officeDocument/2006/relationships/chart" Target="charts/chart2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4.xml"/><Relationship Id="rId29" Type="http://schemas.openxmlformats.org/officeDocument/2006/relationships/image" Target="media/image7.png"/><Relationship Id="rId41"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8.xml"/><Relationship Id="rId32" Type="http://schemas.openxmlformats.org/officeDocument/2006/relationships/image" Target="cid:image001.png@01DC62D2.E08A81A0" TargetMode="External"/><Relationship Id="rId37" Type="http://schemas.openxmlformats.org/officeDocument/2006/relationships/chart" Target="charts/chart15.xml"/><Relationship Id="rId40"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image" Target="media/image10.png"/><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image" Target="media/image8.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image" Target="cid:image001.png@01DC62B5.E7026A10" TargetMode="External"/><Relationship Id="rId35" Type="http://schemas.openxmlformats.org/officeDocument/2006/relationships/chart" Target="charts/chart14.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9.png"/><Relationship Id="rId38" Type="http://schemas.openxmlformats.org/officeDocument/2006/relationships/chart" Target="charts/chart16.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7.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1.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8.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9.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0.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1.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2.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3.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4.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pieChart>
        <c:varyColors val="1"/>
        <c:ser>
          <c:idx val="0"/>
          <c:order val="0"/>
          <c:tx>
            <c:strRef>
              <c:f>Hoja1!$B$1</c:f>
              <c:strCache>
                <c:ptCount val="1"/>
                <c:pt idx="0">
                  <c:v>Servidores públicos impactados</c:v>
                </c:pt>
              </c:strCache>
            </c:strRef>
          </c:tx>
          <c:dPt>
            <c:idx val="0"/>
            <c:bubble3D val="0"/>
            <c:spPr>
              <a:solidFill>
                <a:srgbClr val="436EBE"/>
              </a:solidFill>
              <a:ln w="19050">
                <a:solidFill>
                  <a:schemeClr val="lt1"/>
                </a:solidFill>
              </a:ln>
              <a:effectLst/>
            </c:spPr>
            <c:extLst>
              <c:ext xmlns:c16="http://schemas.microsoft.com/office/drawing/2014/chart" uri="{C3380CC4-5D6E-409C-BE32-E72D297353CC}">
                <c16:uniqueId val="{00000001-A88A-4D8C-BCD4-BAE69088E158}"/>
              </c:ext>
            </c:extLst>
          </c:dPt>
          <c:dPt>
            <c:idx val="1"/>
            <c:bubble3D val="0"/>
            <c:spPr>
              <a:solidFill>
                <a:srgbClr val="011C50"/>
              </a:solidFill>
              <a:ln w="19050">
                <a:solidFill>
                  <a:schemeClr val="lt1"/>
                </a:solidFill>
              </a:ln>
              <a:effectLst/>
            </c:spPr>
            <c:extLst>
              <c:ext xmlns:c16="http://schemas.microsoft.com/office/drawing/2014/chart" uri="{C3380CC4-5D6E-409C-BE32-E72D297353CC}">
                <c16:uniqueId val="{00000003-A88A-4D8C-BCD4-BAE69088E158}"/>
              </c:ext>
            </c:extLst>
          </c:dPt>
          <c:dPt>
            <c:idx val="2"/>
            <c:bubble3D val="0"/>
            <c:spPr>
              <a:solidFill>
                <a:schemeClr val="accent4">
                  <a:shade val="86000"/>
                </a:schemeClr>
              </a:solidFill>
              <a:ln w="19050">
                <a:solidFill>
                  <a:schemeClr val="lt1"/>
                </a:solidFill>
              </a:ln>
              <a:effectLst/>
            </c:spPr>
            <c:extLst>
              <c:ext xmlns:c16="http://schemas.microsoft.com/office/drawing/2014/chart" uri="{C3380CC4-5D6E-409C-BE32-E72D297353CC}">
                <c16:uniqueId val="{00000005-A88A-4D8C-BCD4-BAE69088E158}"/>
              </c:ext>
            </c:extLst>
          </c:dPt>
          <c:dPt>
            <c:idx val="3"/>
            <c:bubble3D val="0"/>
            <c:spPr>
              <a:solidFill>
                <a:schemeClr val="accent4">
                  <a:shade val="58000"/>
                </a:schemeClr>
              </a:solidFill>
              <a:ln w="19050">
                <a:solidFill>
                  <a:schemeClr val="lt1"/>
                </a:solidFill>
              </a:ln>
              <a:effectLst/>
            </c:spPr>
            <c:extLst>
              <c:ext xmlns:c16="http://schemas.microsoft.com/office/drawing/2014/chart" uri="{C3380CC4-5D6E-409C-BE32-E72D297353CC}">
                <c16:uniqueId val="{00000007-A88A-4D8C-BCD4-BAE69088E158}"/>
              </c:ext>
            </c:extLst>
          </c:dPt>
          <c:dLbls>
            <c:dLbl>
              <c:idx val="0"/>
              <c:layout>
                <c:manualLayout>
                  <c:x val="3.833954694759422E-2"/>
                  <c:y val="6.2895377128953767E-2"/>
                </c:manualLayout>
              </c:layout>
              <c:tx>
                <c:rich>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fld id="{BB5F5223-A03B-4617-BB78-652EE0A40893}" type="CATEGORYNAME">
                      <a:rPr lang="en-US" sz="1200" b="0">
                        <a:solidFill>
                          <a:srgbClr val="767171"/>
                        </a:solidFill>
                        <a:latin typeface="Times New Roman" panose="02020603050405020304" pitchFamily="18" charset="0"/>
                        <a:cs typeface="Times New Roman" panose="02020603050405020304" pitchFamily="18" charset="0"/>
                      </a:rPr>
                      <a:pPr>
                        <a:defRPr>
                          <a:solidFill>
                            <a:srgbClr val="767171"/>
                          </a:solidFill>
                          <a:latin typeface="Times New Roman" panose="02020603050405020304" pitchFamily="18" charset="0"/>
                          <a:cs typeface="Times New Roman" panose="02020603050405020304" pitchFamily="18" charset="0"/>
                        </a:defRPr>
                      </a:pPr>
                      <a:t>[NOMBRE DE CATEGORÍA]</a:t>
                    </a:fld>
                    <a:r>
                      <a:rPr lang="en-US" sz="1200" b="0" baseline="0">
                        <a:solidFill>
                          <a:srgbClr val="767171"/>
                        </a:solidFill>
                        <a:latin typeface="Times New Roman" panose="02020603050405020304" pitchFamily="18" charset="0"/>
                        <a:cs typeface="Times New Roman" panose="02020603050405020304" pitchFamily="18" charset="0"/>
                      </a:rPr>
                      <a:t>
39.83%</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88A-4D8C-BCD4-BAE69088E158}"/>
                </c:ext>
              </c:extLst>
            </c:dLbl>
            <c:dLbl>
              <c:idx val="1"/>
              <c:layout>
                <c:manualLayout>
                  <c:x val="-2.0412367412816046E-2"/>
                  <c:y val="-1.8797057302143913E-2"/>
                </c:manualLayout>
              </c:layout>
              <c:tx>
                <c:rich>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fld id="{49D74988-F3B5-4357-923F-063894CED691}" type="CATEGORYNAME">
                      <a:rPr lang="en-US" sz="1200" b="0">
                        <a:solidFill>
                          <a:srgbClr val="767171"/>
                        </a:solidFill>
                        <a:latin typeface="Times New Roman" panose="02020603050405020304" pitchFamily="18" charset="0"/>
                        <a:cs typeface="Times New Roman" panose="02020603050405020304" pitchFamily="18" charset="0"/>
                      </a:rPr>
                      <a:pPr>
                        <a:defRPr sz="1200">
                          <a:solidFill>
                            <a:srgbClr val="767171"/>
                          </a:solidFill>
                          <a:latin typeface="Times New Roman" panose="02020603050405020304" pitchFamily="18" charset="0"/>
                          <a:cs typeface="Times New Roman" panose="02020603050405020304" pitchFamily="18" charset="0"/>
                        </a:defRPr>
                      </a:pPr>
                      <a:t>[NOMBRE DE CATEGORÍA]</a:t>
                    </a:fld>
                    <a:r>
                      <a:rPr lang="en-US" sz="1200" b="0" baseline="0">
                        <a:solidFill>
                          <a:srgbClr val="767171"/>
                        </a:solidFill>
                        <a:latin typeface="Times New Roman" panose="02020603050405020304" pitchFamily="18" charset="0"/>
                        <a:cs typeface="Times New Roman" panose="02020603050405020304" pitchFamily="18" charset="0"/>
                      </a:rPr>
                      <a:t>
60.17%</a:t>
                    </a:r>
                  </a:p>
                </c:rich>
              </c:tx>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88A-4D8C-BCD4-BAE69088E1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mn-lt"/>
                    <a:ea typeface="+mn-ea"/>
                    <a:cs typeface="+mn-cs"/>
                  </a:defRPr>
                </a:pPr>
                <a:endParaRPr lang="es-MX"/>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2"/>
                <c:pt idx="0">
                  <c:v>Masculino</c:v>
                </c:pt>
                <c:pt idx="1">
                  <c:v>Femenino</c:v>
                </c:pt>
              </c:strCache>
            </c:strRef>
          </c:cat>
          <c:val>
            <c:numRef>
              <c:f>Hoja1!$B$2:$B$5</c:f>
              <c:numCache>
                <c:formatCode>General</c:formatCode>
                <c:ptCount val="4"/>
                <c:pt idx="0">
                  <c:v>39.83</c:v>
                </c:pt>
                <c:pt idx="1">
                  <c:v>60.17</c:v>
                </c:pt>
              </c:numCache>
            </c:numRef>
          </c:val>
          <c:extLst>
            <c:ext xmlns:c16="http://schemas.microsoft.com/office/drawing/2014/chart" uri="{C3380CC4-5D6E-409C-BE32-E72D297353CC}">
              <c16:uniqueId val="{00000008-A88A-4D8C-BCD4-BAE69088E158}"/>
            </c:ext>
          </c:extLst>
        </c:ser>
        <c:dLbls>
          <c:dLblPos val="inEnd"/>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933777508580663E-2"/>
          <c:y val="0.15572400040903975"/>
          <c:w val="0.30263678578639214"/>
          <c:h val="0.83441743695081605"/>
        </c:manualLayout>
      </c:layout>
      <c:pieChart>
        <c:varyColors val="1"/>
        <c:ser>
          <c:idx val="0"/>
          <c:order val="0"/>
          <c:spPr>
            <a:ln>
              <a:solidFill>
                <a:sysClr val="window" lastClr="FFFFFF"/>
              </a:solidFill>
            </a:ln>
          </c:spPr>
          <c:dPt>
            <c:idx val="0"/>
            <c:bubble3D val="0"/>
            <c:spPr>
              <a:solidFill>
                <a:schemeClr val="accent1"/>
              </a:solidFill>
              <a:ln w="19050">
                <a:solidFill>
                  <a:sysClr val="window" lastClr="FFFFFF"/>
                </a:solidFill>
              </a:ln>
              <a:effectLst/>
            </c:spPr>
            <c:extLst>
              <c:ext xmlns:c16="http://schemas.microsoft.com/office/drawing/2014/chart" uri="{C3380CC4-5D6E-409C-BE32-E72D297353CC}">
                <c16:uniqueId val="{00000001-058F-423A-B37A-3E269A501EC2}"/>
              </c:ext>
            </c:extLst>
          </c:dPt>
          <c:dPt>
            <c:idx val="1"/>
            <c:bubble3D val="0"/>
            <c:spPr>
              <a:solidFill>
                <a:schemeClr val="accent2"/>
              </a:solidFill>
              <a:ln w="19050">
                <a:solidFill>
                  <a:sysClr val="window" lastClr="FFFFFF"/>
                </a:solidFill>
              </a:ln>
              <a:effectLst/>
            </c:spPr>
            <c:extLst>
              <c:ext xmlns:c16="http://schemas.microsoft.com/office/drawing/2014/chart" uri="{C3380CC4-5D6E-409C-BE32-E72D297353CC}">
                <c16:uniqueId val="{00000003-058F-423A-B37A-3E269A501EC2}"/>
              </c:ext>
            </c:extLst>
          </c:dPt>
          <c:dPt>
            <c:idx val="2"/>
            <c:bubble3D val="0"/>
            <c:spPr>
              <a:solidFill>
                <a:srgbClr val="011C50"/>
              </a:solidFill>
              <a:ln w="19050">
                <a:solidFill>
                  <a:sysClr val="window" lastClr="FFFFFF"/>
                </a:solidFill>
              </a:ln>
              <a:effectLst/>
            </c:spPr>
            <c:extLst>
              <c:ext xmlns:c16="http://schemas.microsoft.com/office/drawing/2014/chart" uri="{C3380CC4-5D6E-409C-BE32-E72D297353CC}">
                <c16:uniqueId val="{00000005-058F-423A-B37A-3E269A501EC2}"/>
              </c:ext>
            </c:extLst>
          </c:dPt>
          <c:dPt>
            <c:idx val="3"/>
            <c:bubble3D val="0"/>
            <c:spPr>
              <a:solidFill>
                <a:srgbClr val="7D8589"/>
              </a:solidFill>
              <a:ln w="19050">
                <a:solidFill>
                  <a:sysClr val="window" lastClr="FFFFFF"/>
                </a:solidFill>
              </a:ln>
              <a:effectLst/>
            </c:spPr>
            <c:extLst>
              <c:ext xmlns:c16="http://schemas.microsoft.com/office/drawing/2014/chart" uri="{C3380CC4-5D6E-409C-BE32-E72D297353CC}">
                <c16:uniqueId val="{00000007-058F-423A-B37A-3E269A501EC2}"/>
              </c:ext>
            </c:extLst>
          </c:dPt>
          <c:dPt>
            <c:idx val="4"/>
            <c:bubble3D val="0"/>
            <c:spPr>
              <a:solidFill>
                <a:srgbClr val="00ADDD"/>
              </a:solidFill>
              <a:ln w="19050">
                <a:solidFill>
                  <a:sysClr val="window" lastClr="FFFFFF"/>
                </a:solidFill>
              </a:ln>
              <a:effectLst/>
            </c:spPr>
            <c:extLst>
              <c:ext xmlns:c16="http://schemas.microsoft.com/office/drawing/2014/chart" uri="{C3380CC4-5D6E-409C-BE32-E72D297353CC}">
                <c16:uniqueId val="{00000009-058F-423A-B37A-3E269A501EC2}"/>
              </c:ext>
            </c:extLst>
          </c:dPt>
          <c:dPt>
            <c:idx val="5"/>
            <c:bubble3D val="0"/>
            <c:spPr>
              <a:solidFill>
                <a:srgbClr val="EE2A2A"/>
              </a:solidFill>
              <a:ln w="19050">
                <a:solidFill>
                  <a:sysClr val="window" lastClr="FFFFFF"/>
                </a:solidFill>
              </a:ln>
              <a:effectLst/>
            </c:spPr>
            <c:extLst>
              <c:ext xmlns:c16="http://schemas.microsoft.com/office/drawing/2014/chart" uri="{C3380CC4-5D6E-409C-BE32-E72D297353CC}">
                <c16:uniqueId val="{0000000B-058F-423A-B37A-3E269A501EC2}"/>
              </c:ext>
            </c:extLst>
          </c:dPt>
          <c:dPt>
            <c:idx val="6"/>
            <c:bubble3D val="0"/>
            <c:spPr>
              <a:solidFill>
                <a:schemeClr val="accent1">
                  <a:lumMod val="60000"/>
                </a:schemeClr>
              </a:solidFill>
              <a:ln w="19050">
                <a:solidFill>
                  <a:sysClr val="window" lastClr="FFFFFF"/>
                </a:solidFill>
              </a:ln>
              <a:effectLst/>
            </c:spPr>
            <c:extLst>
              <c:ext xmlns:c16="http://schemas.microsoft.com/office/drawing/2014/chart" uri="{C3380CC4-5D6E-409C-BE32-E72D297353CC}">
                <c16:uniqueId val="{0000000D-058F-423A-B37A-3E269A501EC2}"/>
              </c:ext>
            </c:extLst>
          </c:dPt>
          <c:dLbls>
            <c:dLbl>
              <c:idx val="2"/>
              <c:layout>
                <c:manualLayout>
                  <c:x val="3.5530293088363953E-2"/>
                  <c:y val="-6.115357739373487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8F-423A-B37A-3E269A501EC2}"/>
                </c:ext>
              </c:extLst>
            </c:dLbl>
            <c:dLbl>
              <c:idx val="3"/>
              <c:layout>
                <c:manualLayout>
                  <c:x val="-2.0344134867756915E-2"/>
                  <c:y val="7.557480314960632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58F-423A-B37A-3E269A501EC2}"/>
                </c:ext>
              </c:extLst>
            </c:dLbl>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Hoja1!$A$11:$A$17</c:f>
              <c:strCache>
                <c:ptCount val="7"/>
                <c:pt idx="0">
                  <c:v>Licencias con disfrute de sueldo</c:v>
                </c:pt>
                <c:pt idx="1">
                  <c:v>Licencias sin disfrute de sueldo</c:v>
                </c:pt>
                <c:pt idx="2">
                  <c:v>Licencias médicas</c:v>
                </c:pt>
                <c:pt idx="3">
                  <c:v>Cuidado de familiar</c:v>
                </c:pt>
                <c:pt idx="4">
                  <c:v>Licencia permanente</c:v>
                </c:pt>
                <c:pt idx="5">
                  <c:v>Licencia pre- post</c:v>
                </c:pt>
                <c:pt idx="6">
                  <c:v>Licencia riesgo laboral</c:v>
                </c:pt>
              </c:strCache>
            </c:strRef>
          </c:cat>
          <c:val>
            <c:numRef>
              <c:f>Hoja1!$B$11:$B$17</c:f>
              <c:numCache>
                <c:formatCode>0%</c:formatCode>
                <c:ptCount val="7"/>
                <c:pt idx="0">
                  <c:v>2.6019080659150044E-3</c:v>
                </c:pt>
                <c:pt idx="1">
                  <c:v>3.469210754553339E-3</c:v>
                </c:pt>
                <c:pt idx="2">
                  <c:v>0.82914137033824808</c:v>
                </c:pt>
                <c:pt idx="3">
                  <c:v>0.12055507372072853</c:v>
                </c:pt>
                <c:pt idx="4">
                  <c:v>1.3009540329575022E-2</c:v>
                </c:pt>
                <c:pt idx="5">
                  <c:v>2.6886383347788378E-2</c:v>
                </c:pt>
                <c:pt idx="6">
                  <c:v>4.3365134431916736E-3</c:v>
                </c:pt>
              </c:numCache>
            </c:numRef>
          </c:val>
          <c:extLst>
            <c:ext xmlns:c16="http://schemas.microsoft.com/office/drawing/2014/chart" uri="{C3380CC4-5D6E-409C-BE32-E72D297353CC}">
              <c16:uniqueId val="{0000000E-058F-423A-B37A-3E269A501EC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4736832895888021"/>
          <c:y val="0.11988085370907584"/>
          <c:w val="0.42278477690288707"/>
          <c:h val="0.79765059055118115"/>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56299212598426"/>
          <c:y val="0.19907407407407407"/>
          <c:w val="0.38576290463692037"/>
          <c:h val="0.6429381743948673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353-4B40-AC0E-6C9D2B215EA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353-4B40-AC0E-6C9D2B215EA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353-4B40-AC0E-6C9D2B215EA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353-4B40-AC0E-6C9D2B215EA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353-4B40-AC0E-6C9D2B215EA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353-4B40-AC0E-6C9D2B215EA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E353-4B40-AC0E-6C9D2B215EAE}"/>
              </c:ext>
            </c:extLst>
          </c:dPt>
          <c:dLbls>
            <c:dLbl>
              <c:idx val="0"/>
              <c:layout>
                <c:manualLayout>
                  <c:x val="1.2429297944948332E-2"/>
                  <c:y val="-4.347386180170454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53-4B40-AC0E-6C9D2B215EAE}"/>
                </c:ext>
              </c:extLst>
            </c:dLbl>
            <c:dLbl>
              <c:idx val="2"/>
              <c:layout>
                <c:manualLayout>
                  <c:x val="-3.5740376202974627E-2"/>
                  <c:y val="5.080417031204433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353-4B40-AC0E-6C9D2B215EAE}"/>
                </c:ext>
              </c:extLst>
            </c:dLbl>
            <c:dLbl>
              <c:idx val="3"/>
              <c:layout>
                <c:manualLayout>
                  <c:x val="-4.111307961504812E-2"/>
                  <c:y val="3.076662292213473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353-4B40-AC0E-6C9D2B215EAE}"/>
                </c:ext>
              </c:extLst>
            </c:dLbl>
            <c:dLbl>
              <c:idx val="4"/>
              <c:layout>
                <c:manualLayout>
                  <c:x val="1.9120953630796151E-2"/>
                  <c:y val="-7.349628171478561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353-4B40-AC0E-6C9D2B215EA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'[Gráfico en Microsoft Word]ESTADISTICA DE RRH'!$J$14:$J$20</c:f>
              <c:strCache>
                <c:ptCount val="7"/>
                <c:pt idx="0">
                  <c:v>De carrera</c:v>
                </c:pt>
                <c:pt idx="1">
                  <c:v>De libre nombramiento</c:v>
                </c:pt>
                <c:pt idx="2">
                  <c:v>Designados</c:v>
                </c:pt>
                <c:pt idx="3">
                  <c:v>Estatuto simplificado</c:v>
                </c:pt>
                <c:pt idx="4">
                  <c:v>Temporales</c:v>
                </c:pt>
                <c:pt idx="5">
                  <c:v>Periodo probatorio</c:v>
                </c:pt>
                <c:pt idx="6">
                  <c:v>En trámite de pensión</c:v>
                </c:pt>
              </c:strCache>
            </c:strRef>
          </c:cat>
          <c:val>
            <c:numRef>
              <c:f>'[Gráfico en Microsoft Word]ESTADISTICA DE RRH'!$K$14:$K$20</c:f>
              <c:numCache>
                <c:formatCode>0%</c:formatCode>
                <c:ptCount val="7"/>
                <c:pt idx="0">
                  <c:v>0.29506493506493509</c:v>
                </c:pt>
                <c:pt idx="1">
                  <c:v>1.5584415584415584E-3</c:v>
                </c:pt>
                <c:pt idx="2">
                  <c:v>4.7792207792207796E-2</c:v>
                </c:pt>
                <c:pt idx="3">
                  <c:v>0.20623376623376624</c:v>
                </c:pt>
                <c:pt idx="4">
                  <c:v>0.44363636363636366</c:v>
                </c:pt>
                <c:pt idx="5">
                  <c:v>5.1948051948051948E-4</c:v>
                </c:pt>
                <c:pt idx="6">
                  <c:v>5.1948051948051948E-3</c:v>
                </c:pt>
              </c:numCache>
            </c:numRef>
          </c:val>
          <c:extLst>
            <c:ext xmlns:c16="http://schemas.microsoft.com/office/drawing/2014/chart" uri="{C3380CC4-5D6E-409C-BE32-E72D297353CC}">
              <c16:uniqueId val="{0000000E-E353-4B40-AC0E-6C9D2B215EA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1215135608048998"/>
          <c:y val="0.13830854476523768"/>
          <c:w val="0.3590306211723534"/>
          <c:h val="0.76909886264216976"/>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222287839020123"/>
          <c:y val="0.21296296296296297"/>
          <c:w val="0.33888757655293089"/>
          <c:h val="0.56481262758821815"/>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570-42AA-96D2-EE20D19C5458}"/>
              </c:ext>
            </c:extLst>
          </c:dPt>
          <c:dPt>
            <c:idx val="1"/>
            <c:bubble3D val="0"/>
            <c:spPr>
              <a:solidFill>
                <a:srgbClr val="011C50"/>
              </a:solidFill>
              <a:ln w="19050">
                <a:solidFill>
                  <a:schemeClr val="lt1"/>
                </a:solidFill>
              </a:ln>
              <a:effectLst/>
            </c:spPr>
            <c:extLst>
              <c:ext xmlns:c16="http://schemas.microsoft.com/office/drawing/2014/chart" uri="{C3380CC4-5D6E-409C-BE32-E72D297353CC}">
                <c16:uniqueId val="{00000003-7570-42AA-96D2-EE20D19C5458}"/>
              </c:ext>
            </c:extLst>
          </c:dPt>
          <c:dPt>
            <c:idx val="2"/>
            <c:bubble3D val="0"/>
            <c:spPr>
              <a:solidFill>
                <a:srgbClr val="73D3DD"/>
              </a:solidFill>
              <a:ln w="19050">
                <a:solidFill>
                  <a:schemeClr val="lt1"/>
                </a:solidFill>
              </a:ln>
              <a:effectLst/>
            </c:spPr>
            <c:extLst>
              <c:ext xmlns:c16="http://schemas.microsoft.com/office/drawing/2014/chart" uri="{C3380CC4-5D6E-409C-BE32-E72D297353CC}">
                <c16:uniqueId val="{00000005-7570-42AA-96D2-EE20D19C5458}"/>
              </c:ext>
            </c:extLst>
          </c:dPt>
          <c:dPt>
            <c:idx val="3"/>
            <c:bubble3D val="0"/>
            <c:spPr>
              <a:solidFill>
                <a:srgbClr val="7D8589"/>
              </a:solidFill>
              <a:ln w="19050">
                <a:solidFill>
                  <a:schemeClr val="lt1"/>
                </a:solidFill>
              </a:ln>
              <a:effectLst/>
            </c:spPr>
            <c:extLst>
              <c:ext xmlns:c16="http://schemas.microsoft.com/office/drawing/2014/chart" uri="{C3380CC4-5D6E-409C-BE32-E72D297353CC}">
                <c16:uniqueId val="{00000007-7570-42AA-96D2-EE20D19C5458}"/>
              </c:ext>
            </c:extLst>
          </c:dPt>
          <c:dPt>
            <c:idx val="4"/>
            <c:bubble3D val="0"/>
            <c:spPr>
              <a:solidFill>
                <a:srgbClr val="D9D9D9"/>
              </a:solidFill>
              <a:ln w="19050">
                <a:solidFill>
                  <a:schemeClr val="lt1"/>
                </a:solidFill>
              </a:ln>
              <a:effectLst/>
            </c:spPr>
            <c:extLst>
              <c:ext xmlns:c16="http://schemas.microsoft.com/office/drawing/2014/chart" uri="{C3380CC4-5D6E-409C-BE32-E72D297353CC}">
                <c16:uniqueId val="{00000009-7570-42AA-96D2-EE20D19C5458}"/>
              </c:ext>
            </c:extLst>
          </c:dPt>
          <c:dPt>
            <c:idx val="5"/>
            <c:bubble3D val="0"/>
            <c:spPr>
              <a:solidFill>
                <a:srgbClr val="EE2A24"/>
              </a:solidFill>
              <a:ln w="19050">
                <a:solidFill>
                  <a:schemeClr val="lt1"/>
                </a:solidFill>
              </a:ln>
              <a:effectLst/>
            </c:spPr>
            <c:extLst>
              <c:ext xmlns:c16="http://schemas.microsoft.com/office/drawing/2014/chart" uri="{C3380CC4-5D6E-409C-BE32-E72D297353CC}">
                <c16:uniqueId val="{0000000B-7570-42AA-96D2-EE20D19C5458}"/>
              </c:ext>
            </c:extLst>
          </c:dPt>
          <c:dPt>
            <c:idx val="6"/>
            <c:bubble3D val="0"/>
            <c:spPr>
              <a:solidFill>
                <a:srgbClr val="436EBE"/>
              </a:solidFill>
              <a:ln w="19050">
                <a:solidFill>
                  <a:schemeClr val="lt1"/>
                </a:solidFill>
              </a:ln>
              <a:effectLst/>
            </c:spPr>
            <c:extLst>
              <c:ext xmlns:c16="http://schemas.microsoft.com/office/drawing/2014/chart" uri="{C3380CC4-5D6E-409C-BE32-E72D297353CC}">
                <c16:uniqueId val="{0000000D-7570-42AA-96D2-EE20D19C5458}"/>
              </c:ext>
            </c:extLst>
          </c:dPt>
          <c:dLbls>
            <c:dLbl>
              <c:idx val="2"/>
              <c:layout>
                <c:manualLayout>
                  <c:x val="1.3707349081364829E-2"/>
                  <c:y val="6.309055118110236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570-42AA-96D2-EE20D19C5458}"/>
                </c:ext>
              </c:extLst>
            </c:dLbl>
            <c:dLbl>
              <c:idx val="3"/>
              <c:layout>
                <c:manualLayout>
                  <c:x val="-2.0199037620297462E-4"/>
                  <c:y val="-2.052165354330708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570-42AA-96D2-EE20D19C5458}"/>
                </c:ext>
              </c:extLst>
            </c:dLbl>
            <c:dLbl>
              <c:idx val="4"/>
              <c:layout>
                <c:manualLayout>
                  <c:x val="6.0302930883639541E-3"/>
                  <c:y val="-3.506415864683581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570-42AA-96D2-EE20D19C5458}"/>
                </c:ext>
              </c:extLst>
            </c:dLbl>
            <c:dLbl>
              <c:idx val="5"/>
              <c:layout>
                <c:manualLayout>
                  <c:x val="-0.10353641732283464"/>
                  <c:y val="6.386337124526101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570-42AA-96D2-EE20D19C5458}"/>
                </c:ext>
              </c:extLst>
            </c:dLbl>
            <c:dLbl>
              <c:idx val="6"/>
              <c:layout>
                <c:manualLayout>
                  <c:x val="-4.2982174103237097E-2"/>
                  <c:y val="9.2465004374453399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570-42AA-96D2-EE20D19C5458}"/>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'GRUPO OCUPACIONAL'!$B$6:$B$12</c:f>
              <c:strCache>
                <c:ptCount val="7"/>
                <c:pt idx="0">
                  <c:v>Libre nombramiento y remoción</c:v>
                </c:pt>
                <c:pt idx="1">
                  <c:v>Cargo de confianza</c:v>
                </c:pt>
                <c:pt idx="2">
                  <c:v>Grupo 1</c:v>
                </c:pt>
                <c:pt idx="3">
                  <c:v>Grupo 2</c:v>
                </c:pt>
                <c:pt idx="4">
                  <c:v>Grupo 3</c:v>
                </c:pt>
                <c:pt idx="5">
                  <c:v>Grupo 4</c:v>
                </c:pt>
                <c:pt idx="6">
                  <c:v>Grupo 5</c:v>
                </c:pt>
              </c:strCache>
            </c:strRef>
          </c:cat>
          <c:val>
            <c:numRef>
              <c:f>'GRUPO OCUPACIONAL'!$F$6:$F$12</c:f>
              <c:numCache>
                <c:formatCode>0%</c:formatCode>
                <c:ptCount val="7"/>
                <c:pt idx="0">
                  <c:v>2.0725388601036268E-3</c:v>
                </c:pt>
                <c:pt idx="1">
                  <c:v>1.8134715025906734E-2</c:v>
                </c:pt>
                <c:pt idx="2">
                  <c:v>6.269430051813471E-2</c:v>
                </c:pt>
                <c:pt idx="3">
                  <c:v>0.17564766839378237</c:v>
                </c:pt>
                <c:pt idx="4">
                  <c:v>3.367875647668394E-2</c:v>
                </c:pt>
                <c:pt idx="5">
                  <c:v>0.55595854922279797</c:v>
                </c:pt>
                <c:pt idx="6">
                  <c:v>0.15181347150259067</c:v>
                </c:pt>
              </c:numCache>
            </c:numRef>
          </c:val>
          <c:extLst>
            <c:ext xmlns:c16="http://schemas.microsoft.com/office/drawing/2014/chart" uri="{C3380CC4-5D6E-409C-BE32-E72D297353CC}">
              <c16:uniqueId val="{0000000E-7570-42AA-96D2-EE20D19C545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0884295112385178"/>
          <c:y val="4.8466450235861748E-2"/>
          <c:w val="0.39115704887614822"/>
          <c:h val="0.92195218194536632"/>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31901392072826"/>
          <c:y val="0.13768772324512069"/>
          <c:w val="0.344541346888601"/>
          <c:h val="0.8186095159157738"/>
        </c:manualLayout>
      </c:layout>
      <c:pieChart>
        <c:varyColors val="1"/>
        <c:ser>
          <c:idx val="0"/>
          <c:order val="0"/>
          <c:dPt>
            <c:idx val="0"/>
            <c:bubble3D val="0"/>
            <c:spPr>
              <a:solidFill>
                <a:srgbClr val="011C50"/>
              </a:solidFill>
              <a:ln w="19050">
                <a:solidFill>
                  <a:schemeClr val="lt1"/>
                </a:solidFill>
              </a:ln>
              <a:effectLst/>
            </c:spPr>
            <c:extLst>
              <c:ext xmlns:c16="http://schemas.microsoft.com/office/drawing/2014/chart" uri="{C3380CC4-5D6E-409C-BE32-E72D297353CC}">
                <c16:uniqueId val="{00000001-444A-42C1-9D85-928DC16696AE}"/>
              </c:ext>
            </c:extLst>
          </c:dPt>
          <c:dPt>
            <c:idx val="1"/>
            <c:bubble3D val="0"/>
            <c:spPr>
              <a:solidFill>
                <a:srgbClr val="436EBE"/>
              </a:solidFill>
              <a:ln w="19050">
                <a:solidFill>
                  <a:schemeClr val="lt1"/>
                </a:solidFill>
              </a:ln>
              <a:effectLst/>
            </c:spPr>
            <c:extLst>
              <c:ext xmlns:c16="http://schemas.microsoft.com/office/drawing/2014/chart" uri="{C3380CC4-5D6E-409C-BE32-E72D297353CC}">
                <c16:uniqueId val="{00000003-444A-42C1-9D85-928DC16696AE}"/>
              </c:ext>
            </c:extLst>
          </c:dPt>
          <c:dLbls>
            <c:dLbl>
              <c:idx val="0"/>
              <c:layout>
                <c:manualLayout>
                  <c:x val="5.7859933138217752E-2"/>
                  <c:y val="-0.1579762874468277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44A-42C1-9D85-928DC16696AE}"/>
                </c:ext>
              </c:extLst>
            </c:dLbl>
            <c:dLbl>
              <c:idx val="1"/>
              <c:layout>
                <c:manualLayout>
                  <c:x val="-3.1873436115975394E-2"/>
                  <c:y val="5.625260204543397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44A-42C1-9D85-928DC16696A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Hoja1!$A$1:$A$2</c:f>
              <c:strCache>
                <c:ptCount val="2"/>
                <c:pt idx="0">
                  <c:v>Hombres</c:v>
                </c:pt>
                <c:pt idx="1">
                  <c:v>Mujeres </c:v>
                </c:pt>
              </c:strCache>
            </c:strRef>
          </c:cat>
          <c:val>
            <c:numRef>
              <c:f>Hoja1!$B$1:$B$2</c:f>
              <c:numCache>
                <c:formatCode>General</c:formatCode>
                <c:ptCount val="2"/>
                <c:pt idx="0">
                  <c:v>0.45</c:v>
                </c:pt>
                <c:pt idx="1">
                  <c:v>0.11</c:v>
                </c:pt>
              </c:numCache>
            </c:numRef>
          </c:val>
          <c:extLst>
            <c:ext xmlns:c16="http://schemas.microsoft.com/office/drawing/2014/chart" uri="{C3380CC4-5D6E-409C-BE32-E72D297353CC}">
              <c16:uniqueId val="{00000004-444A-42C1-9D85-928DC16696A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906093268632527E-2"/>
          <c:y val="0.10927346788097946"/>
          <c:w val="0.41269177692994563"/>
          <c:h val="0.74131671041119862"/>
        </c:manualLayout>
      </c:layout>
      <c:pieChart>
        <c:varyColors val="1"/>
        <c:ser>
          <c:idx val="0"/>
          <c:order val="0"/>
          <c:explosion val="3"/>
          <c:dPt>
            <c:idx val="0"/>
            <c:bubble3D val="0"/>
            <c:spPr>
              <a:solidFill>
                <a:srgbClr val="011C50"/>
              </a:solidFill>
              <a:ln w="19050">
                <a:solidFill>
                  <a:schemeClr val="lt1"/>
                </a:solidFill>
              </a:ln>
              <a:effectLst/>
            </c:spPr>
            <c:extLst>
              <c:ext xmlns:c16="http://schemas.microsoft.com/office/drawing/2014/chart" uri="{C3380CC4-5D6E-409C-BE32-E72D297353CC}">
                <c16:uniqueId val="{00000001-05DB-4A52-8F3B-A06732FB9372}"/>
              </c:ext>
            </c:extLst>
          </c:dPt>
          <c:dPt>
            <c:idx val="1"/>
            <c:bubble3D val="0"/>
            <c:spPr>
              <a:solidFill>
                <a:srgbClr val="D9D9D9"/>
              </a:solidFill>
              <a:ln w="19050">
                <a:solidFill>
                  <a:schemeClr val="lt1"/>
                </a:solidFill>
              </a:ln>
              <a:effectLst/>
            </c:spPr>
            <c:extLst>
              <c:ext xmlns:c16="http://schemas.microsoft.com/office/drawing/2014/chart" uri="{C3380CC4-5D6E-409C-BE32-E72D297353CC}">
                <c16:uniqueId val="{00000003-05DB-4A52-8F3B-A06732FB9372}"/>
              </c:ext>
            </c:extLst>
          </c:dPt>
          <c:dPt>
            <c:idx val="2"/>
            <c:bubble3D val="0"/>
            <c:spPr>
              <a:solidFill>
                <a:srgbClr val="EE0000"/>
              </a:solidFill>
              <a:ln w="19050">
                <a:solidFill>
                  <a:schemeClr val="lt1"/>
                </a:solidFill>
              </a:ln>
              <a:effectLst/>
            </c:spPr>
            <c:extLst>
              <c:ext xmlns:c16="http://schemas.microsoft.com/office/drawing/2014/chart" uri="{C3380CC4-5D6E-409C-BE32-E72D297353CC}">
                <c16:uniqueId val="{00000005-05DB-4A52-8F3B-A06732FB9372}"/>
              </c:ext>
            </c:extLst>
          </c:dPt>
          <c:dPt>
            <c:idx val="3"/>
            <c:bubble3D val="0"/>
            <c:spPr>
              <a:solidFill>
                <a:srgbClr val="73D3DD"/>
              </a:solidFill>
              <a:ln w="19050">
                <a:solidFill>
                  <a:schemeClr val="lt1"/>
                </a:solidFill>
              </a:ln>
              <a:effectLst/>
            </c:spPr>
            <c:extLst>
              <c:ext xmlns:c16="http://schemas.microsoft.com/office/drawing/2014/chart" uri="{C3380CC4-5D6E-409C-BE32-E72D297353CC}">
                <c16:uniqueId val="{00000007-05DB-4A52-8F3B-A06732FB9372}"/>
              </c:ext>
            </c:extLst>
          </c:dPt>
          <c:dPt>
            <c:idx val="4"/>
            <c:bubble3D val="0"/>
            <c:spPr>
              <a:solidFill>
                <a:srgbClr val="436EBE"/>
              </a:solidFill>
              <a:ln w="19050">
                <a:solidFill>
                  <a:schemeClr val="lt1"/>
                </a:solidFill>
              </a:ln>
              <a:effectLst/>
            </c:spPr>
            <c:extLst>
              <c:ext xmlns:c16="http://schemas.microsoft.com/office/drawing/2014/chart" uri="{C3380CC4-5D6E-409C-BE32-E72D297353CC}">
                <c16:uniqueId val="{00000009-05DB-4A52-8F3B-A06732FB9372}"/>
              </c:ext>
            </c:extLst>
          </c:dPt>
          <c:dLbls>
            <c:dLbl>
              <c:idx val="0"/>
              <c:layout>
                <c:manualLayout>
                  <c:x val="-4.5707849663122009E-3"/>
                  <c:y val="-6.52158063575386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DB-4A52-8F3B-A06732FB9372}"/>
                </c:ext>
              </c:extLst>
            </c:dLbl>
            <c:dLbl>
              <c:idx val="1"/>
              <c:layout>
                <c:manualLayout>
                  <c:x val="-1.165398075240595E-2"/>
                  <c:y val="-9.1334937299504225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DB-4A52-8F3B-A06732FB9372}"/>
                </c:ext>
              </c:extLst>
            </c:dLbl>
            <c:dLbl>
              <c:idx val="2"/>
              <c:layout>
                <c:manualLayout>
                  <c:x val="-4.6078302712160976E-3"/>
                  <c:y val="-2.2007144940215805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DB-4A52-8F3B-A06732FB9372}"/>
                </c:ext>
              </c:extLst>
            </c:dLbl>
            <c:dLbl>
              <c:idx val="3"/>
              <c:layout>
                <c:manualLayout>
                  <c:x val="-8.2413085461091554E-3"/>
                  <c:y val="1.824460937598111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5DB-4A52-8F3B-A06732FB9372}"/>
                </c:ext>
              </c:extLst>
            </c:dLbl>
            <c:dLbl>
              <c:idx val="4"/>
              <c:layout>
                <c:manualLayout>
                  <c:x val="-1.790398075240595E-2"/>
                  <c:y val="4.159740449110527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5DB-4A52-8F3B-A06732FB9372}"/>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Hoja1!$A$1:$A$5</c:f>
              <c:strCache>
                <c:ptCount val="5"/>
                <c:pt idx="0">
                  <c:v>División de Administración de Servicios TI</c:v>
                </c:pt>
                <c:pt idx="1">
                  <c:v>División de Desarrollo e Implementación de Sistemas</c:v>
                </c:pt>
                <c:pt idx="2">
                  <c:v>Coordinadora de proyectos TIC</c:v>
                </c:pt>
                <c:pt idx="3">
                  <c:v>Dirección de TIC</c:v>
                </c:pt>
                <c:pt idx="4">
                  <c:v>Directora de Tecnología y Comunicación</c:v>
                </c:pt>
              </c:strCache>
            </c:strRef>
          </c:cat>
          <c:val>
            <c:numRef>
              <c:f>Hoja1!$B$1:$B$5</c:f>
              <c:numCache>
                <c:formatCode>General</c:formatCode>
                <c:ptCount val="5"/>
                <c:pt idx="0">
                  <c:v>4</c:v>
                </c:pt>
                <c:pt idx="1">
                  <c:v>4</c:v>
                </c:pt>
                <c:pt idx="2">
                  <c:v>1</c:v>
                </c:pt>
                <c:pt idx="3">
                  <c:v>1</c:v>
                </c:pt>
                <c:pt idx="4">
                  <c:v>1</c:v>
                </c:pt>
              </c:numCache>
            </c:numRef>
          </c:val>
          <c:extLst>
            <c:ext xmlns:c16="http://schemas.microsoft.com/office/drawing/2014/chart" uri="{C3380CC4-5D6E-409C-BE32-E72D297353CC}">
              <c16:uniqueId val="{0000000A-05DB-4A52-8F3B-A06732FB937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58223200070093517"/>
          <c:y val="9.7798191892680075E-2"/>
          <c:w val="0.37097349456022949"/>
          <c:h val="0.84201662292213475"/>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lgn="just">
        <a:defRPr/>
      </a:pPr>
      <a:endParaRPr lang="es-DO"/>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11C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Hoja1!$A$1:$A$3</c:f>
              <c:strCache>
                <c:ptCount val="3"/>
                <c:pt idx="0">
                  <c:v>1er Trim</c:v>
                </c:pt>
                <c:pt idx="1">
                  <c:v>2do Trim</c:v>
                </c:pt>
                <c:pt idx="2">
                  <c:v>3er Trim</c:v>
                </c:pt>
              </c:strCache>
            </c:strRef>
          </c:cat>
          <c:val>
            <c:numRef>
              <c:f>Hoja1!$B$1:$B$3</c:f>
              <c:numCache>
                <c:formatCode>#,##0</c:formatCode>
                <c:ptCount val="3"/>
                <c:pt idx="0">
                  <c:v>27300</c:v>
                </c:pt>
                <c:pt idx="1">
                  <c:v>27308</c:v>
                </c:pt>
                <c:pt idx="2">
                  <c:v>27370</c:v>
                </c:pt>
              </c:numCache>
            </c:numRef>
          </c:val>
          <c:extLst>
            <c:ext xmlns:c16="http://schemas.microsoft.com/office/drawing/2014/chart" uri="{C3380CC4-5D6E-409C-BE32-E72D297353CC}">
              <c16:uniqueId val="{00000000-33EA-4DC3-B3C6-B4029C6C3FBE}"/>
            </c:ext>
          </c:extLst>
        </c:ser>
        <c:dLbls>
          <c:dLblPos val="outEnd"/>
          <c:showLegendKey val="0"/>
          <c:showVal val="1"/>
          <c:showCatName val="0"/>
          <c:showSerName val="0"/>
          <c:showPercent val="0"/>
          <c:showBubbleSize val="0"/>
        </c:dLbls>
        <c:gapWidth val="219"/>
        <c:overlap val="-27"/>
        <c:axId val="2116641727"/>
        <c:axId val="2116640767"/>
      </c:barChart>
      <c:catAx>
        <c:axId val="2116641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2116640767"/>
        <c:crosses val="autoZero"/>
        <c:auto val="1"/>
        <c:lblAlgn val="ctr"/>
        <c:lblOffset val="100"/>
        <c:noMultiLvlLbl val="0"/>
      </c:catAx>
      <c:valAx>
        <c:axId val="2116640767"/>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1166417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11C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Hoja1!$A$12:$A$14</c:f>
              <c:strCache>
                <c:ptCount val="3"/>
                <c:pt idx="0">
                  <c:v>1er Trim</c:v>
                </c:pt>
                <c:pt idx="1">
                  <c:v>2do Trim</c:v>
                </c:pt>
                <c:pt idx="2">
                  <c:v>3er Trim</c:v>
                </c:pt>
              </c:strCache>
            </c:strRef>
          </c:cat>
          <c:val>
            <c:numRef>
              <c:f>Hoja1!$B$12:$B$14</c:f>
              <c:numCache>
                <c:formatCode>#,##0</c:formatCode>
                <c:ptCount val="3"/>
                <c:pt idx="0">
                  <c:v>10374</c:v>
                </c:pt>
                <c:pt idx="1">
                  <c:v>10458</c:v>
                </c:pt>
                <c:pt idx="2">
                  <c:v>10631</c:v>
                </c:pt>
              </c:numCache>
            </c:numRef>
          </c:val>
          <c:extLst>
            <c:ext xmlns:c16="http://schemas.microsoft.com/office/drawing/2014/chart" uri="{C3380CC4-5D6E-409C-BE32-E72D297353CC}">
              <c16:uniqueId val="{00000000-3FF4-415A-B891-FE9401E046B2}"/>
            </c:ext>
          </c:extLst>
        </c:ser>
        <c:dLbls>
          <c:dLblPos val="outEnd"/>
          <c:showLegendKey val="0"/>
          <c:showVal val="1"/>
          <c:showCatName val="0"/>
          <c:showSerName val="0"/>
          <c:showPercent val="0"/>
          <c:showBubbleSize val="0"/>
        </c:dLbls>
        <c:gapWidth val="219"/>
        <c:overlap val="-27"/>
        <c:axId val="997634351"/>
        <c:axId val="997638671"/>
      </c:barChart>
      <c:catAx>
        <c:axId val="997634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997638671"/>
        <c:crosses val="autoZero"/>
        <c:auto val="1"/>
        <c:lblAlgn val="ctr"/>
        <c:lblOffset val="100"/>
        <c:noMultiLvlLbl val="0"/>
      </c:catAx>
      <c:valAx>
        <c:axId val="997638671"/>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9976343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11C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Hoja1!$A$19:$A$21</c:f>
              <c:strCache>
                <c:ptCount val="3"/>
                <c:pt idx="0">
                  <c:v>1er Trim</c:v>
                </c:pt>
                <c:pt idx="1">
                  <c:v>2do Trim</c:v>
                </c:pt>
                <c:pt idx="2">
                  <c:v>3er Trim</c:v>
                </c:pt>
              </c:strCache>
            </c:strRef>
          </c:cat>
          <c:val>
            <c:numRef>
              <c:f>Hoja1!$B$19:$B$21</c:f>
              <c:numCache>
                <c:formatCode>#,##0</c:formatCode>
                <c:ptCount val="3"/>
                <c:pt idx="0">
                  <c:v>42557</c:v>
                </c:pt>
                <c:pt idx="1">
                  <c:v>44044</c:v>
                </c:pt>
                <c:pt idx="2">
                  <c:v>46123</c:v>
                </c:pt>
              </c:numCache>
            </c:numRef>
          </c:val>
          <c:extLst>
            <c:ext xmlns:c16="http://schemas.microsoft.com/office/drawing/2014/chart" uri="{C3380CC4-5D6E-409C-BE32-E72D297353CC}">
              <c16:uniqueId val="{00000000-E76B-476C-B645-FCF0F6BE5F2D}"/>
            </c:ext>
          </c:extLst>
        </c:ser>
        <c:dLbls>
          <c:dLblPos val="outEnd"/>
          <c:showLegendKey val="0"/>
          <c:showVal val="1"/>
          <c:showCatName val="0"/>
          <c:showSerName val="0"/>
          <c:showPercent val="0"/>
          <c:showBubbleSize val="0"/>
        </c:dLbls>
        <c:gapWidth val="219"/>
        <c:overlap val="-27"/>
        <c:axId val="1000069023"/>
        <c:axId val="1000069983"/>
      </c:barChart>
      <c:catAx>
        <c:axId val="1000069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000069983"/>
        <c:crosses val="autoZero"/>
        <c:auto val="1"/>
        <c:lblAlgn val="ctr"/>
        <c:lblOffset val="100"/>
        <c:noMultiLvlLbl val="0"/>
      </c:catAx>
      <c:valAx>
        <c:axId val="1000069983"/>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0000690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11C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Hoja1!$A$25:$A$27</c:f>
              <c:strCache>
                <c:ptCount val="3"/>
                <c:pt idx="0">
                  <c:v>1er Trim</c:v>
                </c:pt>
                <c:pt idx="1">
                  <c:v>2do Trim</c:v>
                </c:pt>
                <c:pt idx="2">
                  <c:v>3er Trim</c:v>
                </c:pt>
              </c:strCache>
            </c:strRef>
          </c:cat>
          <c:val>
            <c:numRef>
              <c:f>Hoja1!$B$25:$B$27</c:f>
              <c:numCache>
                <c:formatCode>#,##0</c:formatCode>
                <c:ptCount val="3"/>
                <c:pt idx="0">
                  <c:v>1335</c:v>
                </c:pt>
                <c:pt idx="1">
                  <c:v>1352</c:v>
                </c:pt>
                <c:pt idx="2">
                  <c:v>1361</c:v>
                </c:pt>
              </c:numCache>
            </c:numRef>
          </c:val>
          <c:extLst>
            <c:ext xmlns:c16="http://schemas.microsoft.com/office/drawing/2014/chart" uri="{C3380CC4-5D6E-409C-BE32-E72D297353CC}">
              <c16:uniqueId val="{00000000-F0CB-4D51-87D8-AA557CC49208}"/>
            </c:ext>
          </c:extLst>
        </c:ser>
        <c:dLbls>
          <c:dLblPos val="outEnd"/>
          <c:showLegendKey val="0"/>
          <c:showVal val="1"/>
          <c:showCatName val="0"/>
          <c:showSerName val="0"/>
          <c:showPercent val="0"/>
          <c:showBubbleSize val="0"/>
        </c:dLbls>
        <c:gapWidth val="219"/>
        <c:overlap val="-27"/>
        <c:axId val="997638191"/>
        <c:axId val="997639631"/>
      </c:barChart>
      <c:catAx>
        <c:axId val="997638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997639631"/>
        <c:crosses val="autoZero"/>
        <c:auto val="1"/>
        <c:lblAlgn val="ctr"/>
        <c:lblOffset val="100"/>
        <c:noMultiLvlLbl val="0"/>
      </c:catAx>
      <c:valAx>
        <c:axId val="997639631"/>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9976381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243573719951675"/>
          <c:y val="0.15927777387469669"/>
          <c:w val="0.28294379869183017"/>
          <c:h val="0.73406146812293627"/>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EE6-4EB8-8446-E749B26A615D}"/>
              </c:ext>
            </c:extLst>
          </c:dPt>
          <c:dPt>
            <c:idx val="1"/>
            <c:bubble3D val="0"/>
            <c:spPr>
              <a:solidFill>
                <a:srgbClr val="436EBE"/>
              </a:solidFill>
              <a:ln w="19050">
                <a:solidFill>
                  <a:schemeClr val="lt1"/>
                </a:solidFill>
              </a:ln>
              <a:effectLst/>
            </c:spPr>
            <c:extLst>
              <c:ext xmlns:c16="http://schemas.microsoft.com/office/drawing/2014/chart" uri="{C3380CC4-5D6E-409C-BE32-E72D297353CC}">
                <c16:uniqueId val="{00000003-0EE6-4EB8-8446-E749B26A615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EE6-4EB8-8446-E749B26A615D}"/>
              </c:ext>
            </c:extLst>
          </c:dPt>
          <c:dLbls>
            <c:dLbl>
              <c:idx val="0"/>
              <c:layout>
                <c:manualLayout>
                  <c:x val="6.8146325459317583E-3"/>
                  <c:y val="-5.304717118693496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E6-4EB8-8446-E749B26A615D}"/>
                </c:ext>
              </c:extLst>
            </c:dLbl>
            <c:dLbl>
              <c:idx val="1"/>
              <c:layout>
                <c:manualLayout>
                  <c:x val="-3.8845977586135068E-2"/>
                  <c:y val="9.553219255414302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E6-4EB8-8446-E749B26A615D}"/>
                </c:ext>
              </c:extLst>
            </c:dLbl>
            <c:dLbl>
              <c:idx val="2"/>
              <c:layout>
                <c:manualLayout>
                  <c:x val="-1.1690398075240594E-2"/>
                  <c:y val="1.417359288422280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EE6-4EB8-8446-E749B26A615D}"/>
                </c:ext>
              </c:extLst>
            </c:dLbl>
            <c:spPr>
              <a:noFill/>
              <a:ln>
                <a:noFill/>
              </a:ln>
              <a:effectLst/>
            </c:spPr>
            <c:txPr>
              <a:bodyPr rot="0" spcFirstLastPara="1" vertOverflow="ellipsis" vert="horz" wrap="square" anchor="ctr" anchorCtr="1"/>
              <a:lstStyle/>
              <a:p>
                <a:pPr>
                  <a:defRPr sz="1200" b="0" i="0" u="none" strike="noStrike" kern="1200" baseline="0">
                    <a:ln>
                      <a:noFill/>
                    </a:ln>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RQS!$A$1:$A$3</c:f>
              <c:strCache>
                <c:ptCount val="3"/>
                <c:pt idx="0">
                  <c:v>Quejas</c:v>
                </c:pt>
                <c:pt idx="1">
                  <c:v>Reclamaciones</c:v>
                </c:pt>
                <c:pt idx="2">
                  <c:v>Sugerencias </c:v>
                </c:pt>
              </c:strCache>
            </c:strRef>
          </c:cat>
          <c:val>
            <c:numRef>
              <c:f>RQS!$C$1:$C$3</c:f>
              <c:numCache>
                <c:formatCode>0%</c:formatCode>
                <c:ptCount val="3"/>
                <c:pt idx="0">
                  <c:v>0.73076923076923073</c:v>
                </c:pt>
                <c:pt idx="1">
                  <c:v>3.8461538461538464E-2</c:v>
                </c:pt>
                <c:pt idx="2">
                  <c:v>0.23076923076923078</c:v>
                </c:pt>
              </c:numCache>
            </c:numRef>
          </c:val>
          <c:extLst>
            <c:ext xmlns:c16="http://schemas.microsoft.com/office/drawing/2014/chart" uri="{C3380CC4-5D6E-409C-BE32-E72D297353CC}">
              <c16:uniqueId val="{00000006-0EE6-4EB8-8446-E749B26A615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544490272049327"/>
          <c:y val="0.23905629114796409"/>
          <c:w val="0.29518726825813441"/>
          <c:h val="0.54735993196381194"/>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436570707263473"/>
          <c:y val="0.14377150772820063"/>
          <c:w val="0.30551803695932034"/>
          <c:h val="0.76743219597550294"/>
        </c:manualLayout>
      </c:layout>
      <c:pieChart>
        <c:varyColors val="1"/>
        <c:ser>
          <c:idx val="0"/>
          <c:order val="0"/>
          <c:dPt>
            <c:idx val="0"/>
            <c:bubble3D val="0"/>
            <c:spPr>
              <a:solidFill>
                <a:srgbClr val="011C50"/>
              </a:solidFill>
              <a:ln w="19050">
                <a:solidFill>
                  <a:schemeClr val="lt1"/>
                </a:solidFill>
              </a:ln>
              <a:effectLst/>
            </c:spPr>
            <c:extLst>
              <c:ext xmlns:c16="http://schemas.microsoft.com/office/drawing/2014/chart" uri="{C3380CC4-5D6E-409C-BE32-E72D297353CC}">
                <c16:uniqueId val="{00000001-E668-4E0E-9E7C-7E481364595A}"/>
              </c:ext>
            </c:extLst>
          </c:dPt>
          <c:dPt>
            <c:idx val="1"/>
            <c:bubble3D val="0"/>
            <c:spPr>
              <a:solidFill>
                <a:srgbClr val="436EBE"/>
              </a:solidFill>
              <a:ln w="19050">
                <a:solidFill>
                  <a:schemeClr val="lt1"/>
                </a:solidFill>
              </a:ln>
              <a:effectLst/>
            </c:spPr>
            <c:extLst>
              <c:ext xmlns:c16="http://schemas.microsoft.com/office/drawing/2014/chart" uri="{C3380CC4-5D6E-409C-BE32-E72D297353CC}">
                <c16:uniqueId val="{00000003-E668-4E0E-9E7C-7E481364595A}"/>
              </c:ext>
            </c:extLst>
          </c:dPt>
          <c:dPt>
            <c:idx val="2"/>
            <c:bubble3D val="0"/>
            <c:spPr>
              <a:solidFill>
                <a:srgbClr val="7D8589"/>
              </a:solidFill>
              <a:ln w="19050">
                <a:solidFill>
                  <a:schemeClr val="lt1"/>
                </a:solidFill>
              </a:ln>
              <a:effectLst/>
            </c:spPr>
            <c:extLst>
              <c:ext xmlns:c16="http://schemas.microsoft.com/office/drawing/2014/chart" uri="{C3380CC4-5D6E-409C-BE32-E72D297353CC}">
                <c16:uniqueId val="{00000005-E668-4E0E-9E7C-7E481364595A}"/>
              </c:ext>
            </c:extLst>
          </c:dPt>
          <c:dPt>
            <c:idx val="3"/>
            <c:bubble3D val="0"/>
            <c:spPr>
              <a:solidFill>
                <a:srgbClr val="D9D9D9"/>
              </a:solidFill>
              <a:ln w="19050">
                <a:solidFill>
                  <a:schemeClr val="lt1"/>
                </a:solidFill>
              </a:ln>
              <a:effectLst/>
            </c:spPr>
            <c:extLst>
              <c:ext xmlns:c16="http://schemas.microsoft.com/office/drawing/2014/chart" uri="{C3380CC4-5D6E-409C-BE32-E72D297353CC}">
                <c16:uniqueId val="{00000007-E668-4E0E-9E7C-7E481364595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668-4E0E-9E7C-7E481364595A}"/>
              </c:ext>
            </c:extLst>
          </c:dPt>
          <c:dPt>
            <c:idx val="5"/>
            <c:bubble3D val="0"/>
            <c:spPr>
              <a:solidFill>
                <a:srgbClr val="EE2A2A"/>
              </a:solidFill>
              <a:ln w="19050">
                <a:solidFill>
                  <a:schemeClr val="lt1"/>
                </a:solidFill>
              </a:ln>
              <a:effectLst/>
            </c:spPr>
            <c:extLst>
              <c:ext xmlns:c16="http://schemas.microsoft.com/office/drawing/2014/chart" uri="{C3380CC4-5D6E-409C-BE32-E72D297353CC}">
                <c16:uniqueId val="{0000000B-E668-4E0E-9E7C-7E481364595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E668-4E0E-9E7C-7E481364595A}"/>
              </c:ext>
            </c:extLst>
          </c:dPt>
          <c:dPt>
            <c:idx val="7"/>
            <c:bubble3D val="0"/>
            <c:spPr>
              <a:solidFill>
                <a:srgbClr val="73D3DD"/>
              </a:solidFill>
              <a:ln w="19050">
                <a:solidFill>
                  <a:schemeClr val="lt1"/>
                </a:solidFill>
              </a:ln>
              <a:effectLst/>
            </c:spPr>
            <c:extLst>
              <c:ext xmlns:c16="http://schemas.microsoft.com/office/drawing/2014/chart" uri="{C3380CC4-5D6E-409C-BE32-E72D297353CC}">
                <c16:uniqueId val="{0000000F-E668-4E0E-9E7C-7E481364595A}"/>
              </c:ext>
            </c:extLst>
          </c:dPt>
          <c:dLbls>
            <c:dLbl>
              <c:idx val="0"/>
              <c:layout>
                <c:manualLayout>
                  <c:x val="1.247268584113242E-2"/>
                  <c:y val="6.8784631087780695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68-4E0E-9E7C-7E481364595A}"/>
                </c:ext>
              </c:extLst>
            </c:dLbl>
            <c:dLbl>
              <c:idx val="1"/>
              <c:layout>
                <c:manualLayout>
                  <c:x val="3.7109668932875342E-3"/>
                  <c:y val="-5.3550597841936429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68-4E0E-9E7C-7E481364595A}"/>
                </c:ext>
              </c:extLst>
            </c:dLbl>
            <c:dLbl>
              <c:idx val="2"/>
              <c:layout>
                <c:manualLayout>
                  <c:x val="-3.0123034712074625E-2"/>
                  <c:y val="-6.859288422280548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68-4E0E-9E7C-7E481364595A}"/>
                </c:ext>
              </c:extLst>
            </c:dLbl>
            <c:dLbl>
              <c:idx val="7"/>
              <c:layout>
                <c:manualLayout>
                  <c:x val="3.177781160780456E-2"/>
                  <c:y val="-6.7125984251968501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668-4E0E-9E7C-7E481364595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Cuenta!$Z$14:$Z$21</c:f>
              <c:strCache>
                <c:ptCount val="8"/>
                <c:pt idx="0">
                  <c:v>2.1 Remuneraciones y contribuciones</c:v>
                </c:pt>
                <c:pt idx="1">
                  <c:v>2.2 Contratación de servicios</c:v>
                </c:pt>
                <c:pt idx="2">
                  <c:v>2.3 Materiales y suministros</c:v>
                </c:pt>
                <c:pt idx="3">
                  <c:v>2.4 Transferencias corrientes</c:v>
                </c:pt>
                <c:pt idx="4">
                  <c:v>2.5 Transferencias de capital</c:v>
                </c:pt>
                <c:pt idx="5">
                  <c:v>2.7 Obras</c:v>
                </c:pt>
                <c:pt idx="6">
                  <c:v>4.2 Disminución de pasivos</c:v>
                </c:pt>
                <c:pt idx="7">
                  <c:v>No especificado</c:v>
                </c:pt>
              </c:strCache>
            </c:strRef>
          </c:cat>
          <c:val>
            <c:numRef>
              <c:f>Cuenta!$AB$14:$AB$21</c:f>
              <c:numCache>
                <c:formatCode>0.00%</c:formatCode>
                <c:ptCount val="8"/>
                <c:pt idx="0">
                  <c:v>0.1514570762103972</c:v>
                </c:pt>
                <c:pt idx="1">
                  <c:v>0.29013941059870996</c:v>
                </c:pt>
                <c:pt idx="2">
                  <c:v>0.37828677187257015</c:v>
                </c:pt>
                <c:pt idx="3">
                  <c:v>3.303472670923089E-2</c:v>
                </c:pt>
                <c:pt idx="4">
                  <c:v>5.3387798013426347E-3</c:v>
                </c:pt>
                <c:pt idx="5">
                  <c:v>1.9351023403020379E-2</c:v>
                </c:pt>
                <c:pt idx="6">
                  <c:v>2.8199708694271351E-3</c:v>
                </c:pt>
                <c:pt idx="7">
                  <c:v>0.11957224053530166</c:v>
                </c:pt>
              </c:numCache>
            </c:numRef>
          </c:val>
          <c:extLst>
            <c:ext xmlns:c16="http://schemas.microsoft.com/office/drawing/2014/chart" uri="{C3380CC4-5D6E-409C-BE32-E72D297353CC}">
              <c16:uniqueId val="{00000010-E668-4E0E-9E7C-7E481364595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57195689374623138"/>
          <c:y val="0"/>
          <c:w val="0.38211874254206496"/>
          <c:h val="1"/>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11C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Hoja1!$A$1:$A$12</c:f>
              <c:strCache>
                <c:ptCount val="12"/>
                <c:pt idx="0">
                  <c:v>Enero</c:v>
                </c:pt>
                <c:pt idx="1">
                  <c:v>Febrero</c:v>
                </c:pt>
                <c:pt idx="2">
                  <c:v>Marzo</c:v>
                </c:pt>
                <c:pt idx="3">
                  <c:v>Abril</c:v>
                </c:pt>
                <c:pt idx="4">
                  <c:v>Mayo</c:v>
                </c:pt>
                <c:pt idx="5">
                  <c:v>Junio</c:v>
                </c:pt>
                <c:pt idx="6">
                  <c:v>Julio</c:v>
                </c:pt>
                <c:pt idx="7">
                  <c:v>Agosto</c:v>
                </c:pt>
                <c:pt idx="8">
                  <c:v>Septiembre</c:v>
                </c:pt>
                <c:pt idx="9">
                  <c:v>Octubre</c:v>
                </c:pt>
                <c:pt idx="10">
                  <c:v>Proy. Nov.</c:v>
                </c:pt>
                <c:pt idx="11">
                  <c:v>Proy. Dic.</c:v>
                </c:pt>
              </c:strCache>
            </c:strRef>
          </c:cat>
          <c:val>
            <c:numRef>
              <c:f>Hoja1!$B$1:$B$12</c:f>
              <c:numCache>
                <c:formatCode>0%</c:formatCode>
                <c:ptCount val="12"/>
                <c:pt idx="0">
                  <c:v>0.95</c:v>
                </c:pt>
                <c:pt idx="1">
                  <c:v>0.96</c:v>
                </c:pt>
                <c:pt idx="2">
                  <c:v>0.93</c:v>
                </c:pt>
                <c:pt idx="3">
                  <c:v>0.98</c:v>
                </c:pt>
                <c:pt idx="4">
                  <c:v>0.93</c:v>
                </c:pt>
                <c:pt idx="5">
                  <c:v>0.92</c:v>
                </c:pt>
                <c:pt idx="6">
                  <c:v>0.95</c:v>
                </c:pt>
                <c:pt idx="7">
                  <c:v>0.73</c:v>
                </c:pt>
                <c:pt idx="8">
                  <c:v>0.97</c:v>
                </c:pt>
                <c:pt idx="9">
                  <c:v>0.97</c:v>
                </c:pt>
                <c:pt idx="10">
                  <c:v>0.96</c:v>
                </c:pt>
                <c:pt idx="11">
                  <c:v>0.96</c:v>
                </c:pt>
              </c:numCache>
            </c:numRef>
          </c:val>
          <c:extLst>
            <c:ext xmlns:c16="http://schemas.microsoft.com/office/drawing/2014/chart" uri="{C3380CC4-5D6E-409C-BE32-E72D297353CC}">
              <c16:uniqueId val="{00000000-8739-4527-9120-D1912C543EAC}"/>
            </c:ext>
          </c:extLst>
        </c:ser>
        <c:dLbls>
          <c:showLegendKey val="0"/>
          <c:showVal val="0"/>
          <c:showCatName val="0"/>
          <c:showSerName val="0"/>
          <c:showPercent val="0"/>
          <c:showBubbleSize val="0"/>
        </c:dLbls>
        <c:gapWidth val="219"/>
        <c:overlap val="-27"/>
        <c:axId val="1195913984"/>
        <c:axId val="1195914464"/>
      </c:barChart>
      <c:catAx>
        <c:axId val="119591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195914464"/>
        <c:crosses val="autoZero"/>
        <c:auto val="1"/>
        <c:lblAlgn val="ctr"/>
        <c:lblOffset val="100"/>
        <c:noMultiLvlLbl val="0"/>
      </c:catAx>
      <c:valAx>
        <c:axId val="119591446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95913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666666666666666"/>
          <c:y val="3.5967458741878226E-2"/>
          <c:w val="0.28450131233595799"/>
          <c:h val="0.91187794160290869"/>
        </c:manualLayout>
      </c:layout>
      <c:pieChart>
        <c:varyColors val="1"/>
        <c:ser>
          <c:idx val="0"/>
          <c:order val="0"/>
          <c:dPt>
            <c:idx val="0"/>
            <c:bubble3D val="0"/>
            <c:spPr>
              <a:solidFill>
                <a:srgbClr val="7D8589"/>
              </a:solidFill>
              <a:ln w="19050">
                <a:solidFill>
                  <a:schemeClr val="lt1"/>
                </a:solidFill>
              </a:ln>
              <a:effectLst/>
            </c:spPr>
            <c:extLst>
              <c:ext xmlns:c16="http://schemas.microsoft.com/office/drawing/2014/chart" uri="{C3380CC4-5D6E-409C-BE32-E72D297353CC}">
                <c16:uniqueId val="{00000001-DF67-4344-8DCD-86EBF1EE3FD4}"/>
              </c:ext>
            </c:extLst>
          </c:dPt>
          <c:dPt>
            <c:idx val="1"/>
            <c:bubble3D val="0"/>
            <c:spPr>
              <a:solidFill>
                <a:srgbClr val="436EBE"/>
              </a:solidFill>
              <a:ln w="19050">
                <a:solidFill>
                  <a:schemeClr val="lt1"/>
                </a:solidFill>
              </a:ln>
              <a:effectLst/>
            </c:spPr>
            <c:extLst>
              <c:ext xmlns:c16="http://schemas.microsoft.com/office/drawing/2014/chart" uri="{C3380CC4-5D6E-409C-BE32-E72D297353CC}">
                <c16:uniqueId val="{00000003-DF67-4344-8DCD-86EBF1EE3FD4}"/>
              </c:ext>
            </c:extLst>
          </c:dPt>
          <c:dPt>
            <c:idx val="2"/>
            <c:bubble3D val="0"/>
            <c:spPr>
              <a:solidFill>
                <a:srgbClr val="011C50"/>
              </a:solidFill>
              <a:ln w="19050">
                <a:solidFill>
                  <a:schemeClr val="lt1"/>
                </a:solidFill>
              </a:ln>
              <a:effectLst/>
            </c:spPr>
            <c:extLst>
              <c:ext xmlns:c16="http://schemas.microsoft.com/office/drawing/2014/chart" uri="{C3380CC4-5D6E-409C-BE32-E72D297353CC}">
                <c16:uniqueId val="{00000005-DF67-4344-8DCD-86EBF1EE3FD4}"/>
              </c:ext>
            </c:extLst>
          </c:dPt>
          <c:dPt>
            <c:idx val="3"/>
            <c:bubble3D val="0"/>
            <c:spPr>
              <a:solidFill>
                <a:srgbClr val="EE2A2A"/>
              </a:solidFill>
              <a:ln w="19050">
                <a:solidFill>
                  <a:schemeClr val="lt1"/>
                </a:solidFill>
              </a:ln>
              <a:effectLst/>
            </c:spPr>
            <c:extLst>
              <c:ext xmlns:c16="http://schemas.microsoft.com/office/drawing/2014/chart" uri="{C3380CC4-5D6E-409C-BE32-E72D297353CC}">
                <c16:uniqueId val="{00000007-DF67-4344-8DCD-86EBF1EE3FD4}"/>
              </c:ext>
            </c:extLst>
          </c:dPt>
          <c:dLbls>
            <c:dLbl>
              <c:idx val="0"/>
              <c:layout>
                <c:manualLayout>
                  <c:x val="-7.1321482541954985E-3"/>
                  <c:y val="-1.591309584885458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67-4344-8DCD-86EBF1EE3FD4}"/>
                </c:ext>
              </c:extLst>
            </c:dLbl>
            <c:dLbl>
              <c:idx val="1"/>
              <c:layout>
                <c:manualLayout>
                  <c:x val="6.4945319335083119E-3"/>
                  <c:y val="-3.390274132400108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67-4344-8DCD-86EBF1EE3FD4}"/>
                </c:ext>
              </c:extLst>
            </c:dLbl>
            <c:dLbl>
              <c:idx val="2"/>
              <c:layout>
                <c:manualLayout>
                  <c:x val="-2.701563867016623E-2"/>
                  <c:y val="4.3828375619714205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67-4344-8DCD-86EBF1EE3FD4}"/>
                </c:ext>
              </c:extLst>
            </c:dLbl>
            <c:dLbl>
              <c:idx val="3"/>
              <c:layout>
                <c:manualLayout>
                  <c:x val="-1.7919291338582676E-2"/>
                  <c:y val="2.777085156022163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F67-4344-8DCD-86EBF1EE3FD4}"/>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DRCC!$A$2:$A$5</c:f>
              <c:strCache>
                <c:ptCount val="4"/>
                <c:pt idx="0">
                  <c:v>Validación tiempo de servicio en el estado </c:v>
                </c:pt>
                <c:pt idx="1">
                  <c:v>Pensiones </c:v>
                </c:pt>
                <c:pt idx="2">
                  <c:v>Jubilaciones </c:v>
                </c:pt>
                <c:pt idx="3">
                  <c:v>Para pago de prestaciones laborales </c:v>
                </c:pt>
              </c:strCache>
            </c:strRef>
          </c:cat>
          <c:val>
            <c:numRef>
              <c:f>DRCC!$B$2:$B$5</c:f>
              <c:numCache>
                <c:formatCode>0%</c:formatCode>
                <c:ptCount val="4"/>
                <c:pt idx="0">
                  <c:v>0.5373</c:v>
                </c:pt>
                <c:pt idx="1">
                  <c:v>0.1633</c:v>
                </c:pt>
                <c:pt idx="2">
                  <c:v>0.1</c:v>
                </c:pt>
                <c:pt idx="3">
                  <c:v>0.1991</c:v>
                </c:pt>
              </c:numCache>
            </c:numRef>
          </c:val>
          <c:extLst>
            <c:ext xmlns:c16="http://schemas.microsoft.com/office/drawing/2014/chart" uri="{C3380CC4-5D6E-409C-BE32-E72D297353CC}">
              <c16:uniqueId val="{00000008-DF67-4344-8DCD-86EBF1EE3FD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3"/>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Entry>
      <c:layout>
        <c:manualLayout>
          <c:xMode val="edge"/>
          <c:yMode val="edge"/>
          <c:x val="0.59529010578223163"/>
          <c:y val="0.19230379488682894"/>
          <c:w val="0.38871251888968422"/>
          <c:h val="0.70757989528929277"/>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15394139894787"/>
          <c:y val="0.15233118903144807"/>
          <c:w val="0.27642726789314348"/>
          <c:h val="0.80548931383577049"/>
        </c:manualLayout>
      </c:layout>
      <c:pieChart>
        <c:varyColors val="1"/>
        <c:ser>
          <c:idx val="0"/>
          <c:order val="0"/>
          <c:cat>
            <c:strRef>
              <c:f>DRC!$A$2:$A$8</c:f>
              <c:strCache>
                <c:ptCount val="7"/>
                <c:pt idx="0">
                  <c:v>Becas Institucionales</c:v>
                </c:pt>
                <c:pt idx="1">
                  <c:v>Becas Personales</c:v>
                </c:pt>
                <c:pt idx="2">
                  <c:v>Bienes y Servicios</c:v>
                </c:pt>
                <c:pt idx="3">
                  <c:v>Convenios Institucionales</c:v>
                </c:pt>
                <c:pt idx="4">
                  <c:v>Obras</c:v>
                </c:pt>
                <c:pt idx="5">
                  <c:v>Servicios Personales</c:v>
                </c:pt>
                <c:pt idx="6">
                  <c:v>Rescisiones de Contratos</c:v>
                </c:pt>
              </c:strCache>
            </c:strRef>
          </c:cat>
          <c:val>
            <c:numRef>
              <c:f>DRC!$B$2:$B$8</c:f>
            </c:numRef>
          </c:val>
          <c:extLst>
            <c:ext xmlns:c16="http://schemas.microsoft.com/office/drawing/2014/chart" uri="{C3380CC4-5D6E-409C-BE32-E72D297353CC}">
              <c16:uniqueId val="{00000000-1037-438E-B144-DD29C0A52CB0}"/>
            </c:ext>
          </c:extLst>
        </c:ser>
        <c:ser>
          <c:idx val="1"/>
          <c:order val="1"/>
          <c:dPt>
            <c:idx val="0"/>
            <c:bubble3D val="0"/>
            <c:spPr>
              <a:solidFill>
                <a:srgbClr val="D9D9D9"/>
              </a:solidFill>
              <a:ln w="19050">
                <a:solidFill>
                  <a:schemeClr val="lt1"/>
                </a:solidFill>
              </a:ln>
              <a:effectLst/>
            </c:spPr>
            <c:extLst>
              <c:ext xmlns:c16="http://schemas.microsoft.com/office/drawing/2014/chart" uri="{C3380CC4-5D6E-409C-BE32-E72D297353CC}">
                <c16:uniqueId val="{00000002-1037-438E-B144-DD29C0A52CB0}"/>
              </c:ext>
            </c:extLst>
          </c:dPt>
          <c:dPt>
            <c:idx val="1"/>
            <c:bubble3D val="0"/>
            <c:spPr>
              <a:solidFill>
                <a:srgbClr val="73D3DD"/>
              </a:solidFill>
              <a:ln w="19050">
                <a:solidFill>
                  <a:schemeClr val="lt1"/>
                </a:solidFill>
              </a:ln>
              <a:effectLst/>
            </c:spPr>
            <c:extLst>
              <c:ext xmlns:c16="http://schemas.microsoft.com/office/drawing/2014/chart" uri="{C3380CC4-5D6E-409C-BE32-E72D297353CC}">
                <c16:uniqueId val="{00000004-1037-438E-B144-DD29C0A52CB0}"/>
              </c:ext>
            </c:extLst>
          </c:dPt>
          <c:dPt>
            <c:idx val="2"/>
            <c:bubble3D val="0"/>
            <c:spPr>
              <a:solidFill>
                <a:srgbClr val="011C50"/>
              </a:solidFill>
              <a:ln w="19050">
                <a:solidFill>
                  <a:schemeClr val="lt1"/>
                </a:solidFill>
              </a:ln>
              <a:effectLst/>
            </c:spPr>
            <c:extLst>
              <c:ext xmlns:c16="http://schemas.microsoft.com/office/drawing/2014/chart" uri="{C3380CC4-5D6E-409C-BE32-E72D297353CC}">
                <c16:uniqueId val="{00000006-1037-438E-B144-DD29C0A52CB0}"/>
              </c:ext>
            </c:extLst>
          </c:dPt>
          <c:dPt>
            <c:idx val="3"/>
            <c:bubble3D val="0"/>
            <c:spPr>
              <a:solidFill>
                <a:srgbClr val="EE2A2A"/>
              </a:solidFill>
              <a:ln w="19050">
                <a:solidFill>
                  <a:schemeClr val="lt1"/>
                </a:solidFill>
              </a:ln>
              <a:effectLst/>
            </c:spPr>
            <c:extLst>
              <c:ext xmlns:c16="http://schemas.microsoft.com/office/drawing/2014/chart" uri="{C3380CC4-5D6E-409C-BE32-E72D297353CC}">
                <c16:uniqueId val="{00000008-1037-438E-B144-DD29C0A52CB0}"/>
              </c:ext>
            </c:extLst>
          </c:dPt>
          <c:dPt>
            <c:idx val="4"/>
            <c:bubble3D val="0"/>
            <c:spPr>
              <a:solidFill>
                <a:srgbClr val="436EBE"/>
              </a:solidFill>
              <a:ln w="19050">
                <a:solidFill>
                  <a:schemeClr val="lt1"/>
                </a:solidFill>
              </a:ln>
              <a:effectLst/>
            </c:spPr>
            <c:extLst>
              <c:ext xmlns:c16="http://schemas.microsoft.com/office/drawing/2014/chart" uri="{C3380CC4-5D6E-409C-BE32-E72D297353CC}">
                <c16:uniqueId val="{0000000A-1037-438E-B144-DD29C0A52CB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C-1037-438E-B144-DD29C0A52CB0}"/>
              </c:ext>
            </c:extLst>
          </c:dPt>
          <c:dPt>
            <c:idx val="6"/>
            <c:bubble3D val="0"/>
            <c:spPr>
              <a:solidFill>
                <a:srgbClr val="7D8589"/>
              </a:solidFill>
              <a:ln w="19050">
                <a:solidFill>
                  <a:schemeClr val="lt1"/>
                </a:solidFill>
              </a:ln>
              <a:effectLst/>
            </c:spPr>
            <c:extLst>
              <c:ext xmlns:c16="http://schemas.microsoft.com/office/drawing/2014/chart" uri="{C3380CC4-5D6E-409C-BE32-E72D297353CC}">
                <c16:uniqueId val="{0000000E-1037-438E-B144-DD29C0A52CB0}"/>
              </c:ext>
            </c:extLst>
          </c:dPt>
          <c:dLbls>
            <c:dLbl>
              <c:idx val="0"/>
              <c:layout>
                <c:manualLayout>
                  <c:x val="3.0103374235683263E-2"/>
                  <c:y val="-3.9882985615888773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37-438E-B144-DD29C0A52CB0}"/>
                </c:ext>
              </c:extLst>
            </c:dLbl>
            <c:dLbl>
              <c:idx val="1"/>
              <c:layout>
                <c:manualLayout>
                  <c:x val="7.1899353659012288E-2"/>
                  <c:y val="2.366378333390421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37-438E-B144-DD29C0A52CB0}"/>
                </c:ext>
              </c:extLst>
            </c:dLbl>
            <c:dLbl>
              <c:idx val="2"/>
              <c:layout>
                <c:manualLayout>
                  <c:x val="1.8295718862050663E-2"/>
                  <c:y val="-7.762989026621938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37-438E-B144-DD29C0A52CB0}"/>
                </c:ext>
              </c:extLst>
            </c:dLbl>
            <c:dLbl>
              <c:idx val="3"/>
              <c:layout>
                <c:manualLayout>
                  <c:x val="-9.4372928274865202E-3"/>
                  <c:y val="1.414506839321672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037-438E-B144-DD29C0A52CB0}"/>
                </c:ext>
              </c:extLst>
            </c:dLbl>
            <c:dLbl>
              <c:idx val="4"/>
              <c:layout>
                <c:manualLayout>
                  <c:x val="-2.216666454828229E-2"/>
                  <c:y val="6.913621724912709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037-438E-B144-DD29C0A52CB0}"/>
                </c:ext>
              </c:extLst>
            </c:dLbl>
            <c:dLbl>
              <c:idx val="6"/>
              <c:layout>
                <c:manualLayout>
                  <c:x val="4.8312641100835239E-2"/>
                  <c:y val="3.554195311116439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037-438E-B144-DD29C0A52CB0}"/>
                </c:ext>
              </c:extLst>
            </c:dLbl>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DRC!$A$2:$A$8</c:f>
              <c:strCache>
                <c:ptCount val="7"/>
                <c:pt idx="0">
                  <c:v>Becas Institucionales</c:v>
                </c:pt>
                <c:pt idx="1">
                  <c:v>Becas Personales</c:v>
                </c:pt>
                <c:pt idx="2">
                  <c:v>Bienes y Servicios</c:v>
                </c:pt>
                <c:pt idx="3">
                  <c:v>Convenios Institucionales</c:v>
                </c:pt>
                <c:pt idx="4">
                  <c:v>Obras</c:v>
                </c:pt>
                <c:pt idx="5">
                  <c:v>Servicios Personales</c:v>
                </c:pt>
                <c:pt idx="6">
                  <c:v>Rescisiones de Contratos</c:v>
                </c:pt>
              </c:strCache>
            </c:strRef>
          </c:cat>
          <c:val>
            <c:numRef>
              <c:f>DRC!$C$2:$C$8</c:f>
              <c:numCache>
                <c:formatCode>0%</c:formatCode>
                <c:ptCount val="7"/>
                <c:pt idx="0">
                  <c:v>3.3152201007029265E-2</c:v>
                </c:pt>
                <c:pt idx="1">
                  <c:v>2.9961613240939228E-2</c:v>
                </c:pt>
                <c:pt idx="2">
                  <c:v>0.64105887631487113</c:v>
                </c:pt>
                <c:pt idx="3">
                  <c:v>5.558602123734982E-2</c:v>
                </c:pt>
                <c:pt idx="4">
                  <c:v>0.13679645047111022</c:v>
                </c:pt>
                <c:pt idx="5">
                  <c:v>9.970586769031357E-5</c:v>
                </c:pt>
                <c:pt idx="6">
                  <c:v>0.10334513186101002</c:v>
                </c:pt>
              </c:numCache>
            </c:numRef>
          </c:val>
          <c:extLst>
            <c:ext xmlns:c16="http://schemas.microsoft.com/office/drawing/2014/chart" uri="{C3380CC4-5D6E-409C-BE32-E72D297353CC}">
              <c16:uniqueId val="{0000000F-1037-438E-B144-DD29C0A52CB0}"/>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0696420929139849"/>
          <c:y val="0.17326003688766167"/>
          <c:w val="0.36068167563912029"/>
          <c:h val="0.62823828668854009"/>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Hoja1!$B$27</c:f>
              <c:strCache>
                <c:ptCount val="1"/>
                <c:pt idx="0">
                  <c:v>1er. Trimestre</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Hoja1!$C$26:$E$26</c:f>
              <c:strCache>
                <c:ptCount val="3"/>
                <c:pt idx="0">
                  <c:v>Remisiones</c:v>
                </c:pt>
                <c:pt idx="1">
                  <c:v>% Remisión</c:v>
                </c:pt>
                <c:pt idx="2">
                  <c:v>Faltantes</c:v>
                </c:pt>
              </c:strCache>
            </c:strRef>
          </c:cat>
          <c:val>
            <c:numRef>
              <c:f>Hoja1!$C$27:$E$27</c:f>
              <c:numCache>
                <c:formatCode>0%</c:formatCode>
                <c:ptCount val="3"/>
                <c:pt idx="0" formatCode="General">
                  <c:v>238</c:v>
                </c:pt>
                <c:pt idx="1">
                  <c:v>0.6055979643765903</c:v>
                </c:pt>
                <c:pt idx="2" formatCode="General">
                  <c:v>155</c:v>
                </c:pt>
              </c:numCache>
            </c:numRef>
          </c:val>
          <c:extLst>
            <c:ext xmlns:c16="http://schemas.microsoft.com/office/drawing/2014/chart" uri="{C3380CC4-5D6E-409C-BE32-E72D297353CC}">
              <c16:uniqueId val="{00000000-0ACB-4352-B1AA-151D13DF29E8}"/>
            </c:ext>
          </c:extLst>
        </c:ser>
        <c:ser>
          <c:idx val="1"/>
          <c:order val="1"/>
          <c:tx>
            <c:strRef>
              <c:f>Hoja1!$B$28</c:f>
              <c:strCache>
                <c:ptCount val="1"/>
                <c:pt idx="0">
                  <c:v>2do. Trimestre</c:v>
                </c:pt>
              </c:strCache>
            </c:strRef>
          </c:tx>
          <c:spPr>
            <a:solidFill>
              <a:srgbClr val="EE2A2A"/>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Hoja1!$C$26:$E$26</c:f>
              <c:strCache>
                <c:ptCount val="3"/>
                <c:pt idx="0">
                  <c:v>Remisiones</c:v>
                </c:pt>
                <c:pt idx="1">
                  <c:v>% Remisión</c:v>
                </c:pt>
                <c:pt idx="2">
                  <c:v>Faltantes</c:v>
                </c:pt>
              </c:strCache>
            </c:strRef>
          </c:cat>
          <c:val>
            <c:numRef>
              <c:f>Hoja1!$C$28:$E$28</c:f>
              <c:numCache>
                <c:formatCode>0%</c:formatCode>
                <c:ptCount val="3"/>
                <c:pt idx="0" formatCode="General">
                  <c:v>249</c:v>
                </c:pt>
                <c:pt idx="1">
                  <c:v>0.63358778625954193</c:v>
                </c:pt>
                <c:pt idx="2" formatCode="General">
                  <c:v>144</c:v>
                </c:pt>
              </c:numCache>
            </c:numRef>
          </c:val>
          <c:extLst>
            <c:ext xmlns:c16="http://schemas.microsoft.com/office/drawing/2014/chart" uri="{C3380CC4-5D6E-409C-BE32-E72D297353CC}">
              <c16:uniqueId val="{00000001-0ACB-4352-B1AA-151D13DF29E8}"/>
            </c:ext>
          </c:extLst>
        </c:ser>
        <c:ser>
          <c:idx val="2"/>
          <c:order val="2"/>
          <c:tx>
            <c:strRef>
              <c:f>Hoja1!$B$29</c:f>
              <c:strCache>
                <c:ptCount val="1"/>
                <c:pt idx="0">
                  <c:v>3er. Trimestre</c:v>
                </c:pt>
              </c:strCache>
            </c:strRef>
          </c:tx>
          <c:spPr>
            <a:solidFill>
              <a:srgbClr val="7D8589"/>
            </a:solidFill>
            <a:ln>
              <a:noFill/>
            </a:ln>
            <a:effectLst/>
          </c:spPr>
          <c:invertIfNegative val="0"/>
          <c:dLbls>
            <c:dLbl>
              <c:idx val="0"/>
              <c:tx>
                <c:rich>
                  <a:bodyPr/>
                  <a:lstStyle/>
                  <a:p>
                    <a:r>
                      <a:rPr lang="en-US"/>
                      <a:t>276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ACB-4352-B1AA-151D13DF29E8}"/>
                </c:ext>
              </c:extLst>
            </c:dLbl>
            <c:dLbl>
              <c:idx val="2"/>
              <c:tx>
                <c:rich>
                  <a:bodyPr/>
                  <a:lstStyle/>
                  <a:p>
                    <a:r>
                      <a:rPr lang="en-US"/>
                      <a:t>117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ACB-4352-B1AA-151D13DF29E8}"/>
                </c:ext>
              </c:extLst>
            </c:dLbl>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Hoja1!$C$26:$E$26</c:f>
              <c:strCache>
                <c:ptCount val="3"/>
                <c:pt idx="0">
                  <c:v>Remisiones</c:v>
                </c:pt>
                <c:pt idx="1">
                  <c:v>% Remisión</c:v>
                </c:pt>
                <c:pt idx="2">
                  <c:v>Faltantes</c:v>
                </c:pt>
              </c:strCache>
            </c:strRef>
          </c:cat>
          <c:val>
            <c:numRef>
              <c:f>Hoja1!$C$29:$E$29</c:f>
              <c:numCache>
                <c:formatCode>0%</c:formatCode>
                <c:ptCount val="3"/>
                <c:pt idx="0" formatCode="General">
                  <c:v>275</c:v>
                </c:pt>
                <c:pt idx="1">
                  <c:v>0.69974554707379133</c:v>
                </c:pt>
                <c:pt idx="2" formatCode="General">
                  <c:v>118</c:v>
                </c:pt>
              </c:numCache>
            </c:numRef>
          </c:val>
          <c:extLst>
            <c:ext xmlns:c16="http://schemas.microsoft.com/office/drawing/2014/chart" uri="{C3380CC4-5D6E-409C-BE32-E72D297353CC}">
              <c16:uniqueId val="{00000004-0ACB-4352-B1AA-151D13DF29E8}"/>
            </c:ext>
          </c:extLst>
        </c:ser>
        <c:dLbls>
          <c:showLegendKey val="0"/>
          <c:showVal val="0"/>
          <c:showCatName val="0"/>
          <c:showSerName val="0"/>
          <c:showPercent val="0"/>
          <c:showBubbleSize val="0"/>
        </c:dLbls>
        <c:gapWidth val="219"/>
        <c:overlap val="-27"/>
        <c:axId val="378527936"/>
        <c:axId val="378524672"/>
      </c:barChart>
      <c:catAx>
        <c:axId val="378527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378524672"/>
        <c:crosses val="autoZero"/>
        <c:auto val="1"/>
        <c:lblAlgn val="ctr"/>
        <c:lblOffset val="100"/>
        <c:noMultiLvlLbl val="0"/>
      </c:catAx>
      <c:valAx>
        <c:axId val="378524672"/>
        <c:scaling>
          <c:orientation val="minMax"/>
        </c:scaling>
        <c:delete val="1"/>
        <c:axPos val="l"/>
        <c:numFmt formatCode="General" sourceLinked="1"/>
        <c:majorTickMark val="none"/>
        <c:minorTickMark val="none"/>
        <c:tickLblPos val="nextTo"/>
        <c:crossAx val="378527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25555018619062"/>
          <c:y val="0.16094790551181101"/>
          <c:w val="0.42013692038495193"/>
          <c:h val="0.70022820064158653"/>
        </c:manualLayout>
      </c:layout>
      <c:pieChart>
        <c:varyColors val="1"/>
        <c:ser>
          <c:idx val="0"/>
          <c:order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DAFI!$A$2:$A$7</c:f>
              <c:strCache>
                <c:ptCount val="6"/>
                <c:pt idx="0">
                  <c:v>2.1- Remuneraciones y Contribuciones </c:v>
                </c:pt>
                <c:pt idx="1">
                  <c:v>2.2 -Contratación de Servicios </c:v>
                </c:pt>
                <c:pt idx="2">
                  <c:v>2.3 -Materiales y Suministros </c:v>
                </c:pt>
                <c:pt idx="3">
                  <c:v>2.4 -Transferencias Corrientes </c:v>
                </c:pt>
                <c:pt idx="4">
                  <c:v>2.6- Bienes Muebles, Inmuebles e Intangibles</c:v>
                </c:pt>
                <c:pt idx="5">
                  <c:v>2.7-Obras</c:v>
                </c:pt>
              </c:strCache>
            </c:strRef>
          </c:cat>
          <c:val>
            <c:numRef>
              <c:f>DAFI!$B$2:$B$7</c:f>
            </c:numRef>
          </c:val>
          <c:extLst>
            <c:ext xmlns:c16="http://schemas.microsoft.com/office/drawing/2014/chart" uri="{C3380CC4-5D6E-409C-BE32-E72D297353CC}">
              <c16:uniqueId val="{00000000-9438-455F-8791-F37F1903F558}"/>
            </c:ext>
          </c:extLst>
        </c:ser>
        <c:ser>
          <c:idx val="1"/>
          <c:order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DAFI!$A$2:$A$7</c:f>
              <c:strCache>
                <c:ptCount val="6"/>
                <c:pt idx="0">
                  <c:v>2.1- Remuneraciones y Contribuciones </c:v>
                </c:pt>
                <c:pt idx="1">
                  <c:v>2.2 -Contratación de Servicios </c:v>
                </c:pt>
                <c:pt idx="2">
                  <c:v>2.3 -Materiales y Suministros </c:v>
                </c:pt>
                <c:pt idx="3">
                  <c:v>2.4 -Transferencias Corrientes </c:v>
                </c:pt>
                <c:pt idx="4">
                  <c:v>2.6- Bienes Muebles, Inmuebles e Intangibles</c:v>
                </c:pt>
                <c:pt idx="5">
                  <c:v>2.7-Obras</c:v>
                </c:pt>
              </c:strCache>
            </c:strRef>
          </c:cat>
          <c:val>
            <c:numRef>
              <c:f>DAFI!$C$2:$C$7</c:f>
            </c:numRef>
          </c:val>
          <c:extLst>
            <c:ext xmlns:c16="http://schemas.microsoft.com/office/drawing/2014/chart" uri="{C3380CC4-5D6E-409C-BE32-E72D297353CC}">
              <c16:uniqueId val="{00000001-9438-455F-8791-F37F1903F558}"/>
            </c:ext>
          </c:extLst>
        </c:ser>
        <c:ser>
          <c:idx val="2"/>
          <c:order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3-9438-455F-8791-F37F1903F55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5-9438-455F-8791-F37F1903F55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7-9438-455F-8791-F37F1903F55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9-9438-455F-8791-F37F1903F55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B-9438-455F-8791-F37F1903F55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D-9438-455F-8791-F37F1903F558}"/>
              </c:ext>
            </c:extLst>
          </c:dPt>
          <c:dLbls>
            <c:dLbl>
              <c:idx val="1"/>
              <c:layout>
                <c:manualLayout>
                  <c:x val="-2.5408235078128186E-2"/>
                  <c:y val="8.673301254009915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438-455F-8791-F37F1903F558}"/>
                </c:ext>
              </c:extLst>
            </c:dLbl>
            <c:dLbl>
              <c:idx val="5"/>
              <c:layout>
                <c:manualLayout>
                  <c:x val="4.182040421842572E-2"/>
                  <c:y val="1.366475590551180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438-455F-8791-F37F1903F5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DAFI!$A$2:$A$7</c:f>
              <c:strCache>
                <c:ptCount val="6"/>
                <c:pt idx="0">
                  <c:v>2.1- Remuneraciones y Contribuciones </c:v>
                </c:pt>
                <c:pt idx="1">
                  <c:v>2.2 -Contratación de Servicios </c:v>
                </c:pt>
                <c:pt idx="2">
                  <c:v>2.3 -Materiales y Suministros </c:v>
                </c:pt>
                <c:pt idx="3">
                  <c:v>2.4 -Transferencias Corrientes </c:v>
                </c:pt>
                <c:pt idx="4">
                  <c:v>2.6- Bienes Muebles, Inmuebles e Intangibles</c:v>
                </c:pt>
                <c:pt idx="5">
                  <c:v>2.7-Obras</c:v>
                </c:pt>
              </c:strCache>
            </c:strRef>
          </c:cat>
          <c:val>
            <c:numRef>
              <c:f>DAFI!$D$2:$D$7</c:f>
              <c:numCache>
                <c:formatCode>0.00%</c:formatCode>
                <c:ptCount val="6"/>
                <c:pt idx="0">
                  <c:v>0.83889999999999998</c:v>
                </c:pt>
                <c:pt idx="1">
                  <c:v>0.1198</c:v>
                </c:pt>
                <c:pt idx="2">
                  <c:v>1.66E-2</c:v>
                </c:pt>
                <c:pt idx="3">
                  <c:v>1E-4</c:v>
                </c:pt>
                <c:pt idx="4">
                  <c:v>1.6899999999999998E-2</c:v>
                </c:pt>
                <c:pt idx="5">
                  <c:v>0</c:v>
                </c:pt>
              </c:numCache>
            </c:numRef>
          </c:val>
          <c:extLst>
            <c:ext xmlns:c16="http://schemas.microsoft.com/office/drawing/2014/chart" uri="{C3380CC4-5D6E-409C-BE32-E72D297353CC}">
              <c16:uniqueId val="{0000000E-9438-455F-8791-F37F1903F55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55500748356868612"/>
          <c:y val="0.19096892993087902"/>
          <c:w val="0.42375906524081186"/>
          <c:h val="0.65322251385243513"/>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11C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Hoja3!$B$9:$E$9</c:f>
              <c:strCache>
                <c:ptCount val="4"/>
                <c:pt idx="0">
                  <c:v>1er trimestre </c:v>
                </c:pt>
                <c:pt idx="1">
                  <c:v>2do trimestre </c:v>
                </c:pt>
                <c:pt idx="2">
                  <c:v>3er trimestre </c:v>
                </c:pt>
                <c:pt idx="3">
                  <c:v>4to trimestre </c:v>
                </c:pt>
              </c:strCache>
            </c:strRef>
          </c:cat>
          <c:val>
            <c:numRef>
              <c:f>Hoja3!$B$10:$E$10</c:f>
              <c:numCache>
                <c:formatCode>0%</c:formatCode>
                <c:ptCount val="4"/>
                <c:pt idx="0">
                  <c:v>1</c:v>
                </c:pt>
                <c:pt idx="1">
                  <c:v>0.94</c:v>
                </c:pt>
                <c:pt idx="2">
                  <c:v>0.99</c:v>
                </c:pt>
                <c:pt idx="3">
                  <c:v>0.95</c:v>
                </c:pt>
              </c:numCache>
            </c:numRef>
          </c:val>
          <c:extLst>
            <c:ext xmlns:c16="http://schemas.microsoft.com/office/drawing/2014/chart" uri="{C3380CC4-5D6E-409C-BE32-E72D297353CC}">
              <c16:uniqueId val="{00000001-59E8-4B11-AFE4-9E33264EF9A8}"/>
            </c:ext>
          </c:extLst>
        </c:ser>
        <c:dLbls>
          <c:dLblPos val="outEnd"/>
          <c:showLegendKey val="0"/>
          <c:showVal val="1"/>
          <c:showCatName val="0"/>
          <c:showSerName val="0"/>
          <c:showPercent val="0"/>
          <c:showBubbleSize val="0"/>
        </c:dLbls>
        <c:gapWidth val="219"/>
        <c:overlap val="-27"/>
        <c:axId val="-1476442720"/>
        <c:axId val="-1476446528"/>
      </c:barChart>
      <c:catAx>
        <c:axId val="-147644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476446528"/>
        <c:crosses val="autoZero"/>
        <c:auto val="1"/>
        <c:lblAlgn val="ctr"/>
        <c:lblOffset val="100"/>
        <c:noMultiLvlLbl val="0"/>
      </c:catAx>
      <c:valAx>
        <c:axId val="-1476446528"/>
        <c:scaling>
          <c:orientation val="minMax"/>
          <c:min val="1.0000000000000002E-2"/>
        </c:scaling>
        <c:delete val="1"/>
        <c:axPos val="l"/>
        <c:numFmt formatCode="0%" sourceLinked="1"/>
        <c:majorTickMark val="none"/>
        <c:minorTickMark val="none"/>
        <c:tickLblPos val="nextTo"/>
        <c:crossAx val="-1476442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408269715016591"/>
          <c:y val="0.12929666686401042"/>
          <c:w val="0.29128062117235348"/>
          <c:h val="0.77160429449630052"/>
        </c:manualLayout>
      </c:layout>
      <c:pieChart>
        <c:varyColors val="1"/>
        <c:ser>
          <c:idx val="0"/>
          <c:order val="0"/>
          <c:dPt>
            <c:idx val="0"/>
            <c:bubble3D val="0"/>
            <c:spPr>
              <a:solidFill>
                <a:srgbClr val="7D8589"/>
              </a:solidFill>
              <a:ln w="19050">
                <a:solidFill>
                  <a:schemeClr val="lt1"/>
                </a:solidFill>
              </a:ln>
              <a:effectLst/>
            </c:spPr>
            <c:extLst>
              <c:ext xmlns:c16="http://schemas.microsoft.com/office/drawing/2014/chart" uri="{C3380CC4-5D6E-409C-BE32-E72D297353CC}">
                <c16:uniqueId val="{00000001-7839-46E8-B3F3-0920D3BE6E01}"/>
              </c:ext>
            </c:extLst>
          </c:dPt>
          <c:dPt>
            <c:idx val="1"/>
            <c:bubble3D val="0"/>
            <c:spPr>
              <a:solidFill>
                <a:srgbClr val="011C50"/>
              </a:solidFill>
              <a:ln w="19050">
                <a:solidFill>
                  <a:schemeClr val="lt1"/>
                </a:solidFill>
              </a:ln>
              <a:effectLst/>
            </c:spPr>
            <c:extLst>
              <c:ext xmlns:c16="http://schemas.microsoft.com/office/drawing/2014/chart" uri="{C3380CC4-5D6E-409C-BE32-E72D297353CC}">
                <c16:uniqueId val="{00000003-7839-46E8-B3F3-0920D3BE6E01}"/>
              </c:ext>
            </c:extLst>
          </c:dPt>
          <c:dLbls>
            <c:dLbl>
              <c:idx val="0"/>
              <c:layout>
                <c:manualLayout>
                  <c:x val="4.7516404199475067E-2"/>
                  <c:y val="-4.935258092738407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39-46E8-B3F3-0920D3BE6E01}"/>
                </c:ext>
              </c:extLst>
            </c:dLbl>
            <c:dLbl>
              <c:idx val="1"/>
              <c:layout>
                <c:manualLayout>
                  <c:x val="8.7318460192475945E-3"/>
                  <c:y val="-3.735892388451443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39-46E8-B3F3-0920D3BE6E0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DAFI!$A$21:$A$22</c:f>
              <c:strCache>
                <c:ptCount val="2"/>
                <c:pt idx="0">
                  <c:v>Ejecutado</c:v>
                </c:pt>
                <c:pt idx="1">
                  <c:v>Por ejecutar</c:v>
                </c:pt>
              </c:strCache>
            </c:strRef>
          </c:cat>
          <c:val>
            <c:numRef>
              <c:f>DAFI!$C$21:$C$22</c:f>
              <c:numCache>
                <c:formatCode>0%</c:formatCode>
                <c:ptCount val="2"/>
                <c:pt idx="0">
                  <c:v>0.63060890926189173</c:v>
                </c:pt>
                <c:pt idx="1">
                  <c:v>0.36939109073810833</c:v>
                </c:pt>
              </c:numCache>
            </c:numRef>
          </c:val>
          <c:extLst>
            <c:ext xmlns:c16="http://schemas.microsoft.com/office/drawing/2014/chart" uri="{C3380CC4-5D6E-409C-BE32-E72D297353CC}">
              <c16:uniqueId val="{00000004-7839-46E8-B3F3-0920D3BE6E0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1841500459650667"/>
          <c:y val="0.31713338464270913"/>
          <c:w val="0.24153958880139986"/>
          <c:h val="0.34664406532516767"/>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11C50"/>
            </a:solidFill>
            <a:ln>
              <a:noFill/>
            </a:ln>
            <a:effectLst/>
          </c:spPr>
          <c:invertIfNegative val="0"/>
          <c:dLbls>
            <c:dLbl>
              <c:idx val="0"/>
              <c:tx>
                <c:rich>
                  <a:bodyPr/>
                  <a:lstStyle/>
                  <a:p>
                    <a:r>
                      <a:rPr lang="en-US"/>
                      <a:t>92.20%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D4D-4FD3-9364-F41246CAF819}"/>
                </c:ext>
              </c:extLst>
            </c:dLbl>
            <c:dLbl>
              <c:idx val="1"/>
              <c:tx>
                <c:rich>
                  <a:bodyPr/>
                  <a:lstStyle/>
                  <a:p>
                    <a:r>
                      <a:rPr lang="en-US"/>
                      <a:t>95.64%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D4D-4FD3-9364-F41246CAF819}"/>
                </c:ext>
              </c:extLst>
            </c:dLbl>
            <c:dLbl>
              <c:idx val="2"/>
              <c:tx>
                <c:rich>
                  <a:bodyPr/>
                  <a:lstStyle/>
                  <a:p>
                    <a:r>
                      <a:rPr lang="en-US"/>
                      <a:t>96.35%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D4D-4FD3-9364-F41246CAF819}"/>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Hoja1!$B$5:$B$7</c:f>
              <c:strCache>
                <c:ptCount val="3"/>
                <c:pt idx="0">
                  <c:v>1er Trimestre</c:v>
                </c:pt>
                <c:pt idx="1">
                  <c:v>2do Trimestre</c:v>
                </c:pt>
                <c:pt idx="2">
                  <c:v>3er Trimestre</c:v>
                </c:pt>
              </c:strCache>
            </c:strRef>
          </c:cat>
          <c:val>
            <c:numRef>
              <c:f>Hoja1!$C$5:$C$7</c:f>
              <c:numCache>
                <c:formatCode>_(* #,##0.00_);_(* \(#,##0.00\);_(* "-"??_);_(@_)</c:formatCode>
                <c:ptCount val="3"/>
                <c:pt idx="0">
                  <c:v>92.2</c:v>
                </c:pt>
                <c:pt idx="1">
                  <c:v>95.64</c:v>
                </c:pt>
                <c:pt idx="2">
                  <c:v>96.35</c:v>
                </c:pt>
              </c:numCache>
            </c:numRef>
          </c:val>
          <c:extLst>
            <c:ext xmlns:c16="http://schemas.microsoft.com/office/drawing/2014/chart" uri="{C3380CC4-5D6E-409C-BE32-E72D297353CC}">
              <c16:uniqueId val="{00000003-8D4D-4FD3-9364-F41246CAF819}"/>
            </c:ext>
          </c:extLst>
        </c:ser>
        <c:dLbls>
          <c:showLegendKey val="0"/>
          <c:showVal val="0"/>
          <c:showCatName val="0"/>
          <c:showSerName val="0"/>
          <c:showPercent val="0"/>
          <c:showBubbleSize val="0"/>
        </c:dLbls>
        <c:gapWidth val="219"/>
        <c:overlap val="-27"/>
        <c:axId val="-1476422592"/>
        <c:axId val="-1476453600"/>
      </c:barChart>
      <c:catAx>
        <c:axId val="-147642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76453600"/>
        <c:crosses val="autoZero"/>
        <c:auto val="1"/>
        <c:lblAlgn val="ctr"/>
        <c:lblOffset val="100"/>
        <c:noMultiLvlLbl val="0"/>
      </c:catAx>
      <c:valAx>
        <c:axId val="-1476453600"/>
        <c:scaling>
          <c:orientation val="minMax"/>
        </c:scaling>
        <c:delete val="1"/>
        <c:axPos val="l"/>
        <c:numFmt formatCode="_(* #,##0.00_);_(* \(#,##0.00\);_(* &quot;-&quot;??_);_(@_)" sourceLinked="1"/>
        <c:majorTickMark val="none"/>
        <c:minorTickMark val="none"/>
        <c:tickLblPos val="nextTo"/>
        <c:crossAx val="-1476422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4">
  <a:schemeClr val="accent4"/>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Personalizado 14">
      <a:dk1>
        <a:sysClr val="windowText" lastClr="000000"/>
      </a:dk1>
      <a:lt1>
        <a:sysClr val="window" lastClr="FFFFFF"/>
      </a:lt1>
      <a:dk2>
        <a:srgbClr val="1F497D"/>
      </a:dk2>
      <a:lt2>
        <a:srgbClr val="EEECE1"/>
      </a:lt2>
      <a:accent1>
        <a:srgbClr val="1F497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ersonalizado 26">
    <a:dk1>
      <a:sysClr val="windowText" lastClr="000000"/>
    </a:dk1>
    <a:lt1>
      <a:sysClr val="window" lastClr="FFFFFF"/>
    </a:lt1>
    <a:dk2>
      <a:srgbClr val="44546A"/>
    </a:dk2>
    <a:lt2>
      <a:srgbClr val="E7E6E6"/>
    </a:lt2>
    <a:accent1>
      <a:srgbClr val="002060"/>
    </a:accent1>
    <a:accent2>
      <a:srgbClr val="47A8EA"/>
    </a:accent2>
    <a:accent3>
      <a:srgbClr val="A5A5A5"/>
    </a:accent3>
    <a:accent4>
      <a:srgbClr val="D9D9D9"/>
    </a:accent4>
    <a:accent5>
      <a:srgbClr val="034A90"/>
    </a:accent5>
    <a:accent6>
      <a:srgbClr val="EE2A24"/>
    </a:accent6>
    <a:hlink>
      <a:srgbClr val="47A8E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ersonalizado 1">
    <a:dk1>
      <a:sysClr val="windowText" lastClr="000000"/>
    </a:dk1>
    <a:lt1>
      <a:sysClr val="window" lastClr="FFFFFF"/>
    </a:lt1>
    <a:dk2>
      <a:srgbClr val="44546A"/>
    </a:dk2>
    <a:lt2>
      <a:srgbClr val="E7E6E6"/>
    </a:lt2>
    <a:accent1>
      <a:srgbClr val="142F62"/>
    </a:accent1>
    <a:accent2>
      <a:srgbClr val="47A8EA"/>
    </a:accent2>
    <a:accent3>
      <a:srgbClr val="142F62"/>
    </a:accent3>
    <a:accent4>
      <a:srgbClr val="FF0000"/>
    </a:accent4>
    <a:accent5>
      <a:srgbClr val="034A9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ersonalizado 20">
    <a:dk1>
      <a:sysClr val="windowText" lastClr="000000"/>
    </a:dk1>
    <a:lt1>
      <a:sysClr val="window" lastClr="FFFFFF"/>
    </a:lt1>
    <a:dk2>
      <a:srgbClr val="44546A"/>
    </a:dk2>
    <a:lt2>
      <a:srgbClr val="E7E6E6"/>
    </a:lt2>
    <a:accent1>
      <a:srgbClr val="142F62"/>
    </a:accent1>
    <a:accent2>
      <a:srgbClr val="47A8EA"/>
    </a:accent2>
    <a:accent3>
      <a:srgbClr val="142F62"/>
    </a:accent3>
    <a:accent4>
      <a:srgbClr val="D9D9D9"/>
    </a:accent4>
    <a:accent5>
      <a:srgbClr val="FF000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ersonalizado 20">
    <a:dk1>
      <a:sysClr val="windowText" lastClr="000000"/>
    </a:dk1>
    <a:lt1>
      <a:sysClr val="window" lastClr="FFFFFF"/>
    </a:lt1>
    <a:dk2>
      <a:srgbClr val="44546A"/>
    </a:dk2>
    <a:lt2>
      <a:srgbClr val="E7E6E6"/>
    </a:lt2>
    <a:accent1>
      <a:srgbClr val="142F62"/>
    </a:accent1>
    <a:accent2>
      <a:srgbClr val="47A8EA"/>
    </a:accent2>
    <a:accent3>
      <a:srgbClr val="142F62"/>
    </a:accent3>
    <a:accent4>
      <a:srgbClr val="D9D9D9"/>
    </a:accent4>
    <a:accent5>
      <a:srgbClr val="FF000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ersonalizado 20">
    <a:dk1>
      <a:sysClr val="windowText" lastClr="000000"/>
    </a:dk1>
    <a:lt1>
      <a:sysClr val="window" lastClr="FFFFFF"/>
    </a:lt1>
    <a:dk2>
      <a:srgbClr val="44546A"/>
    </a:dk2>
    <a:lt2>
      <a:srgbClr val="E7E6E6"/>
    </a:lt2>
    <a:accent1>
      <a:srgbClr val="142F62"/>
    </a:accent1>
    <a:accent2>
      <a:srgbClr val="47A8EA"/>
    </a:accent2>
    <a:accent3>
      <a:srgbClr val="142F62"/>
    </a:accent3>
    <a:accent4>
      <a:srgbClr val="D9D9D9"/>
    </a:accent4>
    <a:accent5>
      <a:srgbClr val="FF000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ersonalizado 20">
    <a:dk1>
      <a:sysClr val="windowText" lastClr="000000"/>
    </a:dk1>
    <a:lt1>
      <a:sysClr val="window" lastClr="FFFFFF"/>
    </a:lt1>
    <a:dk2>
      <a:srgbClr val="44546A"/>
    </a:dk2>
    <a:lt2>
      <a:srgbClr val="E7E6E6"/>
    </a:lt2>
    <a:accent1>
      <a:srgbClr val="142F62"/>
    </a:accent1>
    <a:accent2>
      <a:srgbClr val="47A8EA"/>
    </a:accent2>
    <a:accent3>
      <a:srgbClr val="142F62"/>
    </a:accent3>
    <a:accent4>
      <a:srgbClr val="D9D9D9"/>
    </a:accent4>
    <a:accent5>
      <a:srgbClr val="FF000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ersonalizado 28">
    <a:dk1>
      <a:sysClr val="windowText" lastClr="000000"/>
    </a:dk1>
    <a:lt1>
      <a:sysClr val="window" lastClr="FFFFFF"/>
    </a:lt1>
    <a:dk2>
      <a:srgbClr val="44546A"/>
    </a:dk2>
    <a:lt2>
      <a:srgbClr val="E7E6E6"/>
    </a:lt2>
    <a:accent1>
      <a:srgbClr val="BFBFBF"/>
    </a:accent1>
    <a:accent2>
      <a:srgbClr val="47A8EA"/>
    </a:accent2>
    <a:accent3>
      <a:srgbClr val="142F62"/>
    </a:accent3>
    <a:accent4>
      <a:srgbClr val="FF0000"/>
    </a:accent4>
    <a:accent5>
      <a:srgbClr val="034A9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ersonalizado 28">
    <a:dk1>
      <a:sysClr val="windowText" lastClr="000000"/>
    </a:dk1>
    <a:lt1>
      <a:sysClr val="window" lastClr="FFFFFF"/>
    </a:lt1>
    <a:dk2>
      <a:srgbClr val="44546A"/>
    </a:dk2>
    <a:lt2>
      <a:srgbClr val="E7E6E6"/>
    </a:lt2>
    <a:accent1>
      <a:srgbClr val="BFBFBF"/>
    </a:accent1>
    <a:accent2>
      <a:srgbClr val="47A8EA"/>
    </a:accent2>
    <a:accent3>
      <a:srgbClr val="142F62"/>
    </a:accent3>
    <a:accent4>
      <a:srgbClr val="FF0000"/>
    </a:accent4>
    <a:accent5>
      <a:srgbClr val="034A9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ersonalizado 28">
    <a:dk1>
      <a:sysClr val="windowText" lastClr="000000"/>
    </a:dk1>
    <a:lt1>
      <a:sysClr val="window" lastClr="FFFFFF"/>
    </a:lt1>
    <a:dk2>
      <a:srgbClr val="44546A"/>
    </a:dk2>
    <a:lt2>
      <a:srgbClr val="E7E6E6"/>
    </a:lt2>
    <a:accent1>
      <a:srgbClr val="BFBFBF"/>
    </a:accent1>
    <a:accent2>
      <a:srgbClr val="47A8EA"/>
    </a:accent2>
    <a:accent3>
      <a:srgbClr val="142F62"/>
    </a:accent3>
    <a:accent4>
      <a:srgbClr val="FF0000"/>
    </a:accent4>
    <a:accent5>
      <a:srgbClr val="034A9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ersonalizado 28">
    <a:dk1>
      <a:sysClr val="windowText" lastClr="000000"/>
    </a:dk1>
    <a:lt1>
      <a:sysClr val="window" lastClr="FFFFFF"/>
    </a:lt1>
    <a:dk2>
      <a:srgbClr val="44546A"/>
    </a:dk2>
    <a:lt2>
      <a:srgbClr val="E7E6E6"/>
    </a:lt2>
    <a:accent1>
      <a:srgbClr val="BFBFBF"/>
    </a:accent1>
    <a:accent2>
      <a:srgbClr val="47A8EA"/>
    </a:accent2>
    <a:accent3>
      <a:srgbClr val="142F62"/>
    </a:accent3>
    <a:accent4>
      <a:srgbClr val="FF0000"/>
    </a:accent4>
    <a:accent5>
      <a:srgbClr val="034A9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ersonalizado 18">
    <a:dk1>
      <a:sysClr val="windowText" lastClr="000000"/>
    </a:dk1>
    <a:lt1>
      <a:sysClr val="window" lastClr="FFFFFF"/>
    </a:lt1>
    <a:dk2>
      <a:srgbClr val="44546A"/>
    </a:dk2>
    <a:lt2>
      <a:srgbClr val="E7E6E6"/>
    </a:lt2>
    <a:accent1>
      <a:srgbClr val="436EBE"/>
    </a:accent1>
    <a:accent2>
      <a:srgbClr val="47A8EA"/>
    </a:accent2>
    <a:accent3>
      <a:srgbClr val="142F62"/>
    </a:accent3>
    <a:accent4>
      <a:srgbClr val="D9D9D9"/>
    </a:accent4>
    <a:accent5>
      <a:srgbClr val="47A8EA"/>
    </a:accent5>
    <a:accent6>
      <a:srgbClr val="EE2A24"/>
    </a:accent6>
    <a:hlink>
      <a:srgbClr val="47A8E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ersonalizado 23">
    <a:dk1>
      <a:sysClr val="windowText" lastClr="000000"/>
    </a:dk1>
    <a:lt1>
      <a:sysClr val="window" lastClr="FFFFFF"/>
    </a:lt1>
    <a:dk2>
      <a:srgbClr val="44546A"/>
    </a:dk2>
    <a:lt2>
      <a:srgbClr val="E7E6E6"/>
    </a:lt2>
    <a:accent1>
      <a:srgbClr val="48A1FA"/>
    </a:accent1>
    <a:accent2>
      <a:srgbClr val="002060"/>
    </a:accent2>
    <a:accent3>
      <a:srgbClr val="142F62"/>
    </a:accent3>
    <a:accent4>
      <a:srgbClr val="D9D9D9"/>
    </a:accent4>
    <a:accent5>
      <a:srgbClr val="034A9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ersonalizado 23">
    <a:dk1>
      <a:sysClr val="windowText" lastClr="000000"/>
    </a:dk1>
    <a:lt1>
      <a:sysClr val="window" lastClr="FFFFFF"/>
    </a:lt1>
    <a:dk2>
      <a:srgbClr val="44546A"/>
    </a:dk2>
    <a:lt2>
      <a:srgbClr val="E7E6E6"/>
    </a:lt2>
    <a:accent1>
      <a:srgbClr val="48A1FA"/>
    </a:accent1>
    <a:accent2>
      <a:srgbClr val="002060"/>
    </a:accent2>
    <a:accent3>
      <a:srgbClr val="142F62"/>
    </a:accent3>
    <a:accent4>
      <a:srgbClr val="D9D9D9"/>
    </a:accent4>
    <a:accent5>
      <a:srgbClr val="034A9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Custom 4">
    <a:dk1>
      <a:sysClr val="windowText" lastClr="000000"/>
    </a:dk1>
    <a:lt1>
      <a:sysClr val="window" lastClr="FFFFFF"/>
    </a:lt1>
    <a:dk2>
      <a:srgbClr val="44546A"/>
    </a:dk2>
    <a:lt2>
      <a:srgbClr val="E7E6E6"/>
    </a:lt2>
    <a:accent1>
      <a:srgbClr val="142F62"/>
    </a:accent1>
    <a:accent2>
      <a:srgbClr val="47A8EA"/>
    </a:accent2>
    <a:accent3>
      <a:srgbClr val="142F62"/>
    </a:accent3>
    <a:accent4>
      <a:srgbClr val="D9D9D9"/>
    </a:accent4>
    <a:accent5>
      <a:srgbClr val="034A90"/>
    </a:accent5>
    <a:accent6>
      <a:srgbClr val="EE2A24"/>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4770</TotalTime>
  <Pages>141</Pages>
  <Words>24186</Words>
  <Characters>139554</Characters>
  <Application>Microsoft Office Word</Application>
  <DocSecurity>0</DocSecurity>
  <Lines>5168</Lines>
  <Paragraphs>2480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Angely Paola Ricardo Rosario</cp:lastModifiedBy>
  <cp:revision>887</cp:revision>
  <cp:lastPrinted>2025-12-19T13:56:00Z</cp:lastPrinted>
  <dcterms:created xsi:type="dcterms:W3CDTF">2023-10-15T01:49:00Z</dcterms:created>
  <dcterms:modified xsi:type="dcterms:W3CDTF">2025-12-30T18:50:00Z</dcterms:modified>
</cp:coreProperties>
</file>