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54144" behindDoc="0" locked="0" layoutInCell="1" allowOverlap="1" wp14:anchorId="3F0A51DA" wp14:editId="4CCBAE0F">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42FB3A0F" w:rsidR="004F2DD5" w:rsidRPr="003A47C9" w:rsidRDefault="00413192" w:rsidP="004F2DD5">
      <w:r>
        <w:rPr>
          <w:noProof/>
          <w:lang w:val="es-DO" w:eastAsia="es-DO"/>
        </w:rPr>
        <mc:AlternateContent>
          <mc:Choice Requires="wpg">
            <w:drawing>
              <wp:anchor distT="0" distB="0" distL="114300" distR="114300" simplePos="0" relativeHeight="251778048" behindDoc="0" locked="0" layoutInCell="1" allowOverlap="1" wp14:anchorId="5E320072" wp14:editId="3AEF33C1">
                <wp:simplePos x="0" y="0"/>
                <wp:positionH relativeFrom="margin">
                  <wp:align>left</wp:align>
                </wp:positionH>
                <wp:positionV relativeFrom="paragraph">
                  <wp:posOffset>4599305</wp:posOffset>
                </wp:positionV>
                <wp:extent cx="2527300" cy="1005840"/>
                <wp:effectExtent l="0" t="0" r="0" b="3810"/>
                <wp:wrapNone/>
                <wp:docPr id="425136731" name="Group 425136731"/>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97206726" name="Text Box 397206726"/>
                        <wps:cNvSpPr txBox="1">
                          <a:spLocks/>
                        </wps:cNvSpPr>
                        <wps:spPr>
                          <a:xfrm>
                            <a:off x="0" y="600075"/>
                            <a:ext cx="2527539" cy="371475"/>
                          </a:xfrm>
                          <a:prstGeom prst="rect">
                            <a:avLst/>
                          </a:prstGeom>
                        </wps:spPr>
                        <wps:txbx>
                          <w:txbxContent>
                            <w:p w14:paraId="59E7918B" w14:textId="77777777" w:rsidR="00413192" w:rsidRPr="003A00CC" w:rsidRDefault="00413192" w:rsidP="00413192">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3C75FD5" w14:textId="77777777" w:rsidR="00413192" w:rsidRDefault="00413192" w:rsidP="0041319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1954516814" name="Group 1954516814"/>
                        <wpg:cNvGrpSpPr/>
                        <wpg:grpSpPr>
                          <a:xfrm>
                            <a:off x="0" y="0"/>
                            <a:ext cx="612775" cy="1005840"/>
                            <a:chOff x="0" y="0"/>
                            <a:chExt cx="612775" cy="1005840"/>
                          </a:xfrm>
                        </wpg:grpSpPr>
                        <wps:wsp>
                          <wps:cNvPr id="702643367" name="Freeform: Shape 702643367"/>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772618841" name="Picture 17726188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5E320072" id="Group 425136731" o:spid="_x0000_s1027" style="position:absolute;margin-left:0;margin-top:362.15pt;width:199pt;height:79.2pt;z-index:251778048;mso-position-horizontal:left;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">
                <v:shapetype id="_x0000_t202" coordsize="21600,21600" o:spt="202" path="m,l,21600r21600,l21600,xe">
                  <v:stroke joinstyle="miter"/>
                  <v:path gradientshapeok="t" o:connecttype="rect"/>
                </v:shapetype>
                <v:shape id="Text Box 397206726"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" filled="f" stroked="f">
                  <v:textbox inset="0,1.2pt,0,0">
                    <w:txbxContent>
                      <w:p w14:paraId="59E7918B" w14:textId="77777777" w:rsidR="00413192" w:rsidRPr="003A00CC" w:rsidRDefault="00413192" w:rsidP="00413192">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3C75FD5" w14:textId="77777777" w:rsidR="00413192" w:rsidRDefault="00413192" w:rsidP="0041319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1954516814"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">
                  <v:shape id="Freeform: Shape 702643367"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26188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">
                    <v:imagedata r:id="rId10" o:title="Icon&#10;&#10;Description automatically generated"/>
                  </v:shape>
                </v:group>
                <w10:wrap anchorx="margin"/>
              </v:group>
            </w:pict>
          </mc:Fallback>
        </mc:AlternateContent>
      </w:r>
      <w:r w:rsidR="00C92BF6" w:rsidRPr="002B4451">
        <w:rPr>
          <w:noProof/>
          <w:lang w:val="es-DO" w:eastAsia="es-DO"/>
        </w:rPr>
        <mc:AlternateContent>
          <mc:Choice Requires="wps">
            <w:drawing>
              <wp:anchor distT="0" distB="0" distL="114300" distR="114300" simplePos="0" relativeHeight="251657216" behindDoc="0" locked="0" layoutInCell="1" allowOverlap="1" wp14:anchorId="6B2EB822" wp14:editId="0DDD34A7">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415BB5"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B6093AB"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2D410F1" w:rsidR="004F2DD5" w:rsidRPr="003A47C9" w:rsidRDefault="004F2DD5" w:rsidP="004F2DD5"/>
    <w:p w14:paraId="17B5E9DF" w14:textId="2C9147D2" w:rsidR="008D7F4E" w:rsidRPr="002B4451" w:rsidRDefault="00486FC1" w:rsidP="008D7F4E">
      <w:pPr>
        <w:rPr>
          <w:lang w:val="es-DO"/>
        </w:rPr>
      </w:pPr>
      <w:r>
        <w:rPr>
          <w:noProof/>
          <w:lang w:val="es-DO"/>
        </w:rPr>
        <w:drawing>
          <wp:anchor distT="0" distB="0" distL="114300" distR="114300" simplePos="0" relativeHeight="251738112" behindDoc="1" locked="0" layoutInCell="1" allowOverlap="1" wp14:anchorId="7AC04CA3" wp14:editId="3BD74AA5">
            <wp:simplePos x="0" y="0"/>
            <wp:positionH relativeFrom="margin">
              <wp:align>right</wp:align>
            </wp:positionH>
            <wp:positionV relativeFrom="paragraph">
              <wp:posOffset>12065</wp:posOffset>
            </wp:positionV>
            <wp:extent cx="2065020" cy="662940"/>
            <wp:effectExtent l="0" t="0" r="0" b="3810"/>
            <wp:wrapTight wrapText="bothSides">
              <wp:wrapPolygon edited="0">
                <wp:start x="0" y="0"/>
                <wp:lineTo x="0" y="21103"/>
                <wp:lineTo x="7373" y="21103"/>
                <wp:lineTo x="10760" y="20483"/>
                <wp:lineTo x="21321" y="13655"/>
                <wp:lineTo x="21321" y="6207"/>
                <wp:lineTo x="7373" y="0"/>
                <wp:lineTo x="0" y="0"/>
              </wp:wrapPolygon>
            </wp:wrapTight>
            <wp:docPr id="776477055" name="Picture 1" descr="A black background with gol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77055" name="Picture 1" descr="A black background with gold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5020" cy="662940"/>
                    </a:xfrm>
                    <a:prstGeom prst="rect">
                      <a:avLst/>
                    </a:prstGeom>
                    <a:noFill/>
                  </pic:spPr>
                </pic:pic>
              </a:graphicData>
            </a:graphic>
            <wp14:sizeRelH relativeFrom="margin">
              <wp14:pctWidth>0</wp14:pctWidth>
            </wp14:sizeRelH>
            <wp14:sizeRelV relativeFrom="margin">
              <wp14:pctHeight>0</wp14:pctHeight>
            </wp14:sizeRelV>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lastRenderedPageBreak/>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5F7FD38C"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264A8FC8"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2D40327E"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610CFFC3">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3CBD4404"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143A7B0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D94270"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BD99310"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349298F" w:rsidR="008D7F4E" w:rsidRPr="002B4451" w:rsidRDefault="008D7F4E" w:rsidP="008D7F4E">
      <w:pPr>
        <w:tabs>
          <w:tab w:val="left" w:pos="5229"/>
        </w:tabs>
        <w:rPr>
          <w:lang w:val="es-DO"/>
        </w:rPr>
      </w:pPr>
    </w:p>
    <w:p w14:paraId="5220AA7B" w14:textId="7FF104AB" w:rsidR="008D7F4E" w:rsidRPr="002B4451" w:rsidRDefault="008D7F4E" w:rsidP="008D7F4E">
      <w:pPr>
        <w:tabs>
          <w:tab w:val="left" w:pos="5229"/>
        </w:tabs>
        <w:rPr>
          <w:lang w:val="es-DO"/>
        </w:rPr>
      </w:pPr>
    </w:p>
    <w:p w14:paraId="04CE79E8" w14:textId="04E9B010" w:rsidR="00B45B38" w:rsidRDefault="0064264A" w:rsidP="008D7F4E">
      <w:pPr>
        <w:tabs>
          <w:tab w:val="left" w:pos="5229"/>
        </w:tabs>
        <w:rPr>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633C46D8">
                <wp:simplePos x="0" y="0"/>
                <wp:positionH relativeFrom="column">
                  <wp:posOffset>-40393</wp:posOffset>
                </wp:positionH>
                <wp:positionV relativeFrom="paragraph">
                  <wp:posOffset>278171</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2pt;margin-top:21.9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59F2CBAA" w14:textId="657E1AB9" w:rsidR="00B45B38" w:rsidRDefault="0064264A" w:rsidP="00B45B38">
      <w:pPr>
        <w:tabs>
          <w:tab w:val="left" w:pos="5229"/>
        </w:tabs>
        <w:jc w:val="center"/>
        <w:rPr>
          <w:lang w:val="es-DO"/>
        </w:rPr>
      </w:pPr>
      <w:r w:rsidRPr="00486FC1">
        <w:rPr>
          <w:noProof/>
        </w:rPr>
        <w:drawing>
          <wp:anchor distT="0" distB="0" distL="114300" distR="114300" simplePos="0" relativeHeight="251776000" behindDoc="0" locked="0" layoutInCell="1" allowOverlap="1" wp14:anchorId="40A51DD5" wp14:editId="766D93E1">
            <wp:simplePos x="0" y="0"/>
            <wp:positionH relativeFrom="margin">
              <wp:align>right</wp:align>
            </wp:positionH>
            <wp:positionV relativeFrom="paragraph">
              <wp:posOffset>263525</wp:posOffset>
            </wp:positionV>
            <wp:extent cx="1927860" cy="690880"/>
            <wp:effectExtent l="0" t="0" r="0" b="0"/>
            <wp:wrapThrough wrapText="bothSides">
              <wp:wrapPolygon edited="0">
                <wp:start x="0" y="0"/>
                <wp:lineTo x="0" y="20846"/>
                <wp:lineTo x="7257" y="20846"/>
                <wp:lineTo x="10672" y="19654"/>
                <wp:lineTo x="21344" y="13103"/>
                <wp:lineTo x="21344" y="7147"/>
                <wp:lineTo x="7257" y="0"/>
                <wp:lineTo x="0" y="0"/>
              </wp:wrapPolygon>
            </wp:wrapThrough>
            <wp:docPr id="1578427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7860" cy="690880"/>
                    </a:xfrm>
                    <a:prstGeom prst="rect">
                      <a:avLst/>
                    </a:prstGeom>
                    <a:noFill/>
                    <a:ln>
                      <a:noFill/>
                    </a:ln>
                  </pic:spPr>
                </pic:pic>
              </a:graphicData>
            </a:graphic>
          </wp:anchor>
        </w:drawing>
      </w:r>
    </w:p>
    <w:p w14:paraId="6B439D31" w14:textId="50B32D9D" w:rsidR="00B45B38" w:rsidRDefault="00B45B38" w:rsidP="008D7F4E">
      <w:pPr>
        <w:tabs>
          <w:tab w:val="left" w:pos="5229"/>
        </w:tabs>
        <w:rPr>
          <w:lang w:val="es-DO"/>
        </w:rPr>
      </w:pPr>
    </w:p>
    <w:p w14:paraId="4A390ECB" w14:textId="03761E89" w:rsidR="008D7F4E" w:rsidRPr="002B4451" w:rsidRDefault="00486FC1" w:rsidP="008D7F4E">
      <w:pPr>
        <w:tabs>
          <w:tab w:val="left" w:pos="5229"/>
        </w:tabs>
        <w:rPr>
          <w:lang w:val="es-DO"/>
        </w:rPr>
      </w:pPr>
      <w:r>
        <w:rPr>
          <w:noProof/>
          <w:lang w:val="es-DO" w:eastAsia="es-DO"/>
        </w:rPr>
        <mc:AlternateContent>
          <mc:Choice Requires="wps">
            <w:drawing>
              <wp:anchor distT="45720" distB="45720" distL="114300" distR="114300" simplePos="0" relativeHeight="251717632" behindDoc="1" locked="0" layoutInCell="1" allowOverlap="1" wp14:anchorId="4409BEE1" wp14:editId="443A94A6">
                <wp:simplePos x="0" y="0"/>
                <wp:positionH relativeFrom="column">
                  <wp:posOffset>3924300</wp:posOffset>
                </wp:positionH>
                <wp:positionV relativeFrom="paragraph">
                  <wp:posOffset>174625</wp:posOffset>
                </wp:positionV>
                <wp:extent cx="2409825" cy="702945"/>
                <wp:effectExtent l="0" t="0" r="9525" b="19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702945"/>
                        </a:xfrm>
                        <a:prstGeom prst="rect">
                          <a:avLst/>
                        </a:prstGeom>
                        <a:solidFill>
                          <a:srgbClr val="FFFFFF"/>
                        </a:solidFill>
                        <a:ln w="9525">
                          <a:noFill/>
                          <a:miter lim="800000"/>
                          <a:headEnd/>
                          <a:tailEnd/>
                        </a:ln>
                      </wps:spPr>
                      <wps:txbx>
                        <w:txbxContent>
                          <w:p w14:paraId="089EA28E" w14:textId="016D50C5" w:rsidR="0097291D" w:rsidRPr="00032423" w:rsidRDefault="0097291D"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Text Box 2" o:spid="_x0000_s1042" type="#_x0000_t202" style="position:absolute;margin-left:309pt;margin-top:13.75pt;width:189.75pt;height:55.3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" stroked="f">
                <v:textbox>
                  <w:txbxContent>
                    <w:p w14:paraId="089EA28E" w14:textId="016D50C5" w:rsidR="0097291D" w:rsidRPr="00032423" w:rsidRDefault="0097291D" w:rsidP="0097291D">
                      <w:pPr>
                        <w:jc w:val="center"/>
                        <w:rPr>
                          <w:color w:val="D8B888"/>
                          <w:lang w:val="es-DO"/>
                        </w:rPr>
                      </w:pPr>
                    </w:p>
                  </w:txbxContent>
                </v:textbox>
              </v:shape>
            </w:pict>
          </mc:Fallback>
        </mc:AlternateContent>
      </w:r>
    </w:p>
    <w:p w14:paraId="64AE30BF" w14:textId="515A7E4D" w:rsidR="00E80BF2" w:rsidRPr="004967BF" w:rsidRDefault="00E80BF2">
      <w:pPr>
        <w:rPr>
          <w:color w:val="4C4747"/>
          <w:sz w:val="22"/>
          <w:szCs w:val="22"/>
          <w:lang w:val="es-DO"/>
        </w:rPr>
      </w:pPr>
    </w:p>
    <w:p w14:paraId="31E2FE32" w14:textId="2317FF3C" w:rsidR="00545797" w:rsidRPr="0064264A" w:rsidRDefault="00545797" w:rsidP="00545797">
      <w:pPr>
        <w:jc w:val="center"/>
        <w:rPr>
          <w:b/>
          <w:bCs/>
          <w:sz w:val="28"/>
          <w:lang w:val="es-DO"/>
        </w:rPr>
      </w:pPr>
      <w:r w:rsidRPr="0064264A">
        <w:rPr>
          <w:b/>
          <w:bCs/>
          <w:sz w:val="28"/>
          <w:lang w:val="es-DO"/>
        </w:rPr>
        <w:t>TABLA DE CONTENIDOS</w:t>
      </w:r>
    </w:p>
    <w:p w14:paraId="6C3E8713" w14:textId="043AA35F" w:rsidR="00545797" w:rsidRPr="0064264A" w:rsidRDefault="00545797" w:rsidP="00545797">
      <w:pPr>
        <w:rPr>
          <w:lang w:val="es-DO"/>
        </w:rPr>
      </w:pPr>
      <w:r w:rsidRPr="0064264A">
        <w:rPr>
          <w:noProof/>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4C227"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764F6891" w:rsidR="00545797" w:rsidRPr="0064264A" w:rsidRDefault="00654164" w:rsidP="00D9267D">
      <w:pPr>
        <w:jc w:val="center"/>
        <w:rPr>
          <w:lang w:val="es-DO"/>
        </w:rPr>
      </w:pPr>
      <w:r w:rsidRPr="0064264A">
        <w:rPr>
          <w:lang w:val="es-DO"/>
        </w:rPr>
        <w:t xml:space="preserve">Memoria </w:t>
      </w:r>
      <w:r w:rsidR="004A515E" w:rsidRPr="0064264A">
        <w:rPr>
          <w:lang w:val="es-DO"/>
        </w:rPr>
        <w:t>I</w:t>
      </w:r>
      <w:r w:rsidRPr="0064264A">
        <w:rPr>
          <w:lang w:val="es-DO"/>
        </w:rPr>
        <w:t>nstitucional</w:t>
      </w:r>
      <w:r w:rsidR="00545797" w:rsidRPr="0064264A">
        <w:rPr>
          <w:lang w:val="es-DO"/>
        </w:rPr>
        <w:t xml:space="preserve"> </w:t>
      </w:r>
      <w:r w:rsidR="007471AC" w:rsidRPr="0064264A">
        <w:rPr>
          <w:lang w:val="es-DO"/>
        </w:rPr>
        <w:t>202</w:t>
      </w:r>
      <w:r w:rsidR="0051332F" w:rsidRPr="0064264A">
        <w:rPr>
          <w:lang w:val="es-DO"/>
        </w:rPr>
        <w:t>5</w:t>
      </w:r>
    </w:p>
    <w:sdt>
      <w:sdtPr>
        <w:rPr>
          <w:rFonts w:ascii="Times New Roman" w:eastAsiaTheme="minorHAnsi" w:hAnsi="Times New Roman" w:cs="Times New Roman"/>
          <w:color w:val="767171"/>
          <w:sz w:val="24"/>
          <w:szCs w:val="24"/>
        </w:rPr>
        <w:id w:val="-777559388"/>
        <w:docPartObj>
          <w:docPartGallery w:val="Table of Contents"/>
          <w:docPartUnique/>
        </w:docPartObj>
      </w:sdtPr>
      <w:sdtEndPr>
        <w:rPr>
          <w:b/>
          <w:bCs/>
          <w:noProof/>
        </w:rPr>
      </w:sdtEndPr>
      <w:sdtContent>
        <w:p w14:paraId="242E82D6" w14:textId="786274E4" w:rsidR="008B3000" w:rsidRPr="0064264A" w:rsidRDefault="008B3000">
          <w:pPr>
            <w:pStyle w:val="TOCHeading"/>
            <w:rPr>
              <w:color w:val="767171"/>
            </w:rPr>
          </w:pPr>
        </w:p>
        <w:p w14:paraId="61BE1903" w14:textId="05F0CC21" w:rsidR="008B3000" w:rsidRPr="0064264A" w:rsidRDefault="008B3000" w:rsidP="00791542">
          <w:pPr>
            <w:pStyle w:val="TOC1"/>
            <w:rPr>
              <w:rFonts w:eastAsiaTheme="minorEastAsia"/>
              <w:color w:val="767171"/>
              <w:spacing w:val="0"/>
              <w:kern w:val="2"/>
              <w:lang w:eastAsia="es-DO"/>
              <w14:ligatures w14:val="standardContextual"/>
            </w:rPr>
          </w:pPr>
          <w:r w:rsidRPr="0064264A">
            <w:rPr>
              <w:color w:val="767171"/>
            </w:rPr>
            <w:fldChar w:fldCharType="begin"/>
          </w:r>
          <w:r w:rsidRPr="0064264A">
            <w:rPr>
              <w:color w:val="767171"/>
            </w:rPr>
            <w:instrText xml:space="preserve"> TOC \o "1-3" \h \z \u </w:instrText>
          </w:r>
          <w:r w:rsidRPr="0064264A">
            <w:rPr>
              <w:color w:val="767171"/>
            </w:rPr>
            <w:fldChar w:fldCharType="separate"/>
          </w:r>
          <w:hyperlink w:anchor="_Toc217386279" w:history="1">
            <w:r w:rsidRPr="0064264A">
              <w:rPr>
                <w:rStyle w:val="Hyperlink"/>
                <w:b w:val="0"/>
                <w:bCs w:val="0"/>
                <w:color w:val="767171"/>
              </w:rPr>
              <w:t>RESUMEN EJECUTIVO</w:t>
            </w:r>
            <w:r w:rsidRPr="0064264A">
              <w:rPr>
                <w:webHidden/>
                <w:color w:val="767171"/>
              </w:rPr>
              <w:tab/>
            </w:r>
            <w:r w:rsidRPr="0064264A">
              <w:rPr>
                <w:webHidden/>
                <w:color w:val="767171"/>
              </w:rPr>
              <w:fldChar w:fldCharType="begin"/>
            </w:r>
            <w:r w:rsidRPr="0064264A">
              <w:rPr>
                <w:webHidden/>
                <w:color w:val="767171"/>
              </w:rPr>
              <w:instrText xml:space="preserve"> PAGEREF _Toc217386279 \h </w:instrText>
            </w:r>
            <w:r w:rsidRPr="0064264A">
              <w:rPr>
                <w:webHidden/>
                <w:color w:val="767171"/>
              </w:rPr>
            </w:r>
            <w:r w:rsidRPr="0064264A">
              <w:rPr>
                <w:webHidden/>
                <w:color w:val="767171"/>
              </w:rPr>
              <w:fldChar w:fldCharType="separate"/>
            </w:r>
            <w:r w:rsidRPr="0064264A">
              <w:rPr>
                <w:webHidden/>
                <w:color w:val="767171"/>
              </w:rPr>
              <w:t>3</w:t>
            </w:r>
            <w:r w:rsidRPr="0064264A">
              <w:rPr>
                <w:webHidden/>
                <w:color w:val="767171"/>
              </w:rPr>
              <w:fldChar w:fldCharType="end"/>
            </w:r>
          </w:hyperlink>
        </w:p>
        <w:p w14:paraId="54D281B3" w14:textId="312DE0DF" w:rsidR="008B3000" w:rsidRPr="0064264A" w:rsidRDefault="008B3000" w:rsidP="00791542">
          <w:pPr>
            <w:pStyle w:val="TOC1"/>
            <w:rPr>
              <w:rFonts w:eastAsiaTheme="minorEastAsia"/>
              <w:color w:val="767171"/>
              <w:spacing w:val="0"/>
              <w:kern w:val="2"/>
              <w:lang w:eastAsia="es-DO"/>
              <w14:ligatures w14:val="standardContextual"/>
            </w:rPr>
          </w:pPr>
          <w:hyperlink w:anchor="_Toc217386280" w:history="1">
            <w:r w:rsidRPr="0064264A">
              <w:rPr>
                <w:rStyle w:val="Hyperlink"/>
                <w:color w:val="767171"/>
              </w:rPr>
              <w:t>II. INFORMACIÓN INSTITUCIONAL</w:t>
            </w:r>
            <w:r w:rsidRPr="0064264A">
              <w:rPr>
                <w:webHidden/>
                <w:color w:val="767171"/>
              </w:rPr>
              <w:tab/>
            </w:r>
            <w:r w:rsidRPr="0064264A">
              <w:rPr>
                <w:webHidden/>
                <w:color w:val="767171"/>
              </w:rPr>
              <w:fldChar w:fldCharType="begin"/>
            </w:r>
            <w:r w:rsidRPr="0064264A">
              <w:rPr>
                <w:webHidden/>
                <w:color w:val="767171"/>
              </w:rPr>
              <w:instrText xml:space="preserve"> PAGEREF _Toc217386280 \h </w:instrText>
            </w:r>
            <w:r w:rsidRPr="0064264A">
              <w:rPr>
                <w:webHidden/>
                <w:color w:val="767171"/>
              </w:rPr>
            </w:r>
            <w:r w:rsidRPr="0064264A">
              <w:rPr>
                <w:webHidden/>
                <w:color w:val="767171"/>
              </w:rPr>
              <w:fldChar w:fldCharType="separate"/>
            </w:r>
            <w:r w:rsidRPr="0064264A">
              <w:rPr>
                <w:webHidden/>
                <w:color w:val="767171"/>
              </w:rPr>
              <w:t>7</w:t>
            </w:r>
            <w:r w:rsidRPr="0064264A">
              <w:rPr>
                <w:webHidden/>
                <w:color w:val="767171"/>
              </w:rPr>
              <w:fldChar w:fldCharType="end"/>
            </w:r>
          </w:hyperlink>
        </w:p>
        <w:p w14:paraId="2AC6824D" w14:textId="2ABF52D0" w:rsidR="008B3000" w:rsidRPr="0064264A" w:rsidRDefault="008B3000">
          <w:pPr>
            <w:pStyle w:val="TOC2"/>
            <w:rPr>
              <w:rFonts w:eastAsiaTheme="minorEastAsia"/>
              <w:color w:val="767171"/>
              <w:kern w:val="2"/>
              <w:lang w:eastAsia="es-DO"/>
              <w14:ligatures w14:val="standardContextual"/>
            </w:rPr>
          </w:pPr>
          <w:hyperlink w:anchor="_Toc217386281" w:history="1">
            <w:r w:rsidRPr="0064264A">
              <w:rPr>
                <w:rStyle w:val="Hyperlink"/>
                <w:rFonts w:eastAsia="Calibri"/>
                <w:color w:val="767171"/>
              </w:rPr>
              <w:t>2.1 Marco filosófico institucional</w:t>
            </w:r>
            <w:r w:rsidRPr="0064264A">
              <w:rPr>
                <w:webHidden/>
                <w:color w:val="767171"/>
              </w:rPr>
              <w:tab/>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_Toc217386281 \h </w:instrText>
            </w:r>
            <w:r w:rsidRPr="0064264A">
              <w:rPr>
                <w:webHidden/>
                <w:color w:val="767171"/>
              </w:rPr>
            </w:r>
            <w:r w:rsidRPr="0064264A">
              <w:rPr>
                <w:webHidden/>
                <w:color w:val="767171"/>
              </w:rPr>
              <w:fldChar w:fldCharType="separate"/>
            </w:r>
            <w:r w:rsidRPr="0064264A">
              <w:rPr>
                <w:webHidden/>
                <w:color w:val="767171"/>
              </w:rPr>
              <w:t>7</w:t>
            </w:r>
            <w:r w:rsidRPr="0064264A">
              <w:rPr>
                <w:webHidden/>
                <w:color w:val="767171"/>
              </w:rPr>
              <w:fldChar w:fldCharType="end"/>
            </w:r>
          </w:hyperlink>
        </w:p>
        <w:p w14:paraId="1C818862" w14:textId="5432157E" w:rsidR="008B3000" w:rsidRPr="0064264A" w:rsidRDefault="008B3000">
          <w:pPr>
            <w:pStyle w:val="TOC3"/>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217386282" w:history="1">
            <w:r w:rsidRPr="0064264A">
              <w:rPr>
                <w:rStyle w:val="Hyperlink"/>
                <w:rFonts w:ascii="Times New Roman" w:eastAsia="Calibri" w:hAnsi="Times New Roman" w:cs="Times New Roman"/>
                <w:noProof/>
                <w:color w:val="767171"/>
                <w:sz w:val="24"/>
                <w:szCs w:val="24"/>
              </w:rPr>
              <w:t>2.2 Objetivos y Estrategias Institucionales</w:t>
            </w:r>
            <w:r w:rsidRPr="0064264A">
              <w:rPr>
                <w:rFonts w:ascii="Times New Roman" w:hAnsi="Times New Roman" w:cs="Times New Roman"/>
                <w:noProof/>
                <w:webHidden/>
                <w:color w:val="767171"/>
                <w:sz w:val="24"/>
                <w:szCs w:val="24"/>
              </w:rPr>
              <w:tab/>
            </w:r>
            <w:r w:rsidR="00791542" w:rsidRPr="0064264A">
              <w:rPr>
                <w:rFonts w:ascii="Times New Roman" w:hAnsi="Times New Roman" w:cs="Times New Roman"/>
                <w:noProof/>
                <w:webHidden/>
                <w:color w:val="767171"/>
                <w:sz w:val="24"/>
                <w:szCs w:val="24"/>
              </w:rPr>
              <w:t>..</w:t>
            </w:r>
            <w:r w:rsidRPr="0064264A">
              <w:rPr>
                <w:rFonts w:ascii="Times New Roman" w:hAnsi="Times New Roman" w:cs="Times New Roman"/>
                <w:noProof/>
                <w:webHidden/>
                <w:color w:val="767171"/>
                <w:sz w:val="24"/>
                <w:szCs w:val="24"/>
              </w:rPr>
              <w:fldChar w:fldCharType="begin"/>
            </w:r>
            <w:r w:rsidRPr="0064264A">
              <w:rPr>
                <w:rFonts w:ascii="Times New Roman" w:hAnsi="Times New Roman" w:cs="Times New Roman"/>
                <w:noProof/>
                <w:webHidden/>
                <w:color w:val="767171"/>
                <w:sz w:val="24"/>
                <w:szCs w:val="24"/>
              </w:rPr>
              <w:instrText xml:space="preserve"> PAGEREF _Toc217386282 \h </w:instrText>
            </w:r>
            <w:r w:rsidRPr="0064264A">
              <w:rPr>
                <w:rFonts w:ascii="Times New Roman" w:hAnsi="Times New Roman" w:cs="Times New Roman"/>
                <w:noProof/>
                <w:webHidden/>
                <w:color w:val="767171"/>
                <w:sz w:val="24"/>
                <w:szCs w:val="24"/>
              </w:rPr>
            </w:r>
            <w:r w:rsidRPr="0064264A">
              <w:rPr>
                <w:rFonts w:ascii="Times New Roman" w:hAnsi="Times New Roman" w:cs="Times New Roman"/>
                <w:noProof/>
                <w:webHidden/>
                <w:color w:val="767171"/>
                <w:sz w:val="24"/>
                <w:szCs w:val="24"/>
              </w:rPr>
              <w:fldChar w:fldCharType="separate"/>
            </w:r>
            <w:r w:rsidRPr="0064264A">
              <w:rPr>
                <w:rFonts w:ascii="Times New Roman" w:hAnsi="Times New Roman" w:cs="Times New Roman"/>
                <w:noProof/>
                <w:webHidden/>
                <w:color w:val="767171"/>
                <w:sz w:val="24"/>
                <w:szCs w:val="24"/>
              </w:rPr>
              <w:t>8</w:t>
            </w:r>
            <w:r w:rsidRPr="0064264A">
              <w:rPr>
                <w:rFonts w:ascii="Times New Roman" w:hAnsi="Times New Roman" w:cs="Times New Roman"/>
                <w:noProof/>
                <w:webHidden/>
                <w:color w:val="767171"/>
                <w:sz w:val="24"/>
                <w:szCs w:val="24"/>
              </w:rPr>
              <w:fldChar w:fldCharType="end"/>
            </w:r>
          </w:hyperlink>
        </w:p>
        <w:p w14:paraId="3059EB39" w14:textId="08E76EA5" w:rsidR="008B3000" w:rsidRPr="0064264A" w:rsidRDefault="008B3000">
          <w:pPr>
            <w:pStyle w:val="TOC2"/>
            <w:rPr>
              <w:rFonts w:eastAsiaTheme="minorEastAsia"/>
              <w:color w:val="767171"/>
              <w:kern w:val="2"/>
              <w:lang w:eastAsia="es-DO"/>
              <w14:ligatures w14:val="standardContextual"/>
            </w:rPr>
          </w:pPr>
          <w:hyperlink w:anchor="_Toc217386283" w:history="1">
            <w:r w:rsidRPr="0064264A">
              <w:rPr>
                <w:rStyle w:val="Hyperlink"/>
                <w:rFonts w:eastAsia="Calibri"/>
                <w:color w:val="767171"/>
              </w:rPr>
              <w:t>2.3 Marco legal</w:t>
            </w:r>
            <w:r w:rsidRPr="0064264A">
              <w:rPr>
                <w:webHidden/>
                <w:color w:val="767171"/>
              </w:rPr>
              <w:tab/>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_Toc217386283 \h </w:instrText>
            </w:r>
            <w:r w:rsidRPr="0064264A">
              <w:rPr>
                <w:webHidden/>
                <w:color w:val="767171"/>
              </w:rPr>
            </w:r>
            <w:r w:rsidRPr="0064264A">
              <w:rPr>
                <w:webHidden/>
                <w:color w:val="767171"/>
              </w:rPr>
              <w:fldChar w:fldCharType="separate"/>
            </w:r>
            <w:r w:rsidRPr="0064264A">
              <w:rPr>
                <w:webHidden/>
                <w:color w:val="767171"/>
              </w:rPr>
              <w:t>13</w:t>
            </w:r>
            <w:r w:rsidRPr="0064264A">
              <w:rPr>
                <w:webHidden/>
                <w:color w:val="767171"/>
              </w:rPr>
              <w:fldChar w:fldCharType="end"/>
            </w:r>
          </w:hyperlink>
        </w:p>
        <w:p w14:paraId="04A1B876" w14:textId="4C1B98D5" w:rsidR="008B3000" w:rsidRPr="0064264A" w:rsidRDefault="008B3000">
          <w:pPr>
            <w:pStyle w:val="TOC2"/>
            <w:rPr>
              <w:rFonts w:eastAsiaTheme="minorEastAsia"/>
              <w:color w:val="767171"/>
              <w:kern w:val="2"/>
              <w:lang w:eastAsia="es-DO"/>
              <w14:ligatures w14:val="standardContextual"/>
            </w:rPr>
          </w:pPr>
          <w:hyperlink w:anchor="_Toc217386284" w:history="1">
            <w:r w:rsidRPr="0064264A">
              <w:rPr>
                <w:rStyle w:val="Hyperlink"/>
                <w:rFonts w:eastAsia="Calibri"/>
                <w:color w:val="767171"/>
              </w:rPr>
              <w:t>2.5 Planificación estratégica institucional</w:t>
            </w:r>
            <w:r w:rsidRPr="0064264A">
              <w:rPr>
                <w:webHidden/>
                <w:color w:val="767171"/>
              </w:rPr>
              <w:tab/>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_Toc217386284 \h </w:instrText>
            </w:r>
            <w:r w:rsidRPr="0064264A">
              <w:rPr>
                <w:webHidden/>
                <w:color w:val="767171"/>
              </w:rPr>
            </w:r>
            <w:r w:rsidRPr="0064264A">
              <w:rPr>
                <w:webHidden/>
                <w:color w:val="767171"/>
              </w:rPr>
              <w:fldChar w:fldCharType="separate"/>
            </w:r>
            <w:r w:rsidRPr="0064264A">
              <w:rPr>
                <w:webHidden/>
                <w:color w:val="767171"/>
              </w:rPr>
              <w:t>1</w:t>
            </w:r>
            <w:r w:rsidRPr="0064264A">
              <w:rPr>
                <w:webHidden/>
                <w:color w:val="767171"/>
              </w:rPr>
              <w:fldChar w:fldCharType="end"/>
            </w:r>
          </w:hyperlink>
          <w:r w:rsidR="00791542" w:rsidRPr="0064264A">
            <w:rPr>
              <w:rStyle w:val="Hyperlink"/>
              <w:color w:val="767171"/>
            </w:rPr>
            <w:t>3</w:t>
          </w:r>
        </w:p>
        <w:p w14:paraId="4B2E36AC" w14:textId="76119323" w:rsidR="008B3000" w:rsidRPr="0064264A" w:rsidRDefault="008B3000" w:rsidP="00791542">
          <w:pPr>
            <w:pStyle w:val="TOC1"/>
            <w:rPr>
              <w:rFonts w:eastAsiaTheme="minorEastAsia"/>
              <w:color w:val="767171"/>
              <w:spacing w:val="0"/>
              <w:kern w:val="2"/>
              <w:lang w:eastAsia="es-DO"/>
              <w14:ligatures w14:val="standardContextual"/>
            </w:rPr>
          </w:pPr>
          <w:hyperlink w:anchor="_Toc217386285" w:history="1">
            <w:r w:rsidRPr="0064264A">
              <w:rPr>
                <w:rStyle w:val="Hyperlink"/>
                <w:b w:val="0"/>
                <w:bCs w:val="0"/>
                <w:color w:val="767171"/>
              </w:rPr>
              <w:t>3.1 Información cuantitativa, cualitativa e indicadores de los procesos Misionales</w:t>
            </w:r>
            <w:r w:rsidR="00791542" w:rsidRPr="0064264A">
              <w:rPr>
                <w:rStyle w:val="Hyperlink"/>
                <w:color w:val="767171"/>
              </w:rPr>
              <w:t>…</w:t>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_Toc217386285 \h </w:instrText>
            </w:r>
            <w:r w:rsidRPr="0064264A">
              <w:rPr>
                <w:webHidden/>
                <w:color w:val="767171"/>
              </w:rPr>
            </w:r>
            <w:r w:rsidRPr="0064264A">
              <w:rPr>
                <w:webHidden/>
                <w:color w:val="767171"/>
              </w:rPr>
              <w:fldChar w:fldCharType="separate"/>
            </w:r>
            <w:r w:rsidRPr="0064264A">
              <w:rPr>
                <w:webHidden/>
                <w:color w:val="767171"/>
              </w:rPr>
              <w:t>3</w:t>
            </w:r>
            <w:r w:rsidRPr="0064264A">
              <w:rPr>
                <w:webHidden/>
                <w:color w:val="767171"/>
              </w:rPr>
              <w:fldChar w:fldCharType="end"/>
            </w:r>
          </w:hyperlink>
        </w:p>
        <w:p w14:paraId="46F439FA" w14:textId="09082C64" w:rsidR="008B3000" w:rsidRPr="0064264A" w:rsidRDefault="008B3000" w:rsidP="00791542">
          <w:pPr>
            <w:pStyle w:val="TOC1"/>
            <w:rPr>
              <w:rFonts w:eastAsiaTheme="minorEastAsia"/>
              <w:color w:val="767171"/>
              <w:spacing w:val="0"/>
              <w:kern w:val="2"/>
              <w:lang w:eastAsia="es-DO"/>
              <w14:ligatures w14:val="standardContextual"/>
            </w:rPr>
          </w:pPr>
          <w:hyperlink w:anchor="_Toc217386286" w:history="1">
            <w:r w:rsidRPr="0064264A">
              <w:rPr>
                <w:rStyle w:val="Hyperlink"/>
                <w:b w:val="0"/>
                <w:bCs w:val="0"/>
                <w:color w:val="767171"/>
              </w:rPr>
              <w:t>Logros institucionales en el 2025</w:t>
            </w:r>
            <w:r w:rsidRPr="0064264A">
              <w:rPr>
                <w:webHidden/>
                <w:color w:val="767171"/>
              </w:rPr>
              <w:tab/>
            </w:r>
            <w:r w:rsidRPr="0064264A">
              <w:rPr>
                <w:webHidden/>
                <w:color w:val="767171"/>
              </w:rPr>
              <w:fldChar w:fldCharType="begin"/>
            </w:r>
            <w:r w:rsidRPr="0064264A">
              <w:rPr>
                <w:webHidden/>
                <w:color w:val="767171"/>
              </w:rPr>
              <w:instrText xml:space="preserve"> PAGEREF _Toc217386286 \h </w:instrText>
            </w:r>
            <w:r w:rsidRPr="0064264A">
              <w:rPr>
                <w:webHidden/>
                <w:color w:val="767171"/>
              </w:rPr>
            </w:r>
            <w:r w:rsidRPr="0064264A">
              <w:rPr>
                <w:webHidden/>
                <w:color w:val="767171"/>
              </w:rPr>
              <w:fldChar w:fldCharType="separate"/>
            </w:r>
            <w:r w:rsidRPr="0064264A">
              <w:rPr>
                <w:webHidden/>
                <w:color w:val="767171"/>
              </w:rPr>
              <w:t>9</w:t>
            </w:r>
            <w:r w:rsidRPr="0064264A">
              <w:rPr>
                <w:webHidden/>
                <w:color w:val="767171"/>
              </w:rPr>
              <w:fldChar w:fldCharType="end"/>
            </w:r>
          </w:hyperlink>
        </w:p>
        <w:p w14:paraId="22610F54" w14:textId="02A24074" w:rsidR="008B3000" w:rsidRPr="0064264A" w:rsidRDefault="008B3000" w:rsidP="00791542">
          <w:pPr>
            <w:pStyle w:val="TOC1"/>
            <w:rPr>
              <w:rFonts w:eastAsiaTheme="minorEastAsia"/>
              <w:color w:val="767171"/>
              <w:spacing w:val="0"/>
              <w:kern w:val="2"/>
              <w:lang w:eastAsia="es-DO"/>
              <w14:ligatures w14:val="standardContextual"/>
            </w:rPr>
          </w:pPr>
          <w:hyperlink w:anchor="_Toc217386287" w:history="1">
            <w:r w:rsidRPr="0064264A">
              <w:rPr>
                <w:rStyle w:val="Hyperlink"/>
                <w:color w:val="767171"/>
              </w:rPr>
              <w:t>IV. RESULTADOS ÁREAS TRANSVERSALES Y DE APOYO</w:t>
            </w:r>
            <w:r w:rsidRPr="0064264A">
              <w:rPr>
                <w:webHidden/>
                <w:color w:val="767171"/>
              </w:rPr>
              <w:tab/>
            </w:r>
            <w:r w:rsidRPr="0064264A">
              <w:rPr>
                <w:webHidden/>
                <w:color w:val="767171"/>
              </w:rPr>
              <w:fldChar w:fldCharType="begin"/>
            </w:r>
            <w:r w:rsidRPr="0064264A">
              <w:rPr>
                <w:webHidden/>
                <w:color w:val="767171"/>
              </w:rPr>
              <w:instrText xml:space="preserve"> PAGEREF _Toc217386287 \h </w:instrText>
            </w:r>
            <w:r w:rsidRPr="0064264A">
              <w:rPr>
                <w:webHidden/>
                <w:color w:val="767171"/>
              </w:rPr>
            </w:r>
            <w:r w:rsidRPr="0064264A">
              <w:rPr>
                <w:webHidden/>
                <w:color w:val="767171"/>
              </w:rPr>
              <w:fldChar w:fldCharType="separate"/>
            </w:r>
            <w:r w:rsidRPr="0064264A">
              <w:rPr>
                <w:webHidden/>
                <w:color w:val="767171"/>
              </w:rPr>
              <w:t>12</w:t>
            </w:r>
            <w:r w:rsidRPr="0064264A">
              <w:rPr>
                <w:webHidden/>
                <w:color w:val="767171"/>
              </w:rPr>
              <w:fldChar w:fldCharType="end"/>
            </w:r>
          </w:hyperlink>
        </w:p>
        <w:p w14:paraId="0095C563" w14:textId="072D7C11" w:rsidR="008B3000" w:rsidRPr="0064264A" w:rsidRDefault="008B3000" w:rsidP="00791542">
          <w:pPr>
            <w:pStyle w:val="TOC1"/>
            <w:rPr>
              <w:rFonts w:eastAsiaTheme="minorEastAsia"/>
              <w:color w:val="767171"/>
              <w:spacing w:val="0"/>
              <w:kern w:val="2"/>
              <w:lang w:eastAsia="es-DO"/>
              <w14:ligatures w14:val="standardContextual"/>
            </w:rPr>
          </w:pPr>
          <w:hyperlink w:anchor="_Toc217386288" w:history="1">
            <w:r w:rsidRPr="0064264A">
              <w:rPr>
                <w:rStyle w:val="Hyperlink"/>
                <w:b w:val="0"/>
                <w:bCs w:val="0"/>
                <w:color w:val="767171"/>
              </w:rPr>
              <w:t>4.1 Desempeño Área Administrativa y Financiera</w:t>
            </w:r>
            <w:r w:rsidRPr="0064264A">
              <w:rPr>
                <w:webHidden/>
                <w:color w:val="767171"/>
              </w:rPr>
              <w:tab/>
            </w:r>
            <w:r w:rsidRPr="0064264A">
              <w:rPr>
                <w:b w:val="0"/>
                <w:bCs w:val="0"/>
                <w:webHidden/>
                <w:color w:val="767171"/>
              </w:rPr>
              <w:fldChar w:fldCharType="begin"/>
            </w:r>
            <w:r w:rsidRPr="0064264A">
              <w:rPr>
                <w:b w:val="0"/>
                <w:bCs w:val="0"/>
                <w:webHidden/>
                <w:color w:val="767171"/>
              </w:rPr>
              <w:instrText xml:space="preserve"> PAGEREF _Toc217386288 \h </w:instrText>
            </w:r>
            <w:r w:rsidRPr="0064264A">
              <w:rPr>
                <w:b w:val="0"/>
                <w:bCs w:val="0"/>
                <w:webHidden/>
                <w:color w:val="767171"/>
              </w:rPr>
            </w:r>
            <w:r w:rsidRPr="0064264A">
              <w:rPr>
                <w:b w:val="0"/>
                <w:bCs w:val="0"/>
                <w:webHidden/>
                <w:color w:val="767171"/>
              </w:rPr>
              <w:fldChar w:fldCharType="separate"/>
            </w:r>
            <w:r w:rsidRPr="0064264A">
              <w:rPr>
                <w:b w:val="0"/>
                <w:bCs w:val="0"/>
                <w:webHidden/>
                <w:color w:val="767171"/>
              </w:rPr>
              <w:t>12</w:t>
            </w:r>
            <w:r w:rsidRPr="0064264A">
              <w:rPr>
                <w:b w:val="0"/>
                <w:bCs w:val="0"/>
                <w:webHidden/>
                <w:color w:val="767171"/>
              </w:rPr>
              <w:fldChar w:fldCharType="end"/>
            </w:r>
          </w:hyperlink>
        </w:p>
        <w:p w14:paraId="0CC21F77" w14:textId="19B9E03C" w:rsidR="008B3000" w:rsidRPr="0064264A" w:rsidRDefault="008B3000">
          <w:pPr>
            <w:pStyle w:val="TOC2"/>
            <w:rPr>
              <w:rFonts w:eastAsiaTheme="minorEastAsia"/>
              <w:color w:val="767171"/>
              <w:kern w:val="2"/>
              <w:lang w:eastAsia="es-DO"/>
              <w14:ligatures w14:val="standardContextual"/>
            </w:rPr>
          </w:pPr>
          <w:hyperlink w:anchor="_Toc217386289" w:history="1">
            <w:r w:rsidRPr="0064264A">
              <w:rPr>
                <w:rStyle w:val="Hyperlink"/>
                <w:rFonts w:eastAsia="Calibri"/>
                <w:color w:val="767171"/>
              </w:rPr>
              <w:t>Ingresos Corrientes</w:t>
            </w:r>
            <w:r w:rsidRPr="0064264A">
              <w:rPr>
                <w:webHidden/>
                <w:color w:val="767171"/>
              </w:rPr>
              <w:tab/>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_Toc217386289 \h </w:instrText>
            </w:r>
            <w:r w:rsidRPr="0064264A">
              <w:rPr>
                <w:webHidden/>
                <w:color w:val="767171"/>
              </w:rPr>
            </w:r>
            <w:r w:rsidRPr="0064264A">
              <w:rPr>
                <w:webHidden/>
                <w:color w:val="767171"/>
              </w:rPr>
              <w:fldChar w:fldCharType="separate"/>
            </w:r>
            <w:r w:rsidRPr="0064264A">
              <w:rPr>
                <w:webHidden/>
                <w:color w:val="767171"/>
              </w:rPr>
              <w:t>12</w:t>
            </w:r>
            <w:r w:rsidRPr="0064264A">
              <w:rPr>
                <w:webHidden/>
                <w:color w:val="767171"/>
              </w:rPr>
              <w:fldChar w:fldCharType="end"/>
            </w:r>
          </w:hyperlink>
        </w:p>
        <w:p w14:paraId="0E3DCA10" w14:textId="4D5D0446" w:rsidR="008B3000" w:rsidRPr="0064264A" w:rsidRDefault="008B3000">
          <w:pPr>
            <w:pStyle w:val="TOC2"/>
            <w:rPr>
              <w:rFonts w:eastAsiaTheme="minorEastAsia"/>
              <w:color w:val="767171"/>
              <w:kern w:val="2"/>
              <w:lang w:eastAsia="es-DO"/>
              <w14:ligatures w14:val="standardContextual"/>
            </w:rPr>
          </w:pPr>
          <w:hyperlink w:anchor="_Toc217386290" w:history="1">
            <w:r w:rsidRPr="0064264A">
              <w:rPr>
                <w:rStyle w:val="Hyperlink"/>
                <w:rFonts w:eastAsia="Calibri"/>
                <w:color w:val="767171"/>
              </w:rPr>
              <w:t>Gastos Generales y Administrativos</w:t>
            </w:r>
            <w:r w:rsidRPr="0064264A">
              <w:rPr>
                <w:webHidden/>
                <w:color w:val="767171"/>
              </w:rPr>
              <w:tab/>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_Toc217386290 \h </w:instrText>
            </w:r>
            <w:r w:rsidRPr="0064264A">
              <w:rPr>
                <w:webHidden/>
                <w:color w:val="767171"/>
              </w:rPr>
            </w:r>
            <w:r w:rsidRPr="0064264A">
              <w:rPr>
                <w:webHidden/>
                <w:color w:val="767171"/>
              </w:rPr>
              <w:fldChar w:fldCharType="separate"/>
            </w:r>
            <w:r w:rsidRPr="0064264A">
              <w:rPr>
                <w:webHidden/>
                <w:color w:val="767171"/>
              </w:rPr>
              <w:t>14</w:t>
            </w:r>
            <w:r w:rsidRPr="0064264A">
              <w:rPr>
                <w:webHidden/>
                <w:color w:val="767171"/>
              </w:rPr>
              <w:fldChar w:fldCharType="end"/>
            </w:r>
          </w:hyperlink>
        </w:p>
        <w:p w14:paraId="737D7EC5" w14:textId="7396CD40" w:rsidR="008B3000" w:rsidRPr="0064264A" w:rsidRDefault="008B3000">
          <w:pPr>
            <w:pStyle w:val="TOC2"/>
            <w:rPr>
              <w:rFonts w:eastAsiaTheme="minorEastAsia"/>
              <w:color w:val="767171"/>
              <w:kern w:val="2"/>
              <w:lang w:eastAsia="es-DO"/>
              <w14:ligatures w14:val="standardContextual"/>
            </w:rPr>
          </w:pPr>
          <w:hyperlink w:anchor="_Toc217386291" w:history="1">
            <w:r w:rsidRPr="0064264A">
              <w:rPr>
                <w:rStyle w:val="Hyperlink"/>
                <w:rFonts w:eastAsia="Calibri"/>
                <w:color w:val="767171"/>
              </w:rPr>
              <w:t>Costos y Gastos Financieros</w:t>
            </w:r>
            <w:r w:rsidRPr="0064264A">
              <w:rPr>
                <w:webHidden/>
                <w:color w:val="767171"/>
              </w:rPr>
              <w:tab/>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_Toc217386291 \h </w:instrText>
            </w:r>
            <w:r w:rsidRPr="0064264A">
              <w:rPr>
                <w:webHidden/>
                <w:color w:val="767171"/>
              </w:rPr>
            </w:r>
            <w:r w:rsidRPr="0064264A">
              <w:rPr>
                <w:webHidden/>
                <w:color w:val="767171"/>
              </w:rPr>
              <w:fldChar w:fldCharType="separate"/>
            </w:r>
            <w:r w:rsidRPr="0064264A">
              <w:rPr>
                <w:webHidden/>
                <w:color w:val="767171"/>
              </w:rPr>
              <w:t>15</w:t>
            </w:r>
            <w:r w:rsidRPr="0064264A">
              <w:rPr>
                <w:webHidden/>
                <w:color w:val="767171"/>
              </w:rPr>
              <w:fldChar w:fldCharType="end"/>
            </w:r>
          </w:hyperlink>
        </w:p>
        <w:p w14:paraId="3075418B" w14:textId="019F45EC" w:rsidR="008B3000" w:rsidRPr="0064264A" w:rsidRDefault="008B3000" w:rsidP="00791542">
          <w:pPr>
            <w:pStyle w:val="TOC1"/>
            <w:rPr>
              <w:rFonts w:eastAsiaTheme="minorEastAsia"/>
              <w:b w:val="0"/>
              <w:bCs w:val="0"/>
              <w:color w:val="767171"/>
              <w:spacing w:val="0"/>
              <w:kern w:val="2"/>
              <w:lang w:eastAsia="es-DO"/>
              <w14:ligatures w14:val="standardContextual"/>
            </w:rPr>
          </w:pPr>
          <w:hyperlink w:anchor="_Toc217386292" w:history="1">
            <w:r w:rsidRPr="0064264A">
              <w:rPr>
                <w:rStyle w:val="Hyperlink"/>
                <w:b w:val="0"/>
                <w:bCs w:val="0"/>
                <w:color w:val="767171"/>
              </w:rPr>
              <w:t>4.2 Desempeño de los Recursos Humanos</w:t>
            </w:r>
            <w:r w:rsidRPr="0064264A">
              <w:rPr>
                <w:b w:val="0"/>
                <w:bCs w:val="0"/>
                <w:webHidden/>
                <w:color w:val="767171"/>
              </w:rPr>
              <w:tab/>
            </w:r>
            <w:r w:rsidRPr="0064264A">
              <w:rPr>
                <w:b w:val="0"/>
                <w:bCs w:val="0"/>
                <w:webHidden/>
                <w:color w:val="767171"/>
              </w:rPr>
              <w:fldChar w:fldCharType="begin"/>
            </w:r>
            <w:r w:rsidRPr="0064264A">
              <w:rPr>
                <w:b w:val="0"/>
                <w:bCs w:val="0"/>
                <w:webHidden/>
                <w:color w:val="767171"/>
              </w:rPr>
              <w:instrText xml:space="preserve"> PAGEREF _Toc217386292 \h </w:instrText>
            </w:r>
            <w:r w:rsidRPr="0064264A">
              <w:rPr>
                <w:b w:val="0"/>
                <w:bCs w:val="0"/>
                <w:webHidden/>
                <w:color w:val="767171"/>
              </w:rPr>
            </w:r>
            <w:r w:rsidRPr="0064264A">
              <w:rPr>
                <w:b w:val="0"/>
                <w:bCs w:val="0"/>
                <w:webHidden/>
                <w:color w:val="767171"/>
              </w:rPr>
              <w:fldChar w:fldCharType="separate"/>
            </w:r>
            <w:r w:rsidRPr="0064264A">
              <w:rPr>
                <w:b w:val="0"/>
                <w:bCs w:val="0"/>
                <w:webHidden/>
                <w:color w:val="767171"/>
              </w:rPr>
              <w:t>18</w:t>
            </w:r>
            <w:r w:rsidRPr="0064264A">
              <w:rPr>
                <w:b w:val="0"/>
                <w:bCs w:val="0"/>
                <w:webHidden/>
                <w:color w:val="767171"/>
              </w:rPr>
              <w:fldChar w:fldCharType="end"/>
            </w:r>
          </w:hyperlink>
        </w:p>
        <w:p w14:paraId="1D603802" w14:textId="74EFB035" w:rsidR="008B3000" w:rsidRPr="0064264A" w:rsidRDefault="008B3000" w:rsidP="00791542">
          <w:pPr>
            <w:pStyle w:val="TOC1"/>
            <w:rPr>
              <w:rFonts w:eastAsiaTheme="minorEastAsia"/>
              <w:b w:val="0"/>
              <w:bCs w:val="0"/>
              <w:color w:val="767171"/>
              <w:spacing w:val="0"/>
              <w:kern w:val="2"/>
              <w:lang w:eastAsia="es-DO"/>
              <w14:ligatures w14:val="standardContextual"/>
            </w:rPr>
          </w:pPr>
          <w:hyperlink w:anchor="_Toc217386293" w:history="1">
            <w:r w:rsidRPr="0064264A">
              <w:rPr>
                <w:rStyle w:val="Hyperlink"/>
                <w:b w:val="0"/>
                <w:bCs w:val="0"/>
                <w:color w:val="767171"/>
              </w:rPr>
              <w:t>4.3 Desempeño de los Procesos Jurídicos</w:t>
            </w:r>
            <w:r w:rsidRPr="0064264A">
              <w:rPr>
                <w:b w:val="0"/>
                <w:bCs w:val="0"/>
                <w:webHidden/>
                <w:color w:val="767171"/>
              </w:rPr>
              <w:tab/>
            </w:r>
            <w:r w:rsidRPr="0064264A">
              <w:rPr>
                <w:b w:val="0"/>
                <w:bCs w:val="0"/>
                <w:webHidden/>
                <w:color w:val="767171"/>
              </w:rPr>
              <w:fldChar w:fldCharType="begin"/>
            </w:r>
            <w:r w:rsidRPr="0064264A">
              <w:rPr>
                <w:b w:val="0"/>
                <w:bCs w:val="0"/>
                <w:webHidden/>
                <w:color w:val="767171"/>
              </w:rPr>
              <w:instrText xml:space="preserve"> PAGEREF _Toc217386293 \h </w:instrText>
            </w:r>
            <w:r w:rsidRPr="0064264A">
              <w:rPr>
                <w:b w:val="0"/>
                <w:bCs w:val="0"/>
                <w:webHidden/>
                <w:color w:val="767171"/>
              </w:rPr>
            </w:r>
            <w:r w:rsidRPr="0064264A">
              <w:rPr>
                <w:b w:val="0"/>
                <w:bCs w:val="0"/>
                <w:webHidden/>
                <w:color w:val="767171"/>
              </w:rPr>
              <w:fldChar w:fldCharType="separate"/>
            </w:r>
            <w:r w:rsidRPr="0064264A">
              <w:rPr>
                <w:b w:val="0"/>
                <w:bCs w:val="0"/>
                <w:webHidden/>
                <w:color w:val="767171"/>
              </w:rPr>
              <w:t>35</w:t>
            </w:r>
            <w:r w:rsidRPr="0064264A">
              <w:rPr>
                <w:b w:val="0"/>
                <w:bCs w:val="0"/>
                <w:webHidden/>
                <w:color w:val="767171"/>
              </w:rPr>
              <w:fldChar w:fldCharType="end"/>
            </w:r>
          </w:hyperlink>
        </w:p>
        <w:p w14:paraId="0F515549" w14:textId="225C1A5B" w:rsidR="008B3000" w:rsidRPr="0064264A" w:rsidRDefault="008B3000" w:rsidP="00791542">
          <w:pPr>
            <w:pStyle w:val="TOC1"/>
            <w:rPr>
              <w:rFonts w:eastAsiaTheme="minorEastAsia"/>
              <w:color w:val="767171"/>
              <w:spacing w:val="0"/>
              <w:kern w:val="2"/>
              <w:lang w:eastAsia="es-DO"/>
              <w14:ligatures w14:val="standardContextual"/>
            </w:rPr>
          </w:pPr>
          <w:hyperlink w:anchor="_Toc217386294" w:history="1">
            <w:r w:rsidRPr="0064264A">
              <w:rPr>
                <w:rStyle w:val="Hyperlink"/>
                <w:b w:val="0"/>
                <w:bCs w:val="0"/>
                <w:color w:val="767171"/>
              </w:rPr>
              <w:t>4.4 Desempeño de la Tecnología</w:t>
            </w:r>
            <w:r w:rsidRPr="0064264A">
              <w:rPr>
                <w:b w:val="0"/>
                <w:bCs w:val="0"/>
                <w:webHidden/>
                <w:color w:val="767171"/>
              </w:rPr>
              <w:tab/>
            </w:r>
            <w:r w:rsidRPr="0064264A">
              <w:rPr>
                <w:b w:val="0"/>
                <w:bCs w:val="0"/>
                <w:webHidden/>
                <w:color w:val="767171"/>
              </w:rPr>
              <w:fldChar w:fldCharType="begin"/>
            </w:r>
            <w:r w:rsidRPr="0064264A">
              <w:rPr>
                <w:b w:val="0"/>
                <w:bCs w:val="0"/>
                <w:webHidden/>
                <w:color w:val="767171"/>
              </w:rPr>
              <w:instrText xml:space="preserve"> PAGEREF _Toc217386294 \h </w:instrText>
            </w:r>
            <w:r w:rsidRPr="0064264A">
              <w:rPr>
                <w:b w:val="0"/>
                <w:bCs w:val="0"/>
                <w:webHidden/>
                <w:color w:val="767171"/>
              </w:rPr>
            </w:r>
            <w:r w:rsidRPr="0064264A">
              <w:rPr>
                <w:b w:val="0"/>
                <w:bCs w:val="0"/>
                <w:webHidden/>
                <w:color w:val="767171"/>
              </w:rPr>
              <w:fldChar w:fldCharType="separate"/>
            </w:r>
            <w:r w:rsidRPr="0064264A">
              <w:rPr>
                <w:b w:val="0"/>
                <w:bCs w:val="0"/>
                <w:webHidden/>
                <w:color w:val="767171"/>
              </w:rPr>
              <w:t>44</w:t>
            </w:r>
            <w:r w:rsidRPr="0064264A">
              <w:rPr>
                <w:b w:val="0"/>
                <w:bCs w:val="0"/>
                <w:webHidden/>
                <w:color w:val="767171"/>
              </w:rPr>
              <w:fldChar w:fldCharType="end"/>
            </w:r>
          </w:hyperlink>
        </w:p>
        <w:p w14:paraId="3E41799B" w14:textId="60C81ED2" w:rsidR="008B3000" w:rsidRPr="0064264A" w:rsidRDefault="008B3000">
          <w:pPr>
            <w:pStyle w:val="TOC2"/>
            <w:rPr>
              <w:rFonts w:eastAsiaTheme="minorEastAsia"/>
              <w:color w:val="767171"/>
              <w:kern w:val="2"/>
              <w:lang w:eastAsia="es-DO"/>
              <w14:ligatures w14:val="standardContextual"/>
            </w:rPr>
          </w:pPr>
          <w:hyperlink w:anchor="_Toc217386295" w:history="1">
            <w:r w:rsidRPr="0064264A">
              <w:rPr>
                <w:rStyle w:val="Hyperlink"/>
                <w:rFonts w:eastAsia="Calibri"/>
                <w:color w:val="767171"/>
              </w:rPr>
              <w:t>4.4.1 Seguridad Cibernética y de la Información</w:t>
            </w:r>
            <w:r w:rsidRPr="0064264A">
              <w:rPr>
                <w:webHidden/>
                <w:color w:val="767171"/>
              </w:rPr>
              <w:tab/>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_Toc217386295 \h </w:instrText>
            </w:r>
            <w:r w:rsidRPr="0064264A">
              <w:rPr>
                <w:webHidden/>
                <w:color w:val="767171"/>
              </w:rPr>
            </w:r>
            <w:r w:rsidRPr="0064264A">
              <w:rPr>
                <w:webHidden/>
                <w:color w:val="767171"/>
              </w:rPr>
              <w:fldChar w:fldCharType="separate"/>
            </w:r>
            <w:r w:rsidRPr="0064264A">
              <w:rPr>
                <w:webHidden/>
                <w:color w:val="767171"/>
              </w:rPr>
              <w:t>58</w:t>
            </w:r>
            <w:r w:rsidRPr="0064264A">
              <w:rPr>
                <w:webHidden/>
                <w:color w:val="767171"/>
              </w:rPr>
              <w:fldChar w:fldCharType="end"/>
            </w:r>
          </w:hyperlink>
        </w:p>
        <w:p w14:paraId="70E30FF7" w14:textId="7B0A2BEF" w:rsidR="008B3000" w:rsidRPr="0064264A" w:rsidRDefault="008B3000" w:rsidP="00791542">
          <w:pPr>
            <w:pStyle w:val="TOC1"/>
            <w:rPr>
              <w:rFonts w:eastAsiaTheme="minorEastAsia"/>
              <w:color w:val="767171"/>
              <w:spacing w:val="0"/>
              <w:kern w:val="2"/>
              <w:lang w:eastAsia="es-DO"/>
              <w14:ligatures w14:val="standardContextual"/>
            </w:rPr>
          </w:pPr>
          <w:hyperlink w:anchor="_Toc217386296" w:history="1">
            <w:r w:rsidRPr="0064264A">
              <w:rPr>
                <w:rStyle w:val="Hyperlink"/>
                <w:b w:val="0"/>
                <w:bCs w:val="0"/>
                <w:color w:val="767171"/>
              </w:rPr>
              <w:t>4.5 Desempeño del Sistema de Planificación y Desarrollo Institucional</w:t>
            </w:r>
            <w:r w:rsidRPr="0064264A">
              <w:rPr>
                <w:b w:val="0"/>
                <w:bCs w:val="0"/>
                <w:webHidden/>
                <w:color w:val="767171"/>
              </w:rPr>
              <w:tab/>
            </w:r>
            <w:r w:rsidRPr="0064264A">
              <w:rPr>
                <w:b w:val="0"/>
                <w:bCs w:val="0"/>
                <w:webHidden/>
                <w:color w:val="767171"/>
              </w:rPr>
              <w:fldChar w:fldCharType="begin"/>
            </w:r>
            <w:r w:rsidRPr="0064264A">
              <w:rPr>
                <w:b w:val="0"/>
                <w:bCs w:val="0"/>
                <w:webHidden/>
                <w:color w:val="767171"/>
              </w:rPr>
              <w:instrText xml:space="preserve"> PAGEREF _Toc217386296 \h </w:instrText>
            </w:r>
            <w:r w:rsidRPr="0064264A">
              <w:rPr>
                <w:b w:val="0"/>
                <w:bCs w:val="0"/>
                <w:webHidden/>
                <w:color w:val="767171"/>
              </w:rPr>
            </w:r>
            <w:r w:rsidRPr="0064264A">
              <w:rPr>
                <w:b w:val="0"/>
                <w:bCs w:val="0"/>
                <w:webHidden/>
                <w:color w:val="767171"/>
              </w:rPr>
              <w:fldChar w:fldCharType="separate"/>
            </w:r>
            <w:r w:rsidRPr="0064264A">
              <w:rPr>
                <w:b w:val="0"/>
                <w:bCs w:val="0"/>
                <w:webHidden/>
                <w:color w:val="767171"/>
              </w:rPr>
              <w:t>67</w:t>
            </w:r>
            <w:r w:rsidRPr="0064264A">
              <w:rPr>
                <w:b w:val="0"/>
                <w:bCs w:val="0"/>
                <w:webHidden/>
                <w:color w:val="767171"/>
              </w:rPr>
              <w:fldChar w:fldCharType="end"/>
            </w:r>
          </w:hyperlink>
        </w:p>
        <w:p w14:paraId="51E85CB5" w14:textId="654C34AE" w:rsidR="008B3000" w:rsidRPr="0064264A" w:rsidRDefault="008B3000">
          <w:pPr>
            <w:pStyle w:val="TOC2"/>
            <w:rPr>
              <w:rFonts w:eastAsiaTheme="minorEastAsia"/>
              <w:color w:val="767171"/>
              <w:kern w:val="2"/>
              <w:lang w:eastAsia="es-DO"/>
              <w14:ligatures w14:val="standardContextual"/>
            </w:rPr>
          </w:pPr>
          <w:hyperlink w:anchor="_Toc217386297" w:history="1">
            <w:r w:rsidRPr="0064264A">
              <w:rPr>
                <w:rStyle w:val="Hyperlink"/>
                <w:rFonts w:eastAsia="Calibri"/>
                <w:color w:val="767171"/>
                <w:lang w:val="es-ES"/>
              </w:rPr>
              <w:t>Iniciativas POA 2025</w:t>
            </w:r>
            <w:r w:rsidRPr="0064264A">
              <w:rPr>
                <w:webHidden/>
                <w:color w:val="767171"/>
              </w:rPr>
              <w:tab/>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_Toc217386297 \h </w:instrText>
            </w:r>
            <w:r w:rsidRPr="0064264A">
              <w:rPr>
                <w:webHidden/>
                <w:color w:val="767171"/>
              </w:rPr>
            </w:r>
            <w:r w:rsidRPr="0064264A">
              <w:rPr>
                <w:webHidden/>
                <w:color w:val="767171"/>
              </w:rPr>
              <w:fldChar w:fldCharType="separate"/>
            </w:r>
            <w:r w:rsidRPr="0064264A">
              <w:rPr>
                <w:webHidden/>
                <w:color w:val="767171"/>
              </w:rPr>
              <w:t>69</w:t>
            </w:r>
            <w:r w:rsidRPr="0064264A">
              <w:rPr>
                <w:webHidden/>
                <w:color w:val="767171"/>
              </w:rPr>
              <w:fldChar w:fldCharType="end"/>
            </w:r>
          </w:hyperlink>
        </w:p>
        <w:p w14:paraId="5A396DD5" w14:textId="6E2A70F9" w:rsidR="008B3000" w:rsidRPr="0064264A" w:rsidRDefault="008B3000" w:rsidP="00791542">
          <w:pPr>
            <w:pStyle w:val="TOC1"/>
            <w:rPr>
              <w:rFonts w:eastAsiaTheme="minorEastAsia"/>
              <w:b w:val="0"/>
              <w:bCs w:val="0"/>
              <w:color w:val="767171"/>
              <w:spacing w:val="0"/>
              <w:kern w:val="2"/>
              <w:lang w:eastAsia="es-DO"/>
              <w14:ligatures w14:val="standardContextual"/>
            </w:rPr>
          </w:pPr>
          <w:hyperlink w:anchor="_Toc217386298" w:history="1">
            <w:r w:rsidRPr="0064264A">
              <w:rPr>
                <w:rStyle w:val="Hyperlink"/>
                <w:b w:val="0"/>
                <w:bCs w:val="0"/>
                <w:color w:val="767171"/>
              </w:rPr>
              <w:t>Resultados de los Sistemas de Calidad</w:t>
            </w:r>
            <w:r w:rsidRPr="0064264A">
              <w:rPr>
                <w:b w:val="0"/>
                <w:bCs w:val="0"/>
                <w:webHidden/>
                <w:color w:val="767171"/>
              </w:rPr>
              <w:tab/>
            </w:r>
            <w:r w:rsidRPr="0064264A">
              <w:rPr>
                <w:b w:val="0"/>
                <w:bCs w:val="0"/>
                <w:webHidden/>
                <w:color w:val="767171"/>
              </w:rPr>
              <w:fldChar w:fldCharType="begin"/>
            </w:r>
            <w:r w:rsidRPr="0064264A">
              <w:rPr>
                <w:b w:val="0"/>
                <w:bCs w:val="0"/>
                <w:webHidden/>
                <w:color w:val="767171"/>
              </w:rPr>
              <w:instrText xml:space="preserve"> PAGEREF _Toc217386298 \h </w:instrText>
            </w:r>
            <w:r w:rsidRPr="0064264A">
              <w:rPr>
                <w:b w:val="0"/>
                <w:bCs w:val="0"/>
                <w:webHidden/>
                <w:color w:val="767171"/>
              </w:rPr>
            </w:r>
            <w:r w:rsidRPr="0064264A">
              <w:rPr>
                <w:b w:val="0"/>
                <w:bCs w:val="0"/>
                <w:webHidden/>
                <w:color w:val="767171"/>
              </w:rPr>
              <w:fldChar w:fldCharType="separate"/>
            </w:r>
            <w:r w:rsidRPr="0064264A">
              <w:rPr>
                <w:b w:val="0"/>
                <w:bCs w:val="0"/>
                <w:webHidden/>
                <w:color w:val="767171"/>
              </w:rPr>
              <w:t>73</w:t>
            </w:r>
            <w:r w:rsidRPr="0064264A">
              <w:rPr>
                <w:b w:val="0"/>
                <w:bCs w:val="0"/>
                <w:webHidden/>
                <w:color w:val="767171"/>
              </w:rPr>
              <w:fldChar w:fldCharType="end"/>
            </w:r>
          </w:hyperlink>
        </w:p>
        <w:p w14:paraId="68377BAA" w14:textId="548C3064" w:rsidR="008B3000" w:rsidRPr="0064264A" w:rsidRDefault="008B3000" w:rsidP="00791542">
          <w:pPr>
            <w:pStyle w:val="TOC1"/>
            <w:rPr>
              <w:rFonts w:eastAsiaTheme="minorEastAsia"/>
              <w:color w:val="767171"/>
              <w:spacing w:val="0"/>
              <w:kern w:val="2"/>
              <w:lang w:eastAsia="es-DO"/>
              <w14:ligatures w14:val="standardContextual"/>
            </w:rPr>
          </w:pPr>
          <w:hyperlink w:anchor="_Toc217386299" w:history="1">
            <w:r w:rsidRPr="0064264A">
              <w:rPr>
                <w:rStyle w:val="Hyperlink"/>
                <w:b w:val="0"/>
                <w:bCs w:val="0"/>
                <w:color w:val="767171"/>
              </w:rPr>
              <w:t>4.6 Desempeño del Área Comunicaciones</w:t>
            </w:r>
            <w:r w:rsidRPr="0064264A">
              <w:rPr>
                <w:b w:val="0"/>
                <w:bCs w:val="0"/>
                <w:webHidden/>
                <w:color w:val="767171"/>
              </w:rPr>
              <w:tab/>
            </w:r>
            <w:r w:rsidRPr="0064264A">
              <w:rPr>
                <w:b w:val="0"/>
                <w:bCs w:val="0"/>
                <w:webHidden/>
                <w:color w:val="767171"/>
              </w:rPr>
              <w:fldChar w:fldCharType="begin"/>
            </w:r>
            <w:r w:rsidRPr="0064264A">
              <w:rPr>
                <w:b w:val="0"/>
                <w:bCs w:val="0"/>
                <w:webHidden/>
                <w:color w:val="767171"/>
              </w:rPr>
              <w:instrText xml:space="preserve"> PAGEREF _Toc217386299 \h </w:instrText>
            </w:r>
            <w:r w:rsidRPr="0064264A">
              <w:rPr>
                <w:b w:val="0"/>
                <w:bCs w:val="0"/>
                <w:webHidden/>
                <w:color w:val="767171"/>
              </w:rPr>
            </w:r>
            <w:r w:rsidRPr="0064264A">
              <w:rPr>
                <w:b w:val="0"/>
                <w:bCs w:val="0"/>
                <w:webHidden/>
                <w:color w:val="767171"/>
              </w:rPr>
              <w:fldChar w:fldCharType="separate"/>
            </w:r>
            <w:r w:rsidRPr="0064264A">
              <w:rPr>
                <w:b w:val="0"/>
                <w:bCs w:val="0"/>
                <w:webHidden/>
                <w:color w:val="767171"/>
              </w:rPr>
              <w:t>76</w:t>
            </w:r>
            <w:r w:rsidRPr="0064264A">
              <w:rPr>
                <w:b w:val="0"/>
                <w:bCs w:val="0"/>
                <w:webHidden/>
                <w:color w:val="767171"/>
              </w:rPr>
              <w:fldChar w:fldCharType="end"/>
            </w:r>
          </w:hyperlink>
        </w:p>
        <w:p w14:paraId="33900931" w14:textId="7ABA0966" w:rsidR="008B3000" w:rsidRPr="0064264A" w:rsidRDefault="008B3000">
          <w:pPr>
            <w:pStyle w:val="TOC2"/>
            <w:rPr>
              <w:rFonts w:eastAsiaTheme="minorEastAsia"/>
              <w:color w:val="767171"/>
              <w:kern w:val="2"/>
              <w:lang w:eastAsia="es-DO"/>
              <w14:ligatures w14:val="standardContextual"/>
            </w:rPr>
          </w:pPr>
          <w:hyperlink w:anchor="_Toc217386300" w:history="1">
            <w:r w:rsidRPr="0064264A">
              <w:rPr>
                <w:rStyle w:val="Hyperlink"/>
                <w:rFonts w:eastAsia="Calibri"/>
                <w:color w:val="767171"/>
              </w:rPr>
              <w:t>División de Comunicación Digital</w:t>
            </w:r>
            <w:r w:rsidRPr="0064264A">
              <w:rPr>
                <w:webHidden/>
                <w:color w:val="767171"/>
              </w:rPr>
              <w:tab/>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_Toc217386300 \h </w:instrText>
            </w:r>
            <w:r w:rsidRPr="0064264A">
              <w:rPr>
                <w:webHidden/>
                <w:color w:val="767171"/>
              </w:rPr>
            </w:r>
            <w:r w:rsidRPr="0064264A">
              <w:rPr>
                <w:webHidden/>
                <w:color w:val="767171"/>
              </w:rPr>
              <w:fldChar w:fldCharType="separate"/>
            </w:r>
            <w:r w:rsidRPr="0064264A">
              <w:rPr>
                <w:webHidden/>
                <w:color w:val="767171"/>
              </w:rPr>
              <w:t>78</w:t>
            </w:r>
            <w:r w:rsidRPr="0064264A">
              <w:rPr>
                <w:webHidden/>
                <w:color w:val="767171"/>
              </w:rPr>
              <w:fldChar w:fldCharType="end"/>
            </w:r>
          </w:hyperlink>
        </w:p>
        <w:p w14:paraId="37BD6DE0" w14:textId="6CAA7001" w:rsidR="008B3000" w:rsidRPr="0064264A" w:rsidRDefault="008B3000" w:rsidP="00791542">
          <w:pPr>
            <w:pStyle w:val="TOC1"/>
            <w:rPr>
              <w:rFonts w:eastAsiaTheme="minorEastAsia"/>
              <w:color w:val="767171"/>
              <w:spacing w:val="0"/>
              <w:kern w:val="2"/>
              <w:lang w:eastAsia="es-DO"/>
              <w14:ligatures w14:val="standardContextual"/>
            </w:rPr>
          </w:pPr>
          <w:hyperlink w:anchor="_Toc217386301" w:history="1">
            <w:r w:rsidRPr="0064264A">
              <w:rPr>
                <w:rStyle w:val="Hyperlink"/>
                <w:color w:val="767171"/>
              </w:rPr>
              <w:t>V.SERVICIO AL CIUDADANO Y TRANSPARENCIA INSTITUCIONAL</w:t>
            </w:r>
            <w:r w:rsidRPr="0064264A">
              <w:rPr>
                <w:webHidden/>
                <w:color w:val="767171"/>
              </w:rPr>
              <w:tab/>
            </w:r>
            <w:r w:rsidRPr="0064264A">
              <w:rPr>
                <w:webHidden/>
                <w:color w:val="767171"/>
              </w:rPr>
              <w:fldChar w:fldCharType="begin"/>
            </w:r>
            <w:r w:rsidRPr="0064264A">
              <w:rPr>
                <w:webHidden/>
                <w:color w:val="767171"/>
              </w:rPr>
              <w:instrText xml:space="preserve"> PAGEREF _Toc217386301 \h </w:instrText>
            </w:r>
            <w:r w:rsidRPr="0064264A">
              <w:rPr>
                <w:webHidden/>
                <w:color w:val="767171"/>
              </w:rPr>
            </w:r>
            <w:r w:rsidRPr="0064264A">
              <w:rPr>
                <w:webHidden/>
                <w:color w:val="767171"/>
              </w:rPr>
              <w:fldChar w:fldCharType="separate"/>
            </w:r>
            <w:r w:rsidRPr="0064264A">
              <w:rPr>
                <w:webHidden/>
                <w:color w:val="767171"/>
              </w:rPr>
              <w:t>90</w:t>
            </w:r>
            <w:r w:rsidRPr="0064264A">
              <w:rPr>
                <w:webHidden/>
                <w:color w:val="767171"/>
              </w:rPr>
              <w:fldChar w:fldCharType="end"/>
            </w:r>
          </w:hyperlink>
        </w:p>
        <w:p w14:paraId="792CF261" w14:textId="531CEDA7" w:rsidR="008B3000" w:rsidRPr="0064264A" w:rsidRDefault="008B3000">
          <w:pPr>
            <w:pStyle w:val="TOC2"/>
            <w:tabs>
              <w:tab w:val="left" w:pos="960"/>
            </w:tabs>
            <w:rPr>
              <w:rFonts w:eastAsiaTheme="minorEastAsia"/>
              <w:color w:val="767171"/>
              <w:kern w:val="2"/>
              <w:lang w:eastAsia="es-DO"/>
              <w14:ligatures w14:val="standardContextual"/>
            </w:rPr>
          </w:pPr>
          <w:hyperlink w:anchor="_Toc217386302" w:history="1">
            <w:r w:rsidRPr="0064264A">
              <w:rPr>
                <w:rStyle w:val="Hyperlink"/>
                <w:rFonts w:eastAsia="Calibri"/>
                <w:color w:val="767171"/>
              </w:rPr>
              <w:t>5.1</w:t>
            </w:r>
            <w:r w:rsidR="00791542" w:rsidRPr="0064264A">
              <w:rPr>
                <w:rFonts w:eastAsiaTheme="minorEastAsia"/>
                <w:color w:val="767171"/>
                <w:kern w:val="2"/>
                <w:lang w:eastAsia="es-DO"/>
                <w14:ligatures w14:val="standardContextual"/>
              </w:rPr>
              <w:t xml:space="preserve"> </w:t>
            </w:r>
            <w:r w:rsidRPr="0064264A">
              <w:rPr>
                <w:rStyle w:val="Hyperlink"/>
                <w:rFonts w:eastAsia="Calibri"/>
                <w:color w:val="767171"/>
              </w:rPr>
              <w:t>Nivel de cumplimiento acceso a la información</w:t>
            </w:r>
            <w:r w:rsidRPr="0064264A">
              <w:rPr>
                <w:webHidden/>
                <w:color w:val="767171"/>
              </w:rPr>
              <w:tab/>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_Toc217386302 \h </w:instrText>
            </w:r>
            <w:r w:rsidRPr="0064264A">
              <w:rPr>
                <w:webHidden/>
                <w:color w:val="767171"/>
              </w:rPr>
            </w:r>
            <w:r w:rsidRPr="0064264A">
              <w:rPr>
                <w:webHidden/>
                <w:color w:val="767171"/>
              </w:rPr>
              <w:fldChar w:fldCharType="separate"/>
            </w:r>
            <w:r w:rsidRPr="0064264A">
              <w:rPr>
                <w:webHidden/>
                <w:color w:val="767171"/>
              </w:rPr>
              <w:t>90</w:t>
            </w:r>
            <w:r w:rsidRPr="0064264A">
              <w:rPr>
                <w:webHidden/>
                <w:color w:val="767171"/>
              </w:rPr>
              <w:fldChar w:fldCharType="end"/>
            </w:r>
          </w:hyperlink>
        </w:p>
        <w:p w14:paraId="4C5B626E" w14:textId="0F69B2A1" w:rsidR="008B3000" w:rsidRPr="0064264A" w:rsidRDefault="008B3000">
          <w:pPr>
            <w:pStyle w:val="TOC2"/>
            <w:rPr>
              <w:rFonts w:eastAsiaTheme="minorEastAsia"/>
              <w:color w:val="767171"/>
              <w:kern w:val="2"/>
              <w:lang w:eastAsia="es-DO"/>
              <w14:ligatures w14:val="standardContextual"/>
            </w:rPr>
          </w:pPr>
          <w:hyperlink w:anchor="_Toc217386303" w:history="1">
            <w:r w:rsidRPr="0064264A">
              <w:rPr>
                <w:rStyle w:val="Hyperlink"/>
                <w:rFonts w:eastAsia="Calibri"/>
                <w:color w:val="767171"/>
              </w:rPr>
              <w:t>5.2 Resultados mediciones del Portal de Transparencia</w:t>
            </w:r>
            <w:r w:rsidRPr="0064264A">
              <w:rPr>
                <w:webHidden/>
                <w:color w:val="767171"/>
              </w:rPr>
              <w:tab/>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_Toc217386303 \h </w:instrText>
            </w:r>
            <w:r w:rsidRPr="0064264A">
              <w:rPr>
                <w:webHidden/>
                <w:color w:val="767171"/>
              </w:rPr>
            </w:r>
            <w:r w:rsidRPr="0064264A">
              <w:rPr>
                <w:webHidden/>
                <w:color w:val="767171"/>
              </w:rPr>
              <w:fldChar w:fldCharType="separate"/>
            </w:r>
            <w:r w:rsidRPr="0064264A">
              <w:rPr>
                <w:webHidden/>
                <w:color w:val="767171"/>
              </w:rPr>
              <w:t>92</w:t>
            </w:r>
            <w:r w:rsidRPr="0064264A">
              <w:rPr>
                <w:webHidden/>
                <w:color w:val="767171"/>
              </w:rPr>
              <w:fldChar w:fldCharType="end"/>
            </w:r>
          </w:hyperlink>
        </w:p>
        <w:p w14:paraId="68DC0514" w14:textId="6C33ED2A" w:rsidR="008B3000" w:rsidRPr="0064264A" w:rsidRDefault="008B3000">
          <w:pPr>
            <w:pStyle w:val="TOC2"/>
            <w:rPr>
              <w:rFonts w:eastAsiaTheme="minorEastAsia"/>
              <w:color w:val="767171"/>
              <w:kern w:val="2"/>
              <w:lang w:eastAsia="es-DO"/>
              <w14:ligatures w14:val="standardContextual"/>
            </w:rPr>
          </w:pPr>
          <w:hyperlink w:anchor="_Toc217386304" w:history="1">
            <w:r w:rsidRPr="0064264A">
              <w:rPr>
                <w:rStyle w:val="Hyperlink"/>
                <w:rFonts w:eastAsia="Calibri"/>
                <w:color w:val="767171"/>
              </w:rPr>
              <w:t>5.3Transparencia institucional</w:t>
            </w:r>
            <w:r w:rsidRPr="0064264A">
              <w:rPr>
                <w:webHidden/>
                <w:color w:val="767171"/>
              </w:rPr>
              <w:tab/>
            </w:r>
            <w:r w:rsidR="00791542" w:rsidRPr="0064264A">
              <w:rPr>
                <w:webHidden/>
                <w:color w:val="767171"/>
              </w:rPr>
              <w:t>………………………………………………………………...</w:t>
            </w:r>
            <w:r w:rsidRPr="0064264A">
              <w:rPr>
                <w:webHidden/>
                <w:color w:val="767171"/>
              </w:rPr>
              <w:fldChar w:fldCharType="begin"/>
            </w:r>
            <w:r w:rsidRPr="0064264A">
              <w:rPr>
                <w:webHidden/>
                <w:color w:val="767171"/>
              </w:rPr>
              <w:instrText xml:space="preserve"> PAGEREF _Toc217386304 \h </w:instrText>
            </w:r>
            <w:r w:rsidRPr="0064264A">
              <w:rPr>
                <w:webHidden/>
                <w:color w:val="767171"/>
              </w:rPr>
            </w:r>
            <w:r w:rsidRPr="0064264A">
              <w:rPr>
                <w:webHidden/>
                <w:color w:val="767171"/>
              </w:rPr>
              <w:fldChar w:fldCharType="separate"/>
            </w:r>
            <w:r w:rsidRPr="0064264A">
              <w:rPr>
                <w:webHidden/>
                <w:color w:val="767171"/>
              </w:rPr>
              <w:t>94</w:t>
            </w:r>
            <w:r w:rsidRPr="0064264A">
              <w:rPr>
                <w:webHidden/>
                <w:color w:val="767171"/>
              </w:rPr>
              <w:fldChar w:fldCharType="end"/>
            </w:r>
          </w:hyperlink>
        </w:p>
        <w:p w14:paraId="5BBBB86A" w14:textId="52DC6910" w:rsidR="008B3000" w:rsidRPr="0064264A" w:rsidRDefault="008B3000" w:rsidP="00791542">
          <w:pPr>
            <w:pStyle w:val="TOC1"/>
            <w:rPr>
              <w:rFonts w:eastAsiaTheme="minorEastAsia"/>
              <w:color w:val="767171"/>
              <w:spacing w:val="0"/>
              <w:kern w:val="2"/>
              <w:lang w:eastAsia="es-DO"/>
              <w14:ligatures w14:val="standardContextual"/>
            </w:rPr>
          </w:pPr>
          <w:hyperlink w:anchor="_Toc217386305" w:history="1">
            <w:r w:rsidRPr="0064264A">
              <w:rPr>
                <w:rStyle w:val="Hyperlink"/>
                <w:color w:val="767171"/>
              </w:rPr>
              <w:t>VI. PROYECCIONES AL PRÓXIMO AÑO</w:t>
            </w:r>
            <w:r w:rsidRPr="0064264A">
              <w:rPr>
                <w:webHidden/>
                <w:color w:val="767171"/>
              </w:rPr>
              <w:tab/>
            </w:r>
            <w:r w:rsidRPr="0064264A">
              <w:rPr>
                <w:webHidden/>
                <w:color w:val="767171"/>
              </w:rPr>
              <w:fldChar w:fldCharType="begin"/>
            </w:r>
            <w:r w:rsidRPr="0064264A">
              <w:rPr>
                <w:webHidden/>
                <w:color w:val="767171"/>
              </w:rPr>
              <w:instrText xml:space="preserve"> PAGEREF _Toc217386305 \h </w:instrText>
            </w:r>
            <w:r w:rsidRPr="0064264A">
              <w:rPr>
                <w:webHidden/>
                <w:color w:val="767171"/>
              </w:rPr>
            </w:r>
            <w:r w:rsidRPr="0064264A">
              <w:rPr>
                <w:webHidden/>
                <w:color w:val="767171"/>
              </w:rPr>
              <w:fldChar w:fldCharType="separate"/>
            </w:r>
            <w:r w:rsidRPr="0064264A">
              <w:rPr>
                <w:webHidden/>
                <w:color w:val="767171"/>
              </w:rPr>
              <w:t>99</w:t>
            </w:r>
            <w:r w:rsidRPr="0064264A">
              <w:rPr>
                <w:webHidden/>
                <w:color w:val="767171"/>
              </w:rPr>
              <w:fldChar w:fldCharType="end"/>
            </w:r>
          </w:hyperlink>
        </w:p>
        <w:p w14:paraId="4B9EA6C7" w14:textId="52CB2A45" w:rsidR="008B3000" w:rsidRPr="0064264A" w:rsidRDefault="008B3000" w:rsidP="00791542">
          <w:pPr>
            <w:pStyle w:val="TOC1"/>
            <w:rPr>
              <w:rFonts w:eastAsiaTheme="minorEastAsia"/>
              <w:color w:val="767171"/>
              <w:spacing w:val="0"/>
              <w:kern w:val="2"/>
              <w:lang w:eastAsia="es-DO"/>
              <w14:ligatures w14:val="standardContextual"/>
            </w:rPr>
          </w:pPr>
          <w:hyperlink w:anchor="_Toc217386306" w:history="1">
            <w:r w:rsidRPr="0064264A">
              <w:rPr>
                <w:rStyle w:val="Hyperlink"/>
                <w:color w:val="767171"/>
              </w:rPr>
              <w:t>VII.ANEXOS</w:t>
            </w:r>
            <w:r w:rsidRPr="0064264A">
              <w:rPr>
                <w:webHidden/>
                <w:color w:val="767171"/>
              </w:rPr>
              <w:tab/>
            </w:r>
            <w:r w:rsidRPr="0064264A">
              <w:rPr>
                <w:webHidden/>
                <w:color w:val="767171"/>
              </w:rPr>
              <w:fldChar w:fldCharType="begin"/>
            </w:r>
            <w:r w:rsidRPr="0064264A">
              <w:rPr>
                <w:webHidden/>
                <w:color w:val="767171"/>
              </w:rPr>
              <w:instrText xml:space="preserve"> PAGEREF _Toc217386306 \h </w:instrText>
            </w:r>
            <w:r w:rsidRPr="0064264A">
              <w:rPr>
                <w:webHidden/>
                <w:color w:val="767171"/>
              </w:rPr>
            </w:r>
            <w:r w:rsidRPr="0064264A">
              <w:rPr>
                <w:webHidden/>
                <w:color w:val="767171"/>
              </w:rPr>
              <w:fldChar w:fldCharType="separate"/>
            </w:r>
            <w:r w:rsidRPr="0064264A">
              <w:rPr>
                <w:webHidden/>
                <w:color w:val="767171"/>
              </w:rPr>
              <w:t>102</w:t>
            </w:r>
            <w:r w:rsidRPr="0064264A">
              <w:rPr>
                <w:webHidden/>
                <w:color w:val="767171"/>
              </w:rPr>
              <w:fldChar w:fldCharType="end"/>
            </w:r>
          </w:hyperlink>
        </w:p>
        <w:p w14:paraId="20710C31" w14:textId="363CD517" w:rsidR="008B3000" w:rsidRPr="0064264A" w:rsidRDefault="008B3000" w:rsidP="00791542">
          <w:pPr>
            <w:pStyle w:val="TOC1"/>
            <w:rPr>
              <w:rFonts w:asciiTheme="minorHAnsi" w:eastAsiaTheme="minorEastAsia" w:hAnsiTheme="minorHAnsi" w:cstheme="minorBidi"/>
              <w:color w:val="767171"/>
              <w:spacing w:val="0"/>
              <w:kern w:val="2"/>
              <w:lang w:eastAsia="es-DO"/>
              <w14:ligatures w14:val="standardContextual"/>
            </w:rPr>
          </w:pPr>
          <w:hyperlink w:anchor="_Toc217386307" w:history="1">
            <w:r w:rsidRPr="0064264A">
              <w:rPr>
                <w:rStyle w:val="Hyperlink"/>
                <w:b w:val="0"/>
                <w:bCs w:val="0"/>
                <w:color w:val="767171"/>
              </w:rPr>
              <w:t>Plan de Compras Período Enero -Diciembre 2025</w:t>
            </w:r>
            <w:r w:rsidRPr="0064264A">
              <w:rPr>
                <w:webHidden/>
                <w:color w:val="767171"/>
              </w:rPr>
              <w:tab/>
            </w:r>
            <w:r w:rsidRPr="0064264A">
              <w:rPr>
                <w:b w:val="0"/>
                <w:bCs w:val="0"/>
                <w:webHidden/>
                <w:color w:val="767171"/>
              </w:rPr>
              <w:fldChar w:fldCharType="begin"/>
            </w:r>
            <w:r w:rsidRPr="0064264A">
              <w:rPr>
                <w:b w:val="0"/>
                <w:bCs w:val="0"/>
                <w:webHidden/>
                <w:color w:val="767171"/>
              </w:rPr>
              <w:instrText xml:space="preserve"> PAGEREF _Toc217386307 \h </w:instrText>
            </w:r>
            <w:r w:rsidRPr="0064264A">
              <w:rPr>
                <w:b w:val="0"/>
                <w:bCs w:val="0"/>
                <w:webHidden/>
                <w:color w:val="767171"/>
              </w:rPr>
            </w:r>
            <w:r w:rsidRPr="0064264A">
              <w:rPr>
                <w:b w:val="0"/>
                <w:bCs w:val="0"/>
                <w:webHidden/>
                <w:color w:val="767171"/>
              </w:rPr>
              <w:fldChar w:fldCharType="separate"/>
            </w:r>
            <w:r w:rsidRPr="0064264A">
              <w:rPr>
                <w:b w:val="0"/>
                <w:bCs w:val="0"/>
                <w:webHidden/>
                <w:color w:val="767171"/>
              </w:rPr>
              <w:t>107</w:t>
            </w:r>
            <w:r w:rsidRPr="0064264A">
              <w:rPr>
                <w:b w:val="0"/>
                <w:bCs w:val="0"/>
                <w:webHidden/>
                <w:color w:val="767171"/>
              </w:rPr>
              <w:fldChar w:fldCharType="end"/>
            </w:r>
          </w:hyperlink>
        </w:p>
        <w:p w14:paraId="275E20A3" w14:textId="0286F5BA" w:rsidR="008B3000" w:rsidRPr="0064264A" w:rsidRDefault="008B3000">
          <w:r w:rsidRPr="0064264A">
            <w:rPr>
              <w:b/>
              <w:bCs/>
              <w:noProof/>
            </w:rPr>
            <w:fldChar w:fldCharType="end"/>
          </w:r>
        </w:p>
      </w:sdtContent>
    </w:sdt>
    <w:p w14:paraId="4394B0A8" w14:textId="77777777" w:rsidR="001240D0" w:rsidRPr="0064264A" w:rsidRDefault="001240D0" w:rsidP="00B45B38">
      <w:pPr>
        <w:ind w:left="567"/>
        <w:rPr>
          <w:b/>
          <w:bCs/>
          <w:noProof/>
          <w:lang w:val="es-DO"/>
        </w:rPr>
      </w:pPr>
    </w:p>
    <w:p w14:paraId="4242FE2D" w14:textId="77777777" w:rsidR="001240D0" w:rsidRPr="0064264A" w:rsidRDefault="001240D0" w:rsidP="00B45B38">
      <w:pPr>
        <w:ind w:left="567"/>
        <w:rPr>
          <w:b/>
          <w:bCs/>
          <w:noProof/>
          <w:lang w:val="es-DO"/>
        </w:rPr>
      </w:pPr>
    </w:p>
    <w:p w14:paraId="573DD07B" w14:textId="77777777" w:rsidR="001240D0" w:rsidRPr="0064264A" w:rsidRDefault="001240D0" w:rsidP="00B45B38">
      <w:pPr>
        <w:ind w:left="567"/>
        <w:rPr>
          <w:b/>
          <w:bCs/>
          <w:noProof/>
          <w:lang w:val="es-DO"/>
        </w:rPr>
      </w:pPr>
    </w:p>
    <w:p w14:paraId="6CEA36FA" w14:textId="77777777" w:rsidR="001240D0" w:rsidRPr="0064264A" w:rsidRDefault="001240D0" w:rsidP="00B45B38">
      <w:pPr>
        <w:ind w:left="567"/>
        <w:rPr>
          <w:b/>
          <w:bCs/>
          <w:noProof/>
          <w:lang w:val="es-DO"/>
        </w:rPr>
      </w:pPr>
    </w:p>
    <w:p w14:paraId="310BE1B9" w14:textId="77777777" w:rsidR="001240D0" w:rsidRPr="0064264A" w:rsidRDefault="001240D0" w:rsidP="00B45B38">
      <w:pPr>
        <w:ind w:left="567"/>
        <w:rPr>
          <w:b/>
          <w:bCs/>
          <w:noProof/>
          <w:lang w:val="es-DO"/>
        </w:rPr>
      </w:pPr>
    </w:p>
    <w:p w14:paraId="4D9BE3A9" w14:textId="77777777" w:rsidR="00920A80" w:rsidRPr="0064264A" w:rsidRDefault="00920A80" w:rsidP="00B45B38">
      <w:pPr>
        <w:ind w:left="567"/>
        <w:rPr>
          <w:b/>
          <w:bCs/>
          <w:noProof/>
          <w:lang w:val="es-DO"/>
        </w:rPr>
      </w:pPr>
    </w:p>
    <w:p w14:paraId="06171E0A" w14:textId="77777777" w:rsidR="00920A80" w:rsidRPr="0064264A" w:rsidRDefault="00920A80" w:rsidP="00B45B38">
      <w:pPr>
        <w:ind w:left="567"/>
        <w:rPr>
          <w:b/>
          <w:bCs/>
          <w:noProof/>
          <w:lang w:val="es-DO"/>
        </w:rPr>
      </w:pPr>
    </w:p>
    <w:p w14:paraId="48D5794A" w14:textId="77777777" w:rsidR="00920A80" w:rsidRPr="0064264A" w:rsidRDefault="00920A80" w:rsidP="00B45B38">
      <w:pPr>
        <w:ind w:left="567"/>
        <w:rPr>
          <w:b/>
          <w:bCs/>
          <w:noProof/>
          <w:lang w:val="es-DO"/>
        </w:rPr>
      </w:pPr>
    </w:p>
    <w:p w14:paraId="10240AA0" w14:textId="77777777" w:rsidR="00920A80" w:rsidRPr="0064264A" w:rsidRDefault="00920A80" w:rsidP="00B45B38">
      <w:pPr>
        <w:ind w:left="567"/>
        <w:rPr>
          <w:b/>
          <w:bCs/>
          <w:noProof/>
          <w:lang w:val="es-DO"/>
        </w:rPr>
      </w:pPr>
    </w:p>
    <w:p w14:paraId="282B891A" w14:textId="77777777" w:rsidR="00920A80" w:rsidRPr="0064264A" w:rsidRDefault="00920A80" w:rsidP="00B45B38">
      <w:pPr>
        <w:ind w:left="567"/>
        <w:rPr>
          <w:b/>
          <w:bCs/>
          <w:noProof/>
          <w:lang w:val="es-DO"/>
        </w:rPr>
      </w:pPr>
    </w:p>
    <w:p w14:paraId="3C867BEC" w14:textId="77777777" w:rsidR="00920A80" w:rsidRPr="0064264A" w:rsidRDefault="00920A80" w:rsidP="00B45B38">
      <w:pPr>
        <w:ind w:left="567"/>
        <w:rPr>
          <w:b/>
          <w:bCs/>
          <w:noProof/>
          <w:lang w:val="es-DO"/>
        </w:rPr>
      </w:pPr>
    </w:p>
    <w:p w14:paraId="34FD40AF" w14:textId="7F25FC58" w:rsidR="00920A80" w:rsidRPr="0064264A" w:rsidRDefault="00920A80" w:rsidP="00B45B38">
      <w:pPr>
        <w:ind w:left="567"/>
        <w:rPr>
          <w:i/>
          <w:iCs/>
          <w:noProof/>
          <w:sz w:val="20"/>
          <w:szCs w:val="20"/>
          <w:lang w:val="es-DO"/>
        </w:rPr>
      </w:pPr>
    </w:p>
    <w:p w14:paraId="13F38C54" w14:textId="77777777" w:rsidR="00920A80" w:rsidRPr="0064264A" w:rsidRDefault="00920A80" w:rsidP="00B45B38">
      <w:pPr>
        <w:ind w:left="567"/>
        <w:rPr>
          <w:b/>
          <w:bCs/>
          <w:noProof/>
          <w:lang w:val="es-DO"/>
        </w:rPr>
      </w:pPr>
    </w:p>
    <w:p w14:paraId="220C50B1" w14:textId="77777777" w:rsidR="001240D0" w:rsidRPr="0064264A" w:rsidRDefault="001240D0" w:rsidP="00B45B38">
      <w:pPr>
        <w:ind w:left="567"/>
        <w:rPr>
          <w:b/>
          <w:bCs/>
          <w:noProof/>
          <w:lang w:val="es-DO"/>
        </w:rPr>
      </w:pPr>
    </w:p>
    <w:p w14:paraId="1DBDA006" w14:textId="4D806799" w:rsidR="001240D0" w:rsidRPr="0064264A" w:rsidRDefault="001240D0">
      <w:pPr>
        <w:rPr>
          <w:lang w:val="es-DO"/>
        </w:rPr>
        <w:sectPr w:rsidR="001240D0" w:rsidRPr="0064264A" w:rsidSect="009904DB">
          <w:footerReference w:type="first" r:id="rId13"/>
          <w:pgSz w:w="12240" w:h="15840"/>
          <w:pgMar w:top="1440" w:right="1440" w:bottom="1440" w:left="1440" w:header="720" w:footer="720" w:gutter="0"/>
          <w:cols w:space="720"/>
          <w:docGrid w:linePitch="360"/>
        </w:sectPr>
      </w:pPr>
    </w:p>
    <w:p w14:paraId="649D29AD" w14:textId="5849EA87" w:rsidR="001240D0" w:rsidRPr="0064264A" w:rsidRDefault="001240D0" w:rsidP="00654164">
      <w:pPr>
        <w:pStyle w:val="Heading1"/>
        <w:rPr>
          <w:rFonts w:cs="Times New Roman"/>
          <w:color w:val="767171"/>
          <w:lang w:val="es-DO"/>
        </w:rPr>
      </w:pPr>
      <w:bookmarkStart w:id="1" w:name="_Toc217386279"/>
      <w:bookmarkStart w:id="2" w:name="_Hlk86403204"/>
      <w:r w:rsidRPr="0064264A">
        <w:rPr>
          <w:rFonts w:cs="Times New Roman"/>
          <w:color w:val="767171"/>
          <w:lang w:val="es-DO"/>
        </w:rPr>
        <w:lastRenderedPageBreak/>
        <w:t>RESUMEN EJECUTIVO</w:t>
      </w:r>
      <w:bookmarkEnd w:id="1"/>
    </w:p>
    <w:p w14:paraId="7C54AF21" w14:textId="26B7214D" w:rsidR="001240D0" w:rsidRPr="0064264A" w:rsidRDefault="00125D46" w:rsidP="001240D0">
      <w:pPr>
        <w:jc w:val="both"/>
        <w:rPr>
          <w:rFonts w:eastAsia="Calibri"/>
          <w:sz w:val="18"/>
          <w:lang w:val="es-DO"/>
        </w:rPr>
      </w:pPr>
      <w:r w:rsidRPr="0064264A">
        <w:rPr>
          <w:rFonts w:eastAsia="Calibri"/>
          <w:noProof/>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723A4"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3317E8A" w:rsidR="001240D0" w:rsidRPr="0064264A" w:rsidRDefault="00654164" w:rsidP="001240D0">
      <w:pPr>
        <w:jc w:val="center"/>
        <w:rPr>
          <w:rFonts w:eastAsia="Calibri"/>
          <w:szCs w:val="36"/>
          <w:lang w:val="es-DO"/>
        </w:rPr>
      </w:pPr>
      <w:r w:rsidRPr="0064264A">
        <w:rPr>
          <w:rFonts w:eastAsia="Calibri"/>
          <w:szCs w:val="36"/>
          <w:lang w:val="es-DO"/>
        </w:rPr>
        <w:t xml:space="preserve">Memoria </w:t>
      </w:r>
      <w:r w:rsidR="004A515E" w:rsidRPr="0064264A">
        <w:rPr>
          <w:rFonts w:eastAsia="Calibri"/>
          <w:szCs w:val="36"/>
          <w:lang w:val="es-DO"/>
        </w:rPr>
        <w:t>Institu</w:t>
      </w:r>
      <w:r w:rsidR="009A466A" w:rsidRPr="0064264A">
        <w:rPr>
          <w:rFonts w:eastAsia="Calibri"/>
          <w:szCs w:val="36"/>
          <w:lang w:val="es-DO"/>
        </w:rPr>
        <w:t>c</w:t>
      </w:r>
      <w:r w:rsidR="004A515E" w:rsidRPr="0064264A">
        <w:rPr>
          <w:rFonts w:eastAsia="Calibri"/>
          <w:szCs w:val="36"/>
          <w:lang w:val="es-DO"/>
        </w:rPr>
        <w:t>ional</w:t>
      </w:r>
      <w:r w:rsidR="001240D0" w:rsidRPr="0064264A">
        <w:rPr>
          <w:rFonts w:eastAsia="Calibri"/>
          <w:szCs w:val="36"/>
          <w:lang w:val="es-DO"/>
        </w:rPr>
        <w:t xml:space="preserve"> </w:t>
      </w:r>
      <w:r w:rsidR="007471AC" w:rsidRPr="0064264A">
        <w:rPr>
          <w:rFonts w:eastAsia="Calibri"/>
          <w:szCs w:val="36"/>
          <w:lang w:val="es-DO"/>
        </w:rPr>
        <w:t>202</w:t>
      </w:r>
      <w:r w:rsidR="0051332F" w:rsidRPr="0064264A">
        <w:rPr>
          <w:rFonts w:eastAsia="Calibri"/>
          <w:szCs w:val="36"/>
          <w:lang w:val="es-DO"/>
        </w:rPr>
        <w:t>5</w:t>
      </w:r>
    </w:p>
    <w:p w14:paraId="6F1A402D" w14:textId="3E5693CD" w:rsidR="00486FC1" w:rsidRPr="0064264A" w:rsidRDefault="00486FC1" w:rsidP="00486FC1">
      <w:pPr>
        <w:spacing w:line="360" w:lineRule="auto"/>
        <w:jc w:val="both"/>
        <w:rPr>
          <w:rFonts w:eastAsia="Calibri"/>
          <w:lang w:val="es-DO"/>
        </w:rPr>
      </w:pPr>
      <w:r w:rsidRPr="0064264A">
        <w:rPr>
          <w:rFonts w:eastAsia="Calibri"/>
          <w:lang w:val="es-DO"/>
        </w:rPr>
        <w:t xml:space="preserve">Durante el año 2025, el Banco Central de la República Dominicana (BCRD) condujo la política monetaria en un entorno caracterizado por una elevada incertidumbre internacional y una moderación del crecimiento económico local, manteniendo como eje central la estabilidad de precios y la preservación de los fundamentos macroeconómicos. </w:t>
      </w:r>
    </w:p>
    <w:p w14:paraId="38DA8186" w14:textId="1A70EF0D" w:rsidR="00486FC1" w:rsidRPr="0064264A" w:rsidRDefault="00486FC1" w:rsidP="00486FC1">
      <w:pPr>
        <w:spacing w:line="360" w:lineRule="auto"/>
        <w:jc w:val="both"/>
        <w:rPr>
          <w:rFonts w:eastAsia="Calibri"/>
          <w:lang w:val="es-DO"/>
        </w:rPr>
      </w:pPr>
      <w:r w:rsidRPr="0064264A">
        <w:rPr>
          <w:rFonts w:eastAsia="Calibri"/>
          <w:lang w:val="es-DO"/>
        </w:rPr>
        <w:t>En los primeros ocho meses del año, la Tasa de Política Monetaria (TPM) se mantuvo sin variación, en un contexto en el que la inflación permanecía dentro del rango meta establecido y no se observaban presiones inflacionarias significativas. Posteriormente, en las reuniones de política monetaria de septiembre y octubre, el BCRD adoptó una postura más expansiva al reducir la TPM en dos ocasiones, acumulando una disminución de 50 puntos básicos, en respuesta a la flexibilización gradual de las condiciones financieras internacionales, la desaceleración de la actividad económica doméstica y las perspectivas favorables de inflación.</w:t>
      </w:r>
    </w:p>
    <w:p w14:paraId="31A7CA8C" w14:textId="083A0E22" w:rsidR="00486FC1" w:rsidRPr="0064264A" w:rsidRDefault="00486FC1" w:rsidP="00486FC1">
      <w:pPr>
        <w:spacing w:line="360" w:lineRule="auto"/>
        <w:jc w:val="both"/>
        <w:rPr>
          <w:rFonts w:eastAsia="Calibri"/>
          <w:lang w:val="es-DO"/>
        </w:rPr>
      </w:pPr>
      <w:r w:rsidRPr="0064264A">
        <w:rPr>
          <w:rFonts w:eastAsia="Calibri"/>
          <w:lang w:val="es-DO"/>
        </w:rPr>
        <w:t xml:space="preserve">Como resultado de estas decisiones, en </w:t>
      </w:r>
      <w:r w:rsidR="00D07CD9" w:rsidRPr="0064264A">
        <w:rPr>
          <w:rFonts w:eastAsia="Calibri"/>
          <w:lang w:val="es-DO"/>
        </w:rPr>
        <w:t>diciembre</w:t>
      </w:r>
      <w:r w:rsidRPr="0064264A">
        <w:rPr>
          <w:rFonts w:eastAsia="Calibri"/>
          <w:lang w:val="es-DO"/>
        </w:rPr>
        <w:t xml:space="preserve"> de 2025 la tasa de referencia se situó en 5.25 % anual, mientras que la tasa de la facilidad permanente de expansión de liquidez (Repos a un día) se ubicó en 5.75 % anual y la tasa de depósitos remunerados (Overnight) en 4.50 % anual. Estas medidas tuvieron como objetivo estimular la demanda interna y apoyar la recuperación gradual de la actividad productiva, en un contexto de estabilidad de precios.</w:t>
      </w:r>
    </w:p>
    <w:p w14:paraId="0D1220AC" w14:textId="77777777" w:rsidR="00486FC1" w:rsidRPr="0064264A" w:rsidRDefault="00486FC1" w:rsidP="00486FC1">
      <w:pPr>
        <w:spacing w:line="360" w:lineRule="auto"/>
        <w:jc w:val="both"/>
        <w:rPr>
          <w:rFonts w:eastAsia="Calibri"/>
          <w:lang w:val="es-DO"/>
        </w:rPr>
      </w:pPr>
    </w:p>
    <w:p w14:paraId="0B7C28B9" w14:textId="77777777" w:rsidR="00486FC1" w:rsidRPr="0064264A" w:rsidRDefault="00486FC1" w:rsidP="00486FC1">
      <w:pPr>
        <w:spacing w:line="360" w:lineRule="auto"/>
        <w:jc w:val="both"/>
        <w:rPr>
          <w:rFonts w:eastAsia="Calibri"/>
          <w:lang w:val="es-DO"/>
        </w:rPr>
      </w:pPr>
    </w:p>
    <w:p w14:paraId="35330A90" w14:textId="77777777" w:rsidR="00486FC1" w:rsidRPr="0064264A" w:rsidRDefault="00486FC1" w:rsidP="00486FC1">
      <w:pPr>
        <w:spacing w:line="360" w:lineRule="auto"/>
        <w:jc w:val="both"/>
        <w:rPr>
          <w:rFonts w:eastAsia="Calibri"/>
          <w:lang w:val="es-DO"/>
        </w:rPr>
      </w:pPr>
    </w:p>
    <w:p w14:paraId="7B5DA559" w14:textId="798F7573" w:rsidR="00486FC1" w:rsidRPr="0064264A" w:rsidRDefault="00486FC1" w:rsidP="00486FC1">
      <w:pPr>
        <w:spacing w:line="360" w:lineRule="auto"/>
        <w:jc w:val="both"/>
        <w:rPr>
          <w:rFonts w:eastAsia="Calibri"/>
          <w:lang w:val="es-DO"/>
        </w:rPr>
      </w:pPr>
      <w:r w:rsidRPr="0064264A">
        <w:rPr>
          <w:rFonts w:eastAsia="Calibri"/>
          <w:lang w:val="es-DO"/>
        </w:rPr>
        <w:t xml:space="preserve">De manera complementaria, en abril de 2025 la Junta Monetaria adoptó u conjunto de medidas </w:t>
      </w:r>
      <w:proofErr w:type="spellStart"/>
      <w:r w:rsidRPr="0064264A">
        <w:rPr>
          <w:rFonts w:eastAsia="Calibri"/>
          <w:lang w:val="es-DO"/>
        </w:rPr>
        <w:t>macroprudenciales</w:t>
      </w:r>
      <w:proofErr w:type="spellEnd"/>
      <w:r w:rsidRPr="0064264A">
        <w:rPr>
          <w:rFonts w:eastAsia="Calibri"/>
          <w:lang w:val="es-DO"/>
        </w:rPr>
        <w:t xml:space="preserve"> orientadas a mitigar los riesgos cambiarios y de crédito, fortaleciendo la resiliencia del sistema financiero. Estas disposiciones incluyeron la revisión del financiamiento en moneda extranjera para deudores no generadores de divisas, el incremento de los ponderadores de riesgo asociados a estos créditos y el ajuste del límite de la posición neta en moneda extranjera de las entidades de intermediación financiera.</w:t>
      </w:r>
    </w:p>
    <w:p w14:paraId="74363964" w14:textId="0F99B1AB" w:rsidR="00486FC1" w:rsidRPr="0064264A" w:rsidRDefault="00486FC1" w:rsidP="00486FC1">
      <w:pPr>
        <w:spacing w:line="360" w:lineRule="auto"/>
        <w:jc w:val="both"/>
        <w:rPr>
          <w:rFonts w:eastAsia="Calibri"/>
          <w:lang w:val="es-DO"/>
        </w:rPr>
      </w:pPr>
      <w:r w:rsidRPr="0064264A">
        <w:rPr>
          <w:rFonts w:eastAsia="Calibri"/>
          <w:lang w:val="es-DO"/>
        </w:rPr>
        <w:t>En junio, con el propósito de reforzar la liquidez y facilitar el financiamiento a sectores productivos estratégicos, la Junta Monetaria autorizó la liberación de RD$50 mil millones del encaje legal, junto con la habilitación de recursos adicionales y el aplazamiento de facilidades de liquidez rápida, conformando un paquete de apoyo crediticio por aproximadamente RD$81 mil millones, destinado a impulsar actividades de amplio impacto económico, incluyendo las MIPYMES.</w:t>
      </w:r>
    </w:p>
    <w:p w14:paraId="67E8B0E9" w14:textId="1641AE63" w:rsidR="00486FC1" w:rsidRPr="0064264A" w:rsidRDefault="00486FC1" w:rsidP="00486FC1">
      <w:pPr>
        <w:spacing w:line="360" w:lineRule="auto"/>
        <w:jc w:val="both"/>
        <w:rPr>
          <w:rFonts w:eastAsia="Calibri"/>
          <w:lang w:val="es-DO"/>
        </w:rPr>
      </w:pPr>
      <w:r w:rsidRPr="0064264A">
        <w:rPr>
          <w:rFonts w:eastAsia="Calibri"/>
          <w:lang w:val="es-DO"/>
        </w:rPr>
        <w:t>Adicionalmente, en septiembre se aprobó la modificación del Reglamento Cambiario, con el objetivo de actualizar el marco normativo, establecer lineamientos de conducta que garanticen la correcta ejecución de las operaciones cambiarias y fortalecer los mecanismos de supervisión y sanción, contribuyendo a un funcionamiento más transparente y eficiente del mercado cambiario.</w:t>
      </w:r>
    </w:p>
    <w:p w14:paraId="006B73D0" w14:textId="5F6B898C" w:rsidR="00486FC1" w:rsidRPr="0064264A" w:rsidRDefault="00486FC1" w:rsidP="00486FC1">
      <w:pPr>
        <w:spacing w:line="360" w:lineRule="auto"/>
        <w:jc w:val="both"/>
        <w:rPr>
          <w:rFonts w:eastAsia="Calibri"/>
          <w:lang w:val="es-DO"/>
        </w:rPr>
      </w:pPr>
      <w:r w:rsidRPr="0064264A">
        <w:rPr>
          <w:rFonts w:eastAsia="Calibri"/>
          <w:lang w:val="es-DO"/>
        </w:rPr>
        <w:t xml:space="preserve">En este contexto de políticas económicas, la actividad económica mostró una desaceleración durante 2025, registrándose un crecimiento interanual de 0.2 % en octubre y un promedio acumulado </w:t>
      </w:r>
      <w:r w:rsidRPr="0064264A">
        <w:rPr>
          <w:rFonts w:eastAsia="Calibri"/>
          <w:lang w:val="es-DO"/>
        </w:rPr>
        <w:lastRenderedPageBreak/>
        <w:t xml:space="preserve">de 2.0 % en el período enero-octubre. No obstante, se destacó el dinamismo del sector servicios, particularmente en hoteles, bares y restaurantes, así como en la intermediación financiera, junto con un desempeño favorable en algunas actividades productivas. </w:t>
      </w:r>
    </w:p>
    <w:p w14:paraId="43675CE2" w14:textId="3546B22D" w:rsidR="00486FC1" w:rsidRPr="0064264A" w:rsidRDefault="00486FC1" w:rsidP="00486FC1">
      <w:pPr>
        <w:spacing w:line="360" w:lineRule="auto"/>
        <w:jc w:val="both"/>
        <w:rPr>
          <w:rFonts w:eastAsia="Calibri"/>
          <w:lang w:val="es-DO"/>
        </w:rPr>
      </w:pPr>
      <w:r w:rsidRPr="0064264A">
        <w:rPr>
          <w:rFonts w:eastAsia="Calibri"/>
          <w:lang w:val="es-DO"/>
        </w:rPr>
        <w:t>Para el cierre del año, se proyecta un crecimiento económico en torno a 2.0-2.5 %, con una aceleración prevista para 2026.</w:t>
      </w:r>
    </w:p>
    <w:p w14:paraId="2EE75A84" w14:textId="77777777" w:rsidR="00486FC1" w:rsidRPr="0064264A" w:rsidRDefault="00486FC1" w:rsidP="00486FC1">
      <w:pPr>
        <w:spacing w:line="360" w:lineRule="auto"/>
        <w:jc w:val="both"/>
        <w:rPr>
          <w:rFonts w:eastAsia="Calibri"/>
          <w:lang w:val="es-DO"/>
        </w:rPr>
      </w:pPr>
      <w:r w:rsidRPr="0064264A">
        <w:rPr>
          <w:rFonts w:eastAsia="Calibri"/>
          <w:lang w:val="es-DO"/>
        </w:rPr>
        <w:t xml:space="preserve">El mercado laboral presentó resultados favorables, con la creación de aproximadamente 121,000 empleos entre el segundo trimestre de 2024 y el segundo trimestre de 2025, manteniendo la ocupación por encima de los cinco millones de trabajadores y una tasa de desocupación abierta de 5.0 %. </w:t>
      </w:r>
    </w:p>
    <w:p w14:paraId="467E27B8" w14:textId="7C8846E7" w:rsidR="00486FC1" w:rsidRPr="0064264A" w:rsidRDefault="00486FC1" w:rsidP="00486FC1">
      <w:pPr>
        <w:spacing w:line="360" w:lineRule="auto"/>
        <w:jc w:val="both"/>
        <w:rPr>
          <w:rFonts w:eastAsia="Calibri"/>
          <w:lang w:val="es-DO"/>
        </w:rPr>
      </w:pPr>
      <w:r w:rsidRPr="0064264A">
        <w:rPr>
          <w:rFonts w:eastAsia="Calibri"/>
          <w:lang w:val="es-DO"/>
        </w:rPr>
        <w:t>Por su parte, la inflación interanual se mantuvo dentro del rango meta por 31 meses consecutivos, ubicándose en 4.81 % en noviembre, mientras que la inflación subyacente alcanzó 4.74 %, con perspectivas de permanecer alineada al objetivo de política monetaria.</w:t>
      </w:r>
    </w:p>
    <w:p w14:paraId="0CA1F2AA" w14:textId="1314FAAA" w:rsidR="00486FC1" w:rsidRPr="0064264A" w:rsidRDefault="00486FC1" w:rsidP="00486FC1">
      <w:pPr>
        <w:spacing w:line="360" w:lineRule="auto"/>
        <w:jc w:val="both"/>
        <w:rPr>
          <w:rFonts w:eastAsia="Calibri"/>
          <w:lang w:val="es-DO"/>
        </w:rPr>
      </w:pPr>
      <w:r w:rsidRPr="0064264A">
        <w:rPr>
          <w:rFonts w:eastAsia="Calibri"/>
          <w:lang w:val="es-DO"/>
        </w:rPr>
        <w:t>Asimismo, las actividades generadoras de divisas continuaron mostrando un desempeño favorable, contribuyendo a la estabilidad del tipo de cambio y al fortalecimiento de las reservas internacionales, las cuales alcanzaron niveles superiores a los parámetros recomendados por el Fondo Monetario Internacional. En el sistema financiero, el crédito privado mostró una moderación en su ritmo de expansión, manteniéndose indicadores sólidos de liquidez, rentabilidad y solvencia, junto con una baja morosidad.</w:t>
      </w:r>
    </w:p>
    <w:p w14:paraId="3BE722EC" w14:textId="77777777" w:rsidR="00486FC1" w:rsidRPr="0064264A" w:rsidRDefault="00486FC1" w:rsidP="00486FC1">
      <w:pPr>
        <w:spacing w:line="360" w:lineRule="auto"/>
        <w:jc w:val="both"/>
        <w:rPr>
          <w:rFonts w:eastAsia="Calibri"/>
          <w:lang w:val="es-DO"/>
        </w:rPr>
      </w:pPr>
      <w:r w:rsidRPr="0064264A">
        <w:rPr>
          <w:rFonts w:eastAsia="Calibri"/>
          <w:lang w:val="es-DO"/>
        </w:rPr>
        <w:t xml:space="preserve">En conclusión, durante 2025 el Banco Central de la República Dominicana ejecutó una política monetaria y </w:t>
      </w:r>
      <w:proofErr w:type="spellStart"/>
      <w:r w:rsidRPr="0064264A">
        <w:rPr>
          <w:rFonts w:eastAsia="Calibri"/>
          <w:lang w:val="es-DO"/>
        </w:rPr>
        <w:t>macroprudencial</w:t>
      </w:r>
      <w:proofErr w:type="spellEnd"/>
      <w:r w:rsidRPr="0064264A">
        <w:rPr>
          <w:rFonts w:eastAsia="Calibri"/>
          <w:lang w:val="es-DO"/>
        </w:rPr>
        <w:t xml:space="preserve"> coherente y oportuna, orientada a preservar la estabilidad de precios, </w:t>
      </w:r>
      <w:r w:rsidRPr="0064264A">
        <w:rPr>
          <w:rFonts w:eastAsia="Calibri"/>
          <w:lang w:val="es-DO"/>
        </w:rPr>
        <w:lastRenderedPageBreak/>
        <w:t>apoyar la actividad económica y fortalecer la solidez del sistema financiero, sentando las bases para una recuperación más dinámica en el mediano plazo.</w:t>
      </w:r>
    </w:p>
    <w:p w14:paraId="50075108" w14:textId="3B8897E7" w:rsidR="001240D0" w:rsidRPr="0064264A" w:rsidRDefault="00D9267D" w:rsidP="00D9267D">
      <w:pPr>
        <w:tabs>
          <w:tab w:val="left" w:pos="2408"/>
        </w:tabs>
        <w:spacing w:line="360" w:lineRule="auto"/>
        <w:jc w:val="both"/>
        <w:rPr>
          <w:rFonts w:eastAsia="Calibri"/>
          <w:lang w:val="es-DO"/>
        </w:rPr>
      </w:pPr>
      <w:r w:rsidRPr="0064264A">
        <w:rPr>
          <w:rFonts w:eastAsia="Calibri"/>
          <w:lang w:val="es-DO"/>
        </w:rPr>
        <w:tab/>
      </w:r>
    </w:p>
    <w:p w14:paraId="4281740B" w14:textId="77777777" w:rsidR="00D9267D" w:rsidRPr="0064264A" w:rsidRDefault="00D9267D" w:rsidP="00D9267D">
      <w:pPr>
        <w:tabs>
          <w:tab w:val="left" w:pos="2408"/>
        </w:tabs>
        <w:spacing w:line="360" w:lineRule="auto"/>
        <w:jc w:val="both"/>
        <w:rPr>
          <w:rFonts w:eastAsia="Calibri"/>
          <w:lang w:val="es-DO"/>
        </w:rPr>
      </w:pPr>
    </w:p>
    <w:p w14:paraId="2D4E7BD2" w14:textId="77777777" w:rsidR="00D9267D" w:rsidRPr="0064264A" w:rsidRDefault="00D9267D" w:rsidP="00D9267D">
      <w:pPr>
        <w:tabs>
          <w:tab w:val="left" w:pos="2408"/>
        </w:tabs>
        <w:spacing w:line="360" w:lineRule="auto"/>
        <w:jc w:val="both"/>
        <w:rPr>
          <w:rFonts w:eastAsia="Calibri"/>
          <w:lang w:val="es-DO"/>
        </w:rPr>
      </w:pPr>
    </w:p>
    <w:p w14:paraId="5A3001A5" w14:textId="77777777" w:rsidR="00D9267D" w:rsidRPr="0064264A" w:rsidRDefault="00D9267D" w:rsidP="00D9267D">
      <w:pPr>
        <w:tabs>
          <w:tab w:val="left" w:pos="2408"/>
        </w:tabs>
        <w:spacing w:line="360" w:lineRule="auto"/>
        <w:jc w:val="both"/>
        <w:rPr>
          <w:rFonts w:eastAsia="Calibri"/>
          <w:lang w:val="es-DO"/>
        </w:rPr>
      </w:pPr>
    </w:p>
    <w:p w14:paraId="552A077F" w14:textId="77777777" w:rsidR="00D9267D" w:rsidRPr="0064264A" w:rsidRDefault="00D9267D" w:rsidP="00D9267D">
      <w:pPr>
        <w:tabs>
          <w:tab w:val="left" w:pos="2408"/>
        </w:tabs>
        <w:spacing w:line="360" w:lineRule="auto"/>
        <w:jc w:val="both"/>
        <w:rPr>
          <w:rFonts w:eastAsia="Calibri"/>
          <w:lang w:val="es-DO"/>
        </w:rPr>
      </w:pPr>
    </w:p>
    <w:p w14:paraId="34CBA805" w14:textId="77777777" w:rsidR="00D9267D" w:rsidRPr="0064264A" w:rsidRDefault="00D9267D" w:rsidP="00D9267D">
      <w:pPr>
        <w:tabs>
          <w:tab w:val="left" w:pos="2408"/>
        </w:tabs>
        <w:spacing w:line="360" w:lineRule="auto"/>
        <w:jc w:val="both"/>
        <w:rPr>
          <w:rFonts w:eastAsia="Calibri"/>
          <w:lang w:val="es-DO"/>
        </w:rPr>
      </w:pPr>
    </w:p>
    <w:p w14:paraId="6C189206" w14:textId="77777777" w:rsidR="00D9267D" w:rsidRPr="0064264A" w:rsidRDefault="00D9267D" w:rsidP="00D9267D">
      <w:pPr>
        <w:tabs>
          <w:tab w:val="left" w:pos="2408"/>
        </w:tabs>
        <w:spacing w:line="360" w:lineRule="auto"/>
        <w:jc w:val="both"/>
        <w:rPr>
          <w:rFonts w:eastAsia="Calibri"/>
          <w:lang w:val="es-DO"/>
        </w:rPr>
      </w:pPr>
    </w:p>
    <w:p w14:paraId="617D4500" w14:textId="77777777" w:rsidR="00D9267D" w:rsidRPr="0064264A" w:rsidRDefault="00D9267D" w:rsidP="00D9267D">
      <w:pPr>
        <w:tabs>
          <w:tab w:val="left" w:pos="2408"/>
        </w:tabs>
        <w:spacing w:line="360" w:lineRule="auto"/>
        <w:jc w:val="both"/>
        <w:rPr>
          <w:rFonts w:eastAsia="Calibri"/>
          <w:lang w:val="es-DO"/>
        </w:rPr>
      </w:pPr>
    </w:p>
    <w:p w14:paraId="4F5C73EF" w14:textId="77777777" w:rsidR="00D9267D" w:rsidRPr="0064264A" w:rsidRDefault="00D9267D" w:rsidP="00D9267D">
      <w:pPr>
        <w:tabs>
          <w:tab w:val="left" w:pos="2408"/>
        </w:tabs>
        <w:spacing w:line="360" w:lineRule="auto"/>
        <w:jc w:val="both"/>
        <w:rPr>
          <w:rFonts w:eastAsia="Calibri"/>
          <w:lang w:val="es-DO"/>
        </w:rPr>
      </w:pPr>
    </w:p>
    <w:p w14:paraId="2AFCFFDF" w14:textId="77777777" w:rsidR="00D9267D" w:rsidRPr="0064264A" w:rsidRDefault="00D9267D" w:rsidP="00D9267D">
      <w:pPr>
        <w:tabs>
          <w:tab w:val="left" w:pos="2408"/>
        </w:tabs>
        <w:spacing w:line="360" w:lineRule="auto"/>
        <w:jc w:val="both"/>
        <w:rPr>
          <w:rFonts w:eastAsia="Calibri"/>
          <w:lang w:val="es-DO"/>
        </w:rPr>
      </w:pPr>
    </w:p>
    <w:p w14:paraId="388028C4" w14:textId="77777777" w:rsidR="00D9267D" w:rsidRPr="0064264A" w:rsidRDefault="00D9267D" w:rsidP="00D9267D">
      <w:pPr>
        <w:tabs>
          <w:tab w:val="left" w:pos="2408"/>
        </w:tabs>
        <w:spacing w:line="360" w:lineRule="auto"/>
        <w:jc w:val="both"/>
        <w:rPr>
          <w:rFonts w:eastAsia="Calibri"/>
          <w:lang w:val="es-DO"/>
        </w:rPr>
      </w:pPr>
    </w:p>
    <w:p w14:paraId="77038D38" w14:textId="77777777" w:rsidR="00D9267D" w:rsidRPr="0064264A" w:rsidRDefault="00D9267D" w:rsidP="00D9267D">
      <w:pPr>
        <w:tabs>
          <w:tab w:val="left" w:pos="2408"/>
        </w:tabs>
        <w:spacing w:line="360" w:lineRule="auto"/>
        <w:jc w:val="both"/>
        <w:rPr>
          <w:rFonts w:eastAsia="Calibri"/>
          <w:lang w:val="es-DO"/>
        </w:rPr>
      </w:pPr>
    </w:p>
    <w:p w14:paraId="633FC1E3" w14:textId="77777777" w:rsidR="00D9267D" w:rsidRPr="0064264A" w:rsidRDefault="00D9267D" w:rsidP="00D9267D">
      <w:pPr>
        <w:tabs>
          <w:tab w:val="left" w:pos="2408"/>
        </w:tabs>
        <w:spacing w:line="360" w:lineRule="auto"/>
        <w:jc w:val="both"/>
        <w:rPr>
          <w:rFonts w:eastAsia="Calibri"/>
          <w:lang w:val="es-DO"/>
        </w:rPr>
      </w:pPr>
    </w:p>
    <w:p w14:paraId="69FA30BB" w14:textId="77777777" w:rsidR="00D9267D" w:rsidRPr="0064264A" w:rsidRDefault="00D9267D" w:rsidP="00D9267D">
      <w:pPr>
        <w:tabs>
          <w:tab w:val="left" w:pos="2408"/>
        </w:tabs>
        <w:spacing w:line="360" w:lineRule="auto"/>
        <w:jc w:val="both"/>
        <w:rPr>
          <w:rFonts w:eastAsia="Calibri"/>
          <w:lang w:val="es-DO"/>
        </w:rPr>
      </w:pPr>
    </w:p>
    <w:p w14:paraId="6BB8CEF5" w14:textId="77777777" w:rsidR="00D9267D" w:rsidRPr="0064264A" w:rsidRDefault="00D9267D" w:rsidP="00D9267D">
      <w:pPr>
        <w:tabs>
          <w:tab w:val="left" w:pos="2408"/>
        </w:tabs>
        <w:spacing w:line="360" w:lineRule="auto"/>
        <w:jc w:val="both"/>
        <w:rPr>
          <w:rFonts w:eastAsia="Calibri"/>
          <w:lang w:val="es-DO"/>
        </w:rPr>
      </w:pPr>
    </w:p>
    <w:p w14:paraId="35D768F9" w14:textId="77777777" w:rsidR="00D9267D" w:rsidRPr="0064264A" w:rsidRDefault="00D9267D" w:rsidP="00D9267D">
      <w:pPr>
        <w:tabs>
          <w:tab w:val="left" w:pos="2408"/>
        </w:tabs>
        <w:spacing w:line="360" w:lineRule="auto"/>
        <w:jc w:val="both"/>
        <w:rPr>
          <w:rFonts w:eastAsia="Calibri"/>
          <w:lang w:val="es-DO"/>
        </w:rPr>
      </w:pPr>
    </w:p>
    <w:p w14:paraId="321F7C1B" w14:textId="77777777" w:rsidR="00D9267D" w:rsidRPr="0064264A" w:rsidRDefault="00D9267D" w:rsidP="00D9267D">
      <w:pPr>
        <w:tabs>
          <w:tab w:val="left" w:pos="2408"/>
        </w:tabs>
        <w:spacing w:line="360" w:lineRule="auto"/>
        <w:jc w:val="both"/>
        <w:rPr>
          <w:rFonts w:eastAsia="Calibri"/>
          <w:lang w:val="es-DO"/>
        </w:rPr>
      </w:pPr>
    </w:p>
    <w:p w14:paraId="63969000" w14:textId="77777777" w:rsidR="00D9267D" w:rsidRPr="0064264A" w:rsidRDefault="00D9267D" w:rsidP="00D9267D">
      <w:pPr>
        <w:tabs>
          <w:tab w:val="left" w:pos="2408"/>
        </w:tabs>
        <w:spacing w:line="360" w:lineRule="auto"/>
        <w:jc w:val="both"/>
        <w:rPr>
          <w:rFonts w:eastAsia="Calibri"/>
          <w:lang w:val="es-DO"/>
        </w:rPr>
      </w:pPr>
    </w:p>
    <w:p w14:paraId="6A3D7F95" w14:textId="77777777" w:rsidR="00D9267D" w:rsidRPr="0064264A" w:rsidRDefault="00D9267D" w:rsidP="00D9267D">
      <w:pPr>
        <w:tabs>
          <w:tab w:val="left" w:pos="2408"/>
        </w:tabs>
        <w:spacing w:line="360" w:lineRule="auto"/>
        <w:jc w:val="both"/>
        <w:rPr>
          <w:rFonts w:eastAsia="Calibri"/>
          <w:lang w:val="es-DO"/>
        </w:rPr>
      </w:pPr>
    </w:p>
    <w:bookmarkStart w:id="3" w:name="_Toc217386280"/>
    <w:p w14:paraId="316B5303" w14:textId="70AC633F" w:rsidR="00D9267D" w:rsidRPr="0064264A" w:rsidRDefault="00D9267D" w:rsidP="00936039">
      <w:pPr>
        <w:pStyle w:val="Heading1"/>
        <w:rPr>
          <w:rFonts w:eastAsia="Calibri"/>
          <w:color w:val="767171"/>
          <w:lang w:val="es-DO"/>
        </w:rPr>
      </w:pPr>
      <w:r w:rsidRPr="0064264A">
        <w:rPr>
          <w:rFonts w:eastAsia="Calibri"/>
          <w:noProof/>
          <w:color w:val="767171"/>
          <w:lang w:val="es-DO"/>
        </w:rPr>
        <mc:AlternateContent>
          <mc:Choice Requires="wps">
            <w:drawing>
              <wp:anchor distT="0" distB="0" distL="114300" distR="114300" simplePos="0" relativeHeight="251740160" behindDoc="0" locked="0" layoutInCell="1" allowOverlap="1" wp14:anchorId="2C53163E" wp14:editId="5CC44588">
                <wp:simplePos x="0" y="0"/>
                <wp:positionH relativeFrom="margin">
                  <wp:align>center</wp:align>
                </wp:positionH>
                <wp:positionV relativeFrom="paragraph">
                  <wp:posOffset>263843</wp:posOffset>
                </wp:positionV>
                <wp:extent cx="540000" cy="0"/>
                <wp:effectExtent l="0" t="19050" r="31750" b="19050"/>
                <wp:wrapNone/>
                <wp:docPr id="718536914" name="Conector recto 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A6D7BF" id="Conector recto 9" o:spid="_x0000_s1026" style="position:absolute;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8pt" to="42.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" strokecolor="red" strokeweight="2.5pt">
                <v:stroke joinstyle="miter"/>
                <w10:wrap anchorx="margin"/>
              </v:line>
            </w:pict>
          </mc:Fallback>
        </mc:AlternateContent>
      </w:r>
      <w:r w:rsidRPr="0064264A">
        <w:rPr>
          <w:rFonts w:eastAsia="Calibri"/>
          <w:color w:val="767171"/>
          <w:lang w:val="es-DO"/>
        </w:rPr>
        <w:t>II. INFORMACIÓN INSTITUCIONAL</w:t>
      </w:r>
      <w:bookmarkEnd w:id="3"/>
    </w:p>
    <w:p w14:paraId="5E232B47" w14:textId="6DA62F8F" w:rsidR="00D9267D" w:rsidRPr="0064264A" w:rsidRDefault="00D9267D" w:rsidP="00791542">
      <w:pPr>
        <w:spacing w:line="360" w:lineRule="auto"/>
        <w:jc w:val="center"/>
        <w:rPr>
          <w:rFonts w:eastAsia="Calibri"/>
          <w:lang w:val="es-DO"/>
        </w:rPr>
      </w:pPr>
      <w:r w:rsidRPr="0064264A">
        <w:rPr>
          <w:rFonts w:eastAsia="Calibri"/>
          <w:lang w:val="es-DO"/>
        </w:rPr>
        <w:t>Memoria institucional 2025</w:t>
      </w:r>
    </w:p>
    <w:p w14:paraId="68F29258" w14:textId="206856DC" w:rsidR="00D9267D" w:rsidRPr="0064264A" w:rsidRDefault="00D9267D" w:rsidP="00936039">
      <w:pPr>
        <w:pStyle w:val="Heading2"/>
        <w:rPr>
          <w:rFonts w:eastAsia="Calibri"/>
          <w:b/>
          <w:color w:val="767171"/>
          <w:lang w:val="es-DO"/>
        </w:rPr>
      </w:pPr>
      <w:bookmarkStart w:id="4" w:name="_Toc217386281"/>
      <w:r w:rsidRPr="0064264A">
        <w:rPr>
          <w:rFonts w:eastAsia="Calibri"/>
          <w:b/>
          <w:color w:val="767171"/>
          <w:lang w:val="es-DO"/>
        </w:rPr>
        <w:t>2.1 Marco filosófico institucional</w:t>
      </w:r>
      <w:bookmarkEnd w:id="4"/>
    </w:p>
    <w:p w14:paraId="523FE766" w14:textId="77777777" w:rsidR="00936039" w:rsidRPr="0064264A" w:rsidRDefault="00936039" w:rsidP="00936039">
      <w:pPr>
        <w:rPr>
          <w:lang w:val="es-DO"/>
        </w:rPr>
      </w:pPr>
    </w:p>
    <w:p w14:paraId="3CFBE970" w14:textId="5DD8E9D8" w:rsidR="00D9267D" w:rsidRPr="0064264A" w:rsidRDefault="00D9267D" w:rsidP="00D9267D">
      <w:pPr>
        <w:spacing w:line="360" w:lineRule="auto"/>
        <w:jc w:val="both"/>
        <w:rPr>
          <w:rFonts w:eastAsia="Calibri"/>
          <w:lang w:val="es-DO"/>
        </w:rPr>
      </w:pPr>
      <w:r w:rsidRPr="0064264A">
        <w:rPr>
          <w:rFonts w:eastAsia="Calibri"/>
          <w:lang w:val="es-DO"/>
        </w:rPr>
        <w:t>2.1.1 Misión</w:t>
      </w:r>
    </w:p>
    <w:p w14:paraId="27374821" w14:textId="77777777" w:rsidR="00D9267D" w:rsidRPr="0064264A" w:rsidRDefault="00D9267D" w:rsidP="00D9267D">
      <w:pPr>
        <w:spacing w:line="360" w:lineRule="auto"/>
        <w:jc w:val="both"/>
        <w:rPr>
          <w:rFonts w:eastAsia="Calibri"/>
          <w:bCs/>
          <w:lang w:val="es-DO"/>
        </w:rPr>
      </w:pPr>
      <w:r w:rsidRPr="0064264A">
        <w:rPr>
          <w:rFonts w:eastAsia="Calibri"/>
          <w:bCs/>
          <w:lang w:val="es-DO"/>
        </w:rPr>
        <w:t xml:space="preserve">Ser el ente emisor, velar por la estabilidad de precios y garantizar la regulación del sistema </w:t>
      </w:r>
      <w:proofErr w:type="spellStart"/>
      <w:r w:rsidRPr="0064264A">
        <w:rPr>
          <w:rFonts w:eastAsia="Calibri"/>
          <w:bCs/>
          <w:lang w:val="es-DO"/>
        </w:rPr>
        <w:t>ﬁnanciero</w:t>
      </w:r>
      <w:proofErr w:type="spellEnd"/>
      <w:r w:rsidRPr="0064264A">
        <w:rPr>
          <w:rFonts w:eastAsia="Calibri"/>
          <w:bCs/>
          <w:lang w:val="es-DO"/>
        </w:rPr>
        <w:t>, así como promover la eficiencia y seguridad de los sistemas de pagos, actuando como ejecutor de las políticas monetaria, cambiaria y financiera, para coadyuvar a la estabilidad y el crecimiento de la economía nacional.</w:t>
      </w:r>
    </w:p>
    <w:p w14:paraId="62F6AFFE" w14:textId="658FFEF3" w:rsidR="00D9267D" w:rsidRPr="0064264A" w:rsidRDefault="00D9267D" w:rsidP="00D9267D">
      <w:pPr>
        <w:spacing w:line="360" w:lineRule="auto"/>
        <w:jc w:val="both"/>
        <w:rPr>
          <w:rFonts w:eastAsia="Calibri"/>
          <w:lang w:val="es-DO"/>
        </w:rPr>
      </w:pPr>
      <w:r w:rsidRPr="0064264A">
        <w:rPr>
          <w:rFonts w:eastAsia="Calibri"/>
          <w:lang w:val="es-DO"/>
        </w:rPr>
        <w:t>2.1.2 Visión</w:t>
      </w:r>
    </w:p>
    <w:p w14:paraId="2CCA9ADC" w14:textId="77777777" w:rsidR="00D9267D" w:rsidRPr="0064264A" w:rsidRDefault="00D9267D" w:rsidP="00D9267D">
      <w:pPr>
        <w:spacing w:line="360" w:lineRule="auto"/>
        <w:jc w:val="both"/>
        <w:rPr>
          <w:rFonts w:eastAsia="Calibri"/>
          <w:bCs/>
          <w:lang w:val="es-DO"/>
        </w:rPr>
      </w:pPr>
      <w:r w:rsidRPr="0064264A">
        <w:rPr>
          <w:rFonts w:eastAsia="Calibri"/>
          <w:bCs/>
          <w:lang w:val="es-DO"/>
        </w:rPr>
        <w:t xml:space="preserve">Ser una institución dinámica y transparente, reconocida por su credibilidad, </w:t>
      </w:r>
      <w:proofErr w:type="spellStart"/>
      <w:r w:rsidRPr="0064264A">
        <w:rPr>
          <w:rFonts w:eastAsia="Calibri"/>
          <w:bCs/>
          <w:lang w:val="es-DO"/>
        </w:rPr>
        <w:t>eﬁciencia</w:t>
      </w:r>
      <w:proofErr w:type="spellEnd"/>
      <w:r w:rsidRPr="0064264A">
        <w:rPr>
          <w:rFonts w:eastAsia="Calibri"/>
          <w:bCs/>
          <w:lang w:val="es-DO"/>
        </w:rPr>
        <w:t xml:space="preserve"> y liderazgo, y sustentada en su autonomía, gobernabilidad, capital humano y capacidad tecnológica. </w:t>
      </w:r>
    </w:p>
    <w:p w14:paraId="6C04683C" w14:textId="6034974D" w:rsidR="00D9267D" w:rsidRPr="0064264A" w:rsidRDefault="00D9267D" w:rsidP="00D9267D">
      <w:pPr>
        <w:spacing w:line="360" w:lineRule="auto"/>
        <w:jc w:val="both"/>
        <w:rPr>
          <w:rFonts w:eastAsia="Calibri"/>
          <w:lang w:val="es-DO"/>
        </w:rPr>
      </w:pPr>
      <w:r w:rsidRPr="0064264A">
        <w:rPr>
          <w:rFonts w:eastAsia="Calibri"/>
          <w:lang w:val="es-DO"/>
        </w:rPr>
        <w:t>2.1.3   Valores</w:t>
      </w:r>
    </w:p>
    <w:p w14:paraId="001FB5D2" w14:textId="77777777" w:rsidR="00D9267D" w:rsidRPr="0064264A" w:rsidRDefault="00D9267D" w:rsidP="00A40AE3">
      <w:pPr>
        <w:numPr>
          <w:ilvl w:val="0"/>
          <w:numId w:val="1"/>
        </w:numPr>
        <w:spacing w:line="360" w:lineRule="auto"/>
        <w:jc w:val="both"/>
        <w:rPr>
          <w:rFonts w:eastAsia="Calibri"/>
          <w:bCs/>
          <w:lang w:val="es-DO"/>
        </w:rPr>
      </w:pPr>
      <w:r w:rsidRPr="0064264A">
        <w:rPr>
          <w:rFonts w:eastAsia="Calibri"/>
          <w:bCs/>
          <w:lang w:val="es-DO"/>
        </w:rPr>
        <w:t>Integridad</w:t>
      </w:r>
    </w:p>
    <w:p w14:paraId="5B8EDBAE" w14:textId="77777777" w:rsidR="00D9267D" w:rsidRPr="0064264A" w:rsidRDefault="00D9267D" w:rsidP="00A40AE3">
      <w:pPr>
        <w:numPr>
          <w:ilvl w:val="0"/>
          <w:numId w:val="1"/>
        </w:numPr>
        <w:spacing w:line="360" w:lineRule="auto"/>
        <w:jc w:val="both"/>
        <w:rPr>
          <w:rFonts w:eastAsia="Calibri"/>
          <w:bCs/>
          <w:lang w:val="es-DO"/>
        </w:rPr>
      </w:pPr>
      <w:r w:rsidRPr="0064264A">
        <w:rPr>
          <w:rFonts w:eastAsia="Calibri"/>
          <w:bCs/>
          <w:lang w:val="es-DO"/>
        </w:rPr>
        <w:t>Transparencia</w:t>
      </w:r>
    </w:p>
    <w:p w14:paraId="128E8A5E" w14:textId="77777777" w:rsidR="00D9267D" w:rsidRPr="0064264A" w:rsidRDefault="00D9267D" w:rsidP="00A40AE3">
      <w:pPr>
        <w:numPr>
          <w:ilvl w:val="0"/>
          <w:numId w:val="1"/>
        </w:numPr>
        <w:spacing w:line="360" w:lineRule="auto"/>
        <w:jc w:val="both"/>
        <w:rPr>
          <w:rFonts w:eastAsia="Calibri"/>
          <w:bCs/>
          <w:lang w:val="es-DO"/>
        </w:rPr>
      </w:pPr>
      <w:r w:rsidRPr="0064264A">
        <w:rPr>
          <w:rFonts w:eastAsia="Calibri"/>
          <w:bCs/>
          <w:lang w:val="es-DO"/>
        </w:rPr>
        <w:t>Lealtad</w:t>
      </w:r>
    </w:p>
    <w:p w14:paraId="015EE615" w14:textId="77777777" w:rsidR="00D9267D" w:rsidRPr="0064264A" w:rsidRDefault="00D9267D" w:rsidP="00A40AE3">
      <w:pPr>
        <w:numPr>
          <w:ilvl w:val="0"/>
          <w:numId w:val="1"/>
        </w:numPr>
        <w:spacing w:line="360" w:lineRule="auto"/>
        <w:jc w:val="both"/>
        <w:rPr>
          <w:rFonts w:eastAsia="Calibri"/>
          <w:bCs/>
          <w:lang w:val="es-DO"/>
        </w:rPr>
      </w:pPr>
      <w:r w:rsidRPr="0064264A">
        <w:rPr>
          <w:rFonts w:eastAsia="Calibri"/>
          <w:bCs/>
          <w:lang w:val="es-DO"/>
        </w:rPr>
        <w:t>Productividad</w:t>
      </w:r>
    </w:p>
    <w:p w14:paraId="30AD745E" w14:textId="77777777" w:rsidR="00D9267D" w:rsidRPr="0064264A" w:rsidRDefault="00D9267D" w:rsidP="00A40AE3">
      <w:pPr>
        <w:numPr>
          <w:ilvl w:val="0"/>
          <w:numId w:val="1"/>
        </w:numPr>
        <w:spacing w:line="360" w:lineRule="auto"/>
        <w:jc w:val="both"/>
        <w:rPr>
          <w:rFonts w:eastAsia="Calibri"/>
          <w:bCs/>
          <w:lang w:val="es-DO"/>
        </w:rPr>
      </w:pPr>
      <w:r w:rsidRPr="0064264A">
        <w:rPr>
          <w:rFonts w:eastAsia="Calibri"/>
          <w:bCs/>
          <w:lang w:val="es-DO"/>
        </w:rPr>
        <w:t>Excelencia</w:t>
      </w:r>
    </w:p>
    <w:p w14:paraId="09561198" w14:textId="77777777" w:rsidR="00D9267D" w:rsidRPr="0064264A" w:rsidRDefault="00D9267D" w:rsidP="00A40AE3">
      <w:pPr>
        <w:numPr>
          <w:ilvl w:val="0"/>
          <w:numId w:val="1"/>
        </w:numPr>
        <w:spacing w:line="360" w:lineRule="auto"/>
        <w:jc w:val="both"/>
        <w:rPr>
          <w:rFonts w:eastAsia="Calibri"/>
          <w:bCs/>
          <w:lang w:val="es-DO"/>
        </w:rPr>
      </w:pPr>
      <w:r w:rsidRPr="0064264A">
        <w:rPr>
          <w:rFonts w:eastAsia="Calibri"/>
          <w:bCs/>
          <w:lang w:val="es-DO"/>
        </w:rPr>
        <w:t>Compromiso</w:t>
      </w:r>
    </w:p>
    <w:p w14:paraId="4FAEBF4F" w14:textId="0427AEEE" w:rsidR="00D9267D" w:rsidRPr="0064264A" w:rsidRDefault="00D9267D" w:rsidP="00D9267D">
      <w:pPr>
        <w:spacing w:line="360" w:lineRule="auto"/>
        <w:jc w:val="both"/>
        <w:rPr>
          <w:rFonts w:eastAsia="Calibri"/>
          <w:bCs/>
          <w:lang w:val="es-DO"/>
        </w:rPr>
      </w:pPr>
      <w:r w:rsidRPr="0064264A">
        <w:rPr>
          <w:rFonts w:eastAsia="Calibri"/>
          <w:bCs/>
          <w:lang w:val="es-DO"/>
        </w:rPr>
        <w:t>Eslogan: “Estabilidad y Crecimiento Económico”</w:t>
      </w:r>
    </w:p>
    <w:p w14:paraId="7DEE067F" w14:textId="77777777" w:rsidR="00D9267D" w:rsidRPr="0064264A" w:rsidRDefault="00D9267D" w:rsidP="00936039">
      <w:pPr>
        <w:pStyle w:val="Heading3"/>
        <w:rPr>
          <w:rFonts w:ascii="Times New Roman" w:eastAsia="Calibri" w:hAnsi="Times New Roman" w:cs="Times New Roman"/>
          <w:color w:val="767171"/>
        </w:rPr>
      </w:pPr>
      <w:bookmarkStart w:id="5" w:name="_Toc217386282"/>
      <w:r w:rsidRPr="0064264A">
        <w:rPr>
          <w:rFonts w:ascii="Times New Roman" w:eastAsia="Calibri" w:hAnsi="Times New Roman" w:cs="Times New Roman"/>
          <w:color w:val="767171"/>
        </w:rPr>
        <w:lastRenderedPageBreak/>
        <w:t>2.2 Objetivos y Estrategias Institucionales</w:t>
      </w:r>
      <w:bookmarkEnd w:id="5"/>
    </w:p>
    <w:p w14:paraId="09E932F7" w14:textId="77777777" w:rsidR="00936039" w:rsidRPr="0064264A" w:rsidRDefault="00936039" w:rsidP="00936039">
      <w:pPr>
        <w:rPr>
          <w:lang w:val="es-DO"/>
        </w:rPr>
      </w:pPr>
    </w:p>
    <w:p w14:paraId="2F7C3D4F" w14:textId="77777777" w:rsidR="00D9267D" w:rsidRPr="0064264A" w:rsidRDefault="00D9267D" w:rsidP="00D9267D">
      <w:pPr>
        <w:spacing w:line="360" w:lineRule="auto"/>
        <w:jc w:val="both"/>
        <w:rPr>
          <w:rFonts w:eastAsia="Calibri"/>
          <w:b/>
          <w:bCs/>
          <w:lang w:val="es-DO"/>
        </w:rPr>
      </w:pPr>
      <w:r w:rsidRPr="0064264A">
        <w:rPr>
          <w:rFonts w:eastAsia="Calibri"/>
          <w:bCs/>
          <w:lang w:val="es-DO"/>
        </w:rPr>
        <w:t xml:space="preserve">     </w:t>
      </w:r>
      <w:r w:rsidRPr="0064264A">
        <w:rPr>
          <w:rFonts w:eastAsia="Calibri"/>
          <w:b/>
          <w:bCs/>
          <w:lang w:val="es-DO"/>
        </w:rPr>
        <w:t>Mantener la estabilidad de precios</w:t>
      </w:r>
    </w:p>
    <w:p w14:paraId="4C48CD40" w14:textId="77777777" w:rsidR="00D9267D" w:rsidRPr="0064264A" w:rsidRDefault="00D9267D" w:rsidP="00A40AE3">
      <w:pPr>
        <w:numPr>
          <w:ilvl w:val="0"/>
          <w:numId w:val="2"/>
        </w:numPr>
        <w:spacing w:line="360" w:lineRule="auto"/>
        <w:jc w:val="both"/>
        <w:rPr>
          <w:rFonts w:eastAsia="Calibri"/>
          <w:bCs/>
          <w:lang w:val="es-DO"/>
        </w:rPr>
      </w:pPr>
      <w:r w:rsidRPr="0064264A">
        <w:rPr>
          <w:rFonts w:eastAsia="Calibri"/>
          <w:bCs/>
          <w:lang w:val="es-DO"/>
        </w:rPr>
        <w:t>Continuar fortaleciendo el esquema de metas de inflación, incluyendo nuevos instrumentos que otorguen mayor flexibilidad a la política monetaria para reaccionar ante choques exógenos.</w:t>
      </w:r>
    </w:p>
    <w:p w14:paraId="1FF6EA04" w14:textId="77777777" w:rsidR="00D9267D" w:rsidRPr="0064264A" w:rsidRDefault="00D9267D" w:rsidP="00A40AE3">
      <w:pPr>
        <w:numPr>
          <w:ilvl w:val="0"/>
          <w:numId w:val="2"/>
        </w:numPr>
        <w:spacing w:line="360" w:lineRule="auto"/>
        <w:jc w:val="both"/>
        <w:rPr>
          <w:rFonts w:eastAsia="Calibri"/>
          <w:bCs/>
          <w:lang w:val="es-DO"/>
        </w:rPr>
      </w:pPr>
      <w:r w:rsidRPr="0064264A">
        <w:rPr>
          <w:rFonts w:eastAsia="Calibri"/>
          <w:bCs/>
          <w:lang w:val="es-DO"/>
        </w:rPr>
        <w:t>Incrementar la capacidad para generar conocimiento a través de estudios y análisis sobre los nuevos determinantes de variables macroeconómicas que impactan la política monetaria, la regulación y la compilación estadística; con énfasis en cambio climático, monedas digitales, transformación digital, y fenómenos de choque.</w:t>
      </w:r>
    </w:p>
    <w:p w14:paraId="5E7C6628" w14:textId="77777777" w:rsidR="00D9267D" w:rsidRPr="0064264A" w:rsidRDefault="00D9267D" w:rsidP="00A40AE3">
      <w:pPr>
        <w:numPr>
          <w:ilvl w:val="0"/>
          <w:numId w:val="2"/>
        </w:numPr>
        <w:spacing w:line="360" w:lineRule="auto"/>
        <w:jc w:val="both"/>
        <w:rPr>
          <w:rFonts w:eastAsia="Calibri"/>
          <w:bCs/>
          <w:lang w:val="es-DO"/>
        </w:rPr>
      </w:pPr>
      <w:r w:rsidRPr="0064264A">
        <w:rPr>
          <w:rFonts w:eastAsia="Calibri"/>
          <w:bCs/>
          <w:lang w:val="es-DO"/>
        </w:rPr>
        <w:t>Ampliar cobertura, calidad y generación oportuna de estadísticas, indicadores e informes económicos, para facilitar la toma de decisiones de política monetaria, financiera y cambiaria.</w:t>
      </w:r>
    </w:p>
    <w:p w14:paraId="6567EA0A" w14:textId="77777777" w:rsidR="00D9267D" w:rsidRPr="0064264A" w:rsidRDefault="00D9267D" w:rsidP="00A40AE3">
      <w:pPr>
        <w:numPr>
          <w:ilvl w:val="0"/>
          <w:numId w:val="2"/>
        </w:numPr>
        <w:spacing w:line="360" w:lineRule="auto"/>
        <w:jc w:val="both"/>
        <w:rPr>
          <w:rFonts w:eastAsia="Calibri"/>
          <w:bCs/>
          <w:lang w:val="es-DO"/>
        </w:rPr>
      </w:pPr>
      <w:r w:rsidRPr="0064264A">
        <w:rPr>
          <w:rFonts w:eastAsia="Calibri"/>
          <w:bCs/>
          <w:lang w:val="es-DO"/>
        </w:rPr>
        <w:t>Consolidar los mecanismos formales de coordinación entre la política monetaria y la política fiscal para contribuir con la estabilidad y el crecimiento económico.</w:t>
      </w:r>
    </w:p>
    <w:p w14:paraId="5E8A75D8"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Procurar la estabilidad y fortalecimiento del sistema financiero y la eficiencia y    seguridad del sistema de pago.</w:t>
      </w:r>
    </w:p>
    <w:p w14:paraId="00D7D51C" w14:textId="77777777" w:rsidR="00D9267D" w:rsidRPr="0064264A" w:rsidRDefault="00D9267D" w:rsidP="00A40AE3">
      <w:pPr>
        <w:numPr>
          <w:ilvl w:val="0"/>
          <w:numId w:val="3"/>
        </w:numPr>
        <w:spacing w:line="360" w:lineRule="auto"/>
        <w:jc w:val="both"/>
        <w:rPr>
          <w:rFonts w:eastAsia="Calibri"/>
          <w:bCs/>
          <w:lang w:val="es-DO"/>
        </w:rPr>
      </w:pPr>
      <w:r w:rsidRPr="0064264A">
        <w:rPr>
          <w:rFonts w:eastAsia="Calibri"/>
          <w:bCs/>
          <w:lang w:val="es-DO"/>
        </w:rPr>
        <w:t>Fortalecer el conocimiento a través de estudios y análisis para generar indicadores predictivos de alerta temprana en la evaluación de los riesgos financieros, a los fines de proponer políticas micro y macro prudenciales que reduzcan la acumulación de riesgos en el sector financiero.</w:t>
      </w:r>
    </w:p>
    <w:p w14:paraId="73174D63" w14:textId="77777777" w:rsidR="00D9267D" w:rsidRPr="0064264A" w:rsidRDefault="00D9267D" w:rsidP="00A40AE3">
      <w:pPr>
        <w:numPr>
          <w:ilvl w:val="0"/>
          <w:numId w:val="3"/>
        </w:numPr>
        <w:spacing w:line="360" w:lineRule="auto"/>
        <w:jc w:val="both"/>
        <w:rPr>
          <w:rFonts w:eastAsia="Calibri"/>
          <w:bCs/>
          <w:lang w:val="es-DO"/>
        </w:rPr>
      </w:pPr>
      <w:r w:rsidRPr="0064264A">
        <w:rPr>
          <w:rFonts w:eastAsia="Calibri"/>
          <w:bCs/>
          <w:lang w:val="es-DO"/>
        </w:rPr>
        <w:lastRenderedPageBreak/>
        <w:t>Promover la modificación de la Ley Monetaria y Financiera para actualizar la capacidad regulatoria y legal del BCRD a fin de poder implementar las mejores prácticas internacionales en materia de regulación y política financiera.</w:t>
      </w:r>
    </w:p>
    <w:p w14:paraId="6000D456" w14:textId="77777777" w:rsidR="00D9267D" w:rsidRPr="0064264A" w:rsidRDefault="00D9267D" w:rsidP="00A40AE3">
      <w:pPr>
        <w:numPr>
          <w:ilvl w:val="0"/>
          <w:numId w:val="3"/>
        </w:numPr>
        <w:spacing w:line="360" w:lineRule="auto"/>
        <w:jc w:val="both"/>
        <w:rPr>
          <w:rFonts w:eastAsia="Calibri"/>
          <w:bCs/>
          <w:lang w:val="es-DO"/>
        </w:rPr>
      </w:pPr>
      <w:r w:rsidRPr="0064264A">
        <w:rPr>
          <w:rFonts w:eastAsia="Calibri"/>
          <w:bCs/>
          <w:lang w:val="es-DO"/>
        </w:rPr>
        <w:t>Crear y fortalecer mecanismos de coordinación y colaboración interinstitucional con entes reguladores y supervisores del mercado financiero.</w:t>
      </w:r>
    </w:p>
    <w:p w14:paraId="1ADED8E9" w14:textId="77777777" w:rsidR="00D9267D" w:rsidRPr="0064264A" w:rsidRDefault="00D9267D" w:rsidP="00A40AE3">
      <w:pPr>
        <w:numPr>
          <w:ilvl w:val="0"/>
          <w:numId w:val="3"/>
        </w:numPr>
        <w:spacing w:line="360" w:lineRule="auto"/>
        <w:jc w:val="both"/>
        <w:rPr>
          <w:rFonts w:eastAsia="Calibri"/>
          <w:bCs/>
          <w:lang w:val="es-DO"/>
        </w:rPr>
      </w:pPr>
      <w:r w:rsidRPr="0064264A">
        <w:rPr>
          <w:rFonts w:eastAsia="Calibri"/>
          <w:bCs/>
          <w:lang w:val="es-DO"/>
        </w:rPr>
        <w:t>Promover la inclusión financiera.</w:t>
      </w:r>
    </w:p>
    <w:p w14:paraId="72342B2C" w14:textId="77777777" w:rsidR="00D9267D" w:rsidRPr="0064264A" w:rsidRDefault="00D9267D" w:rsidP="00A40AE3">
      <w:pPr>
        <w:numPr>
          <w:ilvl w:val="0"/>
          <w:numId w:val="3"/>
        </w:numPr>
        <w:spacing w:line="360" w:lineRule="auto"/>
        <w:jc w:val="both"/>
        <w:rPr>
          <w:rFonts w:eastAsia="Calibri"/>
          <w:bCs/>
          <w:lang w:val="es-DO"/>
        </w:rPr>
      </w:pPr>
      <w:r w:rsidRPr="0064264A">
        <w:rPr>
          <w:rFonts w:eastAsia="Calibri"/>
          <w:bCs/>
          <w:lang w:val="es-DO"/>
        </w:rPr>
        <w:t>Continuar con el proceso de ampliación y modernización de la capacidad tecnológica y operativa del Sistema de Pago.</w:t>
      </w:r>
    </w:p>
    <w:p w14:paraId="56693098" w14:textId="77777777" w:rsidR="00D9267D" w:rsidRPr="0064264A" w:rsidRDefault="00D9267D" w:rsidP="00A40AE3">
      <w:pPr>
        <w:numPr>
          <w:ilvl w:val="0"/>
          <w:numId w:val="3"/>
        </w:numPr>
        <w:spacing w:line="360" w:lineRule="auto"/>
        <w:jc w:val="both"/>
        <w:rPr>
          <w:rFonts w:eastAsia="Calibri"/>
          <w:bCs/>
          <w:lang w:val="es-DO"/>
        </w:rPr>
      </w:pPr>
      <w:r w:rsidRPr="0064264A">
        <w:rPr>
          <w:rFonts w:eastAsia="Calibri"/>
          <w:bCs/>
          <w:lang w:val="es-DO"/>
        </w:rPr>
        <w:t>Promover el fortalecimiento y la aplicación de la seguridad cibernética y de la información de las entidades que conforman el sistema financiero, el sistema de pago y de otras entidades interconectadas a los mismos.</w:t>
      </w:r>
    </w:p>
    <w:p w14:paraId="1C7A0991" w14:textId="77777777" w:rsidR="00D9267D" w:rsidRPr="0064264A" w:rsidRDefault="00D9267D" w:rsidP="00A40AE3">
      <w:pPr>
        <w:numPr>
          <w:ilvl w:val="0"/>
          <w:numId w:val="3"/>
        </w:numPr>
        <w:spacing w:line="360" w:lineRule="auto"/>
        <w:jc w:val="both"/>
        <w:rPr>
          <w:rFonts w:eastAsia="Calibri"/>
          <w:bCs/>
          <w:lang w:val="es-DO"/>
        </w:rPr>
      </w:pPr>
      <w:r w:rsidRPr="0064264A">
        <w:rPr>
          <w:rFonts w:eastAsia="Calibri"/>
          <w:bCs/>
          <w:lang w:val="es-DO"/>
        </w:rPr>
        <w:t>Optimizar la gestión de efectivo, asegurando la disponibilidad de billetes y monedas, con adecuados niveles de seguridad y calidad, que permitan el normal desenvolvimiento de las transacciones económicas.</w:t>
      </w:r>
    </w:p>
    <w:p w14:paraId="10CDCB0F"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Robustecer la toma de decisiones y la ejecución de las operaciones monetarias, cambiarias y de la administración de las reservas internacionales.</w:t>
      </w:r>
    </w:p>
    <w:p w14:paraId="41F3A796" w14:textId="77777777" w:rsidR="00D9267D" w:rsidRPr="0064264A" w:rsidRDefault="00D9267D" w:rsidP="00A40AE3">
      <w:pPr>
        <w:numPr>
          <w:ilvl w:val="0"/>
          <w:numId w:val="4"/>
        </w:numPr>
        <w:spacing w:line="360" w:lineRule="auto"/>
        <w:jc w:val="both"/>
        <w:rPr>
          <w:rFonts w:eastAsia="Calibri"/>
          <w:bCs/>
          <w:lang w:val="es-DO"/>
        </w:rPr>
      </w:pPr>
      <w:r w:rsidRPr="0064264A">
        <w:rPr>
          <w:rFonts w:eastAsia="Calibri"/>
          <w:bCs/>
          <w:lang w:val="es-DO"/>
        </w:rPr>
        <w:t>Ampliar el alcance de la Plataforma Cambiaria del BCRD incorporando nuevos segmentos de mercado y modalidades de operación.</w:t>
      </w:r>
    </w:p>
    <w:p w14:paraId="3B70F49E" w14:textId="77777777" w:rsidR="00D9267D" w:rsidRPr="0064264A" w:rsidRDefault="00D9267D" w:rsidP="00A40AE3">
      <w:pPr>
        <w:numPr>
          <w:ilvl w:val="0"/>
          <w:numId w:val="4"/>
        </w:numPr>
        <w:spacing w:line="360" w:lineRule="auto"/>
        <w:jc w:val="both"/>
        <w:rPr>
          <w:rFonts w:eastAsia="Calibri"/>
          <w:bCs/>
          <w:lang w:val="es-DO"/>
        </w:rPr>
      </w:pPr>
      <w:r w:rsidRPr="0064264A">
        <w:rPr>
          <w:rFonts w:eastAsia="Calibri"/>
          <w:bCs/>
          <w:lang w:val="es-DO"/>
        </w:rPr>
        <w:t xml:space="preserve">Expandir el desarrollo y fortalecer la estructura de inteligencia de mercado para sustentar la toma de decisiones de operaciones </w:t>
      </w:r>
      <w:r w:rsidRPr="0064264A">
        <w:rPr>
          <w:rFonts w:eastAsia="Calibri"/>
          <w:bCs/>
          <w:lang w:val="es-DO"/>
        </w:rPr>
        <w:lastRenderedPageBreak/>
        <w:t>cambiarias, monetarias y de gestión de las reservas internacionales, de manera eficiente y oportuna.</w:t>
      </w:r>
    </w:p>
    <w:p w14:paraId="7765240B" w14:textId="77777777" w:rsidR="00D9267D" w:rsidRPr="0064264A" w:rsidRDefault="00D9267D" w:rsidP="00A40AE3">
      <w:pPr>
        <w:numPr>
          <w:ilvl w:val="0"/>
          <w:numId w:val="4"/>
        </w:numPr>
        <w:spacing w:line="360" w:lineRule="auto"/>
        <w:jc w:val="both"/>
        <w:rPr>
          <w:rFonts w:eastAsia="Calibri"/>
          <w:bCs/>
          <w:lang w:val="es-DO"/>
        </w:rPr>
      </w:pPr>
      <w:r w:rsidRPr="0064264A">
        <w:rPr>
          <w:rFonts w:eastAsia="Calibri"/>
          <w:bCs/>
          <w:lang w:val="es-DO"/>
        </w:rPr>
        <w:t>Continuar fortaleciendo el marco operativo para la ejecución de las operaciones monetarias y cambiarias y su influencia en la política monetaria, cumpliendo con criterios de eficiencia, mejores prácticas y capacidad de adecuarse a un entorno globalizado y cambiante.</w:t>
      </w:r>
    </w:p>
    <w:p w14:paraId="7E24A13E" w14:textId="77777777" w:rsidR="00D9267D" w:rsidRPr="0064264A" w:rsidRDefault="00D9267D" w:rsidP="00A40AE3">
      <w:pPr>
        <w:numPr>
          <w:ilvl w:val="0"/>
          <w:numId w:val="4"/>
        </w:numPr>
        <w:spacing w:line="360" w:lineRule="auto"/>
        <w:jc w:val="both"/>
        <w:rPr>
          <w:rFonts w:eastAsia="Calibri"/>
          <w:bCs/>
          <w:lang w:val="es-DO"/>
        </w:rPr>
      </w:pPr>
      <w:r w:rsidRPr="0064264A">
        <w:rPr>
          <w:rFonts w:eastAsia="Calibri"/>
          <w:bCs/>
          <w:lang w:val="es-DO"/>
        </w:rPr>
        <w:t>Ampliar el alcance de la infraestructura para la gestión de las reservas internacionales, cumpliendo con criterios para una eficiencia operativa basada en buenas prácticas, sostenibilidad ambiental y social.</w:t>
      </w:r>
    </w:p>
    <w:p w14:paraId="5E4AD36A" w14:textId="77777777" w:rsidR="00D9267D" w:rsidRPr="0064264A" w:rsidRDefault="00D9267D" w:rsidP="00A40AE3">
      <w:pPr>
        <w:numPr>
          <w:ilvl w:val="0"/>
          <w:numId w:val="4"/>
        </w:numPr>
        <w:spacing w:line="360" w:lineRule="auto"/>
        <w:jc w:val="both"/>
        <w:rPr>
          <w:rFonts w:eastAsia="Calibri"/>
          <w:bCs/>
          <w:lang w:val="es-DO"/>
        </w:rPr>
      </w:pPr>
      <w:r w:rsidRPr="0064264A">
        <w:rPr>
          <w:rFonts w:eastAsia="Calibri"/>
          <w:bCs/>
          <w:lang w:val="es-DO"/>
        </w:rPr>
        <w:t>Fortalecer la estructura de gestión integral de riesgo financiero para las operaciones monetarias y cambiarias y la gestión de las reservas internacionales.</w:t>
      </w:r>
    </w:p>
    <w:p w14:paraId="779D6824"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Mantener niveles efectivos de comunicación, transparencia y gobernanza institucional.</w:t>
      </w:r>
    </w:p>
    <w:p w14:paraId="6CB116BA" w14:textId="77777777" w:rsidR="00D9267D" w:rsidRPr="0064264A" w:rsidRDefault="00D9267D" w:rsidP="00A40AE3">
      <w:pPr>
        <w:numPr>
          <w:ilvl w:val="0"/>
          <w:numId w:val="5"/>
        </w:numPr>
        <w:spacing w:line="360" w:lineRule="auto"/>
        <w:jc w:val="both"/>
        <w:rPr>
          <w:rFonts w:eastAsia="Calibri"/>
          <w:bCs/>
          <w:lang w:val="es-DO"/>
        </w:rPr>
      </w:pPr>
      <w:r w:rsidRPr="0064264A">
        <w:rPr>
          <w:rFonts w:eastAsia="Calibri"/>
          <w:bCs/>
          <w:lang w:val="es-DO"/>
        </w:rPr>
        <w:t>Preservar la transparencia, la rendición de cuentas y la gobernanza institucional.</w:t>
      </w:r>
    </w:p>
    <w:p w14:paraId="60C1BBE7" w14:textId="77777777" w:rsidR="00D9267D" w:rsidRPr="0064264A" w:rsidRDefault="00D9267D" w:rsidP="00A40AE3">
      <w:pPr>
        <w:numPr>
          <w:ilvl w:val="0"/>
          <w:numId w:val="5"/>
        </w:numPr>
        <w:spacing w:line="360" w:lineRule="auto"/>
        <w:jc w:val="both"/>
        <w:rPr>
          <w:rFonts w:eastAsia="Calibri"/>
          <w:bCs/>
          <w:lang w:val="es-DO"/>
        </w:rPr>
      </w:pPr>
      <w:r w:rsidRPr="0064264A">
        <w:rPr>
          <w:rFonts w:eastAsia="Calibri"/>
          <w:bCs/>
          <w:lang w:val="es-DO"/>
        </w:rPr>
        <w:t>Fortalecer las capacidades de comunicación de las decisiones de política monetaria, cambiaria, financiera, y su razonamiento macroeconómico, así como los cambios en la regulación y sus impactos.</w:t>
      </w:r>
    </w:p>
    <w:p w14:paraId="03528123" w14:textId="77777777" w:rsidR="00D9267D" w:rsidRPr="0064264A" w:rsidRDefault="00D9267D" w:rsidP="00A40AE3">
      <w:pPr>
        <w:numPr>
          <w:ilvl w:val="0"/>
          <w:numId w:val="5"/>
        </w:numPr>
        <w:spacing w:line="360" w:lineRule="auto"/>
        <w:jc w:val="both"/>
        <w:rPr>
          <w:rFonts w:eastAsia="Calibri"/>
          <w:bCs/>
          <w:lang w:val="es-DO"/>
        </w:rPr>
      </w:pPr>
      <w:r w:rsidRPr="0064264A">
        <w:rPr>
          <w:rFonts w:eastAsia="Calibri"/>
          <w:bCs/>
          <w:lang w:val="es-DO"/>
        </w:rPr>
        <w:t xml:space="preserve">Fortalecer la comunicación del Banco con sus grupos de interés para contribuir al conocimiento y confianza de sus medidas y acciones, </w:t>
      </w:r>
      <w:proofErr w:type="gramStart"/>
      <w:r w:rsidRPr="0064264A">
        <w:rPr>
          <w:rFonts w:eastAsia="Calibri"/>
          <w:bCs/>
          <w:lang w:val="es-DO"/>
        </w:rPr>
        <w:t>y</w:t>
      </w:r>
      <w:proofErr w:type="gramEnd"/>
      <w:r w:rsidRPr="0064264A">
        <w:rPr>
          <w:rFonts w:eastAsia="Calibri"/>
          <w:bCs/>
          <w:lang w:val="es-DO"/>
        </w:rPr>
        <w:t xml:space="preserve"> por tanto, a una mejor toma de decisiones que tengan impacto en la economía nacional.</w:t>
      </w:r>
    </w:p>
    <w:p w14:paraId="0F30C4A1" w14:textId="77777777" w:rsidR="00D9267D" w:rsidRPr="0064264A" w:rsidRDefault="00D9267D" w:rsidP="00A40AE3">
      <w:pPr>
        <w:numPr>
          <w:ilvl w:val="0"/>
          <w:numId w:val="5"/>
        </w:numPr>
        <w:spacing w:line="360" w:lineRule="auto"/>
        <w:jc w:val="both"/>
        <w:rPr>
          <w:rFonts w:eastAsia="Calibri"/>
          <w:bCs/>
          <w:lang w:val="es-DO"/>
        </w:rPr>
      </w:pPr>
      <w:r w:rsidRPr="0064264A">
        <w:rPr>
          <w:rFonts w:eastAsia="Calibri"/>
          <w:bCs/>
          <w:lang w:val="es-DO"/>
        </w:rPr>
        <w:lastRenderedPageBreak/>
        <w:t>Ampliar el compromiso de la Institución con los retos de la responsabilidad social y ambiental.</w:t>
      </w:r>
    </w:p>
    <w:p w14:paraId="5CF40EB5" w14:textId="77777777" w:rsidR="00D9267D" w:rsidRPr="0064264A" w:rsidRDefault="00D9267D" w:rsidP="00D9267D">
      <w:pPr>
        <w:spacing w:line="360" w:lineRule="auto"/>
        <w:jc w:val="both"/>
        <w:rPr>
          <w:rFonts w:eastAsia="Calibri"/>
          <w:b/>
          <w:bCs/>
          <w:lang w:val="es-DO"/>
        </w:rPr>
      </w:pPr>
      <w:r w:rsidRPr="0064264A">
        <w:rPr>
          <w:rFonts w:eastAsia="Calibri"/>
          <w:bCs/>
          <w:lang w:val="es-DO"/>
        </w:rPr>
        <w:t xml:space="preserve">  </w:t>
      </w:r>
      <w:r w:rsidRPr="0064264A">
        <w:rPr>
          <w:rFonts w:eastAsia="Calibri"/>
          <w:b/>
          <w:bCs/>
          <w:lang w:val="es-DO"/>
        </w:rPr>
        <w:t xml:space="preserve"> Fortalecer la Gestión Operativa.</w:t>
      </w:r>
    </w:p>
    <w:p w14:paraId="19E52BC5" w14:textId="77777777" w:rsidR="00D9267D" w:rsidRPr="0064264A" w:rsidRDefault="00D9267D" w:rsidP="00A40AE3">
      <w:pPr>
        <w:numPr>
          <w:ilvl w:val="0"/>
          <w:numId w:val="6"/>
        </w:numPr>
        <w:spacing w:line="360" w:lineRule="auto"/>
        <w:jc w:val="both"/>
        <w:rPr>
          <w:rFonts w:eastAsia="Calibri"/>
          <w:bCs/>
          <w:lang w:val="es-DO"/>
        </w:rPr>
      </w:pPr>
      <w:r w:rsidRPr="0064264A">
        <w:rPr>
          <w:rFonts w:eastAsia="Calibri"/>
          <w:bCs/>
          <w:lang w:val="es-DO"/>
        </w:rPr>
        <w:t>Desarrollar la filosofía, metodologías y sistemas de gestión que guíen a la eficacia operativa, fundamentada en el liderazgo y estrategia institucional.</w:t>
      </w:r>
    </w:p>
    <w:p w14:paraId="07CCDB45" w14:textId="77777777" w:rsidR="00D9267D" w:rsidRPr="0064264A" w:rsidRDefault="00D9267D" w:rsidP="00A40AE3">
      <w:pPr>
        <w:numPr>
          <w:ilvl w:val="0"/>
          <w:numId w:val="6"/>
        </w:numPr>
        <w:spacing w:line="360" w:lineRule="auto"/>
        <w:jc w:val="both"/>
        <w:rPr>
          <w:rFonts w:eastAsia="Calibri"/>
          <w:bCs/>
          <w:lang w:val="es-DO"/>
        </w:rPr>
      </w:pPr>
      <w:r w:rsidRPr="0064264A">
        <w:rPr>
          <w:rFonts w:eastAsia="Calibri"/>
          <w:bCs/>
          <w:lang w:val="es-DO"/>
        </w:rPr>
        <w:t>Reforzar una efectiva comunicación institucional interna, que permita un mejor intercambio de información entre los niveles y dependencias, a fin de aumentar el grado de compromiso, motivación y sentimiento de pertenencia.</w:t>
      </w:r>
    </w:p>
    <w:p w14:paraId="59048A1B" w14:textId="77777777" w:rsidR="00D9267D" w:rsidRPr="0064264A" w:rsidRDefault="00D9267D" w:rsidP="00A40AE3">
      <w:pPr>
        <w:numPr>
          <w:ilvl w:val="0"/>
          <w:numId w:val="6"/>
        </w:numPr>
        <w:spacing w:line="360" w:lineRule="auto"/>
        <w:jc w:val="both"/>
        <w:rPr>
          <w:rFonts w:eastAsia="Calibri"/>
          <w:bCs/>
          <w:lang w:val="es-DO"/>
        </w:rPr>
      </w:pPr>
      <w:r w:rsidRPr="0064264A">
        <w:rPr>
          <w:rFonts w:eastAsia="Calibri"/>
          <w:bCs/>
          <w:lang w:val="es-DO"/>
        </w:rPr>
        <w:t>Optimizar los mecanismos de colaboración interdepartamental que permitan incrementar la sinergia y agilidad organizacionales, alineando las actividades y responsabilidades para el mejor desempeño de las funciones y proyectos del Banco.</w:t>
      </w:r>
    </w:p>
    <w:p w14:paraId="1E3315D0" w14:textId="77777777" w:rsidR="00D9267D" w:rsidRPr="0064264A" w:rsidRDefault="00D9267D" w:rsidP="00A40AE3">
      <w:pPr>
        <w:numPr>
          <w:ilvl w:val="0"/>
          <w:numId w:val="6"/>
        </w:numPr>
        <w:spacing w:line="360" w:lineRule="auto"/>
        <w:jc w:val="both"/>
        <w:rPr>
          <w:rFonts w:eastAsia="Calibri"/>
          <w:bCs/>
          <w:lang w:val="es-DO"/>
        </w:rPr>
      </w:pPr>
      <w:r w:rsidRPr="0064264A">
        <w:rPr>
          <w:rFonts w:eastAsia="Calibri"/>
          <w:bCs/>
          <w:lang w:val="es-DO"/>
        </w:rPr>
        <w:t>Optimizar los procesos del Banco, apoyados en filosofías, tecnologías y adecuados niveles de control interno que aseguren su ejecución ágil, eficiente y segura.</w:t>
      </w:r>
    </w:p>
    <w:p w14:paraId="28D88489" w14:textId="77777777" w:rsidR="00D9267D" w:rsidRPr="0064264A" w:rsidRDefault="00D9267D" w:rsidP="00A40AE3">
      <w:pPr>
        <w:numPr>
          <w:ilvl w:val="0"/>
          <w:numId w:val="6"/>
        </w:numPr>
        <w:spacing w:line="360" w:lineRule="auto"/>
        <w:jc w:val="both"/>
        <w:rPr>
          <w:rFonts w:eastAsia="Calibri"/>
          <w:bCs/>
          <w:lang w:val="es-DO"/>
        </w:rPr>
      </w:pPr>
      <w:r w:rsidRPr="0064264A">
        <w:rPr>
          <w:rFonts w:eastAsia="Calibri"/>
          <w:bCs/>
          <w:lang w:val="es-DO"/>
        </w:rPr>
        <w:t>Fortalecer la arquitectura de tecnología, sistemas, aplicaciones y datos para facilitar el logro de los objetivos estratégicos de la Institución.</w:t>
      </w:r>
    </w:p>
    <w:p w14:paraId="1561498C" w14:textId="77777777" w:rsidR="00D9267D" w:rsidRPr="0064264A" w:rsidRDefault="00D9267D" w:rsidP="00A40AE3">
      <w:pPr>
        <w:numPr>
          <w:ilvl w:val="0"/>
          <w:numId w:val="6"/>
        </w:numPr>
        <w:spacing w:line="360" w:lineRule="auto"/>
        <w:jc w:val="both"/>
        <w:rPr>
          <w:rFonts w:eastAsia="Calibri"/>
          <w:bCs/>
          <w:lang w:val="es-DO"/>
        </w:rPr>
      </w:pPr>
      <w:r w:rsidRPr="0064264A">
        <w:rPr>
          <w:rFonts w:eastAsia="Calibri"/>
          <w:bCs/>
          <w:lang w:val="es-DO"/>
        </w:rPr>
        <w:t>Propender hacia la madurez de la ciberseguridad tanto para proteger la integridad de la infraestructura tecnológica y el patrimonio digital del BCRD como para responder con resiliencia a incidentes de seguridad cibernética.</w:t>
      </w:r>
    </w:p>
    <w:p w14:paraId="504F482A"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 xml:space="preserve">    Optimizar la gestión financiera interna.</w:t>
      </w:r>
    </w:p>
    <w:p w14:paraId="0C9057F7" w14:textId="77777777" w:rsidR="00D9267D" w:rsidRPr="0064264A" w:rsidRDefault="00D9267D" w:rsidP="00A40AE3">
      <w:pPr>
        <w:numPr>
          <w:ilvl w:val="0"/>
          <w:numId w:val="7"/>
        </w:numPr>
        <w:spacing w:line="360" w:lineRule="auto"/>
        <w:jc w:val="both"/>
        <w:rPr>
          <w:rFonts w:eastAsia="Calibri"/>
          <w:bCs/>
          <w:lang w:val="es-DO"/>
        </w:rPr>
      </w:pPr>
      <w:r w:rsidRPr="0064264A">
        <w:rPr>
          <w:rFonts w:eastAsia="Calibri"/>
          <w:bCs/>
          <w:lang w:val="es-DO"/>
        </w:rPr>
        <w:lastRenderedPageBreak/>
        <w:t>Continuar implementando medidas tendentes a mantener alineado el nivel de gasto general y administrativo, consistente con los estándares internacionales reconocidos como adecuados para instituciones similares al tamaño de nuestra economía.</w:t>
      </w:r>
    </w:p>
    <w:p w14:paraId="188B5701" w14:textId="77777777" w:rsidR="00D9267D" w:rsidRPr="0064264A" w:rsidRDefault="00D9267D" w:rsidP="00A40AE3">
      <w:pPr>
        <w:numPr>
          <w:ilvl w:val="0"/>
          <w:numId w:val="7"/>
        </w:numPr>
        <w:spacing w:line="360" w:lineRule="auto"/>
        <w:jc w:val="both"/>
        <w:rPr>
          <w:rFonts w:eastAsia="Calibri"/>
          <w:bCs/>
          <w:lang w:val="es-DO"/>
        </w:rPr>
      </w:pPr>
      <w:r w:rsidRPr="0064264A">
        <w:rPr>
          <w:rFonts w:eastAsia="Calibri"/>
          <w:bCs/>
          <w:lang w:val="es-DO"/>
        </w:rPr>
        <w:t>Optimizar los indicadores de desempeño, productividad y sostenibilidad de la gestión financiera.</w:t>
      </w:r>
    </w:p>
    <w:p w14:paraId="349584A6" w14:textId="77777777" w:rsidR="00D9267D" w:rsidRPr="0064264A" w:rsidRDefault="00D9267D" w:rsidP="00A40AE3">
      <w:pPr>
        <w:numPr>
          <w:ilvl w:val="0"/>
          <w:numId w:val="7"/>
        </w:numPr>
        <w:spacing w:line="360" w:lineRule="auto"/>
        <w:jc w:val="both"/>
        <w:rPr>
          <w:rFonts w:eastAsia="Calibri"/>
          <w:bCs/>
          <w:lang w:val="es-DO"/>
        </w:rPr>
      </w:pPr>
      <w:r w:rsidRPr="0064264A">
        <w:rPr>
          <w:rFonts w:eastAsia="Calibri"/>
          <w:bCs/>
          <w:lang w:val="es-DO"/>
        </w:rPr>
        <w:t>Avanzar con el proceso de recapitalización del Banco Central.</w:t>
      </w:r>
    </w:p>
    <w:p w14:paraId="670EB27D" w14:textId="77777777" w:rsidR="00D9267D" w:rsidRPr="0064264A" w:rsidRDefault="00D9267D" w:rsidP="00D9267D">
      <w:pPr>
        <w:spacing w:line="360" w:lineRule="auto"/>
        <w:jc w:val="both"/>
        <w:rPr>
          <w:rFonts w:eastAsia="Calibri"/>
          <w:bCs/>
          <w:lang w:val="es-DO"/>
        </w:rPr>
      </w:pPr>
    </w:p>
    <w:p w14:paraId="39E24B9D" w14:textId="77777777" w:rsidR="00D9267D" w:rsidRPr="0064264A" w:rsidRDefault="00D9267D" w:rsidP="00D9267D">
      <w:pPr>
        <w:spacing w:line="360" w:lineRule="auto"/>
        <w:jc w:val="both"/>
        <w:rPr>
          <w:rFonts w:eastAsia="Calibri"/>
          <w:bCs/>
          <w:lang w:val="es-DO"/>
        </w:rPr>
      </w:pPr>
    </w:p>
    <w:p w14:paraId="397B9695" w14:textId="77777777" w:rsidR="00D9267D" w:rsidRPr="0064264A" w:rsidRDefault="00D9267D" w:rsidP="00D9267D">
      <w:pPr>
        <w:spacing w:line="360" w:lineRule="auto"/>
        <w:jc w:val="both"/>
        <w:rPr>
          <w:rFonts w:eastAsia="Calibri"/>
          <w:bCs/>
          <w:lang w:val="es-DO"/>
        </w:rPr>
      </w:pPr>
    </w:p>
    <w:p w14:paraId="554CB615" w14:textId="77777777" w:rsidR="00D9267D" w:rsidRPr="0064264A" w:rsidRDefault="00D9267D" w:rsidP="00D9267D">
      <w:pPr>
        <w:spacing w:line="360" w:lineRule="auto"/>
        <w:jc w:val="both"/>
        <w:rPr>
          <w:rFonts w:eastAsia="Calibri"/>
          <w:bCs/>
          <w:lang w:val="es-DO"/>
        </w:rPr>
      </w:pPr>
    </w:p>
    <w:p w14:paraId="7AF2294E" w14:textId="77777777" w:rsidR="00D9267D" w:rsidRPr="0064264A" w:rsidRDefault="00D9267D" w:rsidP="00D9267D">
      <w:pPr>
        <w:spacing w:line="360" w:lineRule="auto"/>
        <w:jc w:val="both"/>
        <w:rPr>
          <w:rFonts w:eastAsia="Calibri"/>
          <w:bCs/>
          <w:lang w:val="es-DO"/>
        </w:rPr>
      </w:pPr>
    </w:p>
    <w:p w14:paraId="372781D5" w14:textId="77777777" w:rsidR="00D9267D" w:rsidRPr="0064264A" w:rsidRDefault="00D9267D" w:rsidP="00D9267D">
      <w:pPr>
        <w:spacing w:line="360" w:lineRule="auto"/>
        <w:jc w:val="both"/>
        <w:rPr>
          <w:rFonts w:eastAsia="Calibri"/>
          <w:bCs/>
          <w:lang w:val="es-DO"/>
        </w:rPr>
      </w:pPr>
    </w:p>
    <w:p w14:paraId="01ACA2D2" w14:textId="77777777" w:rsidR="00D9267D" w:rsidRPr="0064264A" w:rsidRDefault="00D9267D" w:rsidP="00D9267D">
      <w:pPr>
        <w:spacing w:line="360" w:lineRule="auto"/>
        <w:jc w:val="both"/>
        <w:rPr>
          <w:rFonts w:eastAsia="Calibri"/>
          <w:bCs/>
          <w:lang w:val="es-DO"/>
        </w:rPr>
      </w:pPr>
    </w:p>
    <w:p w14:paraId="56EF0EFB" w14:textId="77777777" w:rsidR="00D9267D" w:rsidRPr="0064264A" w:rsidRDefault="00D9267D" w:rsidP="00D9267D">
      <w:pPr>
        <w:spacing w:line="360" w:lineRule="auto"/>
        <w:jc w:val="both"/>
        <w:rPr>
          <w:rFonts w:eastAsia="Calibri"/>
          <w:bCs/>
          <w:lang w:val="es-DO"/>
        </w:rPr>
      </w:pPr>
    </w:p>
    <w:p w14:paraId="2C1E91F9" w14:textId="77777777" w:rsidR="00D9267D" w:rsidRPr="0064264A" w:rsidRDefault="00D9267D" w:rsidP="00D9267D">
      <w:pPr>
        <w:spacing w:line="360" w:lineRule="auto"/>
        <w:jc w:val="both"/>
        <w:rPr>
          <w:rFonts w:eastAsia="Calibri"/>
          <w:bCs/>
          <w:lang w:val="es-DO"/>
        </w:rPr>
      </w:pPr>
    </w:p>
    <w:p w14:paraId="2BD2BF52" w14:textId="77777777" w:rsidR="00D9267D" w:rsidRPr="0064264A" w:rsidRDefault="00D9267D" w:rsidP="00D9267D">
      <w:pPr>
        <w:spacing w:line="360" w:lineRule="auto"/>
        <w:jc w:val="both"/>
        <w:rPr>
          <w:rFonts w:eastAsia="Calibri"/>
          <w:bCs/>
          <w:lang w:val="es-DO"/>
        </w:rPr>
      </w:pPr>
    </w:p>
    <w:p w14:paraId="7C990BEA" w14:textId="77777777" w:rsidR="00D9267D" w:rsidRPr="0064264A" w:rsidRDefault="00D9267D" w:rsidP="00D9267D">
      <w:pPr>
        <w:spacing w:line="360" w:lineRule="auto"/>
        <w:jc w:val="both"/>
        <w:rPr>
          <w:rFonts w:eastAsia="Calibri"/>
          <w:bCs/>
          <w:lang w:val="es-DO"/>
        </w:rPr>
      </w:pPr>
    </w:p>
    <w:p w14:paraId="191AC1B5" w14:textId="77777777" w:rsidR="004967BF" w:rsidRPr="0064264A" w:rsidRDefault="004967BF" w:rsidP="00D9267D">
      <w:pPr>
        <w:spacing w:line="360" w:lineRule="auto"/>
        <w:jc w:val="both"/>
        <w:rPr>
          <w:rFonts w:eastAsia="Calibri"/>
          <w:bCs/>
          <w:lang w:val="es-DO"/>
        </w:rPr>
      </w:pPr>
    </w:p>
    <w:p w14:paraId="5B9F4817" w14:textId="77777777" w:rsidR="004967BF" w:rsidRPr="0064264A" w:rsidRDefault="004967BF" w:rsidP="00D9267D">
      <w:pPr>
        <w:spacing w:line="360" w:lineRule="auto"/>
        <w:jc w:val="both"/>
        <w:rPr>
          <w:rFonts w:eastAsia="Calibri"/>
          <w:bCs/>
          <w:lang w:val="es-DO"/>
        </w:rPr>
      </w:pPr>
    </w:p>
    <w:p w14:paraId="001F3423" w14:textId="77777777" w:rsidR="00D9267D" w:rsidRPr="0064264A" w:rsidRDefault="00D9267D" w:rsidP="00D9267D">
      <w:pPr>
        <w:spacing w:line="360" w:lineRule="auto"/>
        <w:jc w:val="both"/>
        <w:rPr>
          <w:rFonts w:eastAsia="Calibri"/>
          <w:lang w:val="es-DO"/>
        </w:rPr>
      </w:pPr>
    </w:p>
    <w:p w14:paraId="7245BD2A" w14:textId="77777777" w:rsidR="004967BF" w:rsidRPr="0064264A" w:rsidRDefault="004967BF" w:rsidP="00D9267D">
      <w:pPr>
        <w:spacing w:line="360" w:lineRule="auto"/>
        <w:jc w:val="both"/>
        <w:rPr>
          <w:rFonts w:eastAsia="Calibri"/>
          <w:lang w:val="es-DO"/>
        </w:rPr>
      </w:pPr>
    </w:p>
    <w:p w14:paraId="166AFCA8" w14:textId="77777777" w:rsidR="00D9267D" w:rsidRPr="0064264A" w:rsidRDefault="00D9267D" w:rsidP="004A4AAA">
      <w:pPr>
        <w:pStyle w:val="Heading2"/>
        <w:rPr>
          <w:rFonts w:eastAsia="Calibri"/>
          <w:b/>
          <w:color w:val="767171"/>
          <w:lang w:val="es-DO"/>
        </w:rPr>
      </w:pPr>
      <w:bookmarkStart w:id="6" w:name="_Toc217386283"/>
      <w:r w:rsidRPr="0064264A">
        <w:rPr>
          <w:rFonts w:eastAsia="Calibri"/>
          <w:b/>
          <w:color w:val="767171"/>
          <w:lang w:val="es-DO"/>
        </w:rPr>
        <w:t>2.3 Marco legal</w:t>
      </w:r>
      <w:bookmarkEnd w:id="6"/>
    </w:p>
    <w:p w14:paraId="1D14C19A" w14:textId="77777777" w:rsidR="004967BF" w:rsidRPr="0064264A" w:rsidRDefault="004967BF" w:rsidP="004967BF">
      <w:pPr>
        <w:rPr>
          <w:lang w:val="es-DO"/>
        </w:rPr>
      </w:pPr>
    </w:p>
    <w:p w14:paraId="3516DBE5" w14:textId="77777777" w:rsidR="00D9267D" w:rsidRPr="0064264A" w:rsidRDefault="00D9267D" w:rsidP="00D9267D">
      <w:pPr>
        <w:spacing w:line="360" w:lineRule="auto"/>
        <w:jc w:val="both"/>
        <w:rPr>
          <w:rFonts w:eastAsia="Calibri"/>
          <w:lang w:val="es-DO"/>
        </w:rPr>
      </w:pPr>
      <w:r w:rsidRPr="0064264A">
        <w:rPr>
          <w:rFonts w:eastAsia="Calibri"/>
          <w:lang w:val="es-DO"/>
        </w:rPr>
        <w:t>El Banco Central de la República Dominicana (BCRD) opera bajo los mandatos de la Constitución de la República Dominicana y de la Ley Monetaria y Financiera. La entidad, en su calidad de entidad de derecho público, tiene personalidad jurídica, patrimonio propio y autonomía y, a la vez, tiene la facultad de ser el único ente emisor de billetes y monedas del país, y es el organismo responsable de diseñar y ejecutar las políticas monetaria, cambiaria y financiera de la Nación. Además, es el encargado de coordinador a los entes reguladores del sistema y del mercado financiero, y forma parte de la Administración Monetaria y Financiera, junto con la Superintendencia de Bancos y la Junta Monetaria, siendo esta última el órgano superior de esta administración.</w:t>
      </w:r>
    </w:p>
    <w:p w14:paraId="48FEAAE5" w14:textId="77777777" w:rsidR="00D9267D" w:rsidRPr="0064264A" w:rsidRDefault="00D9267D" w:rsidP="00D9267D">
      <w:pPr>
        <w:spacing w:line="360" w:lineRule="auto"/>
        <w:jc w:val="both"/>
        <w:rPr>
          <w:rFonts w:eastAsia="Calibri"/>
          <w:lang w:val="es-DO"/>
        </w:rPr>
      </w:pPr>
      <w:r w:rsidRPr="0064264A">
        <w:rPr>
          <w:rFonts w:eastAsia="Calibri"/>
          <w:lang w:val="es-DO"/>
        </w:rPr>
        <w:t>Las atribuciones conferidas al Banco Central son irrenunciables, y solo podrán ser ejercidas de conformidad con lo dispuesto en el marco constitucional y en la citada Ley Monetaria y Financiera.</w:t>
      </w:r>
    </w:p>
    <w:p w14:paraId="6CEEF0B3" w14:textId="77777777" w:rsidR="00D9267D" w:rsidRPr="0064264A" w:rsidRDefault="00D9267D" w:rsidP="00D9267D">
      <w:pPr>
        <w:spacing w:line="360" w:lineRule="auto"/>
        <w:jc w:val="both"/>
        <w:rPr>
          <w:rFonts w:eastAsia="Calibri"/>
          <w:lang w:val="es-DO"/>
        </w:rPr>
      </w:pPr>
      <w:r w:rsidRPr="0064264A">
        <w:rPr>
          <w:rFonts w:eastAsia="Calibri"/>
          <w:lang w:val="es-DO"/>
        </w:rPr>
        <w:t>Su función principal es la de mantener la estabilidad de precios, y es el responsable de velar por el buen funcionamiento de los sistemas financiero y de pagos del país.</w:t>
      </w:r>
    </w:p>
    <w:p w14:paraId="2594F73E" w14:textId="77777777" w:rsidR="00D9267D" w:rsidRPr="0064264A" w:rsidRDefault="00D9267D" w:rsidP="00D9267D">
      <w:pPr>
        <w:spacing w:line="360" w:lineRule="auto"/>
        <w:jc w:val="both"/>
        <w:rPr>
          <w:rFonts w:eastAsia="Calibri"/>
          <w:lang w:val="es-DO"/>
        </w:rPr>
      </w:pPr>
    </w:p>
    <w:p w14:paraId="5EDDD4DF" w14:textId="77777777" w:rsidR="00D9267D" w:rsidRPr="0064264A" w:rsidRDefault="00D9267D" w:rsidP="00D9267D">
      <w:pPr>
        <w:spacing w:line="360" w:lineRule="auto"/>
        <w:jc w:val="both"/>
        <w:rPr>
          <w:rFonts w:eastAsia="Calibri"/>
          <w:lang w:val="es-DO"/>
        </w:rPr>
      </w:pPr>
    </w:p>
    <w:p w14:paraId="7F3C568F" w14:textId="77777777" w:rsidR="00D9267D" w:rsidRPr="0064264A" w:rsidRDefault="00D9267D" w:rsidP="00D9267D">
      <w:pPr>
        <w:spacing w:line="360" w:lineRule="auto"/>
        <w:jc w:val="both"/>
        <w:rPr>
          <w:rFonts w:eastAsia="Calibri"/>
          <w:lang w:val="es-DO"/>
        </w:rPr>
      </w:pPr>
    </w:p>
    <w:p w14:paraId="48D1AD33" w14:textId="77777777" w:rsidR="00D9267D" w:rsidRPr="0064264A" w:rsidRDefault="00D9267D" w:rsidP="00D9267D">
      <w:pPr>
        <w:spacing w:line="360" w:lineRule="auto"/>
        <w:jc w:val="both"/>
        <w:rPr>
          <w:rFonts w:eastAsia="Calibri"/>
          <w:lang w:val="es-DO"/>
        </w:rPr>
      </w:pPr>
    </w:p>
    <w:p w14:paraId="2EEE641B" w14:textId="77777777" w:rsidR="00D9267D" w:rsidRPr="0064264A" w:rsidRDefault="00D9267D" w:rsidP="00D9267D">
      <w:pPr>
        <w:spacing w:line="360" w:lineRule="auto"/>
        <w:jc w:val="both"/>
        <w:rPr>
          <w:rFonts w:eastAsia="Calibri"/>
          <w:lang w:val="es-DO"/>
        </w:rPr>
      </w:pPr>
    </w:p>
    <w:p w14:paraId="0A832CD7" w14:textId="77777777" w:rsidR="00D9267D" w:rsidRPr="0064264A" w:rsidRDefault="00D9267D" w:rsidP="00D9267D">
      <w:pPr>
        <w:spacing w:line="360" w:lineRule="auto"/>
        <w:jc w:val="both"/>
        <w:rPr>
          <w:rFonts w:eastAsia="Calibri"/>
          <w:lang w:val="es-DO"/>
        </w:rPr>
      </w:pPr>
    </w:p>
    <w:p w14:paraId="1CAD1B61" w14:textId="77777777" w:rsidR="004A4AAA" w:rsidRPr="0064264A" w:rsidRDefault="004A4AAA" w:rsidP="00D9267D">
      <w:pPr>
        <w:spacing w:line="360" w:lineRule="auto"/>
        <w:jc w:val="center"/>
        <w:rPr>
          <w:rFonts w:eastAsia="Calibri"/>
          <w:lang w:val="es-DO"/>
        </w:rPr>
      </w:pPr>
    </w:p>
    <w:p w14:paraId="655BDD17" w14:textId="113AED45" w:rsidR="00D9267D" w:rsidRPr="0064264A" w:rsidRDefault="00D9267D" w:rsidP="00D9267D">
      <w:pPr>
        <w:spacing w:line="360" w:lineRule="auto"/>
        <w:jc w:val="center"/>
        <w:rPr>
          <w:rFonts w:eastAsia="Calibri"/>
          <w:lang w:val="es-DO"/>
        </w:rPr>
      </w:pPr>
      <w:r w:rsidRPr="0064264A">
        <w:rPr>
          <w:rFonts w:eastAsia="Calibri"/>
          <w:lang w:val="es-DO"/>
        </w:rPr>
        <w:t>Principales funcionarios de la Institución</w:t>
      </w:r>
    </w:p>
    <w:p w14:paraId="279F792C" w14:textId="73D83814" w:rsidR="00D9267D" w:rsidRPr="0064264A" w:rsidRDefault="00D9267D" w:rsidP="00D9267D">
      <w:pPr>
        <w:spacing w:line="360" w:lineRule="auto"/>
        <w:jc w:val="both"/>
        <w:rPr>
          <w:rFonts w:eastAsia="Calibri"/>
          <w:lang w:val="es-DO"/>
        </w:rPr>
      </w:pPr>
      <w:r w:rsidRPr="0064264A">
        <w:rPr>
          <w:rFonts w:eastAsia="Calibri"/>
          <w:noProof/>
          <w:lang w:val="es-DO"/>
        </w:rPr>
        <mc:AlternateContent>
          <mc:Choice Requires="wps">
            <w:drawing>
              <wp:anchor distT="0" distB="0" distL="114300" distR="114300" simplePos="0" relativeHeight="251741184" behindDoc="0" locked="0" layoutInCell="1" allowOverlap="1" wp14:anchorId="4771588E" wp14:editId="625F1F7E">
                <wp:simplePos x="0" y="0"/>
                <wp:positionH relativeFrom="margin">
                  <wp:posOffset>2162175</wp:posOffset>
                </wp:positionH>
                <wp:positionV relativeFrom="paragraph">
                  <wp:posOffset>28575</wp:posOffset>
                </wp:positionV>
                <wp:extent cx="539750" cy="0"/>
                <wp:effectExtent l="0" t="19050" r="31750" b="19050"/>
                <wp:wrapNone/>
                <wp:docPr id="17"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58DC4E" id="Conector recto 9" o:spid="_x0000_s1026" style="position:absolute;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25pt,2.25pt" to="212.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" strokecolor="red" strokeweight="2.5pt">
                <v:stroke joinstyle="miter"/>
                <w10:wrap anchorx="margin"/>
              </v:line>
            </w:pict>
          </mc:Fallback>
        </mc:AlternateContent>
      </w:r>
    </w:p>
    <w:p w14:paraId="2BF84D20" w14:textId="77777777" w:rsidR="00D9267D" w:rsidRPr="0064264A" w:rsidRDefault="00D9267D" w:rsidP="00D9267D">
      <w:pPr>
        <w:spacing w:line="360" w:lineRule="auto"/>
        <w:jc w:val="center"/>
        <w:rPr>
          <w:rFonts w:eastAsia="Calibri"/>
          <w:lang w:val="es-DO"/>
        </w:rPr>
      </w:pPr>
      <w:hyperlink r:id="rId14" w:history="1">
        <w:r w:rsidRPr="0064264A">
          <w:rPr>
            <w:rStyle w:val="Hyperlink"/>
            <w:rFonts w:eastAsia="Calibri"/>
            <w:b/>
            <w:color w:val="767171"/>
            <w:u w:val="none"/>
            <w:lang w:val="es-DO"/>
          </w:rPr>
          <w:t>Héctor Valdez Albizu</w:t>
        </w:r>
      </w:hyperlink>
      <w:r w:rsidRPr="0064264A">
        <w:rPr>
          <w:rFonts w:eastAsia="Calibri"/>
          <w:b/>
          <w:lang w:val="es-DO"/>
        </w:rPr>
        <w:br/>
      </w:r>
      <w:r w:rsidRPr="0064264A">
        <w:rPr>
          <w:rFonts w:eastAsia="Calibri"/>
          <w:lang w:val="es-DO"/>
        </w:rPr>
        <w:t>Gobernador</w:t>
      </w:r>
    </w:p>
    <w:p w14:paraId="7B05A052" w14:textId="48EC4316" w:rsidR="00D9267D" w:rsidRPr="0064264A" w:rsidRDefault="00D9267D" w:rsidP="00D9267D">
      <w:pPr>
        <w:spacing w:line="360" w:lineRule="auto"/>
        <w:jc w:val="center"/>
        <w:rPr>
          <w:rFonts w:eastAsia="Calibri"/>
          <w:lang w:val="es-DO"/>
        </w:rPr>
      </w:pPr>
      <w:hyperlink r:id="rId15" w:history="1">
        <w:r w:rsidRPr="0064264A">
          <w:rPr>
            <w:rStyle w:val="Hyperlink"/>
            <w:rFonts w:eastAsia="Calibri"/>
            <w:b/>
            <w:color w:val="767171"/>
            <w:u w:val="none"/>
            <w:lang w:val="es-DO"/>
          </w:rPr>
          <w:t>Clarissa de la Rocha de Torres</w:t>
        </w:r>
      </w:hyperlink>
      <w:r w:rsidRPr="0064264A">
        <w:rPr>
          <w:rFonts w:eastAsia="Calibri"/>
          <w:b/>
          <w:lang w:val="es-DO"/>
        </w:rPr>
        <w:br/>
      </w:r>
      <w:r w:rsidRPr="0064264A">
        <w:rPr>
          <w:rFonts w:eastAsia="Calibri"/>
          <w:lang w:val="es-DO"/>
        </w:rPr>
        <w:t>Vicegobernadora</w:t>
      </w:r>
    </w:p>
    <w:p w14:paraId="4FC9495E" w14:textId="2AD68B85" w:rsidR="00D9267D" w:rsidRPr="0064264A" w:rsidRDefault="00D9267D" w:rsidP="00D9267D">
      <w:pPr>
        <w:spacing w:line="360" w:lineRule="auto"/>
        <w:jc w:val="center"/>
        <w:rPr>
          <w:rFonts w:eastAsia="Calibri"/>
          <w:lang w:val="es-DO"/>
        </w:rPr>
      </w:pPr>
      <w:hyperlink r:id="rId16" w:history="1">
        <w:r w:rsidRPr="0064264A">
          <w:rPr>
            <w:rStyle w:val="Hyperlink"/>
            <w:rFonts w:eastAsia="Calibri"/>
            <w:b/>
            <w:color w:val="767171"/>
            <w:u w:val="none"/>
            <w:lang w:val="es-DO"/>
          </w:rPr>
          <w:t>Ervin Novas Bello</w:t>
        </w:r>
      </w:hyperlink>
      <w:r w:rsidRPr="0064264A">
        <w:rPr>
          <w:rFonts w:eastAsia="Calibri"/>
          <w:b/>
          <w:lang w:val="es-DO"/>
        </w:rPr>
        <w:br/>
      </w:r>
      <w:r w:rsidRPr="0064264A">
        <w:rPr>
          <w:rFonts w:eastAsia="Calibri"/>
          <w:lang w:val="es-DO"/>
        </w:rPr>
        <w:t>Gerente</w:t>
      </w:r>
    </w:p>
    <w:p w14:paraId="78106E04" w14:textId="77777777" w:rsidR="00D9267D" w:rsidRPr="0064264A" w:rsidRDefault="00D9267D" w:rsidP="00D9267D">
      <w:pPr>
        <w:spacing w:line="360" w:lineRule="auto"/>
        <w:jc w:val="center"/>
        <w:rPr>
          <w:rFonts w:eastAsia="Calibri"/>
          <w:lang w:val="es-DO"/>
        </w:rPr>
      </w:pPr>
      <w:hyperlink r:id="rId17" w:history="1">
        <w:r w:rsidRPr="0064264A">
          <w:rPr>
            <w:rStyle w:val="Hyperlink"/>
            <w:rFonts w:eastAsia="Calibri"/>
            <w:b/>
            <w:color w:val="767171"/>
            <w:u w:val="none"/>
            <w:lang w:val="es-DO"/>
          </w:rPr>
          <w:t>José Manuel Taveras Lay</w:t>
        </w:r>
      </w:hyperlink>
      <w:r w:rsidRPr="0064264A">
        <w:rPr>
          <w:rFonts w:eastAsia="Calibri"/>
          <w:b/>
          <w:lang w:val="es-DO"/>
        </w:rPr>
        <w:br/>
      </w:r>
      <w:r w:rsidRPr="0064264A">
        <w:rPr>
          <w:rFonts w:eastAsia="Calibri"/>
          <w:lang w:val="es-DO"/>
        </w:rPr>
        <w:t>Contralor</w:t>
      </w:r>
    </w:p>
    <w:p w14:paraId="1FB5E98F" w14:textId="03B32FB5" w:rsidR="00D9267D" w:rsidRPr="0064264A" w:rsidRDefault="00D9267D" w:rsidP="00D9267D">
      <w:pPr>
        <w:spacing w:line="360" w:lineRule="auto"/>
        <w:jc w:val="center"/>
        <w:rPr>
          <w:rFonts w:eastAsia="Calibri"/>
          <w:lang w:val="es-DO"/>
        </w:rPr>
      </w:pPr>
      <w:hyperlink r:id="rId18" w:history="1">
        <w:r w:rsidRPr="0064264A">
          <w:rPr>
            <w:rStyle w:val="Hyperlink"/>
            <w:rFonts w:eastAsia="Calibri"/>
            <w:b/>
            <w:color w:val="767171"/>
            <w:u w:val="none"/>
            <w:lang w:val="es-DO"/>
          </w:rPr>
          <w:t>Frank A. Montaño P.</w:t>
        </w:r>
      </w:hyperlink>
      <w:r w:rsidRPr="0064264A">
        <w:rPr>
          <w:rFonts w:eastAsia="Calibri"/>
          <w:b/>
          <w:lang w:val="es-DO"/>
        </w:rPr>
        <w:br/>
      </w:r>
      <w:r w:rsidRPr="0064264A">
        <w:rPr>
          <w:rFonts w:eastAsia="Calibri"/>
          <w:lang w:val="es-DO"/>
        </w:rPr>
        <w:t>Subgerente General</w:t>
      </w:r>
    </w:p>
    <w:p w14:paraId="119E1122" w14:textId="0C39E3B0" w:rsidR="00D9267D" w:rsidRPr="0064264A" w:rsidRDefault="00D9267D" w:rsidP="00D9267D">
      <w:pPr>
        <w:spacing w:line="360" w:lineRule="auto"/>
        <w:jc w:val="center"/>
        <w:rPr>
          <w:rFonts w:eastAsia="Calibri"/>
          <w:lang w:val="es-DO"/>
        </w:rPr>
      </w:pPr>
      <w:hyperlink r:id="rId19" w:history="1">
        <w:r w:rsidRPr="0064264A">
          <w:rPr>
            <w:rStyle w:val="Hyperlink"/>
            <w:rFonts w:eastAsia="Calibri"/>
            <w:b/>
            <w:color w:val="767171"/>
            <w:u w:val="none"/>
            <w:lang w:val="es-DO"/>
          </w:rPr>
          <w:t xml:space="preserve">Joel Tejeda </w:t>
        </w:r>
        <w:proofErr w:type="spellStart"/>
        <w:r w:rsidRPr="0064264A">
          <w:rPr>
            <w:rStyle w:val="Hyperlink"/>
            <w:rFonts w:eastAsia="Calibri"/>
            <w:b/>
            <w:color w:val="767171"/>
            <w:u w:val="none"/>
            <w:lang w:val="es-DO"/>
          </w:rPr>
          <w:t>Comprés</w:t>
        </w:r>
        <w:proofErr w:type="spellEnd"/>
      </w:hyperlink>
      <w:r w:rsidRPr="0064264A">
        <w:rPr>
          <w:rFonts w:eastAsia="Calibri"/>
          <w:lang w:val="es-DO"/>
        </w:rPr>
        <w:br/>
        <w:t>Subgerente de Políticas Monetaria, Cambiaria y Financiera</w:t>
      </w:r>
    </w:p>
    <w:p w14:paraId="4E984A38" w14:textId="43A0A12D" w:rsidR="00D9267D" w:rsidRPr="0064264A" w:rsidRDefault="00D9267D" w:rsidP="00D9267D">
      <w:pPr>
        <w:spacing w:line="360" w:lineRule="auto"/>
        <w:jc w:val="center"/>
        <w:rPr>
          <w:rFonts w:eastAsia="Calibri"/>
          <w:b/>
          <w:lang w:val="es-DO"/>
        </w:rPr>
      </w:pPr>
      <w:r w:rsidRPr="0064264A">
        <w:rPr>
          <w:rFonts w:eastAsia="Calibri"/>
          <w:b/>
          <w:lang w:val="es-DO"/>
        </w:rPr>
        <w:t>Shanttal K. Zuleta Brea</w:t>
      </w:r>
      <w:hyperlink r:id="rId20" w:history="1"/>
      <w:r w:rsidRPr="0064264A">
        <w:rPr>
          <w:rFonts w:eastAsia="Calibri"/>
          <w:b/>
          <w:lang w:val="es-DO"/>
        </w:rPr>
        <w:br/>
      </w:r>
      <w:r w:rsidRPr="0064264A">
        <w:rPr>
          <w:rFonts w:eastAsia="Calibri"/>
          <w:lang w:val="es-DO"/>
        </w:rPr>
        <w:t>Subgerente Administrativo y de Servicios</w:t>
      </w:r>
    </w:p>
    <w:p w14:paraId="74B5B822" w14:textId="77777777" w:rsidR="00D9267D" w:rsidRPr="0064264A" w:rsidRDefault="00D9267D" w:rsidP="00D9267D">
      <w:pPr>
        <w:spacing w:line="360" w:lineRule="auto"/>
        <w:jc w:val="center"/>
        <w:rPr>
          <w:rFonts w:eastAsia="Calibri"/>
          <w:b/>
          <w:bCs/>
          <w:lang w:val="es-DO"/>
        </w:rPr>
      </w:pPr>
      <w:r w:rsidRPr="0064264A">
        <w:rPr>
          <w:rFonts w:eastAsia="Calibri"/>
          <w:b/>
          <w:bCs/>
          <w:lang w:val="es-DO"/>
        </w:rPr>
        <w:t>Liselotte Reyes</w:t>
      </w:r>
    </w:p>
    <w:p w14:paraId="1882B4F7" w14:textId="186BA56B" w:rsidR="00D9267D" w:rsidRPr="0064264A" w:rsidRDefault="00D9267D" w:rsidP="00D9267D">
      <w:pPr>
        <w:spacing w:line="360" w:lineRule="auto"/>
        <w:jc w:val="center"/>
        <w:rPr>
          <w:rFonts w:eastAsia="Calibri"/>
          <w:b/>
          <w:bCs/>
          <w:lang w:val="es-DO"/>
        </w:rPr>
      </w:pPr>
      <w:r w:rsidRPr="0064264A">
        <w:rPr>
          <w:rFonts w:eastAsia="Calibri"/>
          <w:lang w:val="es-DO"/>
        </w:rPr>
        <w:t>Subgerente de Operaciones</w:t>
      </w:r>
    </w:p>
    <w:p w14:paraId="69652060" w14:textId="77777777" w:rsidR="00D9267D" w:rsidRPr="0064264A" w:rsidRDefault="00D9267D" w:rsidP="00D9267D">
      <w:pPr>
        <w:spacing w:line="360" w:lineRule="auto"/>
        <w:jc w:val="center"/>
        <w:rPr>
          <w:rFonts w:eastAsia="Calibri"/>
          <w:b/>
          <w:lang w:val="es-DO"/>
        </w:rPr>
      </w:pPr>
      <w:hyperlink r:id="rId21" w:history="1">
        <w:r w:rsidRPr="0064264A">
          <w:rPr>
            <w:rStyle w:val="Hyperlink"/>
            <w:rFonts w:eastAsia="Calibri"/>
            <w:b/>
            <w:color w:val="767171"/>
            <w:u w:val="none"/>
            <w:lang w:val="es-DO"/>
          </w:rPr>
          <w:t>Ramón Antonio González Hernández</w:t>
        </w:r>
      </w:hyperlink>
    </w:p>
    <w:p w14:paraId="6797E900" w14:textId="77777777" w:rsidR="00D9267D" w:rsidRPr="0064264A" w:rsidRDefault="00D9267D" w:rsidP="00D9267D">
      <w:pPr>
        <w:spacing w:line="360" w:lineRule="auto"/>
        <w:jc w:val="center"/>
        <w:rPr>
          <w:rFonts w:eastAsia="Calibri"/>
          <w:lang w:val="es-DO"/>
        </w:rPr>
      </w:pPr>
      <w:r w:rsidRPr="0064264A">
        <w:rPr>
          <w:rFonts w:eastAsia="Calibri"/>
          <w:lang w:val="es-DO"/>
        </w:rPr>
        <w:t>Subgerente</w:t>
      </w:r>
      <w:r w:rsidRPr="0064264A">
        <w:rPr>
          <w:rFonts w:eastAsia="Calibri"/>
          <w:lang w:val="es-DO"/>
        </w:rPr>
        <w:br/>
        <w:t>Cuentas Nacionales y Estadísticas Económicas</w:t>
      </w:r>
    </w:p>
    <w:p w14:paraId="2EA8C9A1" w14:textId="77777777" w:rsidR="00D9267D" w:rsidRPr="0064264A" w:rsidRDefault="00D9267D" w:rsidP="00D9267D">
      <w:pPr>
        <w:spacing w:line="360" w:lineRule="auto"/>
        <w:jc w:val="both"/>
        <w:rPr>
          <w:rFonts w:eastAsia="Calibri"/>
          <w:b/>
          <w:lang w:val="es-DO"/>
        </w:rPr>
      </w:pPr>
    </w:p>
    <w:p w14:paraId="1C4BE46E" w14:textId="77777777" w:rsidR="00D9267D" w:rsidRPr="0064264A" w:rsidRDefault="00D9267D" w:rsidP="00D9267D">
      <w:pPr>
        <w:spacing w:line="360" w:lineRule="auto"/>
        <w:jc w:val="center"/>
        <w:rPr>
          <w:rFonts w:eastAsia="Calibri"/>
          <w:b/>
          <w:lang w:val="es-DO"/>
        </w:rPr>
      </w:pPr>
      <w:r w:rsidRPr="0064264A">
        <w:rPr>
          <w:rFonts w:eastAsia="Calibri"/>
          <w:b/>
          <w:lang w:val="es-DO"/>
        </w:rPr>
        <w:t>Máximo J. Rodríguez A.</w:t>
      </w:r>
    </w:p>
    <w:p w14:paraId="2687199E" w14:textId="77777777" w:rsidR="00D9267D" w:rsidRPr="0064264A" w:rsidRDefault="00D9267D" w:rsidP="00D9267D">
      <w:pPr>
        <w:spacing w:line="360" w:lineRule="auto"/>
        <w:jc w:val="center"/>
        <w:rPr>
          <w:rFonts w:eastAsia="Calibri"/>
          <w:lang w:val="es-DO"/>
        </w:rPr>
      </w:pPr>
      <w:r w:rsidRPr="0064264A">
        <w:rPr>
          <w:rFonts w:eastAsia="Calibri"/>
          <w:lang w:val="es-DO"/>
        </w:rPr>
        <w:t>Subgerente</w:t>
      </w:r>
      <w:r w:rsidRPr="0064264A">
        <w:rPr>
          <w:rFonts w:eastAsia="Calibri"/>
          <w:lang w:val="es-DO"/>
        </w:rPr>
        <w:br/>
        <w:t>Regulación y Estabilidad Financiera</w:t>
      </w:r>
    </w:p>
    <w:p w14:paraId="27EE8B15" w14:textId="77777777" w:rsidR="00D9267D" w:rsidRPr="0064264A" w:rsidRDefault="00D9267D" w:rsidP="00D9267D">
      <w:pPr>
        <w:spacing w:line="360" w:lineRule="auto"/>
        <w:jc w:val="both"/>
        <w:rPr>
          <w:rFonts w:eastAsia="Calibri"/>
          <w:lang w:val="es-DO"/>
        </w:rPr>
      </w:pPr>
    </w:p>
    <w:p w14:paraId="055A5F74" w14:textId="77777777" w:rsidR="00D9267D" w:rsidRPr="0064264A" w:rsidRDefault="00D9267D" w:rsidP="00D9267D">
      <w:pPr>
        <w:spacing w:line="360" w:lineRule="auto"/>
        <w:jc w:val="center"/>
        <w:rPr>
          <w:rFonts w:eastAsia="Calibri"/>
          <w:lang w:val="es-DO"/>
        </w:rPr>
      </w:pPr>
      <w:hyperlink r:id="rId22" w:history="1">
        <w:r w:rsidRPr="0064264A">
          <w:rPr>
            <w:rStyle w:val="Hyperlink"/>
            <w:rFonts w:eastAsia="Calibri"/>
            <w:b/>
            <w:color w:val="767171"/>
            <w:u w:val="none"/>
            <w:lang w:val="es-DO"/>
          </w:rPr>
          <w:t>Manuel F. Gómez Copello</w:t>
        </w:r>
      </w:hyperlink>
      <w:r w:rsidRPr="0064264A">
        <w:rPr>
          <w:rFonts w:eastAsia="Calibri"/>
          <w:b/>
          <w:lang w:val="es-DO"/>
        </w:rPr>
        <w:br/>
      </w:r>
      <w:r w:rsidRPr="0064264A">
        <w:rPr>
          <w:rFonts w:eastAsia="Calibri"/>
          <w:lang w:val="es-DO"/>
        </w:rPr>
        <w:t>Subgerente</w:t>
      </w:r>
      <w:r w:rsidRPr="0064264A">
        <w:rPr>
          <w:rFonts w:eastAsia="Calibri"/>
          <w:lang w:val="es-DO"/>
        </w:rPr>
        <w:br/>
        <w:t>Departamento Recursos Humano</w:t>
      </w:r>
    </w:p>
    <w:p w14:paraId="770C88CE" w14:textId="77777777" w:rsidR="00D9267D" w:rsidRPr="0064264A" w:rsidRDefault="00D9267D" w:rsidP="00D9267D">
      <w:pPr>
        <w:spacing w:line="360" w:lineRule="auto"/>
        <w:jc w:val="center"/>
        <w:rPr>
          <w:rFonts w:eastAsia="Calibri"/>
          <w:lang w:val="es-DO"/>
        </w:rPr>
      </w:pPr>
    </w:p>
    <w:p w14:paraId="36E9325C" w14:textId="77777777" w:rsidR="00D9267D" w:rsidRPr="0064264A" w:rsidRDefault="00D9267D" w:rsidP="00D9267D">
      <w:pPr>
        <w:spacing w:line="360" w:lineRule="auto"/>
        <w:jc w:val="center"/>
        <w:rPr>
          <w:rFonts w:eastAsia="Calibri"/>
          <w:b/>
          <w:lang w:val="es-DO"/>
        </w:rPr>
      </w:pPr>
      <w:hyperlink r:id="rId23" w:history="1">
        <w:r w:rsidRPr="0064264A">
          <w:rPr>
            <w:rStyle w:val="Hyperlink"/>
            <w:rFonts w:eastAsia="Calibri"/>
            <w:b/>
            <w:color w:val="767171"/>
            <w:u w:val="none"/>
            <w:lang w:val="es-DO"/>
          </w:rPr>
          <w:t>José G. Alcántara Almánzar</w:t>
        </w:r>
      </w:hyperlink>
    </w:p>
    <w:p w14:paraId="2B3DC013" w14:textId="77777777" w:rsidR="00D9267D" w:rsidRPr="0064264A" w:rsidRDefault="00D9267D" w:rsidP="00D9267D">
      <w:pPr>
        <w:spacing w:line="360" w:lineRule="auto"/>
        <w:jc w:val="center"/>
        <w:rPr>
          <w:rFonts w:eastAsia="Calibri"/>
          <w:lang w:val="es-DO"/>
        </w:rPr>
      </w:pPr>
      <w:r w:rsidRPr="0064264A">
        <w:rPr>
          <w:rFonts w:eastAsia="Calibri"/>
          <w:lang w:val="es-DO"/>
        </w:rPr>
        <w:t>Subgerente</w:t>
      </w:r>
      <w:r w:rsidRPr="0064264A">
        <w:rPr>
          <w:rFonts w:eastAsia="Calibri"/>
          <w:lang w:val="es-DO"/>
        </w:rPr>
        <w:br/>
        <w:t>Departamento Cultural</w:t>
      </w:r>
    </w:p>
    <w:p w14:paraId="7AFE6BC5" w14:textId="77777777" w:rsidR="00D9267D" w:rsidRPr="0064264A" w:rsidRDefault="00D9267D" w:rsidP="00D9267D">
      <w:pPr>
        <w:spacing w:line="360" w:lineRule="auto"/>
        <w:jc w:val="both"/>
        <w:rPr>
          <w:rFonts w:eastAsia="Calibri"/>
          <w:lang w:val="es-DO"/>
        </w:rPr>
        <w:sectPr w:rsidR="00D9267D" w:rsidRPr="0064264A" w:rsidSect="00D9267D">
          <w:footerReference w:type="default" r:id="rId24"/>
          <w:pgSz w:w="12240" w:h="15840"/>
          <w:pgMar w:top="1440" w:right="2160" w:bottom="1440" w:left="2160" w:header="2160" w:footer="113" w:gutter="0"/>
          <w:pgNumType w:start="3"/>
          <w:cols w:space="720"/>
          <w:docGrid w:linePitch="360"/>
        </w:sectPr>
      </w:pPr>
    </w:p>
    <w:p w14:paraId="0D7960BA" w14:textId="77777777" w:rsidR="00D9267D" w:rsidRPr="0064264A" w:rsidRDefault="00D9267D" w:rsidP="00D9267D">
      <w:pPr>
        <w:spacing w:line="360" w:lineRule="auto"/>
        <w:jc w:val="both"/>
        <w:rPr>
          <w:rFonts w:eastAsia="Calibri"/>
          <w:lang w:val="es-DO"/>
        </w:rPr>
      </w:pPr>
    </w:p>
    <w:p w14:paraId="0480724D" w14:textId="77777777" w:rsidR="00D9267D" w:rsidRPr="0064264A" w:rsidRDefault="00D9267D" w:rsidP="00D9267D">
      <w:pPr>
        <w:spacing w:line="360" w:lineRule="auto"/>
        <w:jc w:val="center"/>
        <w:rPr>
          <w:rFonts w:eastAsia="Calibri"/>
          <w:lang w:val="es-DO"/>
        </w:rPr>
      </w:pPr>
      <w:hyperlink r:id="rId25" w:history="1">
        <w:r w:rsidRPr="0064264A">
          <w:rPr>
            <w:rStyle w:val="Hyperlink"/>
            <w:rFonts w:eastAsia="Calibri"/>
            <w:b/>
            <w:color w:val="767171"/>
            <w:u w:val="none"/>
            <w:lang w:val="es-DO"/>
          </w:rPr>
          <w:t xml:space="preserve">Julio Gabriel Andújar </w:t>
        </w:r>
        <w:proofErr w:type="spellStart"/>
        <w:r w:rsidRPr="0064264A">
          <w:rPr>
            <w:rStyle w:val="Hyperlink"/>
            <w:rFonts w:eastAsia="Calibri"/>
            <w:b/>
            <w:color w:val="767171"/>
            <w:u w:val="none"/>
            <w:lang w:val="es-DO"/>
          </w:rPr>
          <w:t>Scheker</w:t>
        </w:r>
        <w:proofErr w:type="spellEnd"/>
      </w:hyperlink>
      <w:r w:rsidRPr="0064264A">
        <w:rPr>
          <w:rFonts w:eastAsia="Calibri"/>
          <w:b/>
          <w:lang w:val="es-DO"/>
        </w:rPr>
        <w:br/>
      </w:r>
      <w:r w:rsidRPr="0064264A">
        <w:rPr>
          <w:rFonts w:eastAsia="Calibri"/>
          <w:lang w:val="es-DO"/>
        </w:rPr>
        <w:t>Asesor Económico de la Gobernación</w:t>
      </w:r>
    </w:p>
    <w:p w14:paraId="4EADA653" w14:textId="77777777" w:rsidR="00D9267D" w:rsidRPr="0064264A" w:rsidRDefault="00D9267D" w:rsidP="00D9267D">
      <w:pPr>
        <w:spacing w:line="360" w:lineRule="auto"/>
        <w:jc w:val="center"/>
        <w:rPr>
          <w:rFonts w:eastAsia="Calibri"/>
          <w:lang w:val="es-DO"/>
        </w:rPr>
      </w:pPr>
    </w:p>
    <w:p w14:paraId="76D29A63" w14:textId="77777777" w:rsidR="00D9267D" w:rsidRPr="0064264A" w:rsidRDefault="00D9267D" w:rsidP="00D9267D">
      <w:pPr>
        <w:spacing w:line="360" w:lineRule="auto"/>
        <w:jc w:val="center"/>
        <w:rPr>
          <w:rFonts w:eastAsia="Calibri"/>
          <w:b/>
          <w:lang w:val="es-DO"/>
        </w:rPr>
      </w:pPr>
      <w:hyperlink r:id="rId26" w:history="1">
        <w:r w:rsidRPr="0064264A">
          <w:rPr>
            <w:rStyle w:val="Hyperlink"/>
            <w:rFonts w:eastAsia="Calibri"/>
            <w:b/>
            <w:color w:val="767171"/>
            <w:u w:val="none"/>
            <w:lang w:val="es-DO"/>
          </w:rPr>
          <w:t>Edwin R. Dominici Rosario</w:t>
        </w:r>
      </w:hyperlink>
    </w:p>
    <w:p w14:paraId="0879B8D0" w14:textId="77777777" w:rsidR="00D9267D" w:rsidRPr="0064264A" w:rsidRDefault="00D9267D" w:rsidP="00D9267D">
      <w:pPr>
        <w:spacing w:line="360" w:lineRule="auto"/>
        <w:jc w:val="center"/>
        <w:rPr>
          <w:rFonts w:eastAsia="Calibri"/>
          <w:lang w:val="es-DO"/>
        </w:rPr>
      </w:pPr>
      <w:r w:rsidRPr="0064264A">
        <w:rPr>
          <w:rFonts w:eastAsia="Calibri"/>
          <w:lang w:val="es-DO"/>
        </w:rPr>
        <w:t>Asesor</w:t>
      </w:r>
      <w:r w:rsidRPr="0064264A">
        <w:rPr>
          <w:rFonts w:eastAsia="Calibri"/>
          <w:lang w:val="es-DO"/>
        </w:rPr>
        <w:br/>
        <w:t>Departamento de Seguridad</w:t>
      </w:r>
    </w:p>
    <w:p w14:paraId="48E1F8DA" w14:textId="77777777" w:rsidR="00D9267D" w:rsidRPr="0064264A" w:rsidRDefault="00D9267D" w:rsidP="00D9267D">
      <w:pPr>
        <w:spacing w:line="360" w:lineRule="auto"/>
        <w:jc w:val="center"/>
        <w:rPr>
          <w:rFonts w:eastAsia="Calibri"/>
          <w:lang w:val="es-DO"/>
        </w:rPr>
      </w:pPr>
    </w:p>
    <w:p w14:paraId="0339DA6C" w14:textId="77777777" w:rsidR="00D9267D" w:rsidRPr="0064264A" w:rsidRDefault="00D9267D" w:rsidP="00D9267D">
      <w:pPr>
        <w:spacing w:line="360" w:lineRule="auto"/>
        <w:jc w:val="center"/>
        <w:rPr>
          <w:rFonts w:eastAsia="Calibri"/>
          <w:lang w:val="es-DO"/>
        </w:rPr>
      </w:pPr>
    </w:p>
    <w:p w14:paraId="23201554" w14:textId="77777777" w:rsidR="00D9267D" w:rsidRPr="0064264A" w:rsidRDefault="00D9267D" w:rsidP="00D9267D">
      <w:pPr>
        <w:spacing w:line="360" w:lineRule="auto"/>
        <w:jc w:val="center"/>
        <w:rPr>
          <w:rFonts w:eastAsia="Calibri"/>
          <w:b/>
          <w:lang w:val="es-DO"/>
        </w:rPr>
      </w:pPr>
    </w:p>
    <w:p w14:paraId="22F047B9" w14:textId="20DEF350" w:rsidR="00D9267D" w:rsidRPr="0064264A" w:rsidRDefault="00D9267D" w:rsidP="00D9267D">
      <w:pPr>
        <w:spacing w:line="360" w:lineRule="auto"/>
        <w:jc w:val="center"/>
        <w:rPr>
          <w:rFonts w:eastAsia="Calibri"/>
          <w:b/>
          <w:lang w:val="es-DO"/>
        </w:rPr>
      </w:pPr>
      <w:proofErr w:type="spellStart"/>
      <w:r w:rsidRPr="0064264A">
        <w:rPr>
          <w:rFonts w:eastAsia="Calibri"/>
          <w:b/>
          <w:lang w:val="es-DO"/>
        </w:rPr>
        <w:t>Riccio</w:t>
      </w:r>
      <w:proofErr w:type="spellEnd"/>
      <w:r w:rsidRPr="0064264A">
        <w:rPr>
          <w:rFonts w:eastAsia="Calibri"/>
          <w:b/>
          <w:lang w:val="es-DO"/>
        </w:rPr>
        <w:t xml:space="preserve"> F. Hermida</w:t>
      </w:r>
    </w:p>
    <w:p w14:paraId="65F63090" w14:textId="17A152C0" w:rsidR="00D9267D" w:rsidRPr="0064264A" w:rsidRDefault="00D9267D" w:rsidP="00D9267D">
      <w:pPr>
        <w:spacing w:line="360" w:lineRule="auto"/>
        <w:jc w:val="center"/>
        <w:rPr>
          <w:rFonts w:eastAsia="Calibri"/>
          <w:lang w:val="es-DO"/>
        </w:rPr>
      </w:pPr>
      <w:r w:rsidRPr="0064264A">
        <w:rPr>
          <w:rFonts w:eastAsia="Calibri"/>
          <w:lang w:val="es-DO"/>
        </w:rPr>
        <w:t>Asesor Económico de la Gobernación</w:t>
      </w:r>
    </w:p>
    <w:p w14:paraId="30B1F3BB" w14:textId="77777777" w:rsidR="00D9267D" w:rsidRPr="0064264A" w:rsidRDefault="00D9267D" w:rsidP="00D9267D">
      <w:pPr>
        <w:spacing w:line="360" w:lineRule="auto"/>
        <w:jc w:val="center"/>
        <w:rPr>
          <w:rFonts w:eastAsia="Calibri"/>
          <w:lang w:val="es-DO"/>
        </w:rPr>
      </w:pPr>
    </w:p>
    <w:p w14:paraId="35E02A98" w14:textId="77777777" w:rsidR="00D9267D" w:rsidRPr="0064264A" w:rsidRDefault="00D9267D" w:rsidP="00B07742">
      <w:pPr>
        <w:spacing w:line="276" w:lineRule="auto"/>
        <w:jc w:val="center"/>
        <w:rPr>
          <w:rFonts w:eastAsia="Calibri"/>
          <w:b/>
          <w:lang w:val="es-DO"/>
        </w:rPr>
      </w:pPr>
      <w:r w:rsidRPr="0064264A">
        <w:rPr>
          <w:rFonts w:eastAsia="Calibri"/>
          <w:b/>
          <w:lang w:val="es-DO"/>
        </w:rPr>
        <w:t xml:space="preserve">Elisa </w:t>
      </w:r>
      <w:proofErr w:type="spellStart"/>
      <w:r w:rsidRPr="0064264A">
        <w:rPr>
          <w:rFonts w:eastAsia="Calibri"/>
          <w:b/>
          <w:lang w:val="es-DO"/>
        </w:rPr>
        <w:t>Vilorio</w:t>
      </w:r>
      <w:proofErr w:type="spellEnd"/>
      <w:r w:rsidRPr="0064264A">
        <w:rPr>
          <w:rFonts w:eastAsia="Calibri"/>
          <w:b/>
          <w:lang w:val="es-DO"/>
        </w:rPr>
        <w:t xml:space="preserve"> de </w:t>
      </w:r>
      <w:proofErr w:type="spellStart"/>
      <w:r w:rsidRPr="0064264A">
        <w:rPr>
          <w:rFonts w:eastAsia="Calibri"/>
          <w:b/>
          <w:lang w:val="es-DO"/>
        </w:rPr>
        <w:t>Painter</w:t>
      </w:r>
      <w:proofErr w:type="spellEnd"/>
    </w:p>
    <w:p w14:paraId="73CEE501" w14:textId="77777777" w:rsidR="00D9267D" w:rsidRPr="0064264A" w:rsidRDefault="00D9267D" w:rsidP="00B07742">
      <w:pPr>
        <w:spacing w:line="276" w:lineRule="auto"/>
        <w:jc w:val="center"/>
        <w:rPr>
          <w:rFonts w:eastAsia="Calibri"/>
          <w:lang w:val="es-DO"/>
        </w:rPr>
      </w:pPr>
      <w:r w:rsidRPr="0064264A">
        <w:rPr>
          <w:rFonts w:eastAsia="Calibri"/>
          <w:lang w:val="es-DO"/>
        </w:rPr>
        <w:t>Asesor de la Gobernación</w:t>
      </w:r>
    </w:p>
    <w:p w14:paraId="633444C2" w14:textId="77777777" w:rsidR="00D9267D" w:rsidRPr="0064264A" w:rsidRDefault="00D9267D" w:rsidP="00D9267D">
      <w:pPr>
        <w:spacing w:line="360" w:lineRule="auto"/>
        <w:jc w:val="center"/>
        <w:rPr>
          <w:rFonts w:eastAsia="Calibri"/>
          <w:lang w:val="es-DO"/>
        </w:rPr>
      </w:pPr>
    </w:p>
    <w:p w14:paraId="673EA7CE" w14:textId="77777777" w:rsidR="00D9267D" w:rsidRPr="0064264A" w:rsidRDefault="00D9267D" w:rsidP="00D9267D">
      <w:pPr>
        <w:spacing w:line="360" w:lineRule="auto"/>
        <w:jc w:val="center"/>
        <w:rPr>
          <w:rFonts w:eastAsia="Calibri"/>
          <w:lang w:val="es-DO"/>
        </w:rPr>
      </w:pPr>
      <w:hyperlink r:id="rId27" w:history="1">
        <w:r w:rsidRPr="0064264A">
          <w:rPr>
            <w:rStyle w:val="Hyperlink"/>
            <w:rFonts w:eastAsia="Calibri"/>
            <w:b/>
            <w:color w:val="767171"/>
            <w:u w:val="none"/>
            <w:lang w:val="es-DO"/>
          </w:rPr>
          <w:t>Olga Morel</w:t>
        </w:r>
      </w:hyperlink>
      <w:r w:rsidRPr="0064264A">
        <w:rPr>
          <w:rFonts w:eastAsia="Calibri"/>
          <w:b/>
          <w:lang w:val="es-DO"/>
        </w:rPr>
        <w:br/>
      </w:r>
      <w:r w:rsidRPr="0064264A">
        <w:rPr>
          <w:rFonts w:eastAsia="Calibri"/>
          <w:lang w:val="es-DO"/>
        </w:rPr>
        <w:t>Consultor Jurídico</w:t>
      </w:r>
    </w:p>
    <w:p w14:paraId="69B8882A" w14:textId="77777777" w:rsidR="00D9267D" w:rsidRPr="0064264A" w:rsidRDefault="00D9267D" w:rsidP="00D9267D">
      <w:pPr>
        <w:spacing w:line="360" w:lineRule="auto"/>
        <w:jc w:val="both"/>
        <w:rPr>
          <w:rFonts w:eastAsia="Calibri"/>
          <w:lang w:val="es-DO"/>
        </w:rPr>
      </w:pPr>
    </w:p>
    <w:p w14:paraId="185B418A" w14:textId="77777777" w:rsidR="004967BF" w:rsidRPr="0064264A" w:rsidRDefault="004967BF" w:rsidP="004F4C99">
      <w:pPr>
        <w:spacing w:line="360" w:lineRule="auto"/>
        <w:jc w:val="center"/>
        <w:rPr>
          <w:lang w:val="es-DO"/>
        </w:rPr>
      </w:pPr>
    </w:p>
    <w:p w14:paraId="69057011" w14:textId="77777777" w:rsidR="004967BF" w:rsidRPr="0064264A" w:rsidRDefault="004967BF" w:rsidP="004F4C99">
      <w:pPr>
        <w:spacing w:line="360" w:lineRule="auto"/>
        <w:jc w:val="center"/>
        <w:rPr>
          <w:lang w:val="es-DO"/>
        </w:rPr>
      </w:pPr>
    </w:p>
    <w:p w14:paraId="674C9689" w14:textId="7FEE0366" w:rsidR="00D9267D" w:rsidRPr="0064264A" w:rsidRDefault="00D9267D" w:rsidP="004F4C99">
      <w:pPr>
        <w:spacing w:line="360" w:lineRule="auto"/>
        <w:jc w:val="center"/>
        <w:rPr>
          <w:rFonts w:eastAsia="Calibri"/>
          <w:lang w:val="es-DO"/>
        </w:rPr>
      </w:pPr>
      <w:hyperlink r:id="rId28" w:history="1">
        <w:r w:rsidRPr="0064264A">
          <w:rPr>
            <w:rStyle w:val="Hyperlink"/>
            <w:rFonts w:eastAsia="Calibri"/>
            <w:b/>
            <w:color w:val="767171"/>
            <w:u w:val="none"/>
            <w:lang w:val="es-DO"/>
          </w:rPr>
          <w:t>Norma Jacquelinne Molina</w:t>
        </w:r>
      </w:hyperlink>
      <w:r w:rsidRPr="0064264A">
        <w:rPr>
          <w:rFonts w:eastAsia="Calibri"/>
          <w:b/>
          <w:lang w:val="es-DO"/>
        </w:rPr>
        <w:br/>
      </w:r>
      <w:proofErr w:type="gramStart"/>
      <w:r w:rsidRPr="0064264A">
        <w:rPr>
          <w:rFonts w:eastAsia="Calibri"/>
          <w:lang w:val="es-DO"/>
        </w:rPr>
        <w:t>Secretaria</w:t>
      </w:r>
      <w:proofErr w:type="gramEnd"/>
      <w:r w:rsidRPr="0064264A">
        <w:rPr>
          <w:rFonts w:eastAsia="Calibri"/>
          <w:lang w:val="es-DO"/>
        </w:rPr>
        <w:t xml:space="preserve"> de la Junta Monetaria</w:t>
      </w:r>
    </w:p>
    <w:p w14:paraId="0037F977" w14:textId="77777777" w:rsidR="00D9267D" w:rsidRPr="0064264A" w:rsidRDefault="00D9267D" w:rsidP="00D9267D">
      <w:pPr>
        <w:spacing w:line="360" w:lineRule="auto"/>
        <w:jc w:val="center"/>
        <w:rPr>
          <w:rFonts w:eastAsia="Calibri"/>
          <w:lang w:val="es-DO"/>
        </w:rPr>
      </w:pPr>
    </w:p>
    <w:p w14:paraId="7E69E8B9" w14:textId="77777777" w:rsidR="00D9267D" w:rsidRPr="0064264A" w:rsidRDefault="00D9267D" w:rsidP="00D9267D">
      <w:pPr>
        <w:spacing w:line="360" w:lineRule="auto"/>
        <w:jc w:val="center"/>
        <w:rPr>
          <w:rFonts w:eastAsia="Calibri"/>
          <w:lang w:val="es-DO"/>
        </w:rPr>
      </w:pPr>
      <w:r w:rsidRPr="0064264A">
        <w:rPr>
          <w:rFonts w:eastAsia="Calibri"/>
          <w:b/>
          <w:lang w:val="es-DO"/>
        </w:rPr>
        <w:t>Miguel Angel Pichardo García</w:t>
      </w:r>
      <w:r w:rsidRPr="0064264A">
        <w:rPr>
          <w:rFonts w:eastAsia="Calibri"/>
          <w:b/>
          <w:lang w:val="es-DO"/>
        </w:rPr>
        <w:br/>
      </w:r>
      <w:proofErr w:type="spellStart"/>
      <w:r w:rsidRPr="0064264A">
        <w:rPr>
          <w:rFonts w:eastAsia="Calibri"/>
          <w:lang w:val="es-DO"/>
        </w:rPr>
        <w:t>Secretarío</w:t>
      </w:r>
      <w:proofErr w:type="spellEnd"/>
      <w:r w:rsidRPr="0064264A">
        <w:rPr>
          <w:rFonts w:eastAsia="Calibri"/>
          <w:lang w:val="es-DO"/>
        </w:rPr>
        <w:t xml:space="preserve"> del Banco</w:t>
      </w:r>
    </w:p>
    <w:p w14:paraId="6B35BAB2" w14:textId="77777777" w:rsidR="00D9267D" w:rsidRPr="0064264A" w:rsidRDefault="00D9267D" w:rsidP="00D9267D">
      <w:pPr>
        <w:spacing w:line="360" w:lineRule="auto"/>
        <w:rPr>
          <w:rFonts w:eastAsia="Calibri"/>
          <w:lang w:val="es-DO"/>
        </w:rPr>
      </w:pPr>
    </w:p>
    <w:p w14:paraId="78FFA3A2" w14:textId="04C4191B" w:rsidR="00D9267D" w:rsidRPr="0064264A" w:rsidRDefault="00D9267D" w:rsidP="004967BF">
      <w:pPr>
        <w:spacing w:line="360" w:lineRule="auto"/>
        <w:jc w:val="center"/>
        <w:rPr>
          <w:rFonts w:eastAsia="Calibri"/>
          <w:lang w:val="es-DO"/>
        </w:rPr>
      </w:pPr>
      <w:hyperlink r:id="rId29" w:history="1">
        <w:r w:rsidRPr="0064264A">
          <w:rPr>
            <w:rStyle w:val="Hyperlink"/>
            <w:rFonts w:eastAsia="Calibri"/>
            <w:b/>
            <w:color w:val="767171"/>
            <w:u w:val="none"/>
            <w:lang w:val="es-DO"/>
          </w:rPr>
          <w:t>Joel González</w:t>
        </w:r>
      </w:hyperlink>
      <w:r w:rsidRPr="0064264A">
        <w:rPr>
          <w:rFonts w:eastAsia="Calibri"/>
          <w:b/>
          <w:lang w:val="es-DO"/>
        </w:rPr>
        <w:br/>
      </w:r>
      <w:r w:rsidRPr="0064264A">
        <w:rPr>
          <w:rFonts w:eastAsia="Calibri"/>
          <w:lang w:val="es-DO"/>
        </w:rPr>
        <w:t>Subgerente</w:t>
      </w:r>
      <w:r w:rsidR="004967BF" w:rsidRPr="0064264A">
        <w:rPr>
          <w:rFonts w:eastAsia="Calibri"/>
          <w:lang w:val="es-DO"/>
        </w:rPr>
        <w:t xml:space="preserve"> </w:t>
      </w:r>
      <w:r w:rsidRPr="0064264A">
        <w:rPr>
          <w:rFonts w:eastAsia="Calibri"/>
          <w:lang w:val="es-DO"/>
        </w:rPr>
        <w:t>Departamento</w:t>
      </w:r>
      <w:r w:rsidRPr="0064264A">
        <w:rPr>
          <w:rFonts w:eastAsia="Calibri"/>
          <w:lang w:val="es-DO"/>
        </w:rPr>
        <w:br/>
        <w:t>Programación Monetaria y Estudios Económicos</w:t>
      </w:r>
    </w:p>
    <w:p w14:paraId="0235852D" w14:textId="77777777" w:rsidR="00D9267D" w:rsidRPr="0064264A" w:rsidRDefault="00D9267D" w:rsidP="00D9267D">
      <w:pPr>
        <w:spacing w:line="360" w:lineRule="auto"/>
        <w:jc w:val="center"/>
        <w:rPr>
          <w:rFonts w:eastAsia="Calibri"/>
          <w:lang w:val="es-DO"/>
        </w:rPr>
      </w:pPr>
    </w:p>
    <w:p w14:paraId="07FDC068" w14:textId="77777777" w:rsidR="00B07742" w:rsidRPr="0064264A" w:rsidRDefault="00D9267D" w:rsidP="00B07742">
      <w:pPr>
        <w:spacing w:line="240" w:lineRule="auto"/>
        <w:jc w:val="center"/>
        <w:rPr>
          <w:rFonts w:eastAsia="Calibri"/>
          <w:lang w:val="es-DO"/>
        </w:rPr>
      </w:pPr>
      <w:hyperlink r:id="rId30" w:history="1">
        <w:r w:rsidRPr="0064264A">
          <w:rPr>
            <w:rStyle w:val="Hyperlink"/>
            <w:rFonts w:eastAsia="Calibri"/>
            <w:b/>
            <w:color w:val="767171"/>
            <w:u w:val="none"/>
            <w:lang w:val="es-DO"/>
          </w:rPr>
          <w:t>Elina Rosario</w:t>
        </w:r>
      </w:hyperlink>
      <w:r w:rsidRPr="0064264A">
        <w:rPr>
          <w:rFonts w:eastAsia="Calibri"/>
          <w:b/>
          <w:lang w:val="es-DO"/>
        </w:rPr>
        <w:br/>
      </w:r>
      <w:proofErr w:type="gramStart"/>
      <w:r w:rsidRPr="0064264A">
        <w:rPr>
          <w:rFonts w:eastAsia="Calibri"/>
          <w:lang w:val="es-DO"/>
        </w:rPr>
        <w:t>Directora</w:t>
      </w:r>
      <w:proofErr w:type="gramEnd"/>
      <w:r w:rsidRPr="0064264A">
        <w:rPr>
          <w:rFonts w:eastAsia="Calibri"/>
          <w:lang w:val="es-DO"/>
        </w:rPr>
        <w:t xml:space="preserve"> Departamento</w:t>
      </w:r>
    </w:p>
    <w:p w14:paraId="5E062FCA" w14:textId="1BC2BFD2" w:rsidR="004F4C99" w:rsidRPr="0064264A" w:rsidRDefault="00D9267D" w:rsidP="00B07742">
      <w:pPr>
        <w:spacing w:line="240" w:lineRule="auto"/>
        <w:jc w:val="center"/>
        <w:rPr>
          <w:rFonts w:eastAsia="Calibri"/>
          <w:lang w:val="es-DO"/>
        </w:rPr>
      </w:pPr>
      <w:r w:rsidRPr="0064264A">
        <w:rPr>
          <w:rFonts w:eastAsia="Calibri"/>
          <w:lang w:val="es-DO"/>
        </w:rPr>
        <w:t>Cuentas Nacionales y Estadísticas Económicas</w:t>
      </w:r>
    </w:p>
    <w:p w14:paraId="1BA570D6" w14:textId="77777777" w:rsidR="00B07742" w:rsidRPr="0064264A" w:rsidRDefault="00B07742" w:rsidP="00B07742">
      <w:pPr>
        <w:spacing w:line="240" w:lineRule="auto"/>
        <w:jc w:val="center"/>
        <w:rPr>
          <w:rFonts w:eastAsia="Calibri"/>
          <w:lang w:val="es-DO"/>
        </w:rPr>
      </w:pPr>
    </w:p>
    <w:p w14:paraId="169D6F40" w14:textId="7AB516DD" w:rsidR="00D9267D" w:rsidRPr="0064264A" w:rsidRDefault="00D9267D" w:rsidP="004F4C99">
      <w:pPr>
        <w:spacing w:line="360" w:lineRule="auto"/>
        <w:jc w:val="center"/>
        <w:rPr>
          <w:rFonts w:eastAsia="Calibri"/>
          <w:lang w:val="es-DO"/>
        </w:rPr>
      </w:pPr>
      <w:r w:rsidRPr="0064264A">
        <w:rPr>
          <w:rFonts w:eastAsia="Calibri"/>
          <w:b/>
          <w:lang w:val="es-DO"/>
        </w:rPr>
        <w:t>Carlos Delgado Urbáez</w:t>
      </w:r>
      <w:r w:rsidRPr="0064264A">
        <w:rPr>
          <w:rFonts w:eastAsia="Calibri"/>
          <w:b/>
          <w:lang w:val="es-DO"/>
        </w:rPr>
        <w:br/>
      </w:r>
      <w:proofErr w:type="gramStart"/>
      <w:r w:rsidRPr="0064264A">
        <w:rPr>
          <w:rFonts w:eastAsia="Calibri"/>
          <w:lang w:val="es-DO"/>
        </w:rPr>
        <w:t>Director</w:t>
      </w:r>
      <w:proofErr w:type="gramEnd"/>
      <w:r w:rsidRPr="0064264A">
        <w:rPr>
          <w:rFonts w:eastAsia="Calibri"/>
          <w:lang w:val="es-DO"/>
        </w:rPr>
        <w:t xml:space="preserve"> Departamento Regulación y Estabilidad Financiera</w:t>
      </w:r>
    </w:p>
    <w:p w14:paraId="4664BD4C" w14:textId="77777777" w:rsidR="004F4C99" w:rsidRPr="0064264A" w:rsidRDefault="004F4C99" w:rsidP="004F4C99">
      <w:pPr>
        <w:spacing w:line="360" w:lineRule="auto"/>
        <w:jc w:val="center"/>
        <w:rPr>
          <w:rFonts w:eastAsia="Calibri"/>
          <w:lang w:val="es-DO"/>
        </w:rPr>
      </w:pPr>
    </w:p>
    <w:p w14:paraId="3D4594EF" w14:textId="77777777" w:rsidR="00B07742" w:rsidRPr="0064264A" w:rsidRDefault="00D9267D" w:rsidP="00B07742">
      <w:pPr>
        <w:spacing w:line="240" w:lineRule="auto"/>
        <w:jc w:val="center"/>
        <w:rPr>
          <w:rFonts w:eastAsia="Calibri"/>
          <w:b/>
          <w:lang w:val="es-DO"/>
        </w:rPr>
      </w:pPr>
      <w:hyperlink r:id="rId31" w:history="1">
        <w:r w:rsidRPr="0064264A">
          <w:rPr>
            <w:rStyle w:val="Hyperlink"/>
            <w:rFonts w:eastAsia="Calibri"/>
            <w:b/>
            <w:color w:val="767171"/>
            <w:u w:val="none"/>
            <w:lang w:val="es-DO"/>
          </w:rPr>
          <w:t>Brenda Villanueva</w:t>
        </w:r>
      </w:hyperlink>
    </w:p>
    <w:p w14:paraId="1316C8D8" w14:textId="44B3B578" w:rsidR="00D9267D" w:rsidRPr="0064264A" w:rsidRDefault="00D9267D" w:rsidP="00B07742">
      <w:pPr>
        <w:spacing w:line="240" w:lineRule="auto"/>
        <w:jc w:val="center"/>
        <w:rPr>
          <w:rFonts w:eastAsia="Calibri"/>
          <w:b/>
          <w:lang w:val="es-DO"/>
        </w:rPr>
      </w:pPr>
      <w:r w:rsidRPr="0064264A">
        <w:rPr>
          <w:rFonts w:eastAsia="Calibri"/>
          <w:lang w:val="es-DO"/>
        </w:rPr>
        <w:t>Subgerente</w:t>
      </w:r>
    </w:p>
    <w:p w14:paraId="315C4DB1" w14:textId="7AE0BE7A" w:rsidR="00D9267D" w:rsidRPr="0064264A" w:rsidRDefault="00D9267D" w:rsidP="00B07742">
      <w:pPr>
        <w:spacing w:line="240" w:lineRule="auto"/>
        <w:jc w:val="center"/>
        <w:rPr>
          <w:rFonts w:eastAsia="Calibri"/>
          <w:lang w:val="es-DO"/>
        </w:rPr>
      </w:pPr>
      <w:r w:rsidRPr="0064264A">
        <w:rPr>
          <w:rFonts w:eastAsia="Calibri"/>
          <w:lang w:val="es-DO"/>
        </w:rPr>
        <w:t>Departamento Internacional</w:t>
      </w:r>
    </w:p>
    <w:p w14:paraId="4475EA94" w14:textId="77777777" w:rsidR="004F4C99" w:rsidRPr="0064264A" w:rsidRDefault="004F4C99" w:rsidP="004F4C99">
      <w:pPr>
        <w:spacing w:line="360" w:lineRule="auto"/>
        <w:jc w:val="center"/>
        <w:rPr>
          <w:rFonts w:eastAsia="Calibri"/>
          <w:lang w:val="es-DO"/>
        </w:rPr>
      </w:pPr>
    </w:p>
    <w:p w14:paraId="426AE15E" w14:textId="77777777" w:rsidR="004967BF" w:rsidRPr="0064264A" w:rsidRDefault="004967BF" w:rsidP="00D9267D">
      <w:pPr>
        <w:spacing w:line="360" w:lineRule="auto"/>
        <w:jc w:val="center"/>
        <w:rPr>
          <w:rFonts w:eastAsia="Calibri"/>
          <w:b/>
          <w:lang w:val="es-DO"/>
        </w:rPr>
      </w:pPr>
    </w:p>
    <w:p w14:paraId="3D1D48A8" w14:textId="10A91A84" w:rsidR="00D9267D" w:rsidRPr="0064264A" w:rsidRDefault="00D9267D" w:rsidP="00D9267D">
      <w:pPr>
        <w:spacing w:line="360" w:lineRule="auto"/>
        <w:jc w:val="center"/>
        <w:rPr>
          <w:rFonts w:eastAsia="Calibri"/>
          <w:lang w:val="es-DO"/>
        </w:rPr>
      </w:pPr>
      <w:r w:rsidRPr="0064264A">
        <w:rPr>
          <w:rFonts w:eastAsia="Calibri"/>
          <w:b/>
          <w:lang w:val="es-DO"/>
        </w:rPr>
        <w:t>Omar L. Aquino Cortorreal</w:t>
      </w:r>
      <w:r w:rsidRPr="0064264A">
        <w:rPr>
          <w:rFonts w:eastAsia="Calibri"/>
          <w:b/>
          <w:lang w:val="es-DO"/>
        </w:rPr>
        <w:br/>
      </w:r>
      <w:proofErr w:type="gramStart"/>
      <w:r w:rsidRPr="0064264A">
        <w:rPr>
          <w:rFonts w:eastAsia="Calibri"/>
          <w:lang w:val="es-DO"/>
        </w:rPr>
        <w:t>Director</w:t>
      </w:r>
      <w:proofErr w:type="gramEnd"/>
      <w:r w:rsidRPr="0064264A">
        <w:rPr>
          <w:rFonts w:eastAsia="Calibri"/>
          <w:lang w:val="es-DO"/>
        </w:rPr>
        <w:t xml:space="preserve"> Departamento Emisión y Custodia</w:t>
      </w:r>
    </w:p>
    <w:p w14:paraId="3159D572" w14:textId="77777777" w:rsidR="004F4C99" w:rsidRPr="0064264A" w:rsidRDefault="004F4C99" w:rsidP="00D9267D">
      <w:pPr>
        <w:spacing w:line="360" w:lineRule="auto"/>
        <w:jc w:val="center"/>
        <w:rPr>
          <w:rFonts w:eastAsia="Calibri"/>
          <w:b/>
          <w:lang w:val="es-DO"/>
        </w:rPr>
      </w:pPr>
    </w:p>
    <w:p w14:paraId="27792834" w14:textId="21BED764" w:rsidR="00D9267D" w:rsidRPr="0064264A" w:rsidRDefault="00D9267D" w:rsidP="00D9267D">
      <w:pPr>
        <w:spacing w:line="360" w:lineRule="auto"/>
        <w:jc w:val="center"/>
        <w:rPr>
          <w:rFonts w:eastAsia="Calibri"/>
          <w:lang w:val="es-DO"/>
        </w:rPr>
      </w:pPr>
      <w:r w:rsidRPr="0064264A">
        <w:rPr>
          <w:rFonts w:eastAsia="Calibri"/>
          <w:b/>
          <w:lang w:val="es-DO"/>
        </w:rPr>
        <w:t>José Gabriel Perdomo López</w:t>
      </w:r>
      <w:r w:rsidRPr="0064264A">
        <w:rPr>
          <w:rFonts w:eastAsia="Calibri"/>
          <w:b/>
          <w:lang w:val="es-DO"/>
        </w:rPr>
        <w:br/>
      </w:r>
      <w:proofErr w:type="gramStart"/>
      <w:r w:rsidRPr="0064264A">
        <w:rPr>
          <w:rFonts w:eastAsia="Calibri"/>
          <w:lang w:val="es-DO"/>
        </w:rPr>
        <w:t>Director</w:t>
      </w:r>
      <w:proofErr w:type="gramEnd"/>
      <w:r w:rsidRPr="0064264A">
        <w:rPr>
          <w:rFonts w:eastAsia="Calibri"/>
          <w:lang w:val="es-DO"/>
        </w:rPr>
        <w:t xml:space="preserve"> Departamento de Tesorería</w:t>
      </w:r>
    </w:p>
    <w:p w14:paraId="2DF21488" w14:textId="77777777" w:rsidR="00B07742" w:rsidRPr="0064264A" w:rsidRDefault="00B07742" w:rsidP="00D9267D">
      <w:pPr>
        <w:spacing w:line="360" w:lineRule="auto"/>
        <w:jc w:val="center"/>
        <w:rPr>
          <w:rFonts w:eastAsia="Calibri"/>
          <w:lang w:val="es-DO"/>
        </w:rPr>
      </w:pPr>
    </w:p>
    <w:p w14:paraId="56C04EE0" w14:textId="77777777" w:rsidR="00D9267D" w:rsidRPr="0064264A" w:rsidRDefault="00D9267D" w:rsidP="00B07742">
      <w:pPr>
        <w:spacing w:line="240" w:lineRule="auto"/>
        <w:jc w:val="center"/>
        <w:rPr>
          <w:rFonts w:eastAsia="Calibri"/>
          <w:b/>
          <w:lang w:val="es-DO"/>
        </w:rPr>
      </w:pPr>
      <w:bookmarkStart w:id="7" w:name="_Hlk216792202"/>
      <w:r w:rsidRPr="0064264A">
        <w:rPr>
          <w:rFonts w:eastAsia="Calibri"/>
          <w:b/>
          <w:lang w:val="es-DO"/>
        </w:rPr>
        <w:t>Jonathan M. Abreu Rodríguez</w:t>
      </w:r>
    </w:p>
    <w:p w14:paraId="29FF2EC8" w14:textId="177D9E6B" w:rsidR="00D9267D" w:rsidRPr="0064264A" w:rsidRDefault="00D9267D" w:rsidP="00B07742">
      <w:pPr>
        <w:spacing w:line="240" w:lineRule="auto"/>
        <w:jc w:val="center"/>
        <w:rPr>
          <w:rFonts w:eastAsia="Calibri"/>
          <w:bCs/>
          <w:lang w:val="es-DO"/>
        </w:rPr>
      </w:pPr>
      <w:r w:rsidRPr="0064264A">
        <w:rPr>
          <w:rFonts w:eastAsia="Calibri"/>
          <w:bCs/>
          <w:lang w:val="es-DO"/>
        </w:rPr>
        <w:t>Director Departamento de Comunicaciones</w:t>
      </w:r>
      <w:bookmarkEnd w:id="7"/>
    </w:p>
    <w:p w14:paraId="02186B06" w14:textId="77777777" w:rsidR="00B07742" w:rsidRPr="0064264A" w:rsidRDefault="00B07742" w:rsidP="00B07742">
      <w:pPr>
        <w:spacing w:line="240" w:lineRule="auto"/>
        <w:jc w:val="center"/>
        <w:rPr>
          <w:rFonts w:eastAsia="Calibri"/>
          <w:bCs/>
          <w:lang w:val="es-DO"/>
        </w:rPr>
      </w:pPr>
    </w:p>
    <w:p w14:paraId="006B5885" w14:textId="704272AC" w:rsidR="00D9267D" w:rsidRPr="0064264A" w:rsidRDefault="00B07742" w:rsidP="004F4C99">
      <w:pPr>
        <w:spacing w:line="360" w:lineRule="auto"/>
        <w:jc w:val="center"/>
        <w:rPr>
          <w:rFonts w:eastAsia="Calibri"/>
          <w:lang w:val="es-DO"/>
        </w:rPr>
      </w:pPr>
      <w:r w:rsidRPr="0064264A">
        <w:rPr>
          <w:rFonts w:eastAsia="Calibri"/>
          <w:b/>
          <w:bCs/>
          <w:lang w:val="es-DO"/>
        </w:rPr>
        <w:t xml:space="preserve">Lucidania De Jesús Frías </w:t>
      </w:r>
      <w:proofErr w:type="gramStart"/>
      <w:r w:rsidRPr="0064264A">
        <w:rPr>
          <w:rFonts w:eastAsia="Calibri"/>
          <w:bCs/>
          <w:lang w:val="es-DO"/>
        </w:rPr>
        <w:t>Directora</w:t>
      </w:r>
      <w:proofErr w:type="gramEnd"/>
      <w:r w:rsidRPr="0064264A">
        <w:rPr>
          <w:rFonts w:eastAsia="Calibri"/>
          <w:bCs/>
          <w:lang w:val="es-DO"/>
        </w:rPr>
        <w:t xml:space="preserve"> Interina Departamento de Planificación y Presupuesto</w:t>
      </w:r>
      <w:r w:rsidRPr="0064264A">
        <w:rPr>
          <w:rFonts w:eastAsia="Calibri"/>
          <w:b/>
          <w:lang w:val="es-DO"/>
        </w:rPr>
        <w:t xml:space="preserve"> </w:t>
      </w:r>
    </w:p>
    <w:p w14:paraId="32C85B9C" w14:textId="77777777" w:rsidR="004F4C99" w:rsidRPr="0064264A" w:rsidRDefault="004F4C99" w:rsidP="004F4C99">
      <w:pPr>
        <w:spacing w:line="360" w:lineRule="auto"/>
        <w:jc w:val="center"/>
        <w:rPr>
          <w:rFonts w:eastAsia="Calibri"/>
          <w:lang w:val="es-DO"/>
        </w:rPr>
      </w:pPr>
    </w:p>
    <w:p w14:paraId="312F83D7" w14:textId="77777777" w:rsidR="00D9267D" w:rsidRPr="0064264A" w:rsidRDefault="00D9267D" w:rsidP="00D9267D">
      <w:pPr>
        <w:spacing w:line="360" w:lineRule="auto"/>
        <w:jc w:val="center"/>
        <w:rPr>
          <w:rFonts w:eastAsia="Calibri"/>
          <w:lang w:val="es-DO"/>
        </w:rPr>
      </w:pPr>
      <w:r w:rsidRPr="0064264A">
        <w:rPr>
          <w:rFonts w:eastAsia="Calibri"/>
          <w:b/>
          <w:lang w:val="es-DO"/>
        </w:rPr>
        <w:t>Madelin González de Silva</w:t>
      </w:r>
      <w:r w:rsidRPr="0064264A">
        <w:rPr>
          <w:rFonts w:eastAsia="Calibri"/>
          <w:b/>
          <w:lang w:val="es-DO"/>
        </w:rPr>
        <w:br/>
      </w:r>
      <w:proofErr w:type="gramStart"/>
      <w:r w:rsidRPr="0064264A">
        <w:rPr>
          <w:rFonts w:eastAsia="Calibri"/>
          <w:lang w:val="es-DO"/>
        </w:rPr>
        <w:t>Directora</w:t>
      </w:r>
      <w:proofErr w:type="gramEnd"/>
      <w:r w:rsidRPr="0064264A">
        <w:rPr>
          <w:rFonts w:eastAsia="Calibri"/>
          <w:lang w:val="es-DO"/>
        </w:rPr>
        <w:t xml:space="preserve"> de </w:t>
      </w:r>
      <w:proofErr w:type="spellStart"/>
      <w:r w:rsidRPr="0064264A">
        <w:rPr>
          <w:rFonts w:eastAsia="Calibri"/>
          <w:lang w:val="es-DO"/>
        </w:rPr>
        <w:t>Auditoria</w:t>
      </w:r>
      <w:proofErr w:type="spellEnd"/>
      <w:r w:rsidRPr="0064264A">
        <w:rPr>
          <w:rFonts w:eastAsia="Calibri"/>
          <w:lang w:val="es-DO"/>
        </w:rPr>
        <w:t xml:space="preserve"> Interna</w:t>
      </w:r>
    </w:p>
    <w:p w14:paraId="179D05CD" w14:textId="2FC6DB88" w:rsidR="00D9267D" w:rsidRPr="0064264A" w:rsidRDefault="004F4C99" w:rsidP="00B07742">
      <w:pPr>
        <w:spacing w:line="240" w:lineRule="auto"/>
        <w:rPr>
          <w:rFonts w:eastAsia="Calibri"/>
          <w:b/>
          <w:lang w:val="es-DO"/>
        </w:rPr>
      </w:pPr>
      <w:r w:rsidRPr="0064264A">
        <w:rPr>
          <w:rFonts w:eastAsia="Calibri"/>
          <w:lang w:val="es-DO"/>
        </w:rPr>
        <w:t xml:space="preserve">            </w:t>
      </w:r>
      <w:r w:rsidR="00D9267D" w:rsidRPr="0064264A">
        <w:rPr>
          <w:rFonts w:eastAsia="Calibri"/>
          <w:b/>
          <w:lang w:val="es-DO"/>
        </w:rPr>
        <w:t>Angel González</w:t>
      </w:r>
    </w:p>
    <w:p w14:paraId="7DF4454D" w14:textId="77777777" w:rsidR="00D9267D" w:rsidRPr="0064264A" w:rsidRDefault="00D9267D" w:rsidP="00B07742">
      <w:pPr>
        <w:spacing w:line="240" w:lineRule="auto"/>
        <w:jc w:val="center"/>
        <w:rPr>
          <w:rFonts w:eastAsia="Calibri"/>
          <w:lang w:val="es-DO"/>
        </w:rPr>
      </w:pPr>
      <w:r w:rsidRPr="0064264A">
        <w:rPr>
          <w:rFonts w:eastAsia="Calibri"/>
          <w:lang w:val="es-DO"/>
        </w:rPr>
        <w:t>Director Departamento Sistemas de Pagos</w:t>
      </w:r>
    </w:p>
    <w:p w14:paraId="1F138988" w14:textId="77777777" w:rsidR="00D9267D" w:rsidRPr="0064264A" w:rsidRDefault="00D9267D" w:rsidP="00D9267D">
      <w:pPr>
        <w:spacing w:line="360" w:lineRule="auto"/>
        <w:jc w:val="center"/>
        <w:rPr>
          <w:rFonts w:eastAsia="Calibri"/>
          <w:lang w:val="es-DO"/>
        </w:rPr>
      </w:pPr>
    </w:p>
    <w:p w14:paraId="4B8FED83" w14:textId="77777777" w:rsidR="00D9267D" w:rsidRPr="0064264A" w:rsidRDefault="00D9267D" w:rsidP="00B07742">
      <w:pPr>
        <w:spacing w:line="240" w:lineRule="auto"/>
        <w:jc w:val="center"/>
        <w:rPr>
          <w:rFonts w:eastAsia="Calibri"/>
          <w:b/>
          <w:lang w:val="es-DO"/>
        </w:rPr>
      </w:pPr>
      <w:r w:rsidRPr="0064264A">
        <w:rPr>
          <w:rFonts w:eastAsia="Calibri"/>
          <w:b/>
          <w:lang w:val="es-DO"/>
        </w:rPr>
        <w:t>Winston Perdomo García</w:t>
      </w:r>
    </w:p>
    <w:p w14:paraId="6B97A2E3" w14:textId="47E26674" w:rsidR="00D9267D" w:rsidRPr="0064264A" w:rsidRDefault="00D9267D" w:rsidP="00B07742">
      <w:pPr>
        <w:spacing w:line="240" w:lineRule="auto"/>
        <w:jc w:val="center"/>
        <w:rPr>
          <w:rFonts w:eastAsia="Calibri"/>
          <w:lang w:val="es-DO"/>
        </w:rPr>
      </w:pPr>
      <w:r w:rsidRPr="0064264A">
        <w:rPr>
          <w:rFonts w:eastAsia="Calibri"/>
          <w:lang w:val="es-DO"/>
        </w:rPr>
        <w:t>Director Oficina Regional de Santiago</w:t>
      </w:r>
    </w:p>
    <w:p w14:paraId="3350D8AD" w14:textId="77777777" w:rsidR="00D9267D" w:rsidRPr="0064264A" w:rsidRDefault="00D9267D" w:rsidP="00D9267D">
      <w:pPr>
        <w:spacing w:line="360" w:lineRule="auto"/>
        <w:jc w:val="center"/>
        <w:rPr>
          <w:rFonts w:eastAsia="Calibri"/>
          <w:lang w:val="es-DO"/>
        </w:rPr>
      </w:pPr>
    </w:p>
    <w:p w14:paraId="3F952237" w14:textId="77777777" w:rsidR="00D9267D" w:rsidRPr="0064264A" w:rsidRDefault="00D9267D" w:rsidP="00D9267D">
      <w:pPr>
        <w:spacing w:line="360" w:lineRule="auto"/>
        <w:jc w:val="center"/>
        <w:rPr>
          <w:rFonts w:eastAsia="Calibri"/>
          <w:lang w:val="es-DO"/>
        </w:rPr>
      </w:pPr>
    </w:p>
    <w:p w14:paraId="257F4FDF" w14:textId="77777777" w:rsidR="00B07742" w:rsidRPr="0064264A" w:rsidRDefault="00B07742" w:rsidP="00D9267D">
      <w:pPr>
        <w:spacing w:line="360" w:lineRule="auto"/>
        <w:jc w:val="center"/>
        <w:rPr>
          <w:rFonts w:eastAsia="Calibri"/>
          <w:lang w:val="es-DO"/>
        </w:rPr>
      </w:pPr>
    </w:p>
    <w:p w14:paraId="574E68C1" w14:textId="77777777" w:rsidR="00D9267D" w:rsidRPr="0064264A" w:rsidRDefault="00D9267D" w:rsidP="00B07742">
      <w:pPr>
        <w:spacing w:line="240" w:lineRule="auto"/>
        <w:jc w:val="center"/>
        <w:rPr>
          <w:rFonts w:eastAsia="Calibri"/>
          <w:b/>
          <w:lang w:val="es-DO"/>
        </w:rPr>
      </w:pPr>
      <w:r w:rsidRPr="0064264A">
        <w:rPr>
          <w:rFonts w:eastAsia="Calibri"/>
          <w:b/>
          <w:lang w:val="es-DO"/>
        </w:rPr>
        <w:lastRenderedPageBreak/>
        <w:t>Elvin A. Rosado García</w:t>
      </w:r>
    </w:p>
    <w:p w14:paraId="7615869B" w14:textId="77777777" w:rsidR="00D9267D" w:rsidRPr="0064264A" w:rsidRDefault="00D9267D" w:rsidP="00B07742">
      <w:pPr>
        <w:spacing w:line="240" w:lineRule="auto"/>
        <w:jc w:val="center"/>
        <w:rPr>
          <w:rFonts w:eastAsia="Calibri"/>
          <w:lang w:val="es-DO"/>
        </w:rPr>
      </w:pPr>
      <w:r w:rsidRPr="0064264A">
        <w:rPr>
          <w:rFonts w:eastAsia="Calibri"/>
          <w:lang w:val="es-DO"/>
        </w:rPr>
        <w:t>Director Departamento de Seguridad</w:t>
      </w:r>
    </w:p>
    <w:p w14:paraId="2864ED7F" w14:textId="77777777" w:rsidR="00D9267D" w:rsidRPr="0064264A" w:rsidRDefault="00D9267D" w:rsidP="00B07742">
      <w:pPr>
        <w:spacing w:line="240" w:lineRule="auto"/>
        <w:jc w:val="center"/>
        <w:rPr>
          <w:rFonts w:eastAsia="Calibri"/>
          <w:b/>
          <w:lang w:val="es-DO"/>
        </w:rPr>
      </w:pPr>
    </w:p>
    <w:p w14:paraId="42F7ECE4" w14:textId="77777777" w:rsidR="00D9267D" w:rsidRPr="0064264A" w:rsidRDefault="00D9267D" w:rsidP="00B07742">
      <w:pPr>
        <w:spacing w:line="240" w:lineRule="auto"/>
        <w:jc w:val="center"/>
        <w:rPr>
          <w:rFonts w:eastAsia="Calibri"/>
          <w:b/>
          <w:lang w:val="es-DO"/>
        </w:rPr>
      </w:pPr>
      <w:r w:rsidRPr="0064264A">
        <w:rPr>
          <w:rFonts w:eastAsia="Calibri"/>
          <w:b/>
          <w:lang w:val="es-DO"/>
        </w:rPr>
        <w:t>Rut Joselyn del C. García Pantaleón</w:t>
      </w:r>
    </w:p>
    <w:p w14:paraId="3C47B2CE" w14:textId="77777777" w:rsidR="00D9267D" w:rsidRPr="0064264A" w:rsidRDefault="00D9267D" w:rsidP="00B07742">
      <w:pPr>
        <w:spacing w:line="240" w:lineRule="auto"/>
        <w:jc w:val="center"/>
        <w:rPr>
          <w:rFonts w:eastAsia="Calibri"/>
          <w:lang w:val="es-DO"/>
        </w:rPr>
      </w:pPr>
      <w:r w:rsidRPr="0064264A">
        <w:rPr>
          <w:rFonts w:eastAsia="Calibri"/>
          <w:lang w:val="es-DO"/>
        </w:rPr>
        <w:t>Director Departamento Contabilidad</w:t>
      </w:r>
    </w:p>
    <w:p w14:paraId="091B8C5E" w14:textId="77777777" w:rsidR="00D9267D" w:rsidRPr="0064264A" w:rsidRDefault="00D9267D" w:rsidP="00B07742">
      <w:pPr>
        <w:spacing w:line="240" w:lineRule="auto"/>
        <w:jc w:val="center"/>
        <w:rPr>
          <w:rFonts w:eastAsia="Calibri"/>
          <w:b/>
          <w:bCs/>
          <w:lang w:val="es-DO"/>
        </w:rPr>
      </w:pPr>
    </w:p>
    <w:p w14:paraId="00E4A16F" w14:textId="77777777" w:rsidR="00D9267D" w:rsidRPr="0064264A" w:rsidRDefault="00D9267D" w:rsidP="00B07742">
      <w:pPr>
        <w:spacing w:line="240" w:lineRule="auto"/>
        <w:jc w:val="center"/>
        <w:rPr>
          <w:rFonts w:eastAsia="Calibri"/>
          <w:b/>
          <w:bCs/>
          <w:lang w:val="es-DO"/>
        </w:rPr>
      </w:pPr>
      <w:r w:rsidRPr="0064264A">
        <w:rPr>
          <w:rFonts w:eastAsia="Calibri"/>
          <w:b/>
          <w:bCs/>
          <w:lang w:val="es-DO"/>
        </w:rPr>
        <w:t>Nacyra Cury de González</w:t>
      </w:r>
    </w:p>
    <w:p w14:paraId="5E11C40A" w14:textId="538154B2" w:rsidR="00D9267D" w:rsidRPr="0064264A" w:rsidRDefault="00D9267D" w:rsidP="00B07742">
      <w:pPr>
        <w:spacing w:line="240" w:lineRule="auto"/>
        <w:jc w:val="center"/>
        <w:rPr>
          <w:rFonts w:eastAsia="Calibri"/>
          <w:lang w:val="es-DO"/>
        </w:rPr>
      </w:pPr>
      <w:r w:rsidRPr="0064264A">
        <w:rPr>
          <w:rFonts w:eastAsia="Calibri"/>
          <w:lang w:val="es-DO"/>
        </w:rPr>
        <w:t>Directora Comité de Políticas para la</w:t>
      </w:r>
    </w:p>
    <w:p w14:paraId="6A9A8D9F" w14:textId="77777777" w:rsidR="00D9267D" w:rsidRPr="0064264A" w:rsidRDefault="00D9267D" w:rsidP="00B07742">
      <w:pPr>
        <w:spacing w:line="240" w:lineRule="auto"/>
        <w:jc w:val="center"/>
        <w:rPr>
          <w:rFonts w:eastAsia="Calibri"/>
          <w:lang w:val="es-DO"/>
        </w:rPr>
      </w:pPr>
      <w:r w:rsidRPr="0064264A">
        <w:rPr>
          <w:rFonts w:eastAsia="Calibri"/>
          <w:lang w:val="es-DO"/>
        </w:rPr>
        <w:t>Realización de Activos (COPRA)</w:t>
      </w:r>
    </w:p>
    <w:p w14:paraId="4637F7D6" w14:textId="77777777" w:rsidR="00D9267D" w:rsidRPr="0064264A" w:rsidRDefault="00D9267D" w:rsidP="00B07742">
      <w:pPr>
        <w:spacing w:line="240" w:lineRule="auto"/>
        <w:jc w:val="center"/>
        <w:rPr>
          <w:rFonts w:eastAsia="Calibri"/>
          <w:lang w:val="es-DO"/>
        </w:rPr>
      </w:pPr>
    </w:p>
    <w:p w14:paraId="6C2B95DF" w14:textId="239B015D" w:rsidR="00D9267D" w:rsidRPr="0064264A" w:rsidRDefault="00D9267D" w:rsidP="00B07742">
      <w:pPr>
        <w:spacing w:line="240" w:lineRule="auto"/>
        <w:jc w:val="center"/>
        <w:rPr>
          <w:rFonts w:eastAsia="Calibri"/>
          <w:b/>
          <w:lang w:val="es-DO"/>
        </w:rPr>
      </w:pPr>
    </w:p>
    <w:p w14:paraId="29CD86D7" w14:textId="77777777" w:rsidR="00B07742" w:rsidRPr="0064264A" w:rsidRDefault="00B07742" w:rsidP="00B07742">
      <w:pPr>
        <w:spacing w:line="240" w:lineRule="auto"/>
        <w:jc w:val="center"/>
        <w:rPr>
          <w:rFonts w:eastAsia="Calibri"/>
          <w:b/>
          <w:lang w:val="es-DO"/>
        </w:rPr>
      </w:pPr>
    </w:p>
    <w:p w14:paraId="5F2170A4" w14:textId="2DAB905A" w:rsidR="00D9267D" w:rsidRPr="0064264A" w:rsidRDefault="00D9267D" w:rsidP="00B07742">
      <w:pPr>
        <w:spacing w:line="240" w:lineRule="auto"/>
        <w:jc w:val="center"/>
        <w:rPr>
          <w:rFonts w:eastAsia="Calibri"/>
          <w:b/>
          <w:lang w:val="es-DO"/>
        </w:rPr>
      </w:pPr>
      <w:r w:rsidRPr="0064264A">
        <w:rPr>
          <w:rFonts w:eastAsia="Calibri"/>
          <w:b/>
          <w:lang w:val="es-DO"/>
        </w:rPr>
        <w:t>Sabrina Díaz</w:t>
      </w:r>
    </w:p>
    <w:p w14:paraId="20EB1B52" w14:textId="77777777" w:rsidR="00D9267D" w:rsidRPr="0064264A" w:rsidRDefault="00D9267D" w:rsidP="00B07742">
      <w:pPr>
        <w:spacing w:line="240" w:lineRule="auto"/>
        <w:jc w:val="center"/>
        <w:rPr>
          <w:rFonts w:eastAsia="Calibri"/>
          <w:lang w:val="es-DO"/>
        </w:rPr>
      </w:pPr>
      <w:r w:rsidRPr="0064264A">
        <w:rPr>
          <w:rFonts w:eastAsia="Calibri"/>
          <w:lang w:val="es-DO"/>
        </w:rPr>
        <w:t>Directora Departamento Sistemas y Tecnología</w:t>
      </w:r>
    </w:p>
    <w:p w14:paraId="7683E729" w14:textId="77777777" w:rsidR="00D9267D" w:rsidRPr="0064264A" w:rsidRDefault="00D9267D" w:rsidP="00B07742">
      <w:pPr>
        <w:spacing w:line="240" w:lineRule="auto"/>
        <w:jc w:val="center"/>
        <w:rPr>
          <w:rFonts w:eastAsia="Calibri"/>
          <w:lang w:val="es-DO"/>
        </w:rPr>
      </w:pPr>
    </w:p>
    <w:p w14:paraId="3D480FF3" w14:textId="77777777" w:rsidR="00D9267D" w:rsidRPr="0064264A" w:rsidRDefault="00D9267D" w:rsidP="00B07742">
      <w:pPr>
        <w:spacing w:line="240" w:lineRule="auto"/>
        <w:jc w:val="center"/>
        <w:rPr>
          <w:rFonts w:eastAsia="Calibri"/>
          <w:b/>
          <w:lang w:val="es-DO"/>
        </w:rPr>
      </w:pPr>
      <w:hyperlink r:id="rId32" w:history="1">
        <w:r w:rsidRPr="0064264A">
          <w:rPr>
            <w:rStyle w:val="Hyperlink"/>
            <w:rFonts w:eastAsia="Calibri"/>
            <w:b/>
            <w:color w:val="767171"/>
            <w:u w:val="none"/>
            <w:lang w:val="es-DO"/>
          </w:rPr>
          <w:t>Ruddy Simons</w:t>
        </w:r>
      </w:hyperlink>
    </w:p>
    <w:p w14:paraId="1098A117" w14:textId="77777777" w:rsidR="00D9267D" w:rsidRPr="0064264A" w:rsidRDefault="00D9267D" w:rsidP="00B07742">
      <w:pPr>
        <w:spacing w:line="240" w:lineRule="auto"/>
        <w:jc w:val="center"/>
        <w:rPr>
          <w:rFonts w:eastAsia="Calibri"/>
          <w:lang w:val="es-DO"/>
        </w:rPr>
      </w:pPr>
      <w:r w:rsidRPr="0064264A">
        <w:rPr>
          <w:rFonts w:eastAsia="Calibri"/>
          <w:lang w:val="es-DO"/>
        </w:rPr>
        <w:t>Director Departamento Seguridad Operativa</w:t>
      </w:r>
    </w:p>
    <w:p w14:paraId="2D71DD93" w14:textId="77777777" w:rsidR="00D9267D" w:rsidRPr="0064264A" w:rsidRDefault="00D9267D" w:rsidP="00B07742">
      <w:pPr>
        <w:spacing w:line="240" w:lineRule="auto"/>
        <w:jc w:val="center"/>
        <w:rPr>
          <w:rFonts w:eastAsia="Calibri"/>
          <w:b/>
          <w:lang w:val="es-DO"/>
        </w:rPr>
      </w:pPr>
    </w:p>
    <w:p w14:paraId="044E2394" w14:textId="77777777" w:rsidR="00D9267D" w:rsidRPr="0064264A" w:rsidRDefault="00D9267D" w:rsidP="00B07742">
      <w:pPr>
        <w:spacing w:line="240" w:lineRule="auto"/>
        <w:jc w:val="center"/>
        <w:rPr>
          <w:rFonts w:eastAsia="Calibri"/>
          <w:b/>
          <w:lang w:val="es-DO"/>
        </w:rPr>
      </w:pPr>
      <w:r w:rsidRPr="0064264A">
        <w:rPr>
          <w:rFonts w:eastAsia="Calibri"/>
          <w:b/>
          <w:lang w:val="es-DO"/>
        </w:rPr>
        <w:t>Benigno R. Alcántara Gil</w:t>
      </w:r>
    </w:p>
    <w:p w14:paraId="44B789B5" w14:textId="77777777" w:rsidR="00D9267D" w:rsidRPr="0064264A" w:rsidRDefault="00D9267D" w:rsidP="00B07742">
      <w:pPr>
        <w:spacing w:line="240" w:lineRule="auto"/>
        <w:jc w:val="center"/>
        <w:rPr>
          <w:rFonts w:eastAsia="Calibri"/>
          <w:lang w:val="es-DO"/>
        </w:rPr>
      </w:pPr>
      <w:r w:rsidRPr="0064264A">
        <w:rPr>
          <w:rFonts w:eastAsia="Calibri"/>
          <w:lang w:val="es-DO"/>
        </w:rPr>
        <w:t>Director Departamento Administrativo</w:t>
      </w:r>
    </w:p>
    <w:p w14:paraId="502AAD49" w14:textId="77777777" w:rsidR="00D9267D" w:rsidRPr="0064264A" w:rsidRDefault="00D9267D" w:rsidP="00B07742">
      <w:pPr>
        <w:spacing w:line="240" w:lineRule="auto"/>
        <w:jc w:val="center"/>
        <w:rPr>
          <w:rFonts w:eastAsia="Calibri"/>
          <w:b/>
          <w:lang w:val="es-DO"/>
        </w:rPr>
      </w:pPr>
    </w:p>
    <w:p w14:paraId="10469CC5" w14:textId="0C901851" w:rsidR="00D9267D" w:rsidRPr="0064264A" w:rsidRDefault="00D9267D" w:rsidP="00B07742">
      <w:pPr>
        <w:spacing w:line="240" w:lineRule="auto"/>
        <w:jc w:val="center"/>
        <w:rPr>
          <w:rFonts w:eastAsia="Calibri"/>
          <w:lang w:val="es-DO"/>
        </w:rPr>
      </w:pPr>
      <w:r w:rsidRPr="0064264A">
        <w:rPr>
          <w:rFonts w:eastAsia="Calibri"/>
          <w:b/>
          <w:lang w:val="es-DO"/>
        </w:rPr>
        <w:t xml:space="preserve">Luisa J. Hernández Cedeño           </w:t>
      </w:r>
      <w:r w:rsidRPr="0064264A">
        <w:rPr>
          <w:rFonts w:eastAsia="Calibri"/>
          <w:lang w:val="es-DO"/>
        </w:rPr>
        <w:br/>
      </w:r>
      <w:proofErr w:type="gramStart"/>
      <w:r w:rsidRPr="0064264A">
        <w:rPr>
          <w:rFonts w:eastAsia="Calibri"/>
          <w:lang w:val="es-DO"/>
        </w:rPr>
        <w:t>Directora</w:t>
      </w:r>
      <w:proofErr w:type="gramEnd"/>
      <w:r w:rsidRPr="0064264A">
        <w:rPr>
          <w:rFonts w:eastAsia="Calibri"/>
          <w:lang w:val="es-DO"/>
        </w:rPr>
        <w:t xml:space="preserve"> Departamento Compras y Contrataciones</w:t>
      </w:r>
    </w:p>
    <w:p w14:paraId="7FF8DD79" w14:textId="77777777" w:rsidR="00D9267D" w:rsidRPr="0064264A" w:rsidRDefault="00D9267D" w:rsidP="00D9267D">
      <w:pPr>
        <w:spacing w:line="360" w:lineRule="auto"/>
        <w:jc w:val="both"/>
        <w:rPr>
          <w:rFonts w:eastAsia="Calibri"/>
          <w:b/>
          <w:lang w:val="es-DO"/>
        </w:rPr>
        <w:sectPr w:rsidR="00D9267D" w:rsidRPr="0064264A" w:rsidSect="00D9267D">
          <w:footerReference w:type="default" r:id="rId33"/>
          <w:type w:val="continuous"/>
          <w:pgSz w:w="12240" w:h="15840"/>
          <w:pgMar w:top="1440" w:right="1800" w:bottom="1440" w:left="1800" w:header="720" w:footer="432" w:gutter="0"/>
          <w:cols w:num="2" w:space="720"/>
          <w:titlePg/>
          <w:docGrid w:linePitch="360"/>
        </w:sectPr>
      </w:pPr>
    </w:p>
    <w:p w14:paraId="095555BC" w14:textId="77777777" w:rsidR="00D9267D" w:rsidRPr="0064264A" w:rsidRDefault="00D9267D" w:rsidP="00D9267D">
      <w:pPr>
        <w:spacing w:line="360" w:lineRule="auto"/>
        <w:jc w:val="both"/>
        <w:rPr>
          <w:rFonts w:eastAsia="Calibri"/>
          <w:b/>
          <w:lang w:val="es-DO"/>
        </w:rPr>
      </w:pPr>
    </w:p>
    <w:p w14:paraId="29C6BAA1" w14:textId="77777777" w:rsidR="00D9267D" w:rsidRPr="0064264A" w:rsidRDefault="00D9267D" w:rsidP="00D9267D">
      <w:pPr>
        <w:spacing w:line="360" w:lineRule="auto"/>
        <w:jc w:val="both"/>
        <w:rPr>
          <w:rFonts w:eastAsia="Calibri"/>
          <w:lang w:val="es-DO"/>
        </w:rPr>
      </w:pPr>
    </w:p>
    <w:p w14:paraId="47F28835" w14:textId="77777777" w:rsidR="00D9267D" w:rsidRPr="0064264A" w:rsidRDefault="00D9267D" w:rsidP="00D9267D">
      <w:pPr>
        <w:spacing w:line="360" w:lineRule="auto"/>
        <w:jc w:val="both"/>
        <w:rPr>
          <w:rFonts w:eastAsia="Calibri"/>
          <w:lang w:val="es-DO"/>
        </w:rPr>
      </w:pPr>
    </w:p>
    <w:p w14:paraId="3E602B4D" w14:textId="77777777" w:rsidR="00D9267D" w:rsidRPr="0064264A" w:rsidRDefault="00D9267D" w:rsidP="00D9267D">
      <w:pPr>
        <w:spacing w:line="360" w:lineRule="auto"/>
        <w:jc w:val="both"/>
        <w:rPr>
          <w:rFonts w:eastAsia="Calibri"/>
          <w:lang w:val="es-DO"/>
        </w:rPr>
        <w:sectPr w:rsidR="00D9267D" w:rsidRPr="0064264A" w:rsidSect="00D9267D">
          <w:footerReference w:type="default" r:id="rId34"/>
          <w:type w:val="continuous"/>
          <w:pgSz w:w="12240" w:h="15840"/>
          <w:pgMar w:top="1440" w:right="1800" w:bottom="1440" w:left="1800" w:header="720" w:footer="432" w:gutter="0"/>
          <w:cols w:num="2" w:space="720"/>
          <w:titlePg/>
          <w:docGrid w:linePitch="360"/>
        </w:sectPr>
      </w:pPr>
    </w:p>
    <w:p w14:paraId="0A69FED8" w14:textId="77777777" w:rsidR="00D9267D" w:rsidRPr="0064264A" w:rsidRDefault="00D9267D" w:rsidP="00D9267D">
      <w:pPr>
        <w:spacing w:line="360" w:lineRule="auto"/>
        <w:jc w:val="both"/>
        <w:rPr>
          <w:rFonts w:eastAsia="Calibri"/>
          <w:lang w:val="es-DO"/>
        </w:rPr>
      </w:pPr>
    </w:p>
    <w:p w14:paraId="1F625E17" w14:textId="77777777" w:rsidR="00D9267D" w:rsidRPr="0064264A" w:rsidRDefault="00D9267D" w:rsidP="00D9267D">
      <w:pPr>
        <w:spacing w:line="360" w:lineRule="auto"/>
        <w:jc w:val="both"/>
        <w:rPr>
          <w:rFonts w:eastAsia="Calibri"/>
          <w:lang w:val="es-DO"/>
        </w:rPr>
      </w:pPr>
    </w:p>
    <w:p w14:paraId="1BC065FC" w14:textId="77777777" w:rsidR="00D9267D" w:rsidRPr="0064264A" w:rsidRDefault="00D9267D" w:rsidP="00D9267D">
      <w:pPr>
        <w:spacing w:line="360" w:lineRule="auto"/>
        <w:jc w:val="both"/>
        <w:rPr>
          <w:rFonts w:eastAsia="Calibri"/>
          <w:lang w:val="es-DO"/>
        </w:rPr>
      </w:pPr>
    </w:p>
    <w:p w14:paraId="3F152EEB" w14:textId="77777777" w:rsidR="00D9267D" w:rsidRPr="0064264A" w:rsidRDefault="00D9267D" w:rsidP="00D9267D">
      <w:pPr>
        <w:spacing w:line="360" w:lineRule="auto"/>
        <w:jc w:val="both"/>
        <w:rPr>
          <w:rFonts w:eastAsia="Calibri"/>
          <w:lang w:val="es-DO"/>
        </w:rPr>
      </w:pPr>
    </w:p>
    <w:p w14:paraId="2AB5B3F5" w14:textId="77777777" w:rsidR="00D9267D" w:rsidRPr="0064264A" w:rsidRDefault="00D9267D" w:rsidP="00D9267D">
      <w:pPr>
        <w:spacing w:line="360" w:lineRule="auto"/>
        <w:jc w:val="both"/>
        <w:rPr>
          <w:rFonts w:eastAsia="Calibri"/>
          <w:lang w:val="es-DO"/>
        </w:rPr>
      </w:pPr>
    </w:p>
    <w:p w14:paraId="17C57587" w14:textId="77777777" w:rsidR="00D9267D" w:rsidRPr="0064264A" w:rsidRDefault="00D9267D" w:rsidP="00D9267D">
      <w:pPr>
        <w:spacing w:line="360" w:lineRule="auto"/>
        <w:jc w:val="both"/>
        <w:rPr>
          <w:rFonts w:eastAsia="Calibri"/>
          <w:lang w:val="es-DO"/>
        </w:rPr>
      </w:pPr>
    </w:p>
    <w:p w14:paraId="0D3A8660" w14:textId="77777777" w:rsidR="00D9267D" w:rsidRPr="0064264A" w:rsidRDefault="00D9267D" w:rsidP="00D9267D">
      <w:pPr>
        <w:spacing w:line="360" w:lineRule="auto"/>
        <w:jc w:val="both"/>
        <w:rPr>
          <w:rFonts w:eastAsia="Calibri"/>
          <w:lang w:val="es-DO"/>
        </w:rPr>
      </w:pPr>
    </w:p>
    <w:p w14:paraId="1941CB8C" w14:textId="77777777" w:rsidR="00D9267D" w:rsidRPr="0064264A" w:rsidRDefault="00D9267D" w:rsidP="00D9267D">
      <w:pPr>
        <w:spacing w:line="360" w:lineRule="auto"/>
        <w:jc w:val="both"/>
        <w:rPr>
          <w:rFonts w:eastAsia="Calibri"/>
          <w:lang w:val="es-DO"/>
        </w:rPr>
      </w:pPr>
    </w:p>
    <w:p w14:paraId="0C2A75F5" w14:textId="77777777" w:rsidR="00D9267D" w:rsidRPr="0064264A" w:rsidRDefault="00D9267D" w:rsidP="00D9267D">
      <w:pPr>
        <w:spacing w:line="360" w:lineRule="auto"/>
        <w:jc w:val="both"/>
        <w:rPr>
          <w:rFonts w:eastAsia="Calibri"/>
          <w:lang w:val="es-DO"/>
        </w:rPr>
      </w:pPr>
    </w:p>
    <w:p w14:paraId="53FBDF0A" w14:textId="77777777" w:rsidR="00D9267D" w:rsidRPr="0064264A" w:rsidRDefault="00D9267D" w:rsidP="00D9267D">
      <w:pPr>
        <w:spacing w:line="360" w:lineRule="auto"/>
        <w:jc w:val="both"/>
        <w:rPr>
          <w:rFonts w:eastAsia="Calibri"/>
          <w:lang w:val="es-DO"/>
        </w:rPr>
      </w:pPr>
    </w:p>
    <w:p w14:paraId="00A874D4" w14:textId="77777777" w:rsidR="00D9267D" w:rsidRPr="0064264A" w:rsidRDefault="00D9267D" w:rsidP="00D9267D">
      <w:pPr>
        <w:spacing w:line="360" w:lineRule="auto"/>
        <w:jc w:val="both"/>
        <w:rPr>
          <w:rFonts w:eastAsia="Calibri"/>
          <w:lang w:val="es-DO"/>
        </w:rPr>
      </w:pPr>
    </w:p>
    <w:p w14:paraId="59969599" w14:textId="77777777" w:rsidR="00D9267D" w:rsidRPr="0064264A" w:rsidRDefault="00D9267D" w:rsidP="00D9267D">
      <w:pPr>
        <w:spacing w:line="360" w:lineRule="auto"/>
        <w:jc w:val="both"/>
        <w:rPr>
          <w:rFonts w:eastAsia="Calibri"/>
          <w:lang w:val="es-DO"/>
        </w:rPr>
      </w:pPr>
    </w:p>
    <w:p w14:paraId="00F5EB59" w14:textId="77777777" w:rsidR="00D9267D" w:rsidRPr="0064264A" w:rsidRDefault="00D9267D" w:rsidP="00D9267D">
      <w:pPr>
        <w:spacing w:line="360" w:lineRule="auto"/>
        <w:jc w:val="both"/>
        <w:rPr>
          <w:rFonts w:eastAsia="Calibri"/>
          <w:lang w:val="es-DO"/>
        </w:rPr>
      </w:pPr>
    </w:p>
    <w:p w14:paraId="75526F53" w14:textId="77777777" w:rsidR="00D9267D" w:rsidRPr="0064264A" w:rsidRDefault="00D9267D" w:rsidP="00D9267D">
      <w:pPr>
        <w:spacing w:line="360" w:lineRule="auto"/>
        <w:jc w:val="both"/>
        <w:rPr>
          <w:rFonts w:eastAsia="Calibri"/>
          <w:lang w:val="es-DO"/>
        </w:rPr>
      </w:pPr>
    </w:p>
    <w:p w14:paraId="7685B39E" w14:textId="77777777" w:rsidR="00D9267D" w:rsidRPr="0064264A" w:rsidRDefault="00D9267D" w:rsidP="00D9267D">
      <w:pPr>
        <w:spacing w:line="360" w:lineRule="auto"/>
        <w:jc w:val="both"/>
        <w:rPr>
          <w:rFonts w:eastAsia="Calibri"/>
          <w:lang w:val="es-DO"/>
        </w:rPr>
      </w:pPr>
    </w:p>
    <w:p w14:paraId="0248B282" w14:textId="77777777" w:rsidR="00D9267D" w:rsidRPr="0064264A" w:rsidRDefault="00D9267D" w:rsidP="00D9267D">
      <w:pPr>
        <w:spacing w:line="360" w:lineRule="auto"/>
        <w:jc w:val="both"/>
        <w:rPr>
          <w:rFonts w:eastAsia="Calibri"/>
          <w:lang w:val="es-DO"/>
        </w:rPr>
      </w:pPr>
    </w:p>
    <w:p w14:paraId="39F4CD50" w14:textId="77777777" w:rsidR="00D9267D" w:rsidRPr="0064264A" w:rsidRDefault="00D9267D" w:rsidP="00D9267D">
      <w:pPr>
        <w:spacing w:line="360" w:lineRule="auto"/>
        <w:jc w:val="both"/>
        <w:rPr>
          <w:rFonts w:eastAsia="Calibri"/>
          <w:lang w:val="es-DO"/>
        </w:rPr>
      </w:pPr>
    </w:p>
    <w:p w14:paraId="7F7556B8" w14:textId="77777777" w:rsidR="00D9267D" w:rsidRPr="0064264A" w:rsidRDefault="00D9267D" w:rsidP="00D9267D">
      <w:pPr>
        <w:spacing w:line="360" w:lineRule="auto"/>
        <w:jc w:val="both"/>
        <w:rPr>
          <w:rFonts w:eastAsia="Calibri"/>
          <w:lang w:val="es-DO"/>
        </w:rPr>
      </w:pPr>
    </w:p>
    <w:p w14:paraId="538CCDD3" w14:textId="77777777" w:rsidR="00D9267D" w:rsidRPr="0064264A" w:rsidRDefault="00D9267D" w:rsidP="00D9267D">
      <w:pPr>
        <w:spacing w:line="360" w:lineRule="auto"/>
        <w:jc w:val="both"/>
        <w:rPr>
          <w:rFonts w:eastAsia="Calibri"/>
          <w:lang w:val="es-DO"/>
        </w:rPr>
      </w:pPr>
    </w:p>
    <w:p w14:paraId="5BC0F097" w14:textId="77777777" w:rsidR="00D9267D" w:rsidRPr="0064264A" w:rsidRDefault="00D9267D" w:rsidP="00D9267D">
      <w:pPr>
        <w:spacing w:line="360" w:lineRule="auto"/>
        <w:jc w:val="center"/>
        <w:rPr>
          <w:rFonts w:eastAsia="Calibri"/>
          <w:lang w:val="es-DO"/>
        </w:rPr>
      </w:pPr>
    </w:p>
    <w:p w14:paraId="13DAC200" w14:textId="084897CA" w:rsidR="00D9267D" w:rsidRPr="0064264A" w:rsidRDefault="004A4AAA" w:rsidP="004A4AAA">
      <w:pPr>
        <w:spacing w:line="360" w:lineRule="auto"/>
        <w:jc w:val="center"/>
        <w:rPr>
          <w:rFonts w:eastAsia="Calibri"/>
          <w:lang w:val="es-DO"/>
        </w:rPr>
      </w:pPr>
      <w:r w:rsidRPr="0064264A">
        <w:rPr>
          <w:rFonts w:eastAsia="Calibri"/>
          <w:lang w:val="es-DO"/>
        </w:rPr>
        <w:lastRenderedPageBreak/>
        <w:t>Organigrama Institucional</w:t>
      </w:r>
    </w:p>
    <w:p w14:paraId="4A51381E" w14:textId="77777777" w:rsidR="00D9267D" w:rsidRPr="0064264A" w:rsidRDefault="00D9267D" w:rsidP="00D9267D">
      <w:pPr>
        <w:spacing w:line="360" w:lineRule="auto"/>
        <w:jc w:val="both"/>
        <w:rPr>
          <w:rFonts w:eastAsia="Calibri"/>
          <w:lang w:val="es-DO"/>
        </w:rPr>
      </w:pPr>
    </w:p>
    <w:p w14:paraId="28E2A0A1" w14:textId="77777777" w:rsidR="00D9267D" w:rsidRPr="0064264A" w:rsidRDefault="00D9267D" w:rsidP="00D9267D">
      <w:pPr>
        <w:spacing w:line="360" w:lineRule="auto"/>
        <w:jc w:val="both"/>
        <w:rPr>
          <w:rFonts w:eastAsia="Calibri"/>
          <w:lang w:val="es-DO"/>
        </w:rPr>
      </w:pPr>
    </w:p>
    <w:p w14:paraId="19391024" w14:textId="77777777" w:rsidR="00D9267D" w:rsidRPr="0064264A" w:rsidRDefault="00D9267D" w:rsidP="00D9267D">
      <w:pPr>
        <w:spacing w:line="360" w:lineRule="auto"/>
        <w:jc w:val="both"/>
        <w:rPr>
          <w:rFonts w:eastAsia="Calibri"/>
          <w:lang w:val="es-DO"/>
        </w:rPr>
      </w:pPr>
    </w:p>
    <w:p w14:paraId="3D2CEBC7" w14:textId="77777777" w:rsidR="00D9267D" w:rsidRPr="0064264A" w:rsidRDefault="00D9267D" w:rsidP="00D9267D">
      <w:pPr>
        <w:spacing w:line="360" w:lineRule="auto"/>
        <w:jc w:val="both"/>
        <w:rPr>
          <w:rFonts w:eastAsia="Calibri"/>
          <w:lang w:val="es-DO"/>
        </w:rPr>
      </w:pPr>
    </w:p>
    <w:p w14:paraId="7F5DFBB1" w14:textId="77777777" w:rsidR="00D9267D" w:rsidRPr="0064264A" w:rsidRDefault="00D9267D" w:rsidP="00D9267D">
      <w:pPr>
        <w:spacing w:line="360" w:lineRule="auto"/>
        <w:jc w:val="both"/>
        <w:rPr>
          <w:rFonts w:eastAsia="Calibri"/>
          <w:lang w:val="es-DO"/>
        </w:rPr>
      </w:pPr>
    </w:p>
    <w:p w14:paraId="538DC3AA" w14:textId="77777777" w:rsidR="00D9267D" w:rsidRPr="0064264A" w:rsidRDefault="00D9267D" w:rsidP="00D9267D">
      <w:pPr>
        <w:spacing w:line="360" w:lineRule="auto"/>
        <w:jc w:val="both"/>
        <w:rPr>
          <w:rFonts w:eastAsia="Calibri"/>
          <w:lang w:val="es-DO"/>
        </w:rPr>
      </w:pPr>
    </w:p>
    <w:p w14:paraId="00982F19" w14:textId="77777777" w:rsidR="00D9267D" w:rsidRPr="0064264A" w:rsidRDefault="00D9267D" w:rsidP="00D9267D">
      <w:pPr>
        <w:spacing w:line="360" w:lineRule="auto"/>
        <w:jc w:val="both"/>
        <w:rPr>
          <w:rFonts w:eastAsia="Calibri"/>
          <w:lang w:val="es-DO"/>
        </w:rPr>
      </w:pPr>
    </w:p>
    <w:p w14:paraId="6953797E" w14:textId="1D4F5C08" w:rsidR="00D9267D" w:rsidRPr="0064264A" w:rsidRDefault="00D9267D" w:rsidP="00D9267D">
      <w:pPr>
        <w:spacing w:line="360" w:lineRule="auto"/>
        <w:jc w:val="both"/>
        <w:rPr>
          <w:rFonts w:eastAsia="Calibri"/>
          <w:b/>
          <w:lang w:val="es-DO"/>
        </w:rPr>
      </w:pPr>
      <w:r w:rsidRPr="0064264A">
        <w:rPr>
          <w:rFonts w:eastAsia="Calibri"/>
          <w:noProof/>
          <w:lang w:val="es-DO"/>
        </w:rPr>
        <w:drawing>
          <wp:anchor distT="0" distB="0" distL="114300" distR="114300" simplePos="0" relativeHeight="251754496" behindDoc="0" locked="0" layoutInCell="1" allowOverlap="1" wp14:anchorId="764811CB" wp14:editId="45DF7D99">
            <wp:simplePos x="0" y="0"/>
            <wp:positionH relativeFrom="margin">
              <wp:posOffset>-829310</wp:posOffset>
            </wp:positionH>
            <wp:positionV relativeFrom="paragraph">
              <wp:posOffset>291465</wp:posOffset>
            </wp:positionV>
            <wp:extent cx="7314565" cy="4438650"/>
            <wp:effectExtent l="0" t="0" r="635" b="0"/>
            <wp:wrapThrough wrapText="bothSides">
              <wp:wrapPolygon edited="0">
                <wp:start x="0" y="0"/>
                <wp:lineTo x="0" y="21507"/>
                <wp:lineTo x="21546" y="21507"/>
                <wp:lineTo x="21546" y="0"/>
                <wp:lineTo x="0" y="0"/>
              </wp:wrapPolygon>
            </wp:wrapThrough>
            <wp:docPr id="1126464974"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64974" name="Picture 1" descr="A diagram of a company&#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314565" cy="443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68C572" w14:textId="77777777" w:rsidR="00D9267D" w:rsidRPr="0064264A" w:rsidRDefault="00D9267D" w:rsidP="00D9267D">
      <w:pPr>
        <w:spacing w:line="360" w:lineRule="auto"/>
        <w:jc w:val="both"/>
        <w:rPr>
          <w:rFonts w:eastAsia="Calibri"/>
          <w:b/>
          <w:lang w:val="es-DO"/>
        </w:rPr>
      </w:pPr>
    </w:p>
    <w:p w14:paraId="486B7038" w14:textId="77777777" w:rsidR="00D9267D" w:rsidRPr="0064264A" w:rsidRDefault="00D9267D" w:rsidP="00D9267D">
      <w:pPr>
        <w:spacing w:line="360" w:lineRule="auto"/>
        <w:jc w:val="both"/>
        <w:rPr>
          <w:rFonts w:eastAsia="Calibri"/>
          <w:b/>
          <w:lang w:val="es-DO"/>
        </w:rPr>
      </w:pPr>
    </w:p>
    <w:p w14:paraId="5CBCEAF6" w14:textId="77777777" w:rsidR="00D9267D" w:rsidRPr="0064264A" w:rsidRDefault="00D9267D" w:rsidP="00D9267D">
      <w:pPr>
        <w:spacing w:line="360" w:lineRule="auto"/>
        <w:jc w:val="both"/>
        <w:rPr>
          <w:rFonts w:eastAsia="Calibri"/>
          <w:b/>
          <w:lang w:val="es-DO"/>
        </w:rPr>
      </w:pPr>
    </w:p>
    <w:p w14:paraId="568EB84E" w14:textId="77777777" w:rsidR="00D9267D" w:rsidRPr="0064264A" w:rsidRDefault="00D9267D" w:rsidP="00D9267D">
      <w:pPr>
        <w:spacing w:line="360" w:lineRule="auto"/>
        <w:jc w:val="both"/>
        <w:rPr>
          <w:rFonts w:eastAsia="Calibri"/>
          <w:lang w:val="es-DO"/>
        </w:rPr>
      </w:pPr>
    </w:p>
    <w:p w14:paraId="3C41797A" w14:textId="77777777" w:rsidR="00D9267D" w:rsidRPr="0064264A" w:rsidRDefault="00D9267D" w:rsidP="00D9267D">
      <w:pPr>
        <w:spacing w:line="360" w:lineRule="auto"/>
        <w:jc w:val="both"/>
        <w:rPr>
          <w:rFonts w:eastAsia="Calibri"/>
          <w:lang w:val="es-DO"/>
        </w:rPr>
      </w:pPr>
    </w:p>
    <w:p w14:paraId="28AA0E51" w14:textId="77777777" w:rsidR="00D9267D" w:rsidRPr="0064264A" w:rsidRDefault="00D9267D" w:rsidP="00D9267D">
      <w:pPr>
        <w:spacing w:line="360" w:lineRule="auto"/>
        <w:jc w:val="both"/>
        <w:rPr>
          <w:rFonts w:eastAsia="Calibri"/>
          <w:lang w:val="es-DO"/>
        </w:rPr>
        <w:sectPr w:rsidR="00D9267D" w:rsidRPr="0064264A" w:rsidSect="00D9267D">
          <w:type w:val="continuous"/>
          <w:pgSz w:w="12240" w:h="15840"/>
          <w:pgMar w:top="1440" w:right="1800" w:bottom="1440" w:left="1800" w:header="720" w:footer="432" w:gutter="0"/>
          <w:cols w:num="2" w:space="720"/>
          <w:titlePg/>
          <w:docGrid w:linePitch="360"/>
        </w:sectPr>
      </w:pPr>
    </w:p>
    <w:p w14:paraId="1EF3FE5D" w14:textId="77777777" w:rsidR="00D9267D" w:rsidRPr="0064264A" w:rsidRDefault="00D9267D" w:rsidP="00D9267D">
      <w:pPr>
        <w:spacing w:line="360" w:lineRule="auto"/>
        <w:jc w:val="both"/>
        <w:rPr>
          <w:rFonts w:eastAsia="Calibri"/>
          <w:lang w:val="es-DO"/>
        </w:rPr>
        <w:sectPr w:rsidR="00D9267D" w:rsidRPr="0064264A" w:rsidSect="00D9267D">
          <w:type w:val="continuous"/>
          <w:pgSz w:w="12240" w:h="15840"/>
          <w:pgMar w:top="1440" w:right="1800" w:bottom="1440" w:left="1800" w:header="720" w:footer="432" w:gutter="0"/>
          <w:cols w:num="2" w:space="720"/>
          <w:titlePg/>
          <w:docGrid w:linePitch="360"/>
        </w:sectPr>
      </w:pPr>
    </w:p>
    <w:p w14:paraId="1171ED76" w14:textId="77777777" w:rsidR="00D9267D" w:rsidRPr="0064264A" w:rsidRDefault="00D9267D" w:rsidP="00D9267D">
      <w:pPr>
        <w:spacing w:line="360" w:lineRule="auto"/>
        <w:jc w:val="both"/>
        <w:rPr>
          <w:rFonts w:eastAsia="Calibri"/>
          <w:lang w:val="es-DO"/>
        </w:rPr>
        <w:sectPr w:rsidR="00D9267D" w:rsidRPr="0064264A" w:rsidSect="00D9267D">
          <w:type w:val="continuous"/>
          <w:pgSz w:w="12240" w:h="15840"/>
          <w:pgMar w:top="1440" w:right="1800" w:bottom="1440" w:left="1800" w:header="2160" w:footer="432" w:gutter="0"/>
          <w:cols w:num="2" w:space="720"/>
          <w:titlePg/>
          <w:docGrid w:linePitch="360"/>
        </w:sectPr>
      </w:pPr>
    </w:p>
    <w:p w14:paraId="5AAF79C5" w14:textId="77777777" w:rsidR="00D9267D" w:rsidRPr="0064264A" w:rsidRDefault="00D9267D" w:rsidP="00D9267D">
      <w:pPr>
        <w:spacing w:line="360" w:lineRule="auto"/>
        <w:jc w:val="both"/>
        <w:rPr>
          <w:rFonts w:eastAsia="Calibri"/>
          <w:lang w:val="es-DO"/>
        </w:rPr>
      </w:pPr>
      <w:bookmarkStart w:id="8" w:name="_Hlk91228985"/>
    </w:p>
    <w:p w14:paraId="18DF535C" w14:textId="77777777" w:rsidR="00D9267D" w:rsidRPr="0064264A" w:rsidRDefault="00D9267D" w:rsidP="00245795">
      <w:pPr>
        <w:pStyle w:val="Heading2"/>
        <w:rPr>
          <w:rFonts w:eastAsia="Calibri"/>
          <w:b/>
          <w:color w:val="767171"/>
          <w:lang w:val="es-DO"/>
        </w:rPr>
      </w:pPr>
      <w:bookmarkStart w:id="9" w:name="_Toc217386284"/>
      <w:r w:rsidRPr="0064264A">
        <w:rPr>
          <w:rFonts w:eastAsia="Calibri"/>
          <w:b/>
          <w:color w:val="767171"/>
          <w:lang w:val="es-DO"/>
        </w:rPr>
        <w:t>2.5 Planificación estratégica institucional</w:t>
      </w:r>
      <w:bookmarkEnd w:id="9"/>
    </w:p>
    <w:bookmarkEnd w:id="8"/>
    <w:p w14:paraId="4A8DAD43" w14:textId="77777777" w:rsidR="00D9267D" w:rsidRPr="0064264A" w:rsidRDefault="00D9267D" w:rsidP="00D9267D">
      <w:pPr>
        <w:spacing w:line="360" w:lineRule="auto"/>
        <w:jc w:val="both"/>
        <w:rPr>
          <w:rFonts w:eastAsia="Calibri"/>
          <w:lang w:val="es-DO"/>
        </w:rPr>
      </w:pPr>
      <w:r w:rsidRPr="0064264A">
        <w:rPr>
          <w:rFonts w:eastAsia="Calibri"/>
          <w:noProof/>
          <w:lang w:val="es-ES"/>
        </w:rPr>
        <w:drawing>
          <wp:anchor distT="0" distB="0" distL="114300" distR="114300" simplePos="0" relativeHeight="251753472" behindDoc="0" locked="0" layoutInCell="1" allowOverlap="1" wp14:anchorId="29E2434E" wp14:editId="06F878A9">
            <wp:simplePos x="0" y="0"/>
            <wp:positionH relativeFrom="column">
              <wp:posOffset>2531110</wp:posOffset>
            </wp:positionH>
            <wp:positionV relativeFrom="paragraph">
              <wp:posOffset>292100</wp:posOffset>
            </wp:positionV>
            <wp:extent cx="3687445" cy="4785995"/>
            <wp:effectExtent l="0" t="0" r="8255" b="0"/>
            <wp:wrapSquare wrapText="bothSides"/>
            <wp:docPr id="19272594" name="Picture 19272594"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594" name="Picture 19272594" descr="A diagram of a diagram&#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3687445" cy="4785995"/>
                    </a:xfrm>
                    <a:prstGeom prst="rect">
                      <a:avLst/>
                    </a:prstGeom>
                  </pic:spPr>
                </pic:pic>
              </a:graphicData>
            </a:graphic>
            <wp14:sizeRelH relativeFrom="margin">
              <wp14:pctWidth>0</wp14:pctWidth>
            </wp14:sizeRelH>
            <wp14:sizeRelV relativeFrom="margin">
              <wp14:pctHeight>0</wp14:pctHeight>
            </wp14:sizeRelV>
          </wp:anchor>
        </w:drawing>
      </w:r>
    </w:p>
    <w:p w14:paraId="383CD010" w14:textId="77777777" w:rsidR="00D9267D" w:rsidRPr="0064264A" w:rsidRDefault="00D9267D" w:rsidP="00D9267D">
      <w:pPr>
        <w:spacing w:line="360" w:lineRule="auto"/>
        <w:jc w:val="both"/>
        <w:rPr>
          <w:rFonts w:eastAsia="Calibri"/>
          <w:lang w:val="es-ES"/>
        </w:rPr>
      </w:pPr>
      <w:r w:rsidRPr="0064264A">
        <w:rPr>
          <w:rFonts w:eastAsia="Calibri"/>
          <w:lang w:val="es-ES"/>
        </w:rPr>
        <w:t>Con la finalidad de dar continuidad a la gestión estratégica del BCRD como ente emisor, que vela por la estabilidad de precios, la regulación del sistema financiero y la eficiencia y seguridad del sistema de pagos, en el año 2022 se presentó el V Plan Estratégico Institucional (PEI) 2022- 2025, herramienta que sirve de guía para ejecutar las funciones establecidas por la Ley y trazar la visión a futuro del Banco.</w:t>
      </w:r>
    </w:p>
    <w:p w14:paraId="1006BECC" w14:textId="77777777" w:rsidR="00D9267D" w:rsidRPr="0064264A" w:rsidRDefault="00D9267D" w:rsidP="00D9267D">
      <w:pPr>
        <w:spacing w:line="360" w:lineRule="auto"/>
        <w:jc w:val="both"/>
        <w:rPr>
          <w:rFonts w:eastAsia="Calibri"/>
          <w:lang w:val="es-ES"/>
        </w:rPr>
      </w:pPr>
      <w:r w:rsidRPr="0064264A">
        <w:rPr>
          <w:rFonts w:eastAsia="Calibri"/>
          <w:lang w:val="es-ES"/>
        </w:rPr>
        <w:t xml:space="preserve">En el PEI 2022-2025 se definieron seis grandes objetivos, los cuales abarcan aspectos de política, operativos y de gestión de la institución. Cada objetivo cuenta con estrategias </w:t>
      </w:r>
      <w:proofErr w:type="spellStart"/>
      <w:r w:rsidRPr="0064264A">
        <w:rPr>
          <w:rFonts w:eastAsia="Calibri"/>
          <w:lang w:val="es-ES"/>
        </w:rPr>
        <w:t>espe</w:t>
      </w:r>
      <w:proofErr w:type="spellEnd"/>
      <w:r w:rsidRPr="0064264A">
        <w:rPr>
          <w:rFonts w:eastAsia="Calibri"/>
          <w:lang w:val="es-ES"/>
        </w:rPr>
        <w:t xml:space="preserve">- </w:t>
      </w:r>
      <w:proofErr w:type="spellStart"/>
      <w:r w:rsidRPr="0064264A">
        <w:rPr>
          <w:rFonts w:eastAsia="Calibri"/>
          <w:lang w:val="es-ES"/>
        </w:rPr>
        <w:t>cíficas</w:t>
      </w:r>
      <w:proofErr w:type="spellEnd"/>
      <w:r w:rsidRPr="0064264A">
        <w:rPr>
          <w:rFonts w:eastAsia="Calibri"/>
          <w:lang w:val="es-ES"/>
        </w:rPr>
        <w:t xml:space="preserve"> y con metas cuantitativas para su seguimiento y evaluación, tanto de manera continua como al final de cada año.</w:t>
      </w:r>
    </w:p>
    <w:p w14:paraId="6DD24870" w14:textId="77777777" w:rsidR="00D9267D" w:rsidRPr="0064264A" w:rsidRDefault="00D9267D" w:rsidP="00D9267D">
      <w:pPr>
        <w:spacing w:line="360" w:lineRule="auto"/>
        <w:jc w:val="both"/>
        <w:rPr>
          <w:rFonts w:eastAsia="Calibri"/>
          <w:lang w:val="es-ES"/>
        </w:rPr>
      </w:pPr>
      <w:r w:rsidRPr="0064264A">
        <w:rPr>
          <w:rFonts w:eastAsia="Calibri"/>
          <w:lang w:val="es-ES"/>
        </w:rPr>
        <w:t xml:space="preserve">La ejecución de los dos primeros años del PEI vigente se caracterizó por políticas centradas en estimular el dinamismo de la economía del país, afectada por las secuelas de la crisis </w:t>
      </w:r>
      <w:proofErr w:type="spellStart"/>
      <w:r w:rsidRPr="0064264A">
        <w:rPr>
          <w:rFonts w:eastAsia="Calibri"/>
          <w:lang w:val="es-ES"/>
        </w:rPr>
        <w:t>sani</w:t>
      </w:r>
      <w:proofErr w:type="spellEnd"/>
      <w:r w:rsidRPr="0064264A">
        <w:rPr>
          <w:rFonts w:eastAsia="Calibri"/>
          <w:lang w:val="es-ES"/>
        </w:rPr>
        <w:t xml:space="preserve">- </w:t>
      </w:r>
      <w:proofErr w:type="spellStart"/>
      <w:r w:rsidRPr="0064264A">
        <w:rPr>
          <w:rFonts w:eastAsia="Calibri"/>
          <w:lang w:val="es-ES"/>
        </w:rPr>
        <w:t>taria</w:t>
      </w:r>
      <w:proofErr w:type="spellEnd"/>
      <w:r w:rsidRPr="0064264A">
        <w:rPr>
          <w:rFonts w:eastAsia="Calibri"/>
          <w:lang w:val="es-ES"/>
        </w:rPr>
        <w:t xml:space="preserve"> provocada por el COVID-19, así como por los conflictos geopolíticos en diversas regiones del mundo, además de fortalecer las estrategias emergentes que fueron </w:t>
      </w:r>
      <w:r w:rsidRPr="0064264A">
        <w:rPr>
          <w:rFonts w:eastAsia="Calibri"/>
          <w:lang w:val="es-ES"/>
        </w:rPr>
        <w:lastRenderedPageBreak/>
        <w:t xml:space="preserve">implementadas a raíz de la pandemia. De igual forma, fue lanzado el </w:t>
      </w:r>
      <w:proofErr w:type="gramStart"/>
      <w:r w:rsidRPr="0064264A">
        <w:rPr>
          <w:rFonts w:eastAsia="Calibri"/>
          <w:lang w:val="es-ES"/>
        </w:rPr>
        <w:t>Hub</w:t>
      </w:r>
      <w:proofErr w:type="gramEnd"/>
      <w:r w:rsidRPr="0064264A">
        <w:rPr>
          <w:rFonts w:eastAsia="Calibri"/>
          <w:lang w:val="es-ES"/>
        </w:rPr>
        <w:t xml:space="preserve"> de Innovación Financiera de la República Dominicana, en colaboración con las Superintendencias de Bancos, del mercado de valores, de pensiones y de seguros. Esta colaboración representó un hito sin precedentes entre </w:t>
      </w:r>
      <w:proofErr w:type="spellStart"/>
      <w:r w:rsidRPr="0064264A">
        <w:rPr>
          <w:rFonts w:eastAsia="Calibri"/>
          <w:lang w:val="es-ES"/>
        </w:rPr>
        <w:t>institucio</w:t>
      </w:r>
      <w:proofErr w:type="spellEnd"/>
      <w:r w:rsidRPr="0064264A">
        <w:rPr>
          <w:rFonts w:eastAsia="Calibri"/>
          <w:lang w:val="es-ES"/>
        </w:rPr>
        <w:t xml:space="preserve">- </w:t>
      </w:r>
      <w:proofErr w:type="spellStart"/>
      <w:r w:rsidRPr="0064264A">
        <w:rPr>
          <w:rFonts w:eastAsia="Calibri"/>
          <w:lang w:val="es-ES"/>
        </w:rPr>
        <w:t>nes</w:t>
      </w:r>
      <w:proofErr w:type="spellEnd"/>
      <w:r w:rsidRPr="0064264A">
        <w:rPr>
          <w:rFonts w:eastAsia="Calibri"/>
          <w:lang w:val="es-ES"/>
        </w:rPr>
        <w:t xml:space="preserve"> del sector público financiero.</w:t>
      </w:r>
    </w:p>
    <w:p w14:paraId="3731D099" w14:textId="77777777" w:rsidR="00D9267D" w:rsidRPr="0064264A" w:rsidRDefault="00D9267D" w:rsidP="00D9267D">
      <w:pPr>
        <w:spacing w:line="360" w:lineRule="auto"/>
        <w:jc w:val="both"/>
        <w:rPr>
          <w:rFonts w:eastAsia="Calibri"/>
          <w:lang w:val="es-ES"/>
        </w:rPr>
      </w:pPr>
      <w:r w:rsidRPr="0064264A">
        <w:rPr>
          <w:rFonts w:eastAsia="Calibri"/>
          <w:lang w:val="es-ES"/>
        </w:rPr>
        <w:t>Por otro lado, fue aprobado el reglamento de la Gestión Documental de la Institución, con lo que se establecen los lineamientos y directrices que garanticen la salvaguarda del patrimonio documental y la memoria institucional. Adicionalmente, se modificó la política de Seguridad de la Información, con el objetivo de asegurar un adecuado ambiente de control respecto a la confidencialidad, integridad y disponibilidad de la información.</w:t>
      </w:r>
    </w:p>
    <w:p w14:paraId="0D1C443E" w14:textId="77777777" w:rsidR="00D9267D" w:rsidRPr="0064264A" w:rsidRDefault="00D9267D" w:rsidP="00D9267D">
      <w:pPr>
        <w:spacing w:line="360" w:lineRule="auto"/>
        <w:jc w:val="both"/>
        <w:rPr>
          <w:rFonts w:eastAsia="Calibri"/>
          <w:lang w:val="es-ES"/>
        </w:rPr>
      </w:pPr>
      <w:r w:rsidRPr="0064264A">
        <w:rPr>
          <w:rFonts w:eastAsia="Calibri"/>
          <w:lang w:val="es-ES"/>
        </w:rPr>
        <w:t>Finalmente, tras la exitosa ejecución del programa planteado en los dos primeros años, el Banco Central de la República Dominicana mostró avances significativos en su ejecución, con un nivel de logro agregado de 48.81 % para el período de cierre del 2023, de una meta esperada de 50.00 %.1</w:t>
      </w:r>
    </w:p>
    <w:p w14:paraId="1072BD04" w14:textId="77777777" w:rsidR="00D9267D" w:rsidRPr="0064264A" w:rsidRDefault="00D9267D" w:rsidP="00D9267D">
      <w:pPr>
        <w:spacing w:line="360" w:lineRule="auto"/>
        <w:jc w:val="both"/>
        <w:rPr>
          <w:rFonts w:eastAsia="Calibri"/>
          <w:lang w:val="es-ES"/>
        </w:rPr>
      </w:pPr>
    </w:p>
    <w:p w14:paraId="1CCA08AA" w14:textId="77777777" w:rsidR="00D9267D" w:rsidRPr="0064264A" w:rsidRDefault="00D9267D" w:rsidP="00D9267D">
      <w:pPr>
        <w:spacing w:line="360" w:lineRule="auto"/>
        <w:jc w:val="both"/>
        <w:rPr>
          <w:rFonts w:eastAsia="Calibri"/>
          <w:lang w:val="es-ES"/>
        </w:rPr>
      </w:pPr>
    </w:p>
    <w:p w14:paraId="0DBB1CCE" w14:textId="77777777" w:rsidR="00D9267D" w:rsidRPr="0064264A" w:rsidRDefault="00D9267D" w:rsidP="00D9267D">
      <w:pPr>
        <w:spacing w:line="360" w:lineRule="auto"/>
        <w:jc w:val="both"/>
        <w:rPr>
          <w:rFonts w:eastAsia="Calibri"/>
          <w:lang w:val="es-DO"/>
        </w:rPr>
      </w:pPr>
    </w:p>
    <w:p w14:paraId="5E4CC368" w14:textId="77777777" w:rsidR="00D9267D" w:rsidRPr="0064264A" w:rsidRDefault="00D9267D" w:rsidP="00D9267D">
      <w:pPr>
        <w:spacing w:line="360" w:lineRule="auto"/>
        <w:jc w:val="both"/>
        <w:rPr>
          <w:rFonts w:eastAsia="Calibri"/>
          <w:lang w:val="es-DO"/>
        </w:rPr>
      </w:pPr>
    </w:p>
    <w:p w14:paraId="41F14BF1" w14:textId="77777777" w:rsidR="00D9267D" w:rsidRPr="0064264A" w:rsidRDefault="00D9267D" w:rsidP="00D9267D">
      <w:pPr>
        <w:spacing w:line="360" w:lineRule="auto"/>
        <w:jc w:val="both"/>
        <w:rPr>
          <w:rFonts w:eastAsia="Calibri"/>
          <w:lang w:val="es-DO"/>
        </w:rPr>
      </w:pPr>
    </w:p>
    <w:p w14:paraId="60FB2A40" w14:textId="77777777" w:rsidR="00D9267D" w:rsidRPr="0064264A" w:rsidRDefault="00D9267D" w:rsidP="00D9267D">
      <w:pPr>
        <w:spacing w:line="360" w:lineRule="auto"/>
        <w:jc w:val="both"/>
        <w:rPr>
          <w:rFonts w:eastAsia="Calibri"/>
          <w:lang w:val="es-DO"/>
        </w:rPr>
      </w:pPr>
    </w:p>
    <w:p w14:paraId="1E90C0F4" w14:textId="77777777" w:rsidR="00D9267D" w:rsidRPr="0064264A" w:rsidRDefault="00D9267D" w:rsidP="00D9267D">
      <w:pPr>
        <w:spacing w:line="360" w:lineRule="auto"/>
        <w:jc w:val="both"/>
        <w:rPr>
          <w:rFonts w:eastAsia="Calibri"/>
          <w:lang w:val="es-DO"/>
        </w:rPr>
      </w:pPr>
    </w:p>
    <w:p w14:paraId="3247131A" w14:textId="77777777" w:rsidR="00D9267D" w:rsidRPr="0064264A" w:rsidRDefault="00D9267D" w:rsidP="00D9267D">
      <w:pPr>
        <w:spacing w:line="360" w:lineRule="auto"/>
        <w:jc w:val="both"/>
        <w:rPr>
          <w:rFonts w:eastAsia="Calibri"/>
          <w:lang w:val="es-DO"/>
        </w:rPr>
      </w:pPr>
    </w:p>
    <w:p w14:paraId="2D2068D1" w14:textId="77777777" w:rsidR="00D9267D" w:rsidRPr="0064264A" w:rsidRDefault="00D9267D" w:rsidP="00D9267D">
      <w:pPr>
        <w:spacing w:line="360" w:lineRule="auto"/>
        <w:jc w:val="both"/>
        <w:rPr>
          <w:rFonts w:eastAsia="Calibri"/>
          <w:lang w:val="es-DO"/>
        </w:rPr>
      </w:pPr>
    </w:p>
    <w:p w14:paraId="78AF7BF4" w14:textId="09B63F74" w:rsidR="00D9267D" w:rsidRPr="0064264A" w:rsidRDefault="004F4C99" w:rsidP="004F4C99">
      <w:pPr>
        <w:spacing w:line="360" w:lineRule="auto"/>
        <w:jc w:val="center"/>
        <w:rPr>
          <w:rFonts w:eastAsia="Calibri"/>
          <w:lang w:val="es-DO"/>
        </w:rPr>
      </w:pPr>
      <w:r w:rsidRPr="0064264A">
        <w:rPr>
          <w:rFonts w:eastAsia="Calibri"/>
          <w:noProof/>
          <w:lang w:val="es-DO"/>
        </w:rPr>
        <w:lastRenderedPageBreak/>
        <mc:AlternateContent>
          <mc:Choice Requires="wps">
            <w:drawing>
              <wp:anchor distT="0" distB="0" distL="114300" distR="114300" simplePos="0" relativeHeight="251742208" behindDoc="0" locked="0" layoutInCell="1" allowOverlap="1" wp14:anchorId="00108A1F" wp14:editId="4CB3E253">
                <wp:simplePos x="0" y="0"/>
                <wp:positionH relativeFrom="column">
                  <wp:posOffset>2130425</wp:posOffset>
                </wp:positionH>
                <wp:positionV relativeFrom="paragraph">
                  <wp:posOffset>271463</wp:posOffset>
                </wp:positionV>
                <wp:extent cx="539750" cy="0"/>
                <wp:effectExtent l="0" t="19050" r="31750" b="19050"/>
                <wp:wrapThrough wrapText="bothSides">
                  <wp:wrapPolygon edited="0">
                    <wp:start x="0" y="-1"/>
                    <wp:lineTo x="0" y="-1"/>
                    <wp:lineTo x="22108" y="-1"/>
                    <wp:lineTo x="22108" y="-1"/>
                    <wp:lineTo x="0" y="-1"/>
                  </wp:wrapPolygon>
                </wp:wrapThrough>
                <wp:docPr id="651207603"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CE4636" id="Conector recto 9"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5pt,21.4pt" to="210.2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" strokecolor="red" strokeweight="2.5pt">
                <v:stroke joinstyle="miter"/>
                <w10:wrap type="through"/>
              </v:line>
            </w:pict>
          </mc:Fallback>
        </mc:AlternateContent>
      </w:r>
      <w:r w:rsidR="00D9267D" w:rsidRPr="0064264A">
        <w:rPr>
          <w:rFonts w:eastAsia="Calibri"/>
          <w:lang w:val="es-DO"/>
        </w:rPr>
        <w:t>III. RESULTADOS MISIONALES</w:t>
      </w:r>
    </w:p>
    <w:p w14:paraId="7F333E44"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                            Memoria Institucional 2025</w:t>
      </w:r>
    </w:p>
    <w:p w14:paraId="599B3594" w14:textId="5FFF1079" w:rsidR="00D9267D" w:rsidRPr="0064264A" w:rsidRDefault="00245795" w:rsidP="00245795">
      <w:pPr>
        <w:pStyle w:val="Heading1"/>
        <w:rPr>
          <w:rFonts w:eastAsia="Calibri"/>
          <w:color w:val="767171"/>
          <w:lang w:val="es-DO"/>
        </w:rPr>
      </w:pPr>
      <w:r w:rsidRPr="0064264A">
        <w:rPr>
          <w:rFonts w:eastAsia="Calibri"/>
          <w:b w:val="0"/>
          <w:color w:val="767171"/>
          <w:lang w:val="es-DO"/>
        </w:rPr>
        <w:t xml:space="preserve"> </w:t>
      </w:r>
      <w:bookmarkStart w:id="10" w:name="_Toc217386285"/>
      <w:r w:rsidRPr="0064264A">
        <w:rPr>
          <w:rFonts w:eastAsia="Calibri"/>
          <w:bCs/>
          <w:color w:val="767171"/>
          <w:lang w:val="es-DO"/>
        </w:rPr>
        <w:t xml:space="preserve">3.1 </w:t>
      </w:r>
      <w:r w:rsidR="00D9267D" w:rsidRPr="0064264A">
        <w:rPr>
          <w:rFonts w:eastAsia="Calibri"/>
          <w:bCs/>
          <w:color w:val="767171"/>
          <w:lang w:val="es-DO"/>
        </w:rPr>
        <w:t>Información</w:t>
      </w:r>
      <w:r w:rsidR="00D9267D" w:rsidRPr="0064264A">
        <w:rPr>
          <w:rFonts w:eastAsia="Calibri"/>
          <w:color w:val="767171"/>
          <w:lang w:val="es-DO"/>
        </w:rPr>
        <w:t xml:space="preserve"> cuantitativa, cualitativa e indicadores de los procesos Misionales</w:t>
      </w:r>
      <w:r w:rsidRPr="0064264A">
        <w:rPr>
          <w:rFonts w:eastAsia="Calibri"/>
          <w:b w:val="0"/>
          <w:color w:val="767171"/>
          <w:lang w:val="es-DO"/>
        </w:rPr>
        <w:t>.</w:t>
      </w:r>
      <w:bookmarkEnd w:id="10"/>
    </w:p>
    <w:p w14:paraId="0495F40D" w14:textId="77777777" w:rsidR="00D07CD9" w:rsidRPr="0064264A" w:rsidRDefault="00D07CD9" w:rsidP="00D9267D">
      <w:pPr>
        <w:spacing w:line="360" w:lineRule="auto"/>
        <w:jc w:val="both"/>
        <w:rPr>
          <w:rFonts w:eastAsia="Calibri"/>
          <w:lang w:val="es-DO"/>
        </w:rPr>
      </w:pPr>
    </w:p>
    <w:p w14:paraId="32635A4A" w14:textId="56DA0245" w:rsidR="00D9267D" w:rsidRPr="0064264A" w:rsidRDefault="00D9267D" w:rsidP="00D9267D">
      <w:pPr>
        <w:spacing w:line="360" w:lineRule="auto"/>
        <w:jc w:val="both"/>
        <w:rPr>
          <w:rFonts w:eastAsia="Calibri"/>
          <w:lang w:val="es-DO"/>
        </w:rPr>
      </w:pPr>
      <w:r w:rsidRPr="0064264A">
        <w:rPr>
          <w:rFonts w:eastAsia="Calibri"/>
          <w:lang w:val="es-DO"/>
        </w:rPr>
        <w:t>La política monetaria en 2025 refleja una estrategia gradual y preventiva orientada a balancear estabilidad inflacionaria con estímulo a la actividad económica. La decisión de mantener una postura neutral durante gran parte del año obedeció a la necesidad de observar la respuesta del mercado a los cambios internacionales y a factores internos. Sin embargo, una moderación en el crecimiento, junto a estabilidad inflacionaria y demanda doméstica contenida, justificaron un cambio en la dirección de la postura monetaria mediante reducciones progresivas de la TPM encaminadas a acelerar el ciclo económico.</w:t>
      </w:r>
    </w:p>
    <w:p w14:paraId="288B9576" w14:textId="77777777" w:rsidR="00D9267D" w:rsidRPr="0064264A" w:rsidRDefault="00D9267D" w:rsidP="00D9267D">
      <w:pPr>
        <w:spacing w:line="360" w:lineRule="auto"/>
        <w:jc w:val="both"/>
        <w:rPr>
          <w:rFonts w:eastAsia="Calibri"/>
          <w:lang w:val="es-DO"/>
        </w:rPr>
      </w:pPr>
      <w:r w:rsidRPr="0064264A">
        <w:rPr>
          <w:rFonts w:eastAsia="Calibri"/>
          <w:lang w:val="es-DO"/>
        </w:rPr>
        <w:t>La liberación del encaje legal y la autorización de créditos con tasas topadas representaron instrumentos no convencionales complementarios, con impacto directo sobre la liquidez bancaria disponible para sectores productivos. Esta decisión no sólo busca estimular inversión y producción, sino también preservar empleos y sostener encadenamientos productivos internos, lo que posee efectos multiplicadores en un contexto de desaceleración económica.</w:t>
      </w:r>
    </w:p>
    <w:p w14:paraId="1DC671C5" w14:textId="77777777" w:rsidR="004F4C99" w:rsidRPr="0064264A" w:rsidRDefault="00D9267D" w:rsidP="00D9267D">
      <w:pPr>
        <w:spacing w:line="360" w:lineRule="auto"/>
        <w:jc w:val="both"/>
        <w:rPr>
          <w:rFonts w:eastAsia="Calibri"/>
          <w:lang w:val="es-DO"/>
        </w:rPr>
      </w:pPr>
      <w:r w:rsidRPr="0064264A">
        <w:rPr>
          <w:rFonts w:eastAsia="Calibri"/>
          <w:lang w:val="es-DO"/>
        </w:rPr>
        <w:t xml:space="preserve">Las modificaciones regulatorias en materia cambiaria y de financiamiento externo responden a riesgos crecientes derivados de exposición en moneda extranjera. La restricción diferenciada entre agentes generadores y no generadores de divisas sugiere una estrategia prudencial orientada a mitigar vulnerabilidades ante movimientos cambiarios adversos. </w:t>
      </w:r>
    </w:p>
    <w:p w14:paraId="731BF75E" w14:textId="77777777" w:rsidR="004F4C99" w:rsidRPr="0064264A" w:rsidRDefault="004F4C99" w:rsidP="00D9267D">
      <w:pPr>
        <w:spacing w:line="360" w:lineRule="auto"/>
        <w:jc w:val="both"/>
        <w:rPr>
          <w:rFonts w:eastAsia="Calibri"/>
          <w:lang w:val="es-DO"/>
        </w:rPr>
      </w:pPr>
    </w:p>
    <w:p w14:paraId="0DF19BC6" w14:textId="610760DD" w:rsidR="00D9267D" w:rsidRPr="0064264A" w:rsidRDefault="00D9267D" w:rsidP="00D9267D">
      <w:pPr>
        <w:spacing w:line="360" w:lineRule="auto"/>
        <w:jc w:val="both"/>
        <w:rPr>
          <w:rFonts w:eastAsia="Calibri"/>
          <w:lang w:val="es-DO"/>
        </w:rPr>
      </w:pPr>
      <w:r w:rsidRPr="0064264A">
        <w:rPr>
          <w:rFonts w:eastAsia="Calibri"/>
          <w:lang w:val="es-DO"/>
        </w:rPr>
        <w:t>El reforzamiento de la supervisión, sanciones y trazabilidad en el mercado de divisas se interpreta como una respuesta preventiva a potenciales arbitrajes cambiarios o prácticas opacas.</w:t>
      </w:r>
    </w:p>
    <w:p w14:paraId="08F1AE7C" w14:textId="77777777" w:rsidR="00D9267D" w:rsidRPr="0064264A" w:rsidRDefault="00D9267D" w:rsidP="00D9267D">
      <w:pPr>
        <w:spacing w:line="360" w:lineRule="auto"/>
        <w:jc w:val="both"/>
        <w:rPr>
          <w:rFonts w:eastAsia="Calibri"/>
          <w:lang w:val="es-DO"/>
        </w:rPr>
      </w:pPr>
      <w:r w:rsidRPr="0064264A">
        <w:rPr>
          <w:rFonts w:eastAsia="Calibri"/>
          <w:lang w:val="es-DO"/>
        </w:rPr>
        <w:t>Por el lado real, la desaceleración macroeconómica observada plantea desafíos importantes. El dinamismo en servicios y turismo permitió amortiguar la caída relativa en otros sectores, mientras las exportaciones nacionales crecieron pese a contracciones en zonas francas. Los flujos externos –exportaciones, remesas, turismo e inversión extranjera directa– constituyeron elementos determinantes para sostener estabilidad cambiaria y fortalecer reservas internacionales, reduciendo la vulnerabilidad frente a choques externos.</w:t>
      </w:r>
    </w:p>
    <w:p w14:paraId="3ABF7D53" w14:textId="77777777" w:rsidR="00D9267D" w:rsidRPr="0064264A" w:rsidRDefault="00D9267D" w:rsidP="00D9267D">
      <w:pPr>
        <w:spacing w:line="360" w:lineRule="auto"/>
        <w:jc w:val="both"/>
        <w:rPr>
          <w:rFonts w:eastAsia="Calibri"/>
          <w:lang w:val="es-DO"/>
        </w:rPr>
      </w:pPr>
      <w:r w:rsidRPr="0064264A">
        <w:rPr>
          <w:rFonts w:eastAsia="Calibri"/>
          <w:lang w:val="es-DO"/>
        </w:rPr>
        <w:t>El comportamiento inflacionario demuestra la efectividad del esquema de metas y la credibilidad de la autoridad monetaria, pese a perturbaciones climáticas que presionaron transitoriamente rubros alimentarios. La consistencia entre inflación general y subyacente indica control sobre expectativas y ausencia de efectos de segunda ronda relevantes.</w:t>
      </w:r>
    </w:p>
    <w:p w14:paraId="5F37AE6B" w14:textId="77777777" w:rsidR="00D9267D" w:rsidRPr="0064264A" w:rsidRDefault="00D9267D" w:rsidP="00D9267D">
      <w:pPr>
        <w:spacing w:line="360" w:lineRule="auto"/>
        <w:jc w:val="both"/>
        <w:rPr>
          <w:rFonts w:eastAsia="Calibri"/>
          <w:lang w:val="es-DO"/>
        </w:rPr>
      </w:pPr>
      <w:r w:rsidRPr="0064264A">
        <w:rPr>
          <w:rFonts w:eastAsia="Calibri"/>
          <w:lang w:val="es-DO"/>
        </w:rPr>
        <w:t>El sistema financiero mantuvo solidez, con suficiente capitalización, liquidez y rentabilidad, en un entorno de expansión crediticia moderada. La canalización del crédito hacia sectores estratégicos favorece condiciones para reactivación futura, siempre que se mantenga disciplina prudencial ante riesgos originados por endeudamiento en moneda extranjera y condiciones internas de desaceleración.</w:t>
      </w:r>
    </w:p>
    <w:p w14:paraId="37761E9E" w14:textId="77777777" w:rsidR="00B07742" w:rsidRPr="0064264A" w:rsidRDefault="00B07742" w:rsidP="00D9267D">
      <w:pPr>
        <w:spacing w:line="360" w:lineRule="auto"/>
        <w:jc w:val="both"/>
        <w:rPr>
          <w:rFonts w:eastAsia="Calibri"/>
          <w:lang w:val="es-DO"/>
        </w:rPr>
      </w:pPr>
    </w:p>
    <w:p w14:paraId="0473D868" w14:textId="77777777" w:rsidR="00B07742" w:rsidRPr="0064264A" w:rsidRDefault="00B07742" w:rsidP="00D9267D">
      <w:pPr>
        <w:spacing w:line="360" w:lineRule="auto"/>
        <w:jc w:val="both"/>
        <w:rPr>
          <w:rFonts w:eastAsia="Calibri"/>
          <w:lang w:val="es-DO"/>
        </w:rPr>
      </w:pPr>
    </w:p>
    <w:p w14:paraId="5443D6C9" w14:textId="77777777" w:rsidR="00B07742" w:rsidRPr="0064264A" w:rsidRDefault="00B07742" w:rsidP="00D9267D">
      <w:pPr>
        <w:spacing w:line="360" w:lineRule="auto"/>
        <w:jc w:val="both"/>
        <w:rPr>
          <w:rFonts w:eastAsia="Calibri"/>
          <w:lang w:val="es-DO"/>
        </w:rPr>
      </w:pPr>
    </w:p>
    <w:p w14:paraId="506BCE16" w14:textId="77777777" w:rsidR="00B07742" w:rsidRPr="0064264A" w:rsidRDefault="00B07742" w:rsidP="00B07742">
      <w:pPr>
        <w:spacing w:line="360" w:lineRule="auto"/>
        <w:jc w:val="both"/>
        <w:rPr>
          <w:rFonts w:eastAsia="Calibri"/>
          <w:lang w:val="es-DO"/>
        </w:rPr>
      </w:pPr>
      <w:r w:rsidRPr="0064264A">
        <w:rPr>
          <w:rFonts w:eastAsia="Calibri"/>
          <w:lang w:val="es-DO"/>
        </w:rPr>
        <w:t xml:space="preserve">Los activos totales del sistema financiero dominicano se han incrementado más de RD$343,000 millones, hasta alcanzar los RD$4.19 billones (52.6 % del producto interno bruto -PIB-), conforme a las últimas informaciones disponibles a noviembre por el Banco Central. </w:t>
      </w:r>
    </w:p>
    <w:p w14:paraId="0971AED7" w14:textId="7D52113A" w:rsidR="00B07742" w:rsidRPr="0064264A" w:rsidRDefault="00B07742" w:rsidP="00B07742">
      <w:pPr>
        <w:spacing w:line="360" w:lineRule="auto"/>
        <w:jc w:val="both"/>
        <w:rPr>
          <w:rFonts w:eastAsia="Calibri"/>
          <w:lang w:val="es-DO"/>
        </w:rPr>
      </w:pPr>
      <w:r w:rsidRPr="0064264A">
        <w:rPr>
          <w:rFonts w:eastAsia="Calibri"/>
          <w:lang w:val="es-DO"/>
        </w:rPr>
        <w:t>En este dinamismo de los activos ha incidido el crecimiento de la cartera de crédito y las inversiones de las entidades de intermediación financiera, las cuales se han incrementado más de RD$191,000 millones y RD$85,000 millones, respectivamente, hasta totalizar RD$2.30 billones (28.9 % del PIB) y RD$1.0 billones (12.6 % del PIB), para financiar las actividades de consumo, comercio, adquisición de viviendas, industrias manufactureras, entre otras actividades importantes para la economía dominicana.</w:t>
      </w:r>
    </w:p>
    <w:p w14:paraId="694D26C0" w14:textId="77777777" w:rsidR="00B07742" w:rsidRPr="0064264A" w:rsidRDefault="00B07742" w:rsidP="00B07742">
      <w:pPr>
        <w:spacing w:line="360" w:lineRule="auto"/>
        <w:jc w:val="both"/>
        <w:rPr>
          <w:rFonts w:eastAsia="Calibri"/>
          <w:lang w:val="es-DO"/>
        </w:rPr>
      </w:pPr>
      <w:r w:rsidRPr="0064264A">
        <w:rPr>
          <w:rFonts w:eastAsia="Calibri"/>
          <w:lang w:val="es-DO"/>
        </w:rPr>
        <w:t>La cartera de crédito al sector privado no financiero ha exhibido un crecimiento balanceado, donde aproximadamente el 72 % de estos créditos se ha colocado a deudores con una clasificación de riesgo A, que pagan a tiempo y no mantienen atraso de más de 30 días, manteniendo la morosidad de los créditos cerca de 1.9 %, nivel consistente con el componente estacional de cierre de año del ciclo de crédito. A su vez, los niveles de cobertura de la cartera de créditos vencida han oscilado en torno a 162 %, es decir, que por cada RD$1 de préstamo vencido el sistema financiero dispone de RD$1.62 para su cobertura.</w:t>
      </w:r>
    </w:p>
    <w:p w14:paraId="4FD479E0" w14:textId="77777777" w:rsidR="00B07742" w:rsidRPr="0064264A" w:rsidRDefault="00B07742" w:rsidP="00B07742">
      <w:pPr>
        <w:spacing w:line="360" w:lineRule="auto"/>
        <w:jc w:val="both"/>
        <w:rPr>
          <w:rFonts w:eastAsia="Calibri"/>
          <w:lang w:val="es-DO"/>
        </w:rPr>
      </w:pPr>
      <w:r w:rsidRPr="0064264A">
        <w:rPr>
          <w:rFonts w:eastAsia="Calibri"/>
          <w:lang w:val="es-DO"/>
        </w:rPr>
        <w:t>El crecimiento de los activos ha estado sustentado en las captaciones del público, las cuales han reflejado el aumento de los depósitos del público en moneda nacional, que se han incrementado RD$189,000 millones (9.0 %) hasta alcanzar RD$2.27 billones (</w:t>
      </w:r>
      <w:r w:rsidRPr="0064264A">
        <w:rPr>
          <w:rFonts w:eastAsia="Calibri"/>
          <w:b/>
          <w:bCs/>
          <w:lang w:val="es-DO"/>
        </w:rPr>
        <w:t>28.5 % del PIB</w:t>
      </w:r>
      <w:r w:rsidRPr="0064264A">
        <w:rPr>
          <w:rFonts w:eastAsia="Calibri"/>
          <w:lang w:val="es-DO"/>
        </w:rPr>
        <w:t xml:space="preserve">); mientras que los depósitos del público en moneda extranjera han </w:t>
      </w:r>
      <w:r w:rsidRPr="0064264A">
        <w:rPr>
          <w:rFonts w:eastAsia="Calibri"/>
          <w:lang w:val="es-DO"/>
        </w:rPr>
        <w:lastRenderedPageBreak/>
        <w:t>totalizado más de US$14,500 millones, que representan el 11.9 % del PIB y el 31.5 % del flujo estimado de generación de divisas de la economía dominicana, el cual podría superar los US$46,000 millones en 2025. Este comportamiento revela la confianza del público en el mantenimiento de las condiciones de estabilidad de las entidades de intermediación financiera.</w:t>
      </w:r>
    </w:p>
    <w:p w14:paraId="46734752" w14:textId="77777777" w:rsidR="00B07742" w:rsidRPr="0064264A" w:rsidRDefault="00B07742" w:rsidP="00B07742">
      <w:pPr>
        <w:spacing w:line="360" w:lineRule="auto"/>
        <w:jc w:val="both"/>
        <w:rPr>
          <w:rFonts w:eastAsia="Calibri"/>
          <w:lang w:val="es-DO"/>
        </w:rPr>
      </w:pPr>
      <w:r w:rsidRPr="0064264A">
        <w:rPr>
          <w:rFonts w:eastAsia="Calibri"/>
          <w:lang w:val="es-DO"/>
        </w:rPr>
        <w:t xml:space="preserve">En términos del capital y la solvencia patrimonial de las entidades, el capital y las reservas se han incrementado más de RD$43,000 millones (13.3 %), totalizando RD$365,000 millones; a la vez que los resultados acumulados y del ejercicio han alcanzado RD$136,000 millones, lo que ha fortalecido el patrimonio neto de las entidades hasta RD$511,000 (6.4 % del PIB). </w:t>
      </w:r>
    </w:p>
    <w:p w14:paraId="5C450E31" w14:textId="16298859" w:rsidR="00D9267D" w:rsidRPr="0064264A" w:rsidRDefault="00B07742" w:rsidP="00D9267D">
      <w:pPr>
        <w:spacing w:line="360" w:lineRule="auto"/>
        <w:jc w:val="both"/>
        <w:rPr>
          <w:rFonts w:eastAsia="Calibri"/>
          <w:lang w:val="es-DO"/>
        </w:rPr>
      </w:pPr>
      <w:r w:rsidRPr="0064264A">
        <w:rPr>
          <w:rFonts w:eastAsia="Calibri"/>
          <w:lang w:val="es-DO"/>
        </w:rPr>
        <w:t>Estos niveles de patrimonio, en conjunto con el crecimiento saludable de los activos, han resultado en que la rentabilidad del patrimonio (ROE) sea aproximadamente 21.65 %, a la vez que los niveles de rentabilidad de los activos (ROA) se ubique en torno a 2.59 %, reflejando un coeficiente de solvencia de 17.07 % para el sistema financiero en su conjunto a septiembre de 2025, muy por encima del mínimo de 10 % que requiere la Ley No.183-02 Monetaria y Financiera de 2002.</w:t>
      </w:r>
    </w:p>
    <w:p w14:paraId="24528C3C" w14:textId="77777777" w:rsidR="00B07742" w:rsidRPr="0064264A" w:rsidRDefault="00B07742" w:rsidP="00B07742">
      <w:pPr>
        <w:spacing w:line="360" w:lineRule="auto"/>
        <w:jc w:val="both"/>
        <w:rPr>
          <w:rFonts w:eastAsia="Calibri"/>
          <w:lang w:val="es-DO"/>
        </w:rPr>
      </w:pPr>
      <w:r w:rsidRPr="0064264A">
        <w:rPr>
          <w:rFonts w:eastAsia="Calibri"/>
          <w:lang w:val="es-DO"/>
        </w:rPr>
        <w:t>Las perspectivas para el cierre de 2025 y el año 2026 se orientan hacia una transición gradual desde la desaceleración hacia un crecimiento más dinámico, apoyado en liquidez adicional, estímulo monetario, sectores externos robustos y estabilidad financiera. No obstante, persisten riesgos vinculados a factores climáticos, presiones internacionales y vulnerabilidad de rubros sensibles, por lo que el seguimiento oportuno será determinante en la gestión macroeconómica futura.</w:t>
      </w:r>
    </w:p>
    <w:p w14:paraId="5C36BEA0" w14:textId="77777777" w:rsidR="00B07742" w:rsidRPr="0064264A" w:rsidRDefault="00B07742" w:rsidP="00D9267D">
      <w:pPr>
        <w:spacing w:line="360" w:lineRule="auto"/>
        <w:jc w:val="both"/>
        <w:rPr>
          <w:rFonts w:eastAsia="Calibri"/>
          <w:lang w:val="es-DO"/>
        </w:rPr>
      </w:pPr>
    </w:p>
    <w:p w14:paraId="603E50A1" w14:textId="5444E880" w:rsidR="00D9267D" w:rsidRPr="0064264A" w:rsidRDefault="00AD7EC2" w:rsidP="00D9267D">
      <w:pPr>
        <w:spacing w:line="360" w:lineRule="auto"/>
        <w:jc w:val="both"/>
        <w:rPr>
          <w:rFonts w:eastAsia="Calibri"/>
          <w:lang w:val="es-DO"/>
        </w:rPr>
      </w:pPr>
      <w:r w:rsidRPr="0064264A">
        <w:rPr>
          <w:rFonts w:eastAsia="Calibri"/>
          <w:noProof/>
          <w:lang w:val="es-DO"/>
        </w:rPr>
        <w:lastRenderedPageBreak/>
        <w:drawing>
          <wp:inline distT="0" distB="0" distL="0" distR="0" wp14:anchorId="72984F5D" wp14:editId="541CDA0A">
            <wp:extent cx="5045891" cy="2683823"/>
            <wp:effectExtent l="0" t="0" r="2540" b="2540"/>
            <wp:docPr id="421995862" name="Picture 1" descr="A white and black text with black and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995862" name="Picture 1" descr="A white and black text with black and white text"/>
                    <pic:cNvPicPr/>
                  </pic:nvPicPr>
                  <pic:blipFill>
                    <a:blip r:embed="rId37"/>
                    <a:stretch>
                      <a:fillRect/>
                    </a:stretch>
                  </pic:blipFill>
                  <pic:spPr>
                    <a:xfrm>
                      <a:off x="0" y="0"/>
                      <a:ext cx="5054745" cy="2688533"/>
                    </a:xfrm>
                    <a:prstGeom prst="rect">
                      <a:avLst/>
                    </a:prstGeom>
                  </pic:spPr>
                </pic:pic>
              </a:graphicData>
            </a:graphic>
          </wp:inline>
        </w:drawing>
      </w:r>
    </w:p>
    <w:p w14:paraId="51A820BB" w14:textId="10C5EE32" w:rsidR="00D9267D" w:rsidRPr="0064264A" w:rsidRDefault="00D9267D" w:rsidP="00D9267D">
      <w:pPr>
        <w:spacing w:line="360" w:lineRule="auto"/>
        <w:jc w:val="both"/>
        <w:rPr>
          <w:rFonts w:eastAsia="Calibri"/>
          <w:sz w:val="22"/>
          <w:szCs w:val="22"/>
          <w:lang w:val="es-DO"/>
        </w:rPr>
      </w:pPr>
      <w:r w:rsidRPr="0064264A">
        <w:rPr>
          <w:rFonts w:eastAsia="Calibri"/>
          <w:b/>
          <w:sz w:val="22"/>
          <w:szCs w:val="22"/>
          <w:lang w:val="es-DO"/>
        </w:rPr>
        <w:t xml:space="preserve">Fuente: </w:t>
      </w:r>
      <w:bookmarkStart w:id="11" w:name="_Hlk184976238"/>
      <w:r w:rsidRPr="0064264A">
        <w:rPr>
          <w:rFonts w:eastAsia="Calibri"/>
          <w:sz w:val="22"/>
          <w:szCs w:val="22"/>
          <w:lang w:val="es-DO"/>
        </w:rPr>
        <w:t>Portal Institucional del Banco Central de la República Dominicana</w:t>
      </w:r>
      <w:bookmarkEnd w:id="11"/>
    </w:p>
    <w:p w14:paraId="0D415CD9" w14:textId="68E0448C" w:rsidR="00AD7EC2" w:rsidRPr="0064264A" w:rsidRDefault="00AD7EC2" w:rsidP="00D9267D">
      <w:pPr>
        <w:spacing w:line="360" w:lineRule="auto"/>
        <w:jc w:val="both"/>
        <w:rPr>
          <w:lang w:val="es-DO"/>
        </w:rPr>
      </w:pPr>
      <w:r w:rsidRPr="0064264A">
        <w:rPr>
          <w:lang w:val="es-DO"/>
        </w:rPr>
        <w:t>El Índice de Precios al Consumidor (IPC) registró una variación mensual de 0.84 % en diciembre 2025. Este resultado se explica en gran medida por la combinación del impacto rezagado de las condiciones climáticas adversas sobre la producción de algunos rubros agropecuarios, que fueron afectados por las intensas lluvias incluyendo las asociadas a la tormenta Melissa, con una mayor demanda estacional de bienes durante la temporada navideña. De esta manera, la inflación interanual medida desde diciembre de 2024 hasta diciembre de 2025 se ubicó en 4.95.%, permaneciendo dentro del rango meta establecido en el programa monetario para la inflación de 4.0 % ± 1.0 % por 32 meses consecutivos, es decir, a lo largo de los dos años y ocho meses transcurridos desde mayo de 2023 hasta la fecha.</w:t>
      </w:r>
    </w:p>
    <w:p w14:paraId="06550967" w14:textId="77777777" w:rsidR="00AD7EC2" w:rsidRPr="0064264A" w:rsidRDefault="00AD7EC2" w:rsidP="00D9267D">
      <w:pPr>
        <w:spacing w:line="360" w:lineRule="auto"/>
        <w:jc w:val="both"/>
        <w:rPr>
          <w:lang w:val="es-DO"/>
        </w:rPr>
      </w:pPr>
    </w:p>
    <w:p w14:paraId="19218AC3" w14:textId="77777777" w:rsidR="00AD7EC2" w:rsidRPr="0064264A" w:rsidRDefault="00AD7EC2" w:rsidP="00D9267D">
      <w:pPr>
        <w:spacing w:line="360" w:lineRule="auto"/>
        <w:jc w:val="both"/>
        <w:rPr>
          <w:lang w:val="es-DO"/>
        </w:rPr>
      </w:pPr>
    </w:p>
    <w:p w14:paraId="28EEAFF1" w14:textId="77777777" w:rsidR="00AD7EC2" w:rsidRPr="0064264A" w:rsidRDefault="00AD7EC2" w:rsidP="00D9267D">
      <w:pPr>
        <w:spacing w:line="360" w:lineRule="auto"/>
        <w:jc w:val="both"/>
        <w:rPr>
          <w:lang w:val="es-DO"/>
        </w:rPr>
      </w:pPr>
    </w:p>
    <w:p w14:paraId="28E295C4" w14:textId="77777777" w:rsidR="00AD7EC2" w:rsidRPr="0064264A" w:rsidRDefault="00AD7EC2" w:rsidP="00D9267D">
      <w:pPr>
        <w:spacing w:line="360" w:lineRule="auto"/>
        <w:jc w:val="both"/>
        <w:rPr>
          <w:lang w:val="es-DO"/>
        </w:rPr>
      </w:pPr>
    </w:p>
    <w:p w14:paraId="76BDE469" w14:textId="77777777" w:rsidR="00AD7EC2" w:rsidRPr="0064264A" w:rsidRDefault="00AD7EC2" w:rsidP="00D9267D">
      <w:pPr>
        <w:spacing w:line="360" w:lineRule="auto"/>
        <w:jc w:val="both"/>
        <w:rPr>
          <w:lang w:val="es-DO"/>
        </w:rPr>
      </w:pPr>
      <w:r w:rsidRPr="0064264A">
        <w:rPr>
          <w:lang w:val="es-DO"/>
        </w:rPr>
        <w:t xml:space="preserve">La variación del IPC en diciembre 2025 se originó, principalmente, por los aumentos observados en el grupo Alimentos y Bebidas No Alcohólicas, la cual explicó el 50.17.% de la inflación del referido mes. Dentro de este grupo se destacan las alzas de precios del pollo fresco, artículo de alta ponderación en la canasta familiar, que vio afectado su ciclo de producción debido a las razones antes expuestas. </w:t>
      </w:r>
    </w:p>
    <w:p w14:paraId="470E9458" w14:textId="6DF07F8F" w:rsidR="00AD7EC2" w:rsidRPr="0064264A" w:rsidRDefault="00AD7EC2" w:rsidP="00D9267D">
      <w:pPr>
        <w:spacing w:line="360" w:lineRule="auto"/>
        <w:jc w:val="both"/>
        <w:rPr>
          <w:lang w:val="es-DO"/>
        </w:rPr>
      </w:pPr>
      <w:r w:rsidRPr="0064264A">
        <w:rPr>
          <w:lang w:val="es-DO"/>
        </w:rPr>
        <w:t>Adicionalmente, continuaron incidiendo los incrementos en los precios de los plátanos en sus distintas variedades, los ajíes y los tomates, cuyas plantaciones resultaron impactadas adversamente por los fenómenos atmosféricos.</w:t>
      </w:r>
    </w:p>
    <w:p w14:paraId="2AEE21D4" w14:textId="6084842B" w:rsidR="004F4C99" w:rsidRPr="0064264A" w:rsidRDefault="00AD7EC2" w:rsidP="00D9267D">
      <w:pPr>
        <w:spacing w:line="360" w:lineRule="auto"/>
        <w:jc w:val="both"/>
        <w:rPr>
          <w:lang w:val="es-DO"/>
        </w:rPr>
      </w:pPr>
      <w:r w:rsidRPr="0064264A">
        <w:rPr>
          <w:noProof/>
          <w:lang w:val="es-DO"/>
        </w:rPr>
        <w:drawing>
          <wp:inline distT="0" distB="0" distL="0" distR="0" wp14:anchorId="4D3AB8E6" wp14:editId="539F4304">
            <wp:extent cx="5029200" cy="1741805"/>
            <wp:effectExtent l="0" t="0" r="0" b="0"/>
            <wp:docPr id="972471126" name="Picture 1" descr="A graph with blu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71126" name="Picture 1" descr="A graph with blue and white text&#10;&#10;AI-generated content may be incorrect."/>
                    <pic:cNvPicPr/>
                  </pic:nvPicPr>
                  <pic:blipFill>
                    <a:blip r:embed="rId38"/>
                    <a:stretch>
                      <a:fillRect/>
                    </a:stretch>
                  </pic:blipFill>
                  <pic:spPr>
                    <a:xfrm>
                      <a:off x="0" y="0"/>
                      <a:ext cx="5029200" cy="1741805"/>
                    </a:xfrm>
                    <a:prstGeom prst="rect">
                      <a:avLst/>
                    </a:prstGeom>
                  </pic:spPr>
                </pic:pic>
              </a:graphicData>
            </a:graphic>
          </wp:inline>
        </w:drawing>
      </w:r>
      <w:bookmarkStart w:id="12" w:name="_Hlk216945987"/>
    </w:p>
    <w:p w14:paraId="313ACA2D" w14:textId="053A5C28" w:rsidR="00D9267D" w:rsidRPr="0064264A" w:rsidRDefault="00D9267D" w:rsidP="00D9267D">
      <w:pPr>
        <w:spacing w:line="360" w:lineRule="auto"/>
        <w:jc w:val="both"/>
        <w:rPr>
          <w:rFonts w:eastAsia="Calibri"/>
          <w:lang w:val="es-DO"/>
        </w:rPr>
      </w:pPr>
      <w:r w:rsidRPr="0064264A">
        <w:rPr>
          <w:rFonts w:eastAsia="Calibri"/>
          <w:b/>
          <w:lang w:val="es-DO"/>
        </w:rPr>
        <w:t>Fuente:</w:t>
      </w:r>
      <w:r w:rsidRPr="0064264A">
        <w:rPr>
          <w:rFonts w:eastAsia="Calibri"/>
          <w:lang w:val="es-DO"/>
        </w:rPr>
        <w:t xml:space="preserve"> Portal Institucional del Banco Central de la República Dominicana</w:t>
      </w:r>
    </w:p>
    <w:bookmarkEnd w:id="12"/>
    <w:p w14:paraId="6C62AE41" w14:textId="7FA6D876" w:rsidR="00AD7EC2" w:rsidRPr="0064264A" w:rsidRDefault="00AD7EC2" w:rsidP="00D9267D">
      <w:pPr>
        <w:spacing w:line="360" w:lineRule="auto"/>
        <w:jc w:val="both"/>
        <w:rPr>
          <w:rFonts w:eastAsia="Calibri"/>
          <w:lang w:val="es-DO"/>
        </w:rPr>
      </w:pPr>
      <w:r w:rsidRPr="0064264A">
        <w:rPr>
          <w:lang w:val="es-DO"/>
        </w:rPr>
        <w:t xml:space="preserve">En lo que respecta a la inflación subyacente, en el mes de diciembre esta se situó en 0.63 %, menor al aumento observado en el IPC general, lo que obedece a que el índice subyacente excluye bienes de consumo de alta volatilidad, como el pollo fresco y los plátanos. En ese tenor, la inflación subyacente interanual se situó en 4.85.%, también manteniéndose dentro del objetivo establecido por el Banco Central de 4.0 % ± 1.0 %. Este indicador permite extraer señales más claras para la conducción de la política monetaria, debido a que excluye algunos artículos que normalmente no responden a las </w:t>
      </w:r>
      <w:r w:rsidRPr="0064264A">
        <w:rPr>
          <w:lang w:val="es-DO"/>
        </w:rPr>
        <w:lastRenderedPageBreak/>
        <w:t xml:space="preserve">condiciones de liquidez en la economía, como son los alimentos con gran variabilidad en sus precios, los combustibles y servicios con precios regulados como la tarifa eléctrica, el transporte, además de </w:t>
      </w:r>
      <w:r w:rsidRPr="0064264A">
        <w:rPr>
          <w:noProof/>
          <w:lang w:val="es-DO"/>
        </w:rPr>
        <w:drawing>
          <wp:anchor distT="0" distB="0" distL="114300" distR="114300" simplePos="0" relativeHeight="251772928" behindDoc="0" locked="0" layoutInCell="1" allowOverlap="1" wp14:anchorId="57D1B951" wp14:editId="3ECB14CA">
            <wp:simplePos x="0" y="0"/>
            <wp:positionH relativeFrom="margin">
              <wp:align>center</wp:align>
            </wp:positionH>
            <wp:positionV relativeFrom="paragraph">
              <wp:posOffset>1175129</wp:posOffset>
            </wp:positionV>
            <wp:extent cx="4524375" cy="3162300"/>
            <wp:effectExtent l="0" t="0" r="9525" b="0"/>
            <wp:wrapThrough wrapText="bothSides">
              <wp:wrapPolygon edited="0">
                <wp:start x="0" y="0"/>
                <wp:lineTo x="0" y="21470"/>
                <wp:lineTo x="21555" y="21470"/>
                <wp:lineTo x="21555" y="0"/>
                <wp:lineTo x="0" y="0"/>
              </wp:wrapPolygon>
            </wp:wrapThrough>
            <wp:docPr id="2056611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l="17731" r="16317" b="4884"/>
                    <a:stretch>
                      <a:fillRect/>
                    </a:stretch>
                  </pic:blipFill>
                  <pic:spPr bwMode="auto">
                    <a:xfrm>
                      <a:off x="0" y="0"/>
                      <a:ext cx="4524375" cy="3162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264A">
        <w:rPr>
          <w:lang w:val="es-DO"/>
        </w:rPr>
        <w:t>las bebidas alcohólicas y el tabaco.</w:t>
      </w:r>
    </w:p>
    <w:p w14:paraId="6715BA90" w14:textId="5E806D03" w:rsidR="00AD7EC2" w:rsidRPr="0064264A" w:rsidRDefault="00AD7EC2" w:rsidP="00AD7EC2">
      <w:pPr>
        <w:spacing w:line="360" w:lineRule="auto"/>
        <w:jc w:val="both"/>
        <w:rPr>
          <w:rFonts w:eastAsia="Calibri"/>
          <w:sz w:val="22"/>
          <w:szCs w:val="22"/>
          <w:lang w:val="es-DO"/>
        </w:rPr>
      </w:pPr>
      <w:r w:rsidRPr="0064264A">
        <w:rPr>
          <w:rFonts w:eastAsia="Calibri"/>
          <w:b/>
          <w:sz w:val="22"/>
          <w:szCs w:val="22"/>
          <w:lang w:val="es-DO"/>
        </w:rPr>
        <w:t>Fuente:</w:t>
      </w:r>
      <w:r w:rsidRPr="0064264A">
        <w:rPr>
          <w:rFonts w:eastAsia="Calibri"/>
          <w:sz w:val="22"/>
          <w:szCs w:val="22"/>
          <w:lang w:val="es-DO"/>
        </w:rPr>
        <w:t xml:space="preserve"> Portal Institucional del Banco Central de la República Dominicana</w:t>
      </w:r>
    </w:p>
    <w:p w14:paraId="36256177" w14:textId="18D60F4D" w:rsidR="00AD7EC2" w:rsidRPr="0064264A" w:rsidRDefault="00AD7EC2" w:rsidP="00AD7EC2">
      <w:pPr>
        <w:spacing w:line="360" w:lineRule="auto"/>
        <w:jc w:val="both"/>
        <w:rPr>
          <w:rFonts w:eastAsia="Calibri"/>
          <w:lang w:val="es-DO"/>
        </w:rPr>
      </w:pPr>
      <w:r w:rsidRPr="0064264A">
        <w:rPr>
          <w:rFonts w:eastAsia="Calibri"/>
          <w:lang w:val="es-DO"/>
        </w:rPr>
        <w:t>Durante el año 2025, se recibieron US$11,866.3 millones por concepto de remesas, lo que representa un aumento de US$1,110.3 millones (10.3 %) en comparación con el año 2024. Particularmente, en el mes de diciembre se recibieron US$1,098.4 millones, un incremento de US$94.9 millones (9.5 %) respecto a diciembre de 2024, y un incremento de US$208.9 millones (23.5 %) con respecto al mes de noviembre de 2025.</w:t>
      </w:r>
    </w:p>
    <w:p w14:paraId="40817747" w14:textId="77777777" w:rsidR="00AD7EC2" w:rsidRPr="0064264A" w:rsidRDefault="00AD7EC2" w:rsidP="00AD7EC2">
      <w:pPr>
        <w:spacing w:line="360" w:lineRule="auto"/>
        <w:jc w:val="both"/>
        <w:rPr>
          <w:rFonts w:eastAsia="Calibri"/>
          <w:lang w:val="es-DO"/>
        </w:rPr>
      </w:pPr>
      <w:r w:rsidRPr="0064264A">
        <w:rPr>
          <w:rFonts w:eastAsia="Calibri"/>
          <w:lang w:val="es-DO"/>
        </w:rPr>
        <w:t xml:space="preserve">El BCRD explica que el desempeño económico de los Estados Unidos fue uno de los principales factores que incidió sobre el comportamiento de las remesas, ya que desde ese país se originó el 80.0 % de los flujos formales del mes de diciembre, unos US$751.9 millones. </w:t>
      </w:r>
    </w:p>
    <w:p w14:paraId="0765F314" w14:textId="41C9B257" w:rsidR="00AD7EC2" w:rsidRPr="0064264A" w:rsidRDefault="00AD7EC2" w:rsidP="00D9267D">
      <w:pPr>
        <w:spacing w:line="360" w:lineRule="auto"/>
        <w:jc w:val="both"/>
        <w:rPr>
          <w:rFonts w:eastAsia="Calibri"/>
          <w:lang w:val="es-DO"/>
        </w:rPr>
      </w:pPr>
      <w:r w:rsidRPr="0064264A">
        <w:rPr>
          <w:rFonts w:eastAsia="Calibri"/>
          <w:lang w:val="es-DO"/>
        </w:rPr>
        <w:lastRenderedPageBreak/>
        <w:t>En ese sentido, vale resaltar que, el índice de gestores de compras (PMI por sus siglas en inglés) no manufacturero del Instituto de Gerencia y Abastecimiento (ISM por sus siglas en inglés) registró un valor de 54.4 en dicho mes, superior al 52.6 observado en noviembre, indicando un mayor dinamismo en el sector servicios, donde se emplea gran parte de la diáspora dominicana.</w:t>
      </w:r>
    </w:p>
    <w:p w14:paraId="541B1E92" w14:textId="6893E7E5" w:rsidR="00D9267D" w:rsidRPr="0064264A" w:rsidRDefault="00D9267D" w:rsidP="00245795">
      <w:pPr>
        <w:pStyle w:val="Heading1"/>
        <w:jc w:val="left"/>
        <w:rPr>
          <w:rFonts w:eastAsia="Calibri"/>
          <w:color w:val="767171"/>
          <w:sz w:val="24"/>
          <w:szCs w:val="24"/>
          <w:lang w:val="es-DO"/>
        </w:rPr>
      </w:pPr>
      <w:bookmarkStart w:id="13" w:name="_Toc217386286"/>
      <w:r w:rsidRPr="0064264A">
        <w:rPr>
          <w:rFonts w:eastAsia="Calibri"/>
          <w:color w:val="767171"/>
          <w:sz w:val="24"/>
          <w:szCs w:val="24"/>
          <w:lang w:val="es-DO"/>
        </w:rPr>
        <w:t>Logros institucionales en el 2025</w:t>
      </w:r>
      <w:bookmarkEnd w:id="13"/>
    </w:p>
    <w:p w14:paraId="11B2C891" w14:textId="0D343AF9" w:rsidR="00D9267D" w:rsidRPr="0064264A" w:rsidRDefault="00D9267D" w:rsidP="00D9267D">
      <w:pPr>
        <w:spacing w:line="360" w:lineRule="auto"/>
        <w:jc w:val="both"/>
        <w:rPr>
          <w:rFonts w:eastAsia="Calibri"/>
          <w:b/>
          <w:lang w:val="es-ES"/>
        </w:rPr>
      </w:pPr>
      <w:r w:rsidRPr="0064264A">
        <w:rPr>
          <w:rFonts w:eastAsia="Calibri"/>
          <w:b/>
          <w:lang w:val="es-ES"/>
        </w:rPr>
        <w:t>Semana Económica y Financiera:</w:t>
      </w:r>
      <w:r w:rsidRPr="0064264A">
        <w:rPr>
          <w:rFonts w:eastAsia="Calibri"/>
          <w:lang w:val="es-ES"/>
        </w:rPr>
        <w:t xml:space="preserve"> El BCRD celebró su XI Semana Económica y Financiera (SEF) en marzo de 2025. Este evento se realizó en colaboración con la iniciativa internacional “</w:t>
      </w:r>
      <w:r w:rsidRPr="0064264A">
        <w:rPr>
          <w:rFonts w:eastAsia="Calibri"/>
          <w:i/>
          <w:iCs/>
          <w:lang w:val="es-ES"/>
        </w:rPr>
        <w:t xml:space="preserve">Global Money </w:t>
      </w:r>
      <w:proofErr w:type="spellStart"/>
      <w:r w:rsidRPr="0064264A">
        <w:rPr>
          <w:rFonts w:eastAsia="Calibri"/>
          <w:i/>
          <w:iCs/>
          <w:lang w:val="es-ES"/>
        </w:rPr>
        <w:t>Week</w:t>
      </w:r>
      <w:proofErr w:type="spellEnd"/>
      <w:r w:rsidRPr="0064264A">
        <w:rPr>
          <w:rFonts w:eastAsia="Calibri"/>
          <w:lang w:val="es-ES"/>
        </w:rPr>
        <w:t xml:space="preserve">” y la participación de 51 instituciones públicas y privadas, con el Banco Central como anfitrión. Se llevaron a cabo actividades entre las que se encuentran charlas, talleres, conferencias, dinámicas de juegos y otras actividades formativas, dirigidas a alumnos de enseñanza primaria, secundaria y universitaria, así como al público en general. </w:t>
      </w:r>
    </w:p>
    <w:p w14:paraId="2C3ABB80" w14:textId="27C722D2" w:rsidR="00D9267D" w:rsidRPr="0064264A" w:rsidRDefault="00D9267D" w:rsidP="00D9267D">
      <w:pPr>
        <w:spacing w:line="360" w:lineRule="auto"/>
        <w:jc w:val="both"/>
        <w:rPr>
          <w:rFonts w:eastAsia="Calibri"/>
          <w:b/>
          <w:lang w:val="es-ES"/>
        </w:rPr>
      </w:pPr>
      <w:r w:rsidRPr="0064264A">
        <w:rPr>
          <w:rFonts w:eastAsia="Calibri"/>
          <w:b/>
          <w:lang w:val="es-ES"/>
        </w:rPr>
        <w:t xml:space="preserve">Publicación del Panorama Económico de la Región Norte: </w:t>
      </w:r>
      <w:r w:rsidRPr="0064264A">
        <w:rPr>
          <w:rFonts w:eastAsia="Calibri"/>
          <w:lang w:val="es-ES"/>
        </w:rPr>
        <w:t>El BCRD publicó el Panorama Económico de la Región Norte, en sus ediciones de marzo y septiembre de 2025, en el cual se presenta una visión exhaustiva de la economía del Cibao y sus catorce provincias, así como las perspectivas y oportunidades.</w:t>
      </w:r>
    </w:p>
    <w:p w14:paraId="4E2A838A" w14:textId="25764425" w:rsidR="00D9267D" w:rsidRPr="0064264A" w:rsidRDefault="00D9267D" w:rsidP="004F4C99">
      <w:pPr>
        <w:spacing w:line="360" w:lineRule="auto"/>
        <w:jc w:val="both"/>
        <w:rPr>
          <w:rFonts w:eastAsia="Calibri"/>
          <w:lang w:val="es-ES"/>
        </w:rPr>
      </w:pPr>
      <w:r w:rsidRPr="0064264A">
        <w:rPr>
          <w:rFonts w:eastAsia="Calibri"/>
          <w:b/>
          <w:lang w:val="es-ES"/>
        </w:rPr>
        <w:t xml:space="preserve">Publicación de Informes de Política Monetaria: </w:t>
      </w:r>
      <w:r w:rsidRPr="0064264A">
        <w:rPr>
          <w:rFonts w:eastAsia="Calibri"/>
          <w:lang w:val="es-ES"/>
        </w:rPr>
        <w:t>El BCRD publicó a inicios de 2025 la segunda edición del Informe de Política Monetaria de 2024, y en julio de 2025 publicó la primera edición del Informe de Política Monetaria de 2025. En este informe se presenta un análisis detallado sobre las decisiones de política monetaria adoptadas, el entorno internacional relevante y los resultados macroeconómicos obtenidos, así como las proyecciones de las principales variables macroeconómicas.</w:t>
      </w:r>
    </w:p>
    <w:p w14:paraId="72E06154" w14:textId="45211349" w:rsidR="00D9267D" w:rsidRPr="0064264A" w:rsidRDefault="00D9267D" w:rsidP="00D9267D">
      <w:pPr>
        <w:spacing w:line="360" w:lineRule="auto"/>
        <w:jc w:val="both"/>
        <w:rPr>
          <w:rFonts w:eastAsia="Calibri"/>
          <w:lang w:val="es-ES"/>
        </w:rPr>
      </w:pPr>
      <w:r w:rsidRPr="0064264A">
        <w:rPr>
          <w:rFonts w:eastAsia="Calibri"/>
          <w:b/>
          <w:lang w:val="es-ES"/>
        </w:rPr>
        <w:lastRenderedPageBreak/>
        <w:t xml:space="preserve">Publicación de Informes de Estabilidad Financiera: </w:t>
      </w:r>
      <w:r w:rsidRPr="0064264A">
        <w:rPr>
          <w:rFonts w:eastAsia="Calibri"/>
          <w:lang w:val="es-ES"/>
        </w:rPr>
        <w:t>El BCRD publicó a inicios de 2025 los Informes de Estabilidad Financiera correspondientes a cierre de 2023 y septiembre de 2024. Estos documentos examinan el desarrollo reciente y perspectivas del sector financiero de la economía dominicana hacia el 2025, conforme a las disposiciones de la Tercera Resolución de la Junta Monetaria de fecha 30 de enero de 2025.</w:t>
      </w:r>
    </w:p>
    <w:p w14:paraId="77225B5D" w14:textId="20EDBB2D" w:rsidR="00D9267D" w:rsidRPr="0064264A" w:rsidRDefault="00D9267D" w:rsidP="00D9267D">
      <w:pPr>
        <w:spacing w:line="360" w:lineRule="auto"/>
        <w:jc w:val="both"/>
        <w:rPr>
          <w:rFonts w:eastAsia="Calibri"/>
          <w:lang w:val="es-ES"/>
        </w:rPr>
      </w:pPr>
      <w:r w:rsidRPr="0064264A">
        <w:rPr>
          <w:rFonts w:eastAsia="Calibri"/>
          <w:b/>
          <w:bCs/>
          <w:lang w:val="es-ES"/>
        </w:rPr>
        <w:t>Cooperación:</w:t>
      </w:r>
      <w:r w:rsidRPr="0064264A">
        <w:rPr>
          <w:rFonts w:eastAsia="Calibri"/>
          <w:lang w:val="es-ES"/>
        </w:rPr>
        <w:t xml:space="preserve"> En el mes de noviembre, el BCRD fue anfitrión de la 305 reunión del Consejo Monetario Centroamericano (CMCA). En el marco de este evento participaron, además de los presidentes de los bancos centrales miembros, funcionarios del Fondo Monetario Internacional (FMI), el Banco Interamericano de Desarrollo (BID), la Comisión Económica para América Latina y el Caribe (CEPAL), el Centro Regional de Asistencia Técnica para Centroamérica, Panamá y República Dominicana (CAPTAC-DR) y el Banco de Pagos Internacionales (BIS, por sus siglas en inglés).</w:t>
      </w:r>
    </w:p>
    <w:p w14:paraId="41334F59" w14:textId="5C429CF5" w:rsidR="00D9267D" w:rsidRPr="0064264A" w:rsidRDefault="00D9267D" w:rsidP="00D9267D">
      <w:pPr>
        <w:spacing w:line="360" w:lineRule="auto"/>
        <w:jc w:val="both"/>
        <w:rPr>
          <w:rFonts w:eastAsia="Calibri"/>
          <w:lang w:val="es-ES"/>
        </w:rPr>
      </w:pPr>
      <w:r w:rsidRPr="0064264A">
        <w:rPr>
          <w:rFonts w:eastAsia="Calibri"/>
          <w:b/>
          <w:bCs/>
          <w:lang w:val="es-ES"/>
        </w:rPr>
        <w:t xml:space="preserve">Responsabilidad Social Institucional: </w:t>
      </w:r>
      <w:r w:rsidRPr="0064264A">
        <w:rPr>
          <w:rFonts w:eastAsia="Calibri"/>
          <w:lang w:val="es-ES"/>
        </w:rPr>
        <w:t xml:space="preserve">El BCRD clausuró el XVI diplomado “Formación económica para comunicadores”, celebrado en las instalaciones de Playa Nueva Romana, San Pedro de Macorís. En esta edición del diplomado </w:t>
      </w:r>
      <w:r w:rsidR="004F4C99" w:rsidRPr="0064264A">
        <w:rPr>
          <w:rFonts w:eastAsia="Calibri"/>
          <w:lang w:val="es-ES"/>
        </w:rPr>
        <w:t>participaron 37</w:t>
      </w:r>
      <w:r w:rsidRPr="0064264A">
        <w:rPr>
          <w:rFonts w:eastAsia="Calibri"/>
          <w:lang w:val="es-ES"/>
        </w:rPr>
        <w:t xml:space="preserve"> profesionales de la información radicados en la zona este del país. El diplomado, que contó con el aval académico de la Universidad Iberoamericana (UNIBE) y la colaboración del Colegio Dominicano de Periodistas (CDP), ofreció formación sobre inflación, política monetaria, actividad productiva y estructura económica, política fiscal, desempleo y mercado laboral, sistema financiero dominicano, arquitectura financiera internacional y sector externo.</w:t>
      </w:r>
    </w:p>
    <w:p w14:paraId="79B17A2A" w14:textId="77777777" w:rsidR="00580C8E" w:rsidRPr="0064264A" w:rsidRDefault="00580C8E" w:rsidP="00D9267D">
      <w:pPr>
        <w:spacing w:line="360" w:lineRule="auto"/>
        <w:jc w:val="both"/>
        <w:rPr>
          <w:rFonts w:eastAsia="Calibri"/>
          <w:b/>
          <w:bCs/>
          <w:lang w:val="es-ES"/>
        </w:rPr>
      </w:pPr>
    </w:p>
    <w:p w14:paraId="596CEB00" w14:textId="028C5426" w:rsidR="00D9267D" w:rsidRPr="0064264A" w:rsidRDefault="00D9267D" w:rsidP="00D9267D">
      <w:pPr>
        <w:spacing w:line="360" w:lineRule="auto"/>
        <w:jc w:val="both"/>
        <w:rPr>
          <w:rFonts w:eastAsia="Calibri"/>
          <w:b/>
          <w:bCs/>
          <w:lang w:val="es-ES"/>
        </w:rPr>
      </w:pPr>
      <w:r w:rsidRPr="0064264A">
        <w:rPr>
          <w:rFonts w:eastAsia="Calibri"/>
          <w:b/>
          <w:bCs/>
          <w:lang w:val="es-ES"/>
        </w:rPr>
        <w:lastRenderedPageBreak/>
        <w:t xml:space="preserve">Sistema de pagos: </w:t>
      </w:r>
      <w:r w:rsidRPr="0064264A">
        <w:rPr>
          <w:rFonts w:eastAsia="Calibri"/>
          <w:lang w:val="es-ES"/>
        </w:rPr>
        <w:t xml:space="preserve">El BCRD auspició el primer Foro de Pagos Instantáneos, en el que se trataron aspectos claves, novedades y experiencias de éxito en la implementación de plataformas de pagos instantáneos, y contó con la participación de destacados expertos del Banco Mundial, Banco de la República de Colombia, Banco Central de Brasil y del propio departamento de Sistema de Pagos del BCRD.   </w:t>
      </w:r>
    </w:p>
    <w:p w14:paraId="4F69FB3D" w14:textId="5C84F3EB" w:rsidR="00D9267D" w:rsidRPr="0064264A" w:rsidRDefault="00D9267D" w:rsidP="00D9267D">
      <w:pPr>
        <w:spacing w:line="360" w:lineRule="auto"/>
        <w:jc w:val="both"/>
        <w:rPr>
          <w:rFonts w:eastAsia="Calibri"/>
          <w:lang w:val="es-ES"/>
        </w:rPr>
      </w:pPr>
      <w:r w:rsidRPr="0064264A">
        <w:rPr>
          <w:rFonts w:eastAsia="Calibri"/>
          <w:b/>
          <w:lang w:val="es-ES"/>
        </w:rPr>
        <w:t xml:space="preserve">Cultural: </w:t>
      </w:r>
      <w:r w:rsidRPr="0064264A">
        <w:rPr>
          <w:rFonts w:eastAsia="Calibri"/>
          <w:lang w:val="es-ES"/>
        </w:rPr>
        <w:t xml:space="preserve">Se llevó a cabo la puesta en circulación de nuevas obras bibliográficas de la colección de la Biblioteca Juan Pablo Duarte, así como la realización de los concursos de Economía Juan Pablo Duarte, el concurso de Economistas del Futuro y el Concurso de Arte y Literatura. </w:t>
      </w:r>
    </w:p>
    <w:p w14:paraId="4DF5F4D5" w14:textId="77777777" w:rsidR="00580C8E" w:rsidRPr="0064264A" w:rsidRDefault="00D9267D" w:rsidP="00D9267D">
      <w:pPr>
        <w:spacing w:line="360" w:lineRule="auto"/>
        <w:jc w:val="both"/>
        <w:rPr>
          <w:rFonts w:eastAsia="Calibri"/>
          <w:lang w:val="es-ES"/>
        </w:rPr>
      </w:pPr>
      <w:r w:rsidRPr="0064264A">
        <w:rPr>
          <w:rFonts w:eastAsia="Calibri"/>
          <w:lang w:val="es-ES"/>
        </w:rPr>
        <w:t xml:space="preserve">Adicionalmente, el Banco Central exhibió en las Salas de Exposiciones Temporales del Museo Numismático y Filatélico la exposición “Tercer milenio del cristianismo”, organizada como parte de la conmemoración del 181 aniversario de la Independencia Nacional. De igual modo, en enero de 2025 el Banco Central participó en el acto de ofrenda floral en el Altar de la Patria, con motivo de la celebración del Mes de la Patria que organiza la Presidencia de la República, a través de la Comisión Permanente de Efemérides Patrias (CPEP).  </w:t>
      </w:r>
    </w:p>
    <w:p w14:paraId="1320AC3A" w14:textId="651ABDF3" w:rsidR="00D9267D" w:rsidRPr="0064264A" w:rsidRDefault="00D9267D" w:rsidP="00D9267D">
      <w:pPr>
        <w:spacing w:line="360" w:lineRule="auto"/>
        <w:jc w:val="both"/>
        <w:rPr>
          <w:rFonts w:eastAsia="Calibri"/>
          <w:lang w:val="es-ES"/>
        </w:rPr>
      </w:pPr>
      <w:r w:rsidRPr="0064264A">
        <w:rPr>
          <w:rFonts w:eastAsia="Calibri"/>
          <w:lang w:val="es-ES"/>
        </w:rPr>
        <w:t xml:space="preserve">En el mes de agosto, </w:t>
      </w:r>
      <w:r w:rsidRPr="0064264A">
        <w:rPr>
          <w:rFonts w:eastAsia="Calibri"/>
          <w:lang w:val="es-DO"/>
        </w:rPr>
        <w:t>se inauguró la exposición “Especímenes de billetes de América”, con motivo de conmemorar con motivo del cuadragésimo aniversario del Museo Numismático y Filatélico.</w:t>
      </w:r>
    </w:p>
    <w:p w14:paraId="677BEB2F" w14:textId="77777777" w:rsidR="00D9267D" w:rsidRPr="0064264A" w:rsidRDefault="00D9267D" w:rsidP="00D9267D">
      <w:pPr>
        <w:spacing w:line="360" w:lineRule="auto"/>
        <w:jc w:val="both"/>
        <w:rPr>
          <w:rFonts w:eastAsia="Calibri"/>
          <w:lang w:val="es-ES"/>
        </w:rPr>
      </w:pPr>
      <w:r w:rsidRPr="0064264A">
        <w:rPr>
          <w:rFonts w:eastAsia="Calibri"/>
          <w:lang w:val="es-ES"/>
        </w:rPr>
        <w:t>Igualmente, el Voluntariado Bancentraliano, brazo social de la institución, continuó realizando labores en beneficio de sectores necesitados por medio de donaciones a instituciones benéficas, así como de actividades de reforestación.</w:t>
      </w:r>
    </w:p>
    <w:p w14:paraId="17FA5A2B" w14:textId="77777777" w:rsidR="00D9267D" w:rsidRPr="0064264A" w:rsidRDefault="00D9267D" w:rsidP="00D9267D">
      <w:pPr>
        <w:spacing w:line="360" w:lineRule="auto"/>
        <w:jc w:val="both"/>
        <w:rPr>
          <w:rFonts w:eastAsia="Calibri"/>
          <w:lang w:val="es-ES"/>
        </w:rPr>
      </w:pPr>
    </w:p>
    <w:p w14:paraId="0E8DE95C" w14:textId="77777777" w:rsidR="00D9267D" w:rsidRPr="0064264A" w:rsidRDefault="00D9267D" w:rsidP="00D9267D">
      <w:pPr>
        <w:spacing w:line="360" w:lineRule="auto"/>
        <w:jc w:val="both"/>
        <w:rPr>
          <w:rFonts w:eastAsia="Calibri"/>
          <w:lang w:val="es-ES"/>
        </w:rPr>
      </w:pPr>
    </w:p>
    <w:p w14:paraId="753E347A" w14:textId="77777777" w:rsidR="00D9267D" w:rsidRPr="0064264A" w:rsidRDefault="00D9267D" w:rsidP="00D9267D">
      <w:pPr>
        <w:spacing w:line="360" w:lineRule="auto"/>
        <w:jc w:val="both"/>
        <w:rPr>
          <w:rFonts w:eastAsia="Calibri"/>
          <w:lang w:val="es-ES"/>
        </w:rPr>
      </w:pPr>
    </w:p>
    <w:bookmarkStart w:id="14" w:name="_Toc217386287"/>
    <w:p w14:paraId="0FE52302" w14:textId="2EDB51F0" w:rsidR="004F4C99" w:rsidRPr="0064264A" w:rsidRDefault="004F4C99" w:rsidP="00245795">
      <w:pPr>
        <w:pStyle w:val="Heading1"/>
        <w:rPr>
          <w:rFonts w:eastAsia="Calibri"/>
          <w:b w:val="0"/>
          <w:color w:val="767171"/>
          <w:lang w:val="es-DO"/>
        </w:rPr>
      </w:pPr>
      <w:r w:rsidRPr="0064264A">
        <w:rPr>
          <w:rFonts w:eastAsia="Calibri"/>
          <w:noProof/>
          <w:color w:val="767171"/>
          <w:lang w:val="es-DO"/>
        </w:rPr>
        <mc:AlternateContent>
          <mc:Choice Requires="wps">
            <w:drawing>
              <wp:anchor distT="0" distB="0" distL="114300" distR="114300" simplePos="0" relativeHeight="251743232" behindDoc="0" locked="0" layoutInCell="1" allowOverlap="1" wp14:anchorId="40797E4D" wp14:editId="6011AA89">
                <wp:simplePos x="0" y="0"/>
                <wp:positionH relativeFrom="margin">
                  <wp:posOffset>2119313</wp:posOffset>
                </wp:positionH>
                <wp:positionV relativeFrom="paragraph">
                  <wp:posOffset>283210</wp:posOffset>
                </wp:positionV>
                <wp:extent cx="539750" cy="0"/>
                <wp:effectExtent l="0" t="19050" r="31750" b="19050"/>
                <wp:wrapThrough wrapText="bothSides">
                  <wp:wrapPolygon edited="0">
                    <wp:start x="0" y="-1"/>
                    <wp:lineTo x="0" y="-1"/>
                    <wp:lineTo x="22108" y="-1"/>
                    <wp:lineTo x="22108" y="-1"/>
                    <wp:lineTo x="0" y="-1"/>
                  </wp:wrapPolygon>
                </wp:wrapThrough>
                <wp:docPr id="24"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A4BA6D" id="Conector recto 9" o:spid="_x0000_s1026" style="position:absolute;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6.9pt,22.3pt" to="209.4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" strokecolor="red" strokeweight="2.5pt">
                <v:stroke joinstyle="miter"/>
                <w10:wrap type="through" anchorx="margin"/>
              </v:line>
            </w:pict>
          </mc:Fallback>
        </mc:AlternateContent>
      </w:r>
      <w:r w:rsidR="00D9267D" w:rsidRPr="0064264A">
        <w:rPr>
          <w:rFonts w:eastAsia="Calibri"/>
          <w:color w:val="767171"/>
          <w:lang w:val="es-DO"/>
        </w:rPr>
        <w:t>IV. RESULTADOS ÁREAS TRANSVERSALES Y DE A</w:t>
      </w:r>
      <w:r w:rsidR="00B07742" w:rsidRPr="0064264A">
        <w:rPr>
          <w:rFonts w:eastAsia="Calibri"/>
          <w:b w:val="0"/>
          <w:color w:val="767171"/>
          <w:lang w:val="es-DO"/>
        </w:rPr>
        <w:t>POYO</w:t>
      </w:r>
      <w:bookmarkEnd w:id="14"/>
    </w:p>
    <w:p w14:paraId="15650733" w14:textId="2B379F40" w:rsidR="00D9267D" w:rsidRPr="0064264A" w:rsidRDefault="00D9267D" w:rsidP="004F4C99">
      <w:pPr>
        <w:spacing w:line="360" w:lineRule="auto"/>
        <w:jc w:val="center"/>
        <w:rPr>
          <w:rFonts w:eastAsia="Calibri"/>
          <w:b/>
          <w:lang w:val="es-DO"/>
        </w:rPr>
      </w:pPr>
      <w:r w:rsidRPr="0064264A">
        <w:rPr>
          <w:rFonts w:eastAsia="Calibri"/>
          <w:noProof/>
          <w:lang w:val="es-DO"/>
        </w:rPr>
        <w:drawing>
          <wp:anchor distT="0" distB="0" distL="114300" distR="114300" simplePos="0" relativeHeight="251750400" behindDoc="0" locked="0" layoutInCell="1" allowOverlap="1" wp14:anchorId="6289003C" wp14:editId="3CDAFA8E">
            <wp:simplePos x="0" y="0"/>
            <wp:positionH relativeFrom="column">
              <wp:posOffset>3455035</wp:posOffset>
            </wp:positionH>
            <wp:positionV relativeFrom="paragraph">
              <wp:posOffset>269240</wp:posOffset>
            </wp:positionV>
            <wp:extent cx="2615565" cy="3582670"/>
            <wp:effectExtent l="0" t="0" r="0" b="0"/>
            <wp:wrapSquare wrapText="bothSides"/>
            <wp:docPr id="12" name="Chart 12">
              <a:extLst xmlns:a="http://schemas.openxmlformats.org/drawingml/2006/main">
                <a:ext uri="{FF2B5EF4-FFF2-40B4-BE49-F238E27FC236}">
                  <a16:creationId xmlns:a16="http://schemas.microsoft.com/office/drawing/2014/main" id="{24308C29-738D-4CAA-9772-6433AFB0F3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Pr="0064264A">
        <w:rPr>
          <w:rFonts w:eastAsia="Calibri"/>
          <w:lang w:val="es-DO"/>
        </w:rPr>
        <w:t>Memoria Institucional 2025</w:t>
      </w:r>
    </w:p>
    <w:p w14:paraId="5FD1DCA2" w14:textId="77777777" w:rsidR="00D9267D" w:rsidRPr="0064264A" w:rsidRDefault="00D9267D" w:rsidP="00245795">
      <w:pPr>
        <w:pStyle w:val="Heading1"/>
        <w:rPr>
          <w:rFonts w:eastAsia="Calibri"/>
          <w:color w:val="767171"/>
          <w:lang w:val="es-DO"/>
        </w:rPr>
      </w:pPr>
      <w:bookmarkStart w:id="15" w:name="_Toc217386288"/>
      <w:r w:rsidRPr="0064264A">
        <w:rPr>
          <w:rFonts w:eastAsia="Calibri"/>
          <w:color w:val="767171"/>
          <w:lang w:val="es-DO"/>
        </w:rPr>
        <w:t>4.1 Desempeño Área Administrativa y Financiera</w:t>
      </w:r>
      <w:bookmarkEnd w:id="15"/>
    </w:p>
    <w:p w14:paraId="3C1BD163" w14:textId="647CC583" w:rsidR="00D9267D" w:rsidRPr="0064264A" w:rsidRDefault="00D9267D" w:rsidP="00D9267D">
      <w:pPr>
        <w:spacing w:line="360" w:lineRule="auto"/>
        <w:jc w:val="both"/>
        <w:rPr>
          <w:rFonts w:eastAsia="Calibri"/>
          <w:lang w:val="es-DO"/>
        </w:rPr>
      </w:pPr>
      <w:bookmarkStart w:id="16" w:name="_Toc153813316"/>
      <w:r w:rsidRPr="0064264A">
        <w:rPr>
          <w:rFonts w:eastAsia="Calibri"/>
          <w:lang w:val="es-DO"/>
        </w:rPr>
        <w:t>El Resultado Administrativo del Banco Central, producto de la comparación de los Ingresos Corrientes y los Gastos Generales y Administrativos, excluyendo los Ingresos por Recapitalización, tuvo un balance positivo preliminar por valor de RD$33,126.1 millones, excediendo el balance presupuestado para dicho período en RD$20,935.9 millones. Dicho resultado deriva, fundamentalmente, de una mayor ejecución de los ingresos corrientes por RD$19,875.5 millones (74.8 %) y una menor ejecución en 1,060.5 % de los Gastos Generales y Administrativos.</w:t>
      </w:r>
      <w:bookmarkEnd w:id="16"/>
    </w:p>
    <w:p w14:paraId="123C8727" w14:textId="77777777" w:rsidR="00D9267D" w:rsidRPr="0064264A" w:rsidRDefault="00D9267D" w:rsidP="00245795">
      <w:pPr>
        <w:pStyle w:val="Heading2"/>
        <w:rPr>
          <w:rFonts w:eastAsia="Calibri"/>
          <w:b/>
          <w:color w:val="767171"/>
          <w:lang w:val="es-DO"/>
        </w:rPr>
      </w:pPr>
      <w:bookmarkStart w:id="17" w:name="_Toc217386289"/>
      <w:r w:rsidRPr="0064264A">
        <w:rPr>
          <w:rFonts w:eastAsia="Calibri"/>
          <w:b/>
          <w:color w:val="767171"/>
          <w:lang w:val="es-DO"/>
        </w:rPr>
        <w:t>Ingresos Corrientes</w:t>
      </w:r>
      <w:bookmarkEnd w:id="17"/>
    </w:p>
    <w:p w14:paraId="4355FD8D" w14:textId="77777777" w:rsidR="004F4C99" w:rsidRPr="0064264A" w:rsidRDefault="00D9267D" w:rsidP="004F4C99">
      <w:pPr>
        <w:spacing w:line="360" w:lineRule="auto"/>
        <w:jc w:val="both"/>
        <w:rPr>
          <w:rFonts w:eastAsia="Calibri"/>
          <w:lang w:val="es-ES"/>
        </w:rPr>
      </w:pPr>
      <w:r w:rsidRPr="0064264A">
        <w:rPr>
          <w:rFonts w:eastAsia="Calibri"/>
          <w:lang w:val="es-ES"/>
        </w:rPr>
        <w:t>Este renglón presentó una ejecución preliminar por el orden de RD$46,459.4 millones, resultando mayor en RD$19,875.5 millones (74.8 %) con respecto a lo estimado para el año, debido especialmente a los Ingresos en Moneda Extranjera, dado que quedaron por encima del valor presupuestado en RD$</w:t>
      </w:r>
      <w:r w:rsidRPr="0064264A">
        <w:rPr>
          <w:rFonts w:eastAsia="Calibri"/>
          <w:lang w:val="es-ES_tradnl"/>
        </w:rPr>
        <w:t xml:space="preserve">19,949.0 </w:t>
      </w:r>
      <w:r w:rsidRPr="0064264A">
        <w:rPr>
          <w:rFonts w:eastAsia="Calibri"/>
          <w:lang w:val="es-ES"/>
        </w:rPr>
        <w:t xml:space="preserve">millones. </w:t>
      </w:r>
    </w:p>
    <w:p w14:paraId="01567900" w14:textId="54ECD214" w:rsidR="004F4C99" w:rsidRPr="0064264A" w:rsidRDefault="00D9267D" w:rsidP="00D9267D">
      <w:pPr>
        <w:spacing w:line="360" w:lineRule="auto"/>
        <w:jc w:val="both"/>
        <w:rPr>
          <w:rFonts w:eastAsia="Calibri"/>
          <w:bCs/>
          <w:lang w:val="es-ES"/>
        </w:rPr>
      </w:pPr>
      <w:r w:rsidRPr="0064264A">
        <w:rPr>
          <w:rFonts w:eastAsia="Calibri"/>
          <w:lang w:val="es-ES"/>
        </w:rPr>
        <w:t xml:space="preserve">Dentro de estos ingresos se destaca </w:t>
      </w:r>
      <w:r w:rsidRPr="0064264A">
        <w:rPr>
          <w:rFonts w:eastAsia="Calibri"/>
          <w:lang w:val="es-ES_tradnl"/>
        </w:rPr>
        <w:t>la partida de</w:t>
      </w:r>
      <w:r w:rsidRPr="0064264A">
        <w:rPr>
          <w:rFonts w:eastAsia="Calibri"/>
          <w:b/>
          <w:lang w:val="es-DO"/>
        </w:rPr>
        <w:t xml:space="preserve"> </w:t>
      </w:r>
      <w:r w:rsidRPr="0064264A">
        <w:rPr>
          <w:rFonts w:eastAsia="Calibri"/>
          <w:bCs/>
          <w:lang w:val="es-DO"/>
        </w:rPr>
        <w:t>Inversiones en Moneda Extranjera ya que alcanzaron una ejecución de RD$35,831.5 millones, superior a lo programado en</w:t>
      </w:r>
      <w:r w:rsidRPr="0064264A">
        <w:rPr>
          <w:rFonts w:eastAsia="Calibri"/>
          <w:bCs/>
          <w:lang w:val="es-ES_tradnl"/>
        </w:rPr>
        <w:t xml:space="preserve"> RD$13,807.3 millones (62.7 %), </w:t>
      </w:r>
      <w:r w:rsidRPr="0064264A">
        <w:rPr>
          <w:rFonts w:eastAsia="Calibri"/>
          <w:bCs/>
          <w:lang w:val="es-ES"/>
        </w:rPr>
        <w:t xml:space="preserve">debido </w:t>
      </w:r>
      <w:r w:rsidRPr="0064264A">
        <w:rPr>
          <w:rFonts w:eastAsia="Calibri"/>
          <w:bCs/>
          <w:lang w:val="es-ES"/>
        </w:rPr>
        <w:lastRenderedPageBreak/>
        <w:t>principalmente al Instrumento Portafolio Indexado, como resultado de las estrategias de manejo de activo implementadas por los gestores internos y externos,</w:t>
      </w:r>
    </w:p>
    <w:p w14:paraId="6D643636" w14:textId="1C442A86" w:rsidR="00D9267D" w:rsidRPr="0064264A" w:rsidRDefault="00D9267D" w:rsidP="00D9267D">
      <w:pPr>
        <w:spacing w:line="360" w:lineRule="auto"/>
        <w:jc w:val="both"/>
        <w:rPr>
          <w:rFonts w:eastAsia="Calibri"/>
          <w:bCs/>
          <w:lang w:val="es-DO"/>
        </w:rPr>
      </w:pPr>
      <w:r w:rsidRPr="0064264A">
        <w:rPr>
          <w:rFonts w:eastAsia="Calibri"/>
          <w:bCs/>
          <w:lang w:val="es-ES"/>
        </w:rPr>
        <w:t xml:space="preserve">quienes han adoptado posturas de larga duración en relación de sus índices de referencias aprobados. Por su parte </w:t>
      </w:r>
      <w:r w:rsidRPr="0064264A">
        <w:rPr>
          <w:rFonts w:eastAsia="Calibri"/>
          <w:bCs/>
          <w:lang w:val="es-DO"/>
        </w:rPr>
        <w:t>los Ingresos por Operaciones Cambiarias que registraron una ejecución de RD$4,490.8 millones, como resultado de las ganancias por operaciones de divisas al contado, así como por contratos de compra y/o venta de divisas a plazo sin entrega, en vista de la depreciación registrada en el tipo de cambio.</w:t>
      </w:r>
    </w:p>
    <w:p w14:paraId="3C141350" w14:textId="7E2027AC" w:rsidR="00D9267D" w:rsidRPr="0064264A" w:rsidRDefault="00D9267D" w:rsidP="00D9267D">
      <w:pPr>
        <w:spacing w:line="360" w:lineRule="auto"/>
        <w:jc w:val="both"/>
        <w:rPr>
          <w:rFonts w:eastAsia="Calibri"/>
          <w:bCs/>
          <w:lang w:val="es-DO"/>
        </w:rPr>
      </w:pPr>
      <w:r w:rsidRPr="0064264A">
        <w:rPr>
          <w:rFonts w:eastAsia="Calibri"/>
          <w:bCs/>
          <w:lang w:val="es-DO"/>
        </w:rPr>
        <w:t>De igual modo, la partida de Revalorización del Oro por variación del Precio de Mercado registró de manera preliminar una realización por el orden de RD$1,765.7 millones, monto mayor a lo programado en RD$1,650.9 millones para el año 2025. Este comportamiento viene dado por la incertidumbre global observada durante el año, como resultado de la volatilidad en los mercados internacionales, por lo que el oro ha fungido como activo de refugio para los inversionistas, impactando positivamente la revalorización de las tenencias de este Banco Central hasta niveles históricos.</w:t>
      </w:r>
    </w:p>
    <w:p w14:paraId="4E05359D" w14:textId="329EFF40" w:rsidR="00D9267D" w:rsidRPr="0064264A" w:rsidRDefault="00D9267D" w:rsidP="00D9267D">
      <w:pPr>
        <w:spacing w:line="360" w:lineRule="auto"/>
        <w:jc w:val="both"/>
        <w:rPr>
          <w:rFonts w:eastAsia="Calibri"/>
          <w:bCs/>
          <w:lang w:val="es-DO"/>
        </w:rPr>
      </w:pPr>
      <w:r w:rsidRPr="0064264A">
        <w:rPr>
          <w:rFonts w:eastAsia="Calibri"/>
          <w:bCs/>
          <w:lang w:val="es-DO"/>
        </w:rPr>
        <w:t xml:space="preserve">Finalmente, dentro de los Ingresos en Moneda Nacional, los Otros Ingresos del Banco Central, aportaron a este resultado, ya que registraron una ejecución superior a lo programado en RD$576.9 millones, debido principalmente a la Realización por Ventas de Activos del COPRA, mayormente por la venta de diversos inmuebles y al pago de cuotas del Consorcio Minero Dominicano; así como los intereses de Préstamos al Personal, mayor a su programación en RD$6.4 millones. </w:t>
      </w:r>
    </w:p>
    <w:p w14:paraId="05D69DC8" w14:textId="18B30734" w:rsidR="00D9267D" w:rsidRPr="0064264A" w:rsidRDefault="00D9267D" w:rsidP="00D9267D">
      <w:pPr>
        <w:spacing w:line="360" w:lineRule="auto"/>
        <w:jc w:val="both"/>
        <w:rPr>
          <w:rFonts w:eastAsia="Calibri"/>
          <w:bCs/>
          <w:lang w:val="es-DO"/>
        </w:rPr>
      </w:pPr>
      <w:r w:rsidRPr="0064264A">
        <w:rPr>
          <w:rFonts w:eastAsia="Calibri"/>
          <w:bCs/>
          <w:lang w:val="es-DO"/>
        </w:rPr>
        <w:t xml:space="preserve">En cambio, los Ingresos en Moneda Nacional registraron una ejecución preliminar menor al valor presupuestado en RD$73.5 </w:t>
      </w:r>
      <w:r w:rsidRPr="0064264A">
        <w:rPr>
          <w:rFonts w:eastAsia="Calibri"/>
          <w:bCs/>
          <w:lang w:val="es-DO"/>
        </w:rPr>
        <w:lastRenderedPageBreak/>
        <w:t>millones, debido principalmente a los Intereses sobre Préstamos Garantizados con Títulos, Cartera o Depósitos, los cuales registraron una ejecución menor que su programación en RD$416.1 millones (-12.2 %), debido a una ralentización en el ritmo proyectado de renovación de las facilidades de liquidez rápida respecto de lo esperado para este período. Asimismo, las Facilidades Crediticias del Banco Central disminuyeron en RD$187.2 millones (-41.0 %) en virtud de que para el 2025 se esperaba un mayor uso de esta herramienta considerando los niveles proyectados de liquidez en moneda nacional del sistema financiero.</w:t>
      </w:r>
    </w:p>
    <w:p w14:paraId="156FA2C7" w14:textId="77777777" w:rsidR="00D9267D" w:rsidRPr="0064264A" w:rsidRDefault="00D9267D" w:rsidP="00245795">
      <w:pPr>
        <w:pStyle w:val="Heading2"/>
        <w:rPr>
          <w:rFonts w:eastAsia="Calibri"/>
          <w:b/>
          <w:color w:val="767171"/>
          <w:lang w:val="es-DO"/>
        </w:rPr>
      </w:pPr>
      <w:bookmarkStart w:id="18" w:name="_Toc217386290"/>
      <w:r w:rsidRPr="0064264A">
        <w:rPr>
          <w:rFonts w:eastAsia="Calibri"/>
          <w:b/>
          <w:color w:val="767171"/>
          <w:lang w:val="es-DO"/>
        </w:rPr>
        <w:t>Gastos Generales y Administrativos</w:t>
      </w:r>
      <w:bookmarkEnd w:id="18"/>
    </w:p>
    <w:p w14:paraId="254F8E90" w14:textId="77777777" w:rsidR="00A2421E" w:rsidRDefault="00A2421E" w:rsidP="00D9267D">
      <w:pPr>
        <w:spacing w:line="360" w:lineRule="auto"/>
        <w:jc w:val="both"/>
        <w:rPr>
          <w:rFonts w:eastAsia="Calibri"/>
          <w:lang w:val="es-ES_tradnl"/>
        </w:rPr>
      </w:pPr>
    </w:p>
    <w:p w14:paraId="0566337A" w14:textId="3B4370EA" w:rsidR="00CC347C" w:rsidRPr="0064264A" w:rsidRDefault="00CC347C" w:rsidP="00D9267D">
      <w:pPr>
        <w:spacing w:line="360" w:lineRule="auto"/>
        <w:jc w:val="both"/>
        <w:rPr>
          <w:rFonts w:eastAsia="Calibri"/>
          <w:lang w:val="es-ES_tradnl"/>
        </w:rPr>
      </w:pPr>
      <w:r w:rsidRPr="0064264A">
        <w:rPr>
          <w:rFonts w:eastAsia="Calibri"/>
          <w:noProof/>
          <w:lang w:val="es-DO"/>
        </w:rPr>
        <w:drawing>
          <wp:anchor distT="0" distB="0" distL="114300" distR="114300" simplePos="0" relativeHeight="251764736" behindDoc="0" locked="0" layoutInCell="1" allowOverlap="1" wp14:anchorId="48D8580A" wp14:editId="24677A4B">
            <wp:simplePos x="0" y="0"/>
            <wp:positionH relativeFrom="margin">
              <wp:posOffset>2416175</wp:posOffset>
            </wp:positionH>
            <wp:positionV relativeFrom="paragraph">
              <wp:posOffset>1224915</wp:posOffset>
            </wp:positionV>
            <wp:extent cx="3528695" cy="3716655"/>
            <wp:effectExtent l="0" t="0" r="0" b="0"/>
            <wp:wrapSquare wrapText="bothSides"/>
            <wp:docPr id="1585207856" name="Chart 1585207856">
              <a:extLst xmlns:a="http://schemas.openxmlformats.org/drawingml/2006/main">
                <a:ext uri="{FF2B5EF4-FFF2-40B4-BE49-F238E27FC236}">
                  <a16:creationId xmlns:a16="http://schemas.microsoft.com/office/drawing/2014/main" id="{62A4027A-D208-9B3F-2FFB-0C0D91186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D9267D" w:rsidRPr="0064264A">
        <w:rPr>
          <w:rFonts w:eastAsia="Calibri"/>
          <w:lang w:val="es-ES_tradnl"/>
        </w:rPr>
        <w:t>La ejecución preliminar de Gastos Generales y Administrativos para el cierre del 2025 ascendió a RD$13,333.3 millones. Dicho resultado fue</w:t>
      </w:r>
      <w:r w:rsidR="00D9267D" w:rsidRPr="0064264A">
        <w:rPr>
          <w:rFonts w:eastAsia="Calibri"/>
          <w:lang w:val="es-DO"/>
        </w:rPr>
        <w:t xml:space="preserve"> inferior en RD$1,060.5 millones (-7.4 %) con respecto a la programación del presupuesto para el año, en respuesta</w:t>
      </w:r>
      <w:r w:rsidR="00D9267D" w:rsidRPr="0064264A">
        <w:rPr>
          <w:rFonts w:eastAsia="Calibri"/>
          <w:lang w:val="es-ES_tradnl"/>
        </w:rPr>
        <w:t xml:space="preserve"> a un apego estricto a la racionalización del gasto; procurando la consistencia con la evolución de la economía, los estándares de conservación del medio ambiente y las necesidades funcionales de las áreas correspondientes.</w:t>
      </w:r>
    </w:p>
    <w:p w14:paraId="5B3B16B0" w14:textId="182CAFEF" w:rsidR="00CC347C" w:rsidRPr="0064264A" w:rsidRDefault="00D9267D" w:rsidP="00D9267D">
      <w:pPr>
        <w:spacing w:line="360" w:lineRule="auto"/>
        <w:jc w:val="both"/>
        <w:rPr>
          <w:rFonts w:eastAsia="Calibri"/>
          <w:lang w:val="es-ES_tradnl"/>
        </w:rPr>
      </w:pPr>
      <w:r w:rsidRPr="0064264A">
        <w:rPr>
          <w:rFonts w:eastAsia="Calibri"/>
          <w:lang w:val="es-ES_tradnl"/>
        </w:rPr>
        <w:t xml:space="preserve">Tal como muestra el gráfico anterior, el comportamiento a la baja de los Gastos Generales y Administrativos se debió a menores niveles que lo estimado en los renglones </w:t>
      </w:r>
      <w:r w:rsidRPr="0064264A">
        <w:rPr>
          <w:rFonts w:eastAsia="Calibri"/>
          <w:lang w:val="es-ES_tradnl"/>
        </w:rPr>
        <w:lastRenderedPageBreak/>
        <w:t xml:space="preserve">Servicios No Personales (-RD$498.3 millones), Servicios Personales (-RD$282.2 millones), Aportes Corrientes (-RD$240.9 millones), y en Materiales y Suministros (-RD$28.3 millones). </w:t>
      </w:r>
    </w:p>
    <w:p w14:paraId="4BE671A4" w14:textId="462DA29A" w:rsidR="00580C8E" w:rsidRPr="0064264A" w:rsidRDefault="00D9267D" w:rsidP="00D9267D">
      <w:pPr>
        <w:spacing w:line="360" w:lineRule="auto"/>
        <w:jc w:val="both"/>
        <w:rPr>
          <w:rFonts w:eastAsia="Calibri"/>
          <w:lang w:val="es-ES_tradnl"/>
        </w:rPr>
      </w:pPr>
      <w:r w:rsidRPr="0064264A">
        <w:rPr>
          <w:rFonts w:eastAsia="Calibri"/>
          <w:lang w:val="es-ES_tradnl"/>
        </w:rPr>
        <w:t>Con relación al mismo período del año 2024, la ejecución de los Gastos Generales y Administrativos fue mayor en RD$1,073.1 millones, monto distribuido entre las partidas Servicios Personales (10.6 %); Servicios no Personales (6.8 %); y Aportes Corrientes (6.5 %).</w:t>
      </w:r>
    </w:p>
    <w:p w14:paraId="01B45A68" w14:textId="62A2729F" w:rsidR="00580C8E" w:rsidRPr="0064264A" w:rsidRDefault="00D9267D" w:rsidP="00580C8E">
      <w:pPr>
        <w:pStyle w:val="Heading2"/>
        <w:rPr>
          <w:rFonts w:eastAsia="Calibri"/>
          <w:b/>
          <w:bCs/>
          <w:color w:val="767171"/>
          <w:lang w:val="es-DO"/>
        </w:rPr>
      </w:pPr>
      <w:bookmarkStart w:id="19" w:name="_Toc217386291"/>
      <w:r w:rsidRPr="0064264A">
        <w:rPr>
          <w:rFonts w:eastAsia="Calibri"/>
          <w:b/>
          <w:bCs/>
          <w:color w:val="767171"/>
          <w:lang w:val="es-DO"/>
        </w:rPr>
        <w:t>Costos y Gastos Financieros</w:t>
      </w:r>
      <w:bookmarkEnd w:id="19"/>
    </w:p>
    <w:p w14:paraId="5C01A541" w14:textId="77777777" w:rsidR="00580C8E" w:rsidRPr="0064264A" w:rsidRDefault="00580C8E" w:rsidP="00580C8E">
      <w:pPr>
        <w:rPr>
          <w:lang w:val="es-DO"/>
        </w:rPr>
      </w:pPr>
    </w:p>
    <w:p w14:paraId="5BD425AC" w14:textId="30CB48CB" w:rsidR="00D9267D" w:rsidRPr="0064264A" w:rsidRDefault="00D9267D" w:rsidP="00D9267D">
      <w:pPr>
        <w:spacing w:line="360" w:lineRule="auto"/>
        <w:jc w:val="both"/>
        <w:rPr>
          <w:rFonts w:eastAsia="Calibri"/>
          <w:lang w:val="es-DO"/>
        </w:rPr>
      </w:pPr>
      <w:r w:rsidRPr="0064264A">
        <w:rPr>
          <w:rFonts w:eastAsia="Calibri"/>
          <w:lang w:val="es-DO"/>
        </w:rPr>
        <w:t xml:space="preserve">La ejecución de este renglón para el año 2025 asciende a la cifra preliminar de RD$120,841.8 millones, observándose una menor realización por valor de RD$7,148.3 millones (-5.6 %) con relación a lo presupuestado. </w:t>
      </w:r>
    </w:p>
    <w:p w14:paraId="08A9647B" w14:textId="19EC4303" w:rsidR="00D9267D" w:rsidRPr="0064264A" w:rsidRDefault="00D9267D" w:rsidP="00D9267D">
      <w:pPr>
        <w:spacing w:line="360" w:lineRule="auto"/>
        <w:jc w:val="both"/>
        <w:rPr>
          <w:rFonts w:eastAsia="Calibri"/>
          <w:lang w:val="es-DO"/>
        </w:rPr>
      </w:pPr>
      <w:r w:rsidRPr="0064264A">
        <w:rPr>
          <w:rFonts w:eastAsia="Calibri"/>
          <w:lang w:val="es-DO"/>
        </w:rPr>
        <w:t>En ese orden, los gastos relativos a los Intereses sobre los diferentes tipos de Certificados fueron los que determinaron en mayor medida este resultado, dado que el renglón mostró una realización de RD$106,872.1 millones — inferiores a lo previsto en RD$8,392.3 millones (-7.3 %)—, en vista de que en el presupuesto se contemplaron nuevas emisiones para el año que no se materializaron considerando la postura de política monetaria más laxa, lo que permitió menores gastos en intereses devengados por operaciones de mercado abierto.</w:t>
      </w:r>
    </w:p>
    <w:p w14:paraId="0E8C3A30" w14:textId="17D37E64" w:rsidR="00D9267D" w:rsidRPr="0064264A" w:rsidRDefault="00D9267D" w:rsidP="00D9267D">
      <w:pPr>
        <w:spacing w:line="360" w:lineRule="auto"/>
        <w:jc w:val="both"/>
        <w:rPr>
          <w:rFonts w:eastAsia="Calibri"/>
          <w:lang w:val="es-ES"/>
        </w:rPr>
      </w:pPr>
      <w:r w:rsidRPr="0064264A">
        <w:rPr>
          <w:rFonts w:eastAsia="Calibri"/>
          <w:lang w:val="es-ES_tradnl"/>
        </w:rPr>
        <w:t>De igual modo,</w:t>
      </w:r>
      <w:r w:rsidRPr="0064264A">
        <w:rPr>
          <w:rFonts w:eastAsia="Calibri"/>
          <w:lang w:val="es-ES"/>
        </w:rPr>
        <w:t xml:space="preserve"> </w:t>
      </w:r>
      <w:r w:rsidRPr="0064264A">
        <w:rPr>
          <w:rFonts w:eastAsia="Calibri"/>
          <w:lang w:val="es-ES_tradnl"/>
        </w:rPr>
        <w:t xml:space="preserve">los intereses por Financiamientos Organismos Internacionales mostraron una ejecución inferior en RD$1,336.9 millones (-43.8 %), lo que obedece a que </w:t>
      </w:r>
      <w:r w:rsidRPr="0064264A">
        <w:rPr>
          <w:rFonts w:eastAsia="Calibri"/>
          <w:lang w:val="es-DO"/>
        </w:rPr>
        <w:t>la estimación para la programación del presupuesto fue realizada en un escenario de tasa variable con tendencia al alza, siendo esta mayor que la ejecutada.</w:t>
      </w:r>
    </w:p>
    <w:p w14:paraId="5B938976" w14:textId="77777777" w:rsidR="00B07742" w:rsidRPr="0064264A" w:rsidRDefault="00D9267D" w:rsidP="00CC347C">
      <w:pPr>
        <w:spacing w:line="360" w:lineRule="auto"/>
        <w:jc w:val="both"/>
        <w:rPr>
          <w:rFonts w:eastAsia="Calibri"/>
          <w:lang w:val="es-ES_tradnl"/>
        </w:rPr>
      </w:pPr>
      <w:r w:rsidRPr="0064264A">
        <w:rPr>
          <w:rFonts w:eastAsia="Calibri"/>
          <w:lang w:val="es-ES"/>
        </w:rPr>
        <w:lastRenderedPageBreak/>
        <w:t xml:space="preserve">Asimismo, </w:t>
      </w:r>
      <w:r w:rsidRPr="0064264A">
        <w:rPr>
          <w:rFonts w:eastAsia="Calibri"/>
          <w:lang w:val="es-ES_tradnl"/>
        </w:rPr>
        <w:t>los Intereses sobre Depósitos en Moneda Extranjera Remunerados, presentaron una ejecución inferior a su presupuesto en RD$401.9 millones (-86.5 %), por el ajuste en los niveles de liquidez</w:t>
      </w:r>
    </w:p>
    <w:p w14:paraId="1E9A7BC5" w14:textId="460D4ADC" w:rsidR="00D9267D" w:rsidRPr="0064264A" w:rsidRDefault="00D9267D" w:rsidP="00CC347C">
      <w:pPr>
        <w:spacing w:line="360" w:lineRule="auto"/>
        <w:jc w:val="both"/>
        <w:rPr>
          <w:rFonts w:eastAsia="Calibri"/>
          <w:lang w:val="es-ES"/>
        </w:rPr>
      </w:pPr>
      <w:r w:rsidRPr="0064264A">
        <w:rPr>
          <w:rFonts w:eastAsia="Calibri"/>
          <w:lang w:val="es-ES_tradnl"/>
        </w:rPr>
        <w:t xml:space="preserve">en dólares estadounidenses del sistema financiero </w:t>
      </w:r>
      <w:r w:rsidRPr="0064264A">
        <w:rPr>
          <w:rFonts w:eastAsia="Calibri"/>
          <w:lang w:val="es-ES"/>
        </w:rPr>
        <w:t>y los mayores rendimientos en los mercados internacionales, resultando en una menor inclinación por colocaciones a plazo que lo contemplado en el presupuesto del año.</w:t>
      </w:r>
    </w:p>
    <w:p w14:paraId="166AC5E1" w14:textId="0C915CC9" w:rsidR="00D9267D" w:rsidRPr="0064264A" w:rsidRDefault="00D9267D" w:rsidP="00D9267D">
      <w:pPr>
        <w:spacing w:line="360" w:lineRule="auto"/>
        <w:jc w:val="both"/>
        <w:rPr>
          <w:rFonts w:eastAsia="Calibri"/>
          <w:lang w:val="es-ES"/>
        </w:rPr>
      </w:pPr>
      <w:r w:rsidRPr="0064264A">
        <w:rPr>
          <w:rFonts w:eastAsia="Calibri"/>
          <w:lang w:val="es-ES_tradnl"/>
        </w:rPr>
        <w:t xml:space="preserve">Cabe destacar, que los Intereses por Letras de un Día mostraron una ejecución menor de lo programado por RD$191.7 millones, </w:t>
      </w:r>
      <w:r w:rsidRPr="0064264A">
        <w:rPr>
          <w:rFonts w:eastAsia="Calibri"/>
          <w:lang w:val="es-ES"/>
        </w:rPr>
        <w:t xml:space="preserve">debido al excedente de liquidez del período fue ligeramente menor que lo proyectado y con una mayor ponderación por colocaciones en la ventanilla de depósitos remunerados de corto plazo. </w:t>
      </w:r>
    </w:p>
    <w:p w14:paraId="6B00D3EB" w14:textId="0F84581D" w:rsidR="00CC347C" w:rsidRPr="0064264A" w:rsidRDefault="00D9267D" w:rsidP="00CC347C">
      <w:pPr>
        <w:spacing w:line="360" w:lineRule="auto"/>
        <w:jc w:val="both"/>
        <w:rPr>
          <w:rFonts w:eastAsia="Calibri"/>
          <w:lang w:val="es-DO"/>
        </w:rPr>
      </w:pPr>
      <w:r w:rsidRPr="0064264A">
        <w:rPr>
          <w:rFonts w:eastAsia="Calibri"/>
          <w:lang w:val="es-DO"/>
        </w:rPr>
        <w:t>Por su parte, las Operaciones de Regulación Cambiaria arrojaron una realización de RD$3,482.5 millones, como resultado del registro de</w:t>
      </w:r>
      <w:r w:rsidRPr="0064264A">
        <w:rPr>
          <w:rFonts w:eastAsia="Calibri"/>
          <w:lang w:val="es-ES_tradnl"/>
        </w:rPr>
        <w:t xml:space="preserve"> gastos por concepto de operaciones de compra/venta de divisas al contado</w:t>
      </w:r>
      <w:r w:rsidRPr="0064264A">
        <w:rPr>
          <w:rFonts w:eastAsia="Calibri"/>
          <w:lang w:val="es-DO"/>
        </w:rPr>
        <w:t xml:space="preserve">, y </w:t>
      </w:r>
      <w:r w:rsidRPr="0064264A">
        <w:rPr>
          <w:rFonts w:eastAsia="Calibri"/>
          <w:lang w:val="es-ES_tradnl"/>
        </w:rPr>
        <w:t xml:space="preserve">por contratos a plazo de compra/venta de divisas a plazo sin entrega. </w:t>
      </w:r>
      <w:bookmarkStart w:id="20" w:name="_Hlk155258012"/>
    </w:p>
    <w:bookmarkEnd w:id="20"/>
    <w:p w14:paraId="4D3C7924" w14:textId="77777777" w:rsidR="00B07742" w:rsidRPr="0064264A" w:rsidRDefault="00CC347C" w:rsidP="00D9267D">
      <w:pPr>
        <w:spacing w:line="360" w:lineRule="auto"/>
        <w:jc w:val="both"/>
        <w:rPr>
          <w:rFonts w:eastAsia="Calibri"/>
          <w:lang w:val="es-ES_tradnl"/>
        </w:rPr>
      </w:pPr>
      <w:r w:rsidRPr="0064264A">
        <w:rPr>
          <w:rFonts w:eastAsia="Calibri"/>
          <w:lang w:val="es-ES_tradnl"/>
        </w:rPr>
        <w:t xml:space="preserve">En lo referente a Costos, quedaron por debajo del valor presupuestado totalizando RD$284.5 millones menos en erogaciones por estos conceptos. Se destacan los Costos de Emisión de Billetes y Monedas, que registraron una ejecución inferior en RD$240.3 millones (-16.0 %), ya que se observó una disminución </w:t>
      </w:r>
      <w:r w:rsidRPr="0064264A">
        <w:rPr>
          <w:rFonts w:eastAsia="Calibri"/>
          <w:lang w:val="es-DO"/>
        </w:rPr>
        <w:t>en el requerimiento de algunas denominaciones del conjunto de Especies Monetarias</w:t>
      </w:r>
      <w:r w:rsidRPr="0064264A">
        <w:rPr>
          <w:rFonts w:eastAsia="Calibri"/>
          <w:lang w:val="es-ES_tradnl"/>
        </w:rPr>
        <w:t xml:space="preserve">. </w:t>
      </w:r>
    </w:p>
    <w:p w14:paraId="469047FB" w14:textId="06FDAF58" w:rsidR="00D9267D" w:rsidRPr="0064264A" w:rsidRDefault="00CC347C" w:rsidP="00D9267D">
      <w:pPr>
        <w:spacing w:line="360" w:lineRule="auto"/>
        <w:jc w:val="both"/>
        <w:rPr>
          <w:rFonts w:eastAsia="Calibri"/>
          <w:lang w:val="es-ES_tradnl"/>
        </w:rPr>
      </w:pPr>
      <w:r w:rsidRPr="0064264A">
        <w:rPr>
          <w:rFonts w:eastAsia="Calibri"/>
          <w:lang w:val="es-ES_tradnl"/>
        </w:rPr>
        <w:t>De igual forma, los Costos por Servicios de Remesas (Oficina Principal y Oficina Regional) fueron inferiores en RD$44.2 millones (-27.1 %), por un menor gasto generado para el año 2025.</w:t>
      </w:r>
    </w:p>
    <w:p w14:paraId="2847032A" w14:textId="77777777" w:rsidR="00CC347C" w:rsidRPr="0064264A" w:rsidRDefault="00CC347C" w:rsidP="00D9267D">
      <w:pPr>
        <w:spacing w:line="360" w:lineRule="auto"/>
        <w:jc w:val="both"/>
        <w:rPr>
          <w:rFonts w:eastAsia="Calibri"/>
          <w:lang w:val="es-ES_tradnl"/>
        </w:rPr>
      </w:pPr>
    </w:p>
    <w:p w14:paraId="100E78B1" w14:textId="77777777" w:rsidR="00CC347C" w:rsidRPr="0064264A" w:rsidRDefault="00CC347C" w:rsidP="00D9267D">
      <w:pPr>
        <w:spacing w:line="360" w:lineRule="auto"/>
        <w:jc w:val="both"/>
        <w:rPr>
          <w:rFonts w:eastAsia="Calibri"/>
          <w:lang w:val="es-ES_tradnl"/>
        </w:rPr>
      </w:pPr>
    </w:p>
    <w:p w14:paraId="1DEE444B" w14:textId="77777777" w:rsidR="00CC347C" w:rsidRPr="0064264A" w:rsidRDefault="00CC347C" w:rsidP="00D9267D">
      <w:pPr>
        <w:spacing w:line="360" w:lineRule="auto"/>
        <w:jc w:val="both"/>
        <w:rPr>
          <w:rFonts w:eastAsia="Calibri"/>
          <w:lang w:val="es-ES_tradnl"/>
        </w:rPr>
      </w:pPr>
    </w:p>
    <w:p w14:paraId="33D5FE45" w14:textId="77777777" w:rsidR="00CC347C" w:rsidRPr="0064264A" w:rsidRDefault="00CC347C" w:rsidP="00D9267D">
      <w:pPr>
        <w:spacing w:line="360" w:lineRule="auto"/>
        <w:jc w:val="both"/>
        <w:rPr>
          <w:rFonts w:eastAsia="Calibri"/>
          <w:lang w:val="es-ES_tradnl"/>
        </w:rPr>
      </w:pPr>
    </w:p>
    <w:p w14:paraId="4A0ADA36" w14:textId="3025C3D1" w:rsidR="00D9267D" w:rsidRPr="0064264A" w:rsidRDefault="00D9267D" w:rsidP="00D9267D">
      <w:pPr>
        <w:spacing w:line="360" w:lineRule="auto"/>
        <w:jc w:val="both"/>
        <w:rPr>
          <w:rFonts w:eastAsia="Calibri"/>
          <w:b/>
          <w:lang w:val="es-DO"/>
        </w:rPr>
      </w:pPr>
      <w:r w:rsidRPr="0064264A">
        <w:rPr>
          <w:rFonts w:eastAsia="Calibri"/>
          <w:b/>
          <w:lang w:val="es-DO"/>
        </w:rPr>
        <w:t xml:space="preserve">Resultado Operacional </w:t>
      </w:r>
    </w:p>
    <w:p w14:paraId="5C190D18" w14:textId="338872A3" w:rsidR="00D9267D" w:rsidRPr="0064264A" w:rsidRDefault="00D9267D" w:rsidP="00D9267D">
      <w:pPr>
        <w:spacing w:line="360" w:lineRule="auto"/>
        <w:jc w:val="both"/>
        <w:rPr>
          <w:rFonts w:eastAsia="Calibri"/>
          <w:lang w:val="es-ES_tradnl"/>
        </w:rPr>
      </w:pPr>
      <w:r w:rsidRPr="0064264A">
        <w:rPr>
          <w:rFonts w:eastAsia="Calibri"/>
          <w:noProof/>
          <w:lang w:val="es-DO"/>
        </w:rPr>
        <w:drawing>
          <wp:anchor distT="0" distB="0" distL="114300" distR="114300" simplePos="0" relativeHeight="251752448" behindDoc="0" locked="0" layoutInCell="1" allowOverlap="1" wp14:anchorId="5F2DC845" wp14:editId="7A68F9DF">
            <wp:simplePos x="0" y="0"/>
            <wp:positionH relativeFrom="column">
              <wp:posOffset>3089910</wp:posOffset>
            </wp:positionH>
            <wp:positionV relativeFrom="paragraph">
              <wp:posOffset>11430</wp:posOffset>
            </wp:positionV>
            <wp:extent cx="3063240" cy="3590290"/>
            <wp:effectExtent l="0" t="0" r="0" b="0"/>
            <wp:wrapSquare wrapText="bothSides"/>
            <wp:docPr id="1711531931" name="Chart 1711531931">
              <a:extLst xmlns:a="http://schemas.openxmlformats.org/drawingml/2006/main">
                <a:ext uri="{FF2B5EF4-FFF2-40B4-BE49-F238E27FC236}">
                  <a16:creationId xmlns:a16="http://schemas.microsoft.com/office/drawing/2014/main" id="{164ADD28-9054-43B6-BF44-EBEC1FD2F7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Pr="0064264A">
        <w:rPr>
          <w:rFonts w:eastAsia="Calibri"/>
          <w:lang w:val="es-ES_tradnl"/>
        </w:rPr>
        <w:t xml:space="preserve">El </w:t>
      </w:r>
      <w:r w:rsidRPr="0064264A">
        <w:rPr>
          <w:rFonts w:eastAsia="Calibri"/>
          <w:b/>
          <w:lang w:val="es-ES_tradnl"/>
        </w:rPr>
        <w:t>Resultado Operacional</w:t>
      </w:r>
      <w:r w:rsidRPr="0064264A">
        <w:rPr>
          <w:rFonts w:eastAsia="Calibri"/>
          <w:lang w:val="es-ES_tradnl"/>
        </w:rPr>
        <w:t xml:space="preserve"> para el año 2025 arrojó un déficit preliminar de RD$39,448.2 millones, siendo el mismo inferior al previsto en RD$28,075.9 millones (-41.6 %).</w:t>
      </w:r>
    </w:p>
    <w:p w14:paraId="6265BD75" w14:textId="14A29B54" w:rsidR="00D9267D" w:rsidRPr="0064264A" w:rsidRDefault="00D9267D" w:rsidP="00D9267D">
      <w:pPr>
        <w:spacing w:line="360" w:lineRule="auto"/>
        <w:jc w:val="both"/>
        <w:rPr>
          <w:rFonts w:eastAsia="Calibri"/>
          <w:lang w:val="es-DO"/>
        </w:rPr>
      </w:pPr>
      <w:r w:rsidRPr="0064264A">
        <w:rPr>
          <w:rFonts w:eastAsia="Calibri"/>
          <w:lang w:val="es-ES_tradnl"/>
        </w:rPr>
        <w:t xml:space="preserve">Los renglones de mayor incidencia en un menor déficit de lo esperado lo constituyeron la mayor ejecución de los Ingresos Corrientes por RD$19,875.5 (+74.8 %), y </w:t>
      </w:r>
      <w:r w:rsidRPr="0064264A">
        <w:rPr>
          <w:rFonts w:eastAsia="Calibri"/>
          <w:lang w:val="es-DO"/>
        </w:rPr>
        <w:t>menores Gastos Generales y Administrativos por RD$1,060.5 millones (-7.4 %); así como menores Costos y Gastos Financieros (- RD$7,148.3 millones).</w:t>
      </w:r>
    </w:p>
    <w:p w14:paraId="74220C2A" w14:textId="77777777" w:rsidR="00D9267D" w:rsidRPr="0064264A" w:rsidRDefault="00D9267D" w:rsidP="00D9267D">
      <w:pPr>
        <w:spacing w:line="360" w:lineRule="auto"/>
        <w:jc w:val="both"/>
        <w:rPr>
          <w:rFonts w:eastAsia="Calibri"/>
          <w:lang w:val="es-ES_tradnl"/>
        </w:rPr>
      </w:pPr>
      <w:r w:rsidRPr="0064264A">
        <w:rPr>
          <w:rFonts w:eastAsia="Calibri"/>
          <w:lang w:val="es-ES_tradnl"/>
        </w:rPr>
        <w:t>Comparado con la ejecución del año 2024, el Resultado Operacional preliminar registrado para el cierre, arrojó un déficit menor en RD$17,832.6 millones (-31.1 %), debido a mayores Ingresos Corrientes por RD$2,983.8 millones, y por transferencias para la Recapitalización del Banco (+ RD$4,212.2 millones), así como por menores egresos de los Costos y Gastos Financieros, por el orden de RD$12,008.6 millones.</w:t>
      </w:r>
    </w:p>
    <w:p w14:paraId="071C3EF1" w14:textId="77777777" w:rsidR="00B07742" w:rsidRPr="0064264A" w:rsidRDefault="00D9267D" w:rsidP="00D9267D">
      <w:pPr>
        <w:spacing w:line="360" w:lineRule="auto"/>
        <w:jc w:val="both"/>
        <w:rPr>
          <w:rFonts w:eastAsia="Calibri"/>
          <w:lang w:val="es-ES"/>
        </w:rPr>
      </w:pPr>
      <w:r w:rsidRPr="0064264A">
        <w:rPr>
          <w:rFonts w:eastAsia="Calibri"/>
          <w:lang w:val="es-ES"/>
        </w:rPr>
        <w:t>En resumen, este escenario responde a un resultado positivo en la gestión de las reservas internacionales, una ejecución racional del gasto, consistente con los estándares reconocidos internacionalmente como adecuados para instituciones homólogas a nivel regional;</w:t>
      </w:r>
    </w:p>
    <w:p w14:paraId="0EB645A6" w14:textId="24469B75" w:rsidR="00D9267D" w:rsidRPr="0064264A" w:rsidRDefault="00D9267D" w:rsidP="00B07742">
      <w:pPr>
        <w:spacing w:line="360" w:lineRule="auto"/>
        <w:jc w:val="both"/>
        <w:rPr>
          <w:rFonts w:eastAsia="Calibri"/>
          <w:lang w:val="es-ES"/>
        </w:rPr>
      </w:pPr>
      <w:r w:rsidRPr="0064264A">
        <w:rPr>
          <w:rFonts w:eastAsia="Calibri"/>
          <w:lang w:val="es-ES"/>
        </w:rPr>
        <w:lastRenderedPageBreak/>
        <w:t>así como el mantenimiento de costos operativos apegados a la ejecución de la política monetaria.</w:t>
      </w:r>
    </w:p>
    <w:p w14:paraId="658DAA3F" w14:textId="575A38D7" w:rsidR="00D07CD9" w:rsidRPr="00A2421E" w:rsidRDefault="00D9267D" w:rsidP="00A2421E">
      <w:pPr>
        <w:pStyle w:val="Heading1"/>
        <w:jc w:val="left"/>
        <w:rPr>
          <w:rFonts w:eastAsia="Calibri"/>
          <w:color w:val="767171"/>
          <w:lang w:val="es-DO"/>
        </w:rPr>
      </w:pPr>
      <w:bookmarkStart w:id="21" w:name="_Toc217386292"/>
      <w:r w:rsidRPr="0064264A">
        <w:rPr>
          <w:rFonts w:eastAsia="Calibri"/>
          <w:color w:val="767171"/>
          <w:lang w:val="es-DO"/>
        </w:rPr>
        <w:t>4.2 Desempeño de los Recursos Humanos</w:t>
      </w:r>
      <w:bookmarkEnd w:id="21"/>
    </w:p>
    <w:p w14:paraId="284DF4B0" w14:textId="77777777" w:rsidR="00D9267D" w:rsidRPr="0064264A" w:rsidRDefault="00D9267D" w:rsidP="00D9267D">
      <w:pPr>
        <w:spacing w:line="360" w:lineRule="auto"/>
        <w:jc w:val="both"/>
        <w:rPr>
          <w:rFonts w:eastAsia="Calibri"/>
          <w:lang w:val="es-DO"/>
        </w:rPr>
      </w:pPr>
      <w:r w:rsidRPr="0064264A">
        <w:rPr>
          <w:rFonts w:eastAsia="Calibri"/>
          <w:lang w:val="es-DO"/>
        </w:rPr>
        <w:t>El Departamento de Recursos Humanos es la responsable de asegurar la captación, y permanencia del personal idóneo en la Institución mediante la aplicación de normas y políticas definidas, asesorando a las autoridades sobre política de personal, con el apoyo de sistemas y estrategias que garanticen la eficiencia institucional y la satisfacción laboral.</w:t>
      </w:r>
    </w:p>
    <w:p w14:paraId="51B0C6B3" w14:textId="77777777" w:rsidR="00D9267D" w:rsidRPr="0064264A" w:rsidRDefault="00D9267D" w:rsidP="00D9267D">
      <w:pPr>
        <w:spacing w:line="360" w:lineRule="auto"/>
        <w:jc w:val="both"/>
        <w:rPr>
          <w:rFonts w:eastAsia="Calibri"/>
          <w:lang w:val="es-DO"/>
        </w:rPr>
      </w:pPr>
      <w:r w:rsidRPr="0064264A">
        <w:rPr>
          <w:rFonts w:eastAsia="Calibri"/>
          <w:lang w:val="es-DO"/>
        </w:rPr>
        <w:t>Los procesos de mejoras institucionales de la entidad monetaria han sido posibles gracias a la calidad de su capital humano, un conglomerado de sólida formación académica que mantiene un alto nivel de compromiso con sus responsabilidades laborales.</w:t>
      </w:r>
    </w:p>
    <w:p w14:paraId="05C3A04D" w14:textId="61F6B7DD" w:rsidR="00D9267D" w:rsidRPr="0064264A" w:rsidRDefault="00D9267D" w:rsidP="00D9267D">
      <w:pPr>
        <w:spacing w:line="360" w:lineRule="auto"/>
        <w:jc w:val="both"/>
        <w:rPr>
          <w:rFonts w:eastAsia="Calibri"/>
          <w:lang w:val="es-DO"/>
        </w:rPr>
      </w:pPr>
      <w:r w:rsidRPr="0064264A">
        <w:rPr>
          <w:rFonts w:eastAsia="Calibri"/>
          <w:lang w:val="es-DO"/>
        </w:rPr>
        <w:t xml:space="preserve">El Banco Central está conformado </w:t>
      </w:r>
      <w:r w:rsidR="005B169F" w:rsidRPr="0064264A">
        <w:rPr>
          <w:rFonts w:eastAsia="Calibri"/>
          <w:lang w:val="es-DO"/>
        </w:rPr>
        <w:t>de acuerdo con el</w:t>
      </w:r>
      <w:r w:rsidRPr="0064264A">
        <w:rPr>
          <w:rFonts w:eastAsia="Calibri"/>
          <w:lang w:val="es-DO"/>
        </w:rPr>
        <w:t xml:space="preserve"> grupo ocupacional por el Gobernador, la Vicegobernadora, el Gerente, Contralor, Grupo Gerencial, Grupo Directivo, Grupo Subdirección, Grupo Mandos Medios, Grupo Profesional o Técnico y Grupo Apoyo.</w:t>
      </w:r>
    </w:p>
    <w:p w14:paraId="7D54D146" w14:textId="77777777" w:rsidR="00D07CD9" w:rsidRPr="0064264A" w:rsidRDefault="00D07CD9" w:rsidP="00D9267D">
      <w:pPr>
        <w:spacing w:line="360" w:lineRule="auto"/>
        <w:jc w:val="both"/>
        <w:rPr>
          <w:rFonts w:eastAsia="Calibri"/>
          <w:lang w:val="es-DO"/>
        </w:rPr>
      </w:pPr>
    </w:p>
    <w:p w14:paraId="3CE96EE8" w14:textId="77777777" w:rsidR="00D9267D" w:rsidRPr="0064264A" w:rsidRDefault="00D9267D" w:rsidP="00B07742">
      <w:pPr>
        <w:spacing w:line="360" w:lineRule="auto"/>
        <w:rPr>
          <w:rFonts w:eastAsia="Calibri"/>
          <w:lang w:val="es-DO"/>
        </w:rPr>
      </w:pPr>
      <w:r w:rsidRPr="0064264A">
        <w:rPr>
          <w:rFonts w:eastAsia="Calibri"/>
          <w:lang w:val="es-DO"/>
        </w:rPr>
        <w:t>Cantidad de Empleados Activos por Localidad</w:t>
      </w:r>
    </w:p>
    <w:tbl>
      <w:tblPr>
        <w:tblW w:w="7073" w:type="dxa"/>
        <w:jc w:val="center"/>
        <w:tblCellMar>
          <w:left w:w="70" w:type="dxa"/>
          <w:right w:w="70" w:type="dxa"/>
        </w:tblCellMar>
        <w:tblLook w:val="04A0" w:firstRow="1" w:lastRow="0" w:firstColumn="1" w:lastColumn="0" w:noHBand="0" w:noVBand="1"/>
      </w:tblPr>
      <w:tblGrid>
        <w:gridCol w:w="3671"/>
        <w:gridCol w:w="1559"/>
        <w:gridCol w:w="1843"/>
      </w:tblGrid>
      <w:tr w:rsidR="0064264A" w:rsidRPr="0064264A" w14:paraId="77B6E38F" w14:textId="77777777" w:rsidTr="00953742">
        <w:trPr>
          <w:trHeight w:val="340"/>
          <w:jc w:val="center"/>
        </w:trPr>
        <w:tc>
          <w:tcPr>
            <w:tcW w:w="3671"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2509851" w14:textId="77777777" w:rsidR="00D9267D" w:rsidRPr="00F61DE8" w:rsidRDefault="00D9267D" w:rsidP="00D9267D">
            <w:pPr>
              <w:spacing w:line="360" w:lineRule="auto"/>
              <w:jc w:val="both"/>
              <w:rPr>
                <w:rFonts w:eastAsia="Calibri"/>
                <w:color w:val="FFFFFF" w:themeColor="background1"/>
                <w:lang w:val="es-DO"/>
              </w:rPr>
            </w:pPr>
            <w:r w:rsidRPr="00F61DE8">
              <w:rPr>
                <w:rFonts w:eastAsia="Calibri"/>
                <w:color w:val="FFFFFF" w:themeColor="background1"/>
                <w:lang w:val="es-DO"/>
              </w:rPr>
              <w:t>Localidad</w:t>
            </w:r>
          </w:p>
        </w:tc>
        <w:tc>
          <w:tcPr>
            <w:tcW w:w="1559" w:type="dxa"/>
            <w:tcBorders>
              <w:top w:val="single" w:sz="12" w:space="0" w:color="1F4E79"/>
              <w:left w:val="nil"/>
              <w:bottom w:val="single" w:sz="12" w:space="0" w:color="1F4E79"/>
              <w:right w:val="single" w:sz="12" w:space="0" w:color="1F4E79"/>
            </w:tcBorders>
            <w:shd w:val="clear" w:color="000000" w:fill="002060"/>
            <w:vAlign w:val="center"/>
            <w:hideMark/>
          </w:tcPr>
          <w:p w14:paraId="48F033B1" w14:textId="77777777" w:rsidR="00D9267D" w:rsidRPr="00F61DE8" w:rsidRDefault="00D9267D" w:rsidP="00D9267D">
            <w:pPr>
              <w:spacing w:line="360" w:lineRule="auto"/>
              <w:jc w:val="both"/>
              <w:rPr>
                <w:rFonts w:eastAsia="Calibri"/>
                <w:color w:val="FFFFFF" w:themeColor="background1"/>
                <w:lang w:val="es-DO"/>
              </w:rPr>
            </w:pPr>
            <w:r w:rsidRPr="00F61DE8">
              <w:rPr>
                <w:rFonts w:eastAsia="Calibri"/>
                <w:color w:val="FFFFFF" w:themeColor="background1"/>
                <w:lang w:val="es-DO"/>
              </w:rPr>
              <w:t>Cantidad</w:t>
            </w:r>
          </w:p>
        </w:tc>
        <w:tc>
          <w:tcPr>
            <w:tcW w:w="1843" w:type="dxa"/>
            <w:tcBorders>
              <w:top w:val="single" w:sz="12" w:space="0" w:color="1F4E79"/>
              <w:left w:val="nil"/>
              <w:bottom w:val="single" w:sz="12" w:space="0" w:color="1F4E79"/>
              <w:right w:val="single" w:sz="12" w:space="0" w:color="1F4E79"/>
            </w:tcBorders>
            <w:shd w:val="clear" w:color="000000" w:fill="002060"/>
            <w:vAlign w:val="center"/>
            <w:hideMark/>
          </w:tcPr>
          <w:p w14:paraId="41FBE617" w14:textId="77777777" w:rsidR="00D9267D" w:rsidRPr="00F61DE8" w:rsidRDefault="00D9267D" w:rsidP="00D9267D">
            <w:pPr>
              <w:spacing w:line="360" w:lineRule="auto"/>
              <w:jc w:val="both"/>
              <w:rPr>
                <w:rFonts w:eastAsia="Calibri"/>
                <w:color w:val="FFFFFF" w:themeColor="background1"/>
                <w:lang w:val="es-DO"/>
              </w:rPr>
            </w:pPr>
            <w:r w:rsidRPr="00F61DE8">
              <w:rPr>
                <w:rFonts w:eastAsia="Calibri"/>
                <w:color w:val="FFFFFF" w:themeColor="background1"/>
                <w:lang w:val="es-DO"/>
              </w:rPr>
              <w:t>Participación</w:t>
            </w:r>
          </w:p>
        </w:tc>
      </w:tr>
      <w:tr w:rsidR="0064264A" w:rsidRPr="0064264A" w14:paraId="287622AF" w14:textId="77777777" w:rsidTr="00953742">
        <w:trPr>
          <w:trHeight w:val="340"/>
          <w:jc w:val="center"/>
        </w:trPr>
        <w:tc>
          <w:tcPr>
            <w:tcW w:w="3671" w:type="dxa"/>
            <w:tcBorders>
              <w:top w:val="nil"/>
              <w:left w:val="single" w:sz="12" w:space="0" w:color="1F4E79"/>
              <w:bottom w:val="single" w:sz="12" w:space="0" w:color="1F4E79"/>
              <w:right w:val="single" w:sz="12" w:space="0" w:color="1F4E79"/>
            </w:tcBorders>
            <w:vAlign w:val="center"/>
            <w:hideMark/>
          </w:tcPr>
          <w:p w14:paraId="3E44D1AC" w14:textId="77777777" w:rsidR="00D9267D" w:rsidRPr="0064264A" w:rsidRDefault="00D9267D" w:rsidP="00D9267D">
            <w:pPr>
              <w:spacing w:line="360" w:lineRule="auto"/>
              <w:jc w:val="both"/>
              <w:rPr>
                <w:rFonts w:eastAsia="Calibri"/>
                <w:lang w:val="es-DO"/>
              </w:rPr>
            </w:pPr>
            <w:r w:rsidRPr="0064264A">
              <w:rPr>
                <w:rFonts w:eastAsia="Calibri"/>
                <w:lang w:val="es-DO"/>
              </w:rPr>
              <w:t>Sede Central</w:t>
            </w:r>
          </w:p>
        </w:tc>
        <w:tc>
          <w:tcPr>
            <w:tcW w:w="1559" w:type="dxa"/>
            <w:tcBorders>
              <w:top w:val="nil"/>
              <w:left w:val="nil"/>
              <w:bottom w:val="single" w:sz="12" w:space="0" w:color="1F4E79"/>
              <w:right w:val="single" w:sz="12" w:space="0" w:color="1F4E79"/>
            </w:tcBorders>
            <w:vAlign w:val="center"/>
            <w:hideMark/>
          </w:tcPr>
          <w:p w14:paraId="712C7C89" w14:textId="77777777" w:rsidR="00D9267D" w:rsidRPr="0064264A" w:rsidRDefault="00D9267D" w:rsidP="00D9267D">
            <w:pPr>
              <w:spacing w:line="360" w:lineRule="auto"/>
              <w:jc w:val="both"/>
              <w:rPr>
                <w:rFonts w:eastAsia="Calibri"/>
                <w:lang w:val="es-DO"/>
              </w:rPr>
            </w:pPr>
            <w:r w:rsidRPr="0064264A">
              <w:rPr>
                <w:rFonts w:eastAsia="Calibri"/>
                <w:lang w:val="es-DO"/>
              </w:rPr>
              <w:t>1,826</w:t>
            </w:r>
          </w:p>
        </w:tc>
        <w:tc>
          <w:tcPr>
            <w:tcW w:w="1843" w:type="dxa"/>
            <w:tcBorders>
              <w:top w:val="nil"/>
              <w:left w:val="nil"/>
              <w:bottom w:val="single" w:sz="12" w:space="0" w:color="1F4E79"/>
              <w:right w:val="single" w:sz="12" w:space="0" w:color="1F4E79"/>
            </w:tcBorders>
            <w:vAlign w:val="center"/>
            <w:hideMark/>
          </w:tcPr>
          <w:p w14:paraId="52B297CB" w14:textId="77777777" w:rsidR="00D9267D" w:rsidRPr="0064264A" w:rsidRDefault="00D9267D" w:rsidP="00D9267D">
            <w:pPr>
              <w:spacing w:line="360" w:lineRule="auto"/>
              <w:jc w:val="both"/>
              <w:rPr>
                <w:rFonts w:eastAsia="Calibri"/>
                <w:lang w:val="es-DO"/>
              </w:rPr>
            </w:pPr>
            <w:r w:rsidRPr="0064264A">
              <w:rPr>
                <w:rFonts w:eastAsia="Calibri"/>
                <w:lang w:val="es-DO"/>
              </w:rPr>
              <w:t>95%</w:t>
            </w:r>
          </w:p>
        </w:tc>
      </w:tr>
      <w:tr w:rsidR="0064264A" w:rsidRPr="0064264A" w14:paraId="5738D17D" w14:textId="77777777" w:rsidTr="00953742">
        <w:trPr>
          <w:trHeight w:val="340"/>
          <w:jc w:val="center"/>
        </w:trPr>
        <w:tc>
          <w:tcPr>
            <w:tcW w:w="3671" w:type="dxa"/>
            <w:tcBorders>
              <w:top w:val="nil"/>
              <w:left w:val="single" w:sz="12" w:space="0" w:color="1F4E79"/>
              <w:bottom w:val="single" w:sz="12" w:space="0" w:color="1F4E79"/>
              <w:right w:val="single" w:sz="12" w:space="0" w:color="1F4E79"/>
            </w:tcBorders>
            <w:vAlign w:val="center"/>
            <w:hideMark/>
          </w:tcPr>
          <w:p w14:paraId="571D688B" w14:textId="77777777" w:rsidR="00D9267D" w:rsidRPr="0064264A" w:rsidRDefault="00D9267D" w:rsidP="00D9267D">
            <w:pPr>
              <w:spacing w:line="360" w:lineRule="auto"/>
              <w:jc w:val="both"/>
              <w:rPr>
                <w:rFonts w:eastAsia="Calibri"/>
                <w:lang w:val="es-DO"/>
              </w:rPr>
            </w:pPr>
            <w:r w:rsidRPr="0064264A">
              <w:rPr>
                <w:rFonts w:eastAsia="Calibri"/>
                <w:lang w:val="es-DO"/>
              </w:rPr>
              <w:t>Ofician Regional</w:t>
            </w:r>
          </w:p>
        </w:tc>
        <w:tc>
          <w:tcPr>
            <w:tcW w:w="1559" w:type="dxa"/>
            <w:tcBorders>
              <w:top w:val="nil"/>
              <w:left w:val="nil"/>
              <w:bottom w:val="single" w:sz="12" w:space="0" w:color="1F4E79"/>
              <w:right w:val="single" w:sz="12" w:space="0" w:color="1F4E79"/>
            </w:tcBorders>
            <w:hideMark/>
          </w:tcPr>
          <w:p w14:paraId="1E407597" w14:textId="77777777" w:rsidR="00D9267D" w:rsidRPr="0064264A" w:rsidRDefault="00D9267D" w:rsidP="00D9267D">
            <w:pPr>
              <w:spacing w:line="360" w:lineRule="auto"/>
              <w:jc w:val="both"/>
              <w:rPr>
                <w:rFonts w:eastAsia="Calibri"/>
                <w:lang w:val="es-DO"/>
              </w:rPr>
            </w:pPr>
            <w:r w:rsidRPr="0064264A">
              <w:rPr>
                <w:rFonts w:eastAsia="Calibri"/>
                <w:lang w:val="es-DO"/>
              </w:rPr>
              <w:t>91</w:t>
            </w:r>
          </w:p>
        </w:tc>
        <w:tc>
          <w:tcPr>
            <w:tcW w:w="1843" w:type="dxa"/>
            <w:tcBorders>
              <w:top w:val="nil"/>
              <w:left w:val="nil"/>
              <w:bottom w:val="single" w:sz="12" w:space="0" w:color="1F4E79"/>
              <w:right w:val="single" w:sz="12" w:space="0" w:color="1F4E79"/>
            </w:tcBorders>
            <w:hideMark/>
          </w:tcPr>
          <w:p w14:paraId="29EBD435" w14:textId="77777777" w:rsidR="00D9267D" w:rsidRPr="0064264A" w:rsidRDefault="00D9267D" w:rsidP="00D9267D">
            <w:pPr>
              <w:spacing w:line="360" w:lineRule="auto"/>
              <w:jc w:val="both"/>
              <w:rPr>
                <w:rFonts w:eastAsia="Calibri"/>
                <w:lang w:val="es-DO"/>
              </w:rPr>
            </w:pPr>
            <w:r w:rsidRPr="0064264A">
              <w:rPr>
                <w:rFonts w:eastAsia="Calibri"/>
                <w:lang w:val="es-DO"/>
              </w:rPr>
              <w:t>5%</w:t>
            </w:r>
          </w:p>
        </w:tc>
      </w:tr>
      <w:tr w:rsidR="0064264A" w:rsidRPr="0064264A" w14:paraId="3422F51A" w14:textId="77777777" w:rsidTr="00953742">
        <w:trPr>
          <w:trHeight w:val="340"/>
          <w:jc w:val="center"/>
        </w:trPr>
        <w:tc>
          <w:tcPr>
            <w:tcW w:w="3671" w:type="dxa"/>
            <w:tcBorders>
              <w:top w:val="nil"/>
              <w:left w:val="single" w:sz="12" w:space="0" w:color="1F4E79"/>
              <w:bottom w:val="single" w:sz="12" w:space="0" w:color="1F4E79"/>
              <w:right w:val="single" w:sz="12" w:space="0" w:color="1F4E79"/>
            </w:tcBorders>
            <w:shd w:val="clear" w:color="auto" w:fill="002060"/>
            <w:vAlign w:val="center"/>
            <w:hideMark/>
          </w:tcPr>
          <w:p w14:paraId="39C99941" w14:textId="77777777" w:rsidR="00D9267D" w:rsidRPr="00F61DE8" w:rsidRDefault="00D9267D" w:rsidP="004967BF">
            <w:pPr>
              <w:spacing w:line="360" w:lineRule="auto"/>
              <w:jc w:val="center"/>
              <w:rPr>
                <w:rFonts w:eastAsia="Calibri"/>
                <w:color w:val="FFFFFF" w:themeColor="background1"/>
                <w:lang w:val="es-DO"/>
              </w:rPr>
            </w:pPr>
            <w:r w:rsidRPr="00F61DE8">
              <w:rPr>
                <w:rFonts w:eastAsia="Calibri"/>
                <w:color w:val="FFFFFF" w:themeColor="background1"/>
                <w:lang w:val="es-DO"/>
              </w:rPr>
              <w:t>Total</w:t>
            </w:r>
          </w:p>
        </w:tc>
        <w:tc>
          <w:tcPr>
            <w:tcW w:w="1559" w:type="dxa"/>
            <w:tcBorders>
              <w:top w:val="nil"/>
              <w:left w:val="nil"/>
              <w:bottom w:val="single" w:sz="12" w:space="0" w:color="1F4E79"/>
              <w:right w:val="single" w:sz="12" w:space="0" w:color="1F4E79"/>
            </w:tcBorders>
            <w:shd w:val="clear" w:color="auto" w:fill="002060"/>
            <w:vAlign w:val="center"/>
            <w:hideMark/>
          </w:tcPr>
          <w:p w14:paraId="06091B39" w14:textId="77777777" w:rsidR="00D9267D" w:rsidRPr="00F61DE8" w:rsidRDefault="00D9267D" w:rsidP="004967BF">
            <w:pPr>
              <w:spacing w:line="360" w:lineRule="auto"/>
              <w:jc w:val="center"/>
              <w:rPr>
                <w:rFonts w:eastAsia="Calibri"/>
                <w:color w:val="FFFFFF" w:themeColor="background1"/>
                <w:lang w:val="es-DO"/>
              </w:rPr>
            </w:pPr>
            <w:r w:rsidRPr="00F61DE8">
              <w:rPr>
                <w:rFonts w:eastAsia="Calibri"/>
                <w:color w:val="FFFFFF" w:themeColor="background1"/>
                <w:lang w:val="es-DO"/>
              </w:rPr>
              <w:t>1,864</w:t>
            </w:r>
          </w:p>
        </w:tc>
        <w:tc>
          <w:tcPr>
            <w:tcW w:w="1843" w:type="dxa"/>
            <w:tcBorders>
              <w:top w:val="nil"/>
              <w:left w:val="nil"/>
              <w:bottom w:val="single" w:sz="12" w:space="0" w:color="1F4E79"/>
              <w:right w:val="single" w:sz="12" w:space="0" w:color="1F4E79"/>
            </w:tcBorders>
            <w:shd w:val="clear" w:color="auto" w:fill="002060"/>
            <w:vAlign w:val="center"/>
            <w:hideMark/>
          </w:tcPr>
          <w:p w14:paraId="26660D8F" w14:textId="77777777" w:rsidR="00D9267D" w:rsidRPr="00F61DE8" w:rsidRDefault="00D9267D" w:rsidP="004967BF">
            <w:pPr>
              <w:spacing w:line="360" w:lineRule="auto"/>
              <w:jc w:val="center"/>
              <w:rPr>
                <w:rFonts w:eastAsia="Calibri"/>
                <w:color w:val="FFFFFF" w:themeColor="background1"/>
                <w:lang w:val="es-DO"/>
              </w:rPr>
            </w:pPr>
            <w:r w:rsidRPr="00F61DE8">
              <w:rPr>
                <w:rFonts w:eastAsia="Calibri"/>
                <w:color w:val="FFFFFF" w:themeColor="background1"/>
                <w:lang w:val="es-DO"/>
              </w:rPr>
              <w:t>100%</w:t>
            </w:r>
          </w:p>
        </w:tc>
      </w:tr>
    </w:tbl>
    <w:p w14:paraId="616054C1" w14:textId="19549B75" w:rsidR="005B169F" w:rsidRPr="0064264A" w:rsidRDefault="00D9267D" w:rsidP="004967BF">
      <w:pPr>
        <w:spacing w:line="360" w:lineRule="auto"/>
        <w:jc w:val="center"/>
        <w:rPr>
          <w:rFonts w:eastAsia="Calibri"/>
          <w:b/>
          <w:sz w:val="22"/>
          <w:szCs w:val="22"/>
          <w:lang w:val="es-DO"/>
        </w:rPr>
      </w:pPr>
      <w:bookmarkStart w:id="22" w:name="_Hlk121920528"/>
      <w:r w:rsidRPr="0064264A">
        <w:rPr>
          <w:rFonts w:eastAsia="Calibri"/>
          <w:b/>
          <w:sz w:val="22"/>
          <w:szCs w:val="22"/>
          <w:lang w:val="es-DO"/>
        </w:rPr>
        <w:t>Fuente: Depto. de Recursos Humanos</w:t>
      </w:r>
      <w:bookmarkEnd w:id="22"/>
    </w:p>
    <w:p w14:paraId="160DCFCE" w14:textId="77777777" w:rsidR="00D07CD9" w:rsidRPr="0064264A" w:rsidRDefault="00D07CD9" w:rsidP="004967BF">
      <w:pPr>
        <w:spacing w:line="360" w:lineRule="auto"/>
        <w:jc w:val="center"/>
        <w:rPr>
          <w:rFonts w:eastAsia="Calibri"/>
          <w:b/>
          <w:sz w:val="22"/>
          <w:szCs w:val="22"/>
          <w:lang w:val="es-DO"/>
        </w:rPr>
      </w:pPr>
    </w:p>
    <w:p w14:paraId="663D747B" w14:textId="77777777" w:rsidR="00D07CD9" w:rsidRPr="0064264A" w:rsidRDefault="00D07CD9" w:rsidP="004967BF">
      <w:pPr>
        <w:spacing w:line="360" w:lineRule="auto"/>
        <w:jc w:val="center"/>
        <w:rPr>
          <w:rFonts w:eastAsia="Calibri"/>
          <w:b/>
          <w:sz w:val="22"/>
          <w:szCs w:val="22"/>
          <w:lang w:val="es-DO"/>
        </w:rPr>
      </w:pPr>
    </w:p>
    <w:p w14:paraId="4EC3D7CE" w14:textId="77777777" w:rsidR="00D07CD9" w:rsidRPr="0064264A" w:rsidRDefault="00D07CD9" w:rsidP="004967BF">
      <w:pPr>
        <w:spacing w:line="360" w:lineRule="auto"/>
        <w:jc w:val="center"/>
        <w:rPr>
          <w:rFonts w:eastAsia="Calibri"/>
          <w:b/>
          <w:sz w:val="22"/>
          <w:szCs w:val="22"/>
          <w:lang w:val="es-DO"/>
        </w:rPr>
      </w:pPr>
    </w:p>
    <w:p w14:paraId="4BCF1CED" w14:textId="77777777" w:rsidR="00D07CD9" w:rsidRPr="0064264A" w:rsidRDefault="00D07CD9" w:rsidP="004967BF">
      <w:pPr>
        <w:spacing w:line="360" w:lineRule="auto"/>
        <w:jc w:val="center"/>
        <w:rPr>
          <w:rFonts w:eastAsia="Calibri"/>
          <w:b/>
          <w:sz w:val="22"/>
          <w:szCs w:val="22"/>
          <w:lang w:val="es-DO"/>
        </w:rPr>
      </w:pPr>
    </w:p>
    <w:p w14:paraId="4F772FEA" w14:textId="77777777" w:rsidR="00D9267D" w:rsidRPr="0064264A" w:rsidRDefault="00D9267D" w:rsidP="00D9267D">
      <w:pPr>
        <w:spacing w:line="360" w:lineRule="auto"/>
        <w:jc w:val="both"/>
        <w:rPr>
          <w:rFonts w:eastAsia="Calibri"/>
          <w:lang w:val="es-DO"/>
        </w:rPr>
      </w:pPr>
      <w:r w:rsidRPr="0064264A">
        <w:rPr>
          <w:rFonts w:eastAsia="Calibri"/>
          <w:lang w:val="es-DO"/>
        </w:rPr>
        <w:t>Distribución de Empleados Activos por Grupo Ocupacional</w:t>
      </w:r>
    </w:p>
    <w:tbl>
      <w:tblPr>
        <w:tblW w:w="4860" w:type="dxa"/>
        <w:tblInd w:w="1065" w:type="dxa"/>
        <w:tblCellMar>
          <w:left w:w="70" w:type="dxa"/>
          <w:right w:w="70" w:type="dxa"/>
        </w:tblCellMar>
        <w:tblLook w:val="04A0" w:firstRow="1" w:lastRow="0" w:firstColumn="1" w:lastColumn="0" w:noHBand="0" w:noVBand="1"/>
      </w:tblPr>
      <w:tblGrid>
        <w:gridCol w:w="3510"/>
        <w:gridCol w:w="1350"/>
      </w:tblGrid>
      <w:tr w:rsidR="0064264A" w:rsidRPr="0064264A" w14:paraId="142F23E1" w14:textId="77777777" w:rsidTr="00752C2A">
        <w:trPr>
          <w:trHeight w:val="545"/>
          <w:tblHeader/>
        </w:trPr>
        <w:tc>
          <w:tcPr>
            <w:tcW w:w="3510"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2A75FC0D" w14:textId="77777777" w:rsidR="00D9267D" w:rsidRPr="00F61DE8" w:rsidRDefault="00D9267D" w:rsidP="00D9267D">
            <w:pPr>
              <w:spacing w:line="360" w:lineRule="auto"/>
              <w:jc w:val="both"/>
              <w:rPr>
                <w:rFonts w:eastAsia="Calibri"/>
                <w:color w:val="FFFFFF" w:themeColor="background1"/>
                <w:lang w:val="es-DO"/>
              </w:rPr>
            </w:pPr>
            <w:r w:rsidRPr="00F61DE8">
              <w:rPr>
                <w:rFonts w:eastAsia="Calibri"/>
                <w:color w:val="FFFFFF" w:themeColor="background1"/>
                <w:lang w:val="es-DO"/>
              </w:rPr>
              <w:t>Grupo Ocupacional</w:t>
            </w:r>
          </w:p>
        </w:tc>
        <w:tc>
          <w:tcPr>
            <w:tcW w:w="1350" w:type="dxa"/>
            <w:tcBorders>
              <w:top w:val="single" w:sz="12" w:space="0" w:color="1F4E79"/>
              <w:left w:val="nil"/>
              <w:bottom w:val="single" w:sz="12" w:space="0" w:color="1F4E79"/>
              <w:right w:val="single" w:sz="12" w:space="0" w:color="1F4E79"/>
            </w:tcBorders>
            <w:shd w:val="clear" w:color="000000" w:fill="002060"/>
            <w:vAlign w:val="center"/>
            <w:hideMark/>
          </w:tcPr>
          <w:p w14:paraId="0B53429C" w14:textId="77777777" w:rsidR="00D9267D" w:rsidRPr="00F61DE8" w:rsidRDefault="00D9267D" w:rsidP="00D9267D">
            <w:pPr>
              <w:spacing w:line="360" w:lineRule="auto"/>
              <w:jc w:val="both"/>
              <w:rPr>
                <w:rFonts w:eastAsia="Calibri"/>
                <w:color w:val="FFFFFF" w:themeColor="background1"/>
                <w:lang w:val="es-DO"/>
              </w:rPr>
            </w:pPr>
            <w:r w:rsidRPr="00F61DE8">
              <w:rPr>
                <w:rFonts w:eastAsia="Calibri"/>
                <w:color w:val="FFFFFF" w:themeColor="background1"/>
                <w:lang w:val="es-DO"/>
              </w:rPr>
              <w:t>Cantidad</w:t>
            </w:r>
          </w:p>
        </w:tc>
      </w:tr>
      <w:tr w:rsidR="0064264A" w:rsidRPr="0064264A" w14:paraId="2BEB0D39" w14:textId="77777777" w:rsidTr="00953742">
        <w:trPr>
          <w:trHeight w:val="340"/>
        </w:trPr>
        <w:tc>
          <w:tcPr>
            <w:tcW w:w="3510" w:type="dxa"/>
            <w:tcBorders>
              <w:top w:val="nil"/>
              <w:left w:val="single" w:sz="12" w:space="0" w:color="1F4E79"/>
              <w:bottom w:val="single" w:sz="12" w:space="0" w:color="1F4E79"/>
              <w:right w:val="single" w:sz="12" w:space="0" w:color="1F4E79"/>
            </w:tcBorders>
            <w:vAlign w:val="center"/>
            <w:hideMark/>
          </w:tcPr>
          <w:p w14:paraId="6F8033F8" w14:textId="77777777" w:rsidR="00D9267D" w:rsidRPr="0064264A" w:rsidRDefault="00D9267D" w:rsidP="00D9267D">
            <w:pPr>
              <w:spacing w:line="360" w:lineRule="auto"/>
              <w:jc w:val="both"/>
              <w:rPr>
                <w:rFonts w:eastAsia="Calibri"/>
                <w:lang w:val="es-DO"/>
              </w:rPr>
            </w:pPr>
            <w:r w:rsidRPr="0064264A">
              <w:rPr>
                <w:rFonts w:eastAsia="Calibri"/>
                <w:lang w:val="es-DO"/>
              </w:rPr>
              <w:t>Autoridades</w:t>
            </w:r>
          </w:p>
        </w:tc>
        <w:tc>
          <w:tcPr>
            <w:tcW w:w="1350" w:type="dxa"/>
            <w:tcBorders>
              <w:top w:val="nil"/>
              <w:left w:val="nil"/>
              <w:bottom w:val="single" w:sz="12" w:space="0" w:color="1F4E79"/>
              <w:right w:val="single" w:sz="12" w:space="0" w:color="1F4E79"/>
            </w:tcBorders>
            <w:vAlign w:val="bottom"/>
            <w:hideMark/>
          </w:tcPr>
          <w:p w14:paraId="2456AB01" w14:textId="77777777" w:rsidR="00D9267D" w:rsidRPr="0064264A" w:rsidRDefault="00D9267D" w:rsidP="00D9267D">
            <w:pPr>
              <w:spacing w:line="360" w:lineRule="auto"/>
              <w:jc w:val="both"/>
              <w:rPr>
                <w:rFonts w:eastAsia="Calibri"/>
                <w:lang w:val="es-DO"/>
              </w:rPr>
            </w:pPr>
            <w:r w:rsidRPr="0064264A">
              <w:rPr>
                <w:rFonts w:eastAsia="Calibri"/>
                <w:lang w:val="es-ES"/>
              </w:rPr>
              <w:t>2</w:t>
            </w:r>
          </w:p>
        </w:tc>
      </w:tr>
      <w:tr w:rsidR="0064264A" w:rsidRPr="0064264A" w14:paraId="72764706" w14:textId="77777777" w:rsidTr="00953742">
        <w:trPr>
          <w:trHeight w:val="340"/>
        </w:trPr>
        <w:tc>
          <w:tcPr>
            <w:tcW w:w="3510" w:type="dxa"/>
            <w:tcBorders>
              <w:top w:val="nil"/>
              <w:left w:val="single" w:sz="12" w:space="0" w:color="1F4E79"/>
              <w:bottom w:val="single" w:sz="12" w:space="0" w:color="1F4E79"/>
              <w:right w:val="single" w:sz="12" w:space="0" w:color="1F4E79"/>
            </w:tcBorders>
            <w:vAlign w:val="center"/>
            <w:hideMark/>
          </w:tcPr>
          <w:p w14:paraId="7366FE99" w14:textId="77777777" w:rsidR="00D9267D" w:rsidRPr="0064264A" w:rsidRDefault="00D9267D" w:rsidP="00D9267D">
            <w:pPr>
              <w:spacing w:line="360" w:lineRule="auto"/>
              <w:jc w:val="both"/>
              <w:rPr>
                <w:rFonts w:eastAsia="Calibri"/>
                <w:lang w:val="es-DO"/>
              </w:rPr>
            </w:pPr>
            <w:r w:rsidRPr="0064264A">
              <w:rPr>
                <w:rFonts w:eastAsia="Calibri"/>
                <w:lang w:val="es-DO"/>
              </w:rPr>
              <w:t>Gerente</w:t>
            </w:r>
          </w:p>
        </w:tc>
        <w:tc>
          <w:tcPr>
            <w:tcW w:w="1350" w:type="dxa"/>
            <w:tcBorders>
              <w:top w:val="nil"/>
              <w:left w:val="nil"/>
              <w:bottom w:val="single" w:sz="12" w:space="0" w:color="1F4E79"/>
              <w:right w:val="single" w:sz="12" w:space="0" w:color="1F4E79"/>
            </w:tcBorders>
            <w:vAlign w:val="bottom"/>
            <w:hideMark/>
          </w:tcPr>
          <w:p w14:paraId="51422AF1" w14:textId="77777777" w:rsidR="00D9267D" w:rsidRPr="0064264A" w:rsidRDefault="00D9267D" w:rsidP="00D9267D">
            <w:pPr>
              <w:spacing w:line="360" w:lineRule="auto"/>
              <w:jc w:val="both"/>
              <w:rPr>
                <w:rFonts w:eastAsia="Calibri"/>
                <w:lang w:val="es-DO"/>
              </w:rPr>
            </w:pPr>
            <w:r w:rsidRPr="0064264A">
              <w:rPr>
                <w:rFonts w:eastAsia="Calibri"/>
                <w:lang w:val="es-ES"/>
              </w:rPr>
              <w:t>1</w:t>
            </w:r>
          </w:p>
        </w:tc>
      </w:tr>
      <w:tr w:rsidR="0064264A" w:rsidRPr="0064264A" w14:paraId="44FF7F75" w14:textId="77777777" w:rsidTr="00953742">
        <w:trPr>
          <w:trHeight w:val="340"/>
        </w:trPr>
        <w:tc>
          <w:tcPr>
            <w:tcW w:w="3510" w:type="dxa"/>
            <w:tcBorders>
              <w:top w:val="nil"/>
              <w:left w:val="single" w:sz="12" w:space="0" w:color="1F4E79"/>
              <w:bottom w:val="single" w:sz="12" w:space="0" w:color="1F4E79"/>
              <w:right w:val="single" w:sz="12" w:space="0" w:color="1F4E79"/>
            </w:tcBorders>
            <w:vAlign w:val="center"/>
            <w:hideMark/>
          </w:tcPr>
          <w:p w14:paraId="3E8FAB77" w14:textId="77777777" w:rsidR="00D9267D" w:rsidRPr="0064264A" w:rsidRDefault="00D9267D" w:rsidP="00D9267D">
            <w:pPr>
              <w:spacing w:line="360" w:lineRule="auto"/>
              <w:jc w:val="both"/>
              <w:rPr>
                <w:rFonts w:eastAsia="Calibri"/>
                <w:lang w:val="es-DO"/>
              </w:rPr>
            </w:pPr>
            <w:r w:rsidRPr="0064264A">
              <w:rPr>
                <w:rFonts w:eastAsia="Calibri"/>
                <w:lang w:val="es-DO"/>
              </w:rPr>
              <w:t>Contralor</w:t>
            </w:r>
          </w:p>
        </w:tc>
        <w:tc>
          <w:tcPr>
            <w:tcW w:w="1350" w:type="dxa"/>
            <w:tcBorders>
              <w:top w:val="nil"/>
              <w:left w:val="nil"/>
              <w:bottom w:val="single" w:sz="12" w:space="0" w:color="1F4E79"/>
              <w:right w:val="single" w:sz="12" w:space="0" w:color="1F4E79"/>
            </w:tcBorders>
            <w:vAlign w:val="bottom"/>
            <w:hideMark/>
          </w:tcPr>
          <w:p w14:paraId="28B1B87E" w14:textId="77777777" w:rsidR="00D9267D" w:rsidRPr="0064264A" w:rsidRDefault="00D9267D" w:rsidP="00D9267D">
            <w:pPr>
              <w:spacing w:line="360" w:lineRule="auto"/>
              <w:jc w:val="both"/>
              <w:rPr>
                <w:rFonts w:eastAsia="Calibri"/>
                <w:lang w:val="es-DO"/>
              </w:rPr>
            </w:pPr>
            <w:r w:rsidRPr="0064264A">
              <w:rPr>
                <w:rFonts w:eastAsia="Calibri"/>
                <w:lang w:val="es-ES"/>
              </w:rPr>
              <w:t>1</w:t>
            </w:r>
          </w:p>
        </w:tc>
      </w:tr>
      <w:tr w:rsidR="0064264A" w:rsidRPr="0064264A" w14:paraId="69B47F1F" w14:textId="77777777" w:rsidTr="00953742">
        <w:trPr>
          <w:trHeight w:val="340"/>
        </w:trPr>
        <w:tc>
          <w:tcPr>
            <w:tcW w:w="3510" w:type="dxa"/>
            <w:tcBorders>
              <w:top w:val="nil"/>
              <w:left w:val="single" w:sz="12" w:space="0" w:color="1F4E79"/>
              <w:bottom w:val="single" w:sz="12" w:space="0" w:color="1F4E79"/>
              <w:right w:val="single" w:sz="12" w:space="0" w:color="1F4E79"/>
            </w:tcBorders>
            <w:vAlign w:val="center"/>
            <w:hideMark/>
          </w:tcPr>
          <w:p w14:paraId="18C98280" w14:textId="77777777" w:rsidR="00D9267D" w:rsidRPr="0064264A" w:rsidRDefault="00D9267D" w:rsidP="00D9267D">
            <w:pPr>
              <w:spacing w:line="360" w:lineRule="auto"/>
              <w:jc w:val="both"/>
              <w:rPr>
                <w:rFonts w:eastAsia="Calibri"/>
                <w:lang w:val="es-DO"/>
              </w:rPr>
            </w:pPr>
            <w:r w:rsidRPr="0064264A">
              <w:rPr>
                <w:rFonts w:eastAsia="Calibri"/>
                <w:lang w:val="es-DO"/>
              </w:rPr>
              <w:t>Grupo Gerencial</w:t>
            </w:r>
          </w:p>
        </w:tc>
        <w:tc>
          <w:tcPr>
            <w:tcW w:w="1350" w:type="dxa"/>
            <w:tcBorders>
              <w:top w:val="nil"/>
              <w:left w:val="nil"/>
              <w:bottom w:val="single" w:sz="12" w:space="0" w:color="1F4E79"/>
              <w:right w:val="single" w:sz="12" w:space="0" w:color="1F4E79"/>
            </w:tcBorders>
            <w:vAlign w:val="bottom"/>
            <w:hideMark/>
          </w:tcPr>
          <w:p w14:paraId="05A0178F" w14:textId="77777777" w:rsidR="00D9267D" w:rsidRPr="0064264A" w:rsidRDefault="00D9267D" w:rsidP="00D9267D">
            <w:pPr>
              <w:spacing w:line="360" w:lineRule="auto"/>
              <w:jc w:val="both"/>
              <w:rPr>
                <w:rFonts w:eastAsia="Calibri"/>
                <w:lang w:val="es-DO"/>
              </w:rPr>
            </w:pPr>
            <w:r w:rsidRPr="0064264A">
              <w:rPr>
                <w:rFonts w:eastAsia="Calibri"/>
                <w:lang w:val="es-ES"/>
              </w:rPr>
              <w:t>13</w:t>
            </w:r>
          </w:p>
        </w:tc>
      </w:tr>
      <w:tr w:rsidR="0064264A" w:rsidRPr="0064264A" w14:paraId="087B1908" w14:textId="77777777" w:rsidTr="00953742">
        <w:trPr>
          <w:trHeight w:val="340"/>
        </w:trPr>
        <w:tc>
          <w:tcPr>
            <w:tcW w:w="3510" w:type="dxa"/>
            <w:tcBorders>
              <w:top w:val="nil"/>
              <w:left w:val="single" w:sz="12" w:space="0" w:color="1F4E79"/>
              <w:bottom w:val="single" w:sz="12" w:space="0" w:color="1F4E79"/>
              <w:right w:val="single" w:sz="12" w:space="0" w:color="1F4E79"/>
            </w:tcBorders>
            <w:vAlign w:val="center"/>
            <w:hideMark/>
          </w:tcPr>
          <w:p w14:paraId="4C7DAE9D" w14:textId="77777777" w:rsidR="00D9267D" w:rsidRPr="0064264A" w:rsidRDefault="00D9267D" w:rsidP="00D9267D">
            <w:pPr>
              <w:spacing w:line="360" w:lineRule="auto"/>
              <w:jc w:val="both"/>
              <w:rPr>
                <w:rFonts w:eastAsia="Calibri"/>
                <w:lang w:val="es-DO"/>
              </w:rPr>
            </w:pPr>
            <w:r w:rsidRPr="0064264A">
              <w:rPr>
                <w:rFonts w:eastAsia="Calibri"/>
                <w:lang w:val="es-DO"/>
              </w:rPr>
              <w:t>Grupo Directivo</w:t>
            </w:r>
          </w:p>
        </w:tc>
        <w:tc>
          <w:tcPr>
            <w:tcW w:w="1350" w:type="dxa"/>
            <w:tcBorders>
              <w:top w:val="nil"/>
              <w:left w:val="nil"/>
              <w:bottom w:val="single" w:sz="12" w:space="0" w:color="1F4E79"/>
              <w:right w:val="single" w:sz="12" w:space="0" w:color="1F4E79"/>
            </w:tcBorders>
            <w:vAlign w:val="bottom"/>
            <w:hideMark/>
          </w:tcPr>
          <w:p w14:paraId="0CA09B86" w14:textId="77777777" w:rsidR="00D9267D" w:rsidRPr="0064264A" w:rsidRDefault="00D9267D" w:rsidP="00D9267D">
            <w:pPr>
              <w:spacing w:line="360" w:lineRule="auto"/>
              <w:jc w:val="both"/>
              <w:rPr>
                <w:rFonts w:eastAsia="Calibri"/>
                <w:lang w:val="es-DO"/>
              </w:rPr>
            </w:pPr>
            <w:r w:rsidRPr="0064264A">
              <w:rPr>
                <w:rFonts w:eastAsia="Calibri"/>
                <w:lang w:val="es-ES"/>
              </w:rPr>
              <w:t>27</w:t>
            </w:r>
          </w:p>
        </w:tc>
      </w:tr>
      <w:tr w:rsidR="0064264A" w:rsidRPr="0064264A" w14:paraId="7317C499" w14:textId="77777777" w:rsidTr="00953742">
        <w:trPr>
          <w:trHeight w:val="340"/>
        </w:trPr>
        <w:tc>
          <w:tcPr>
            <w:tcW w:w="3510" w:type="dxa"/>
            <w:tcBorders>
              <w:top w:val="nil"/>
              <w:left w:val="single" w:sz="12" w:space="0" w:color="1F4E79"/>
              <w:bottom w:val="single" w:sz="12" w:space="0" w:color="1F4E79"/>
              <w:right w:val="single" w:sz="12" w:space="0" w:color="1F4E79"/>
            </w:tcBorders>
            <w:vAlign w:val="center"/>
          </w:tcPr>
          <w:p w14:paraId="757C07F8"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Grupo </w:t>
            </w:r>
            <w:proofErr w:type="spellStart"/>
            <w:r w:rsidRPr="0064264A">
              <w:rPr>
                <w:rFonts w:eastAsia="Calibri"/>
                <w:lang w:val="es-DO"/>
              </w:rPr>
              <w:t>Subdirectivo</w:t>
            </w:r>
            <w:proofErr w:type="spellEnd"/>
          </w:p>
        </w:tc>
        <w:tc>
          <w:tcPr>
            <w:tcW w:w="1350" w:type="dxa"/>
            <w:tcBorders>
              <w:top w:val="nil"/>
              <w:left w:val="nil"/>
              <w:bottom w:val="single" w:sz="12" w:space="0" w:color="1F4E79"/>
              <w:right w:val="single" w:sz="12" w:space="0" w:color="1F4E79"/>
            </w:tcBorders>
            <w:vAlign w:val="bottom"/>
          </w:tcPr>
          <w:p w14:paraId="324A9A8C" w14:textId="77777777" w:rsidR="00D9267D" w:rsidRPr="0064264A" w:rsidRDefault="00D9267D" w:rsidP="00D9267D">
            <w:pPr>
              <w:spacing w:line="360" w:lineRule="auto"/>
              <w:jc w:val="both"/>
              <w:rPr>
                <w:rFonts w:eastAsia="Calibri"/>
                <w:lang w:val="es-DO"/>
              </w:rPr>
            </w:pPr>
            <w:r w:rsidRPr="0064264A">
              <w:rPr>
                <w:rFonts w:eastAsia="Calibri"/>
                <w:lang w:val="es-ES"/>
              </w:rPr>
              <w:t>243</w:t>
            </w:r>
          </w:p>
        </w:tc>
      </w:tr>
      <w:tr w:rsidR="0064264A" w:rsidRPr="0064264A" w14:paraId="7615EF3B" w14:textId="77777777" w:rsidTr="00953742">
        <w:trPr>
          <w:trHeight w:val="340"/>
        </w:trPr>
        <w:tc>
          <w:tcPr>
            <w:tcW w:w="3510" w:type="dxa"/>
            <w:tcBorders>
              <w:top w:val="nil"/>
              <w:left w:val="single" w:sz="12" w:space="0" w:color="1F4E79"/>
              <w:bottom w:val="single" w:sz="12" w:space="0" w:color="1F4E79"/>
              <w:right w:val="single" w:sz="12" w:space="0" w:color="1F4E79"/>
            </w:tcBorders>
            <w:vAlign w:val="center"/>
          </w:tcPr>
          <w:p w14:paraId="71DE1651" w14:textId="77777777" w:rsidR="00D9267D" w:rsidRPr="0064264A" w:rsidRDefault="00D9267D" w:rsidP="00D9267D">
            <w:pPr>
              <w:spacing w:line="360" w:lineRule="auto"/>
              <w:jc w:val="both"/>
              <w:rPr>
                <w:rFonts w:eastAsia="Calibri"/>
                <w:lang w:val="es-DO"/>
              </w:rPr>
            </w:pPr>
            <w:r w:rsidRPr="0064264A">
              <w:rPr>
                <w:rFonts w:eastAsia="Calibri"/>
                <w:lang w:val="es-DO"/>
              </w:rPr>
              <w:t>Grupo Mandos Medios</w:t>
            </w:r>
          </w:p>
        </w:tc>
        <w:tc>
          <w:tcPr>
            <w:tcW w:w="1350" w:type="dxa"/>
            <w:tcBorders>
              <w:top w:val="nil"/>
              <w:left w:val="nil"/>
              <w:bottom w:val="single" w:sz="12" w:space="0" w:color="1F4E79"/>
              <w:right w:val="single" w:sz="12" w:space="0" w:color="1F4E79"/>
            </w:tcBorders>
            <w:vAlign w:val="bottom"/>
          </w:tcPr>
          <w:p w14:paraId="700B21A0" w14:textId="77777777" w:rsidR="00D9267D" w:rsidRPr="0064264A" w:rsidRDefault="00D9267D" w:rsidP="00D9267D">
            <w:pPr>
              <w:spacing w:line="360" w:lineRule="auto"/>
              <w:jc w:val="both"/>
              <w:rPr>
                <w:rFonts w:eastAsia="Calibri"/>
                <w:lang w:val="es-DO"/>
              </w:rPr>
            </w:pPr>
            <w:r w:rsidRPr="0064264A">
              <w:rPr>
                <w:rFonts w:eastAsia="Calibri"/>
                <w:lang w:val="es-DO"/>
              </w:rPr>
              <w:t>201</w:t>
            </w:r>
          </w:p>
        </w:tc>
      </w:tr>
      <w:tr w:rsidR="0064264A" w:rsidRPr="0064264A" w14:paraId="2228241B" w14:textId="77777777" w:rsidTr="00953742">
        <w:trPr>
          <w:trHeight w:val="340"/>
        </w:trPr>
        <w:tc>
          <w:tcPr>
            <w:tcW w:w="3510" w:type="dxa"/>
            <w:tcBorders>
              <w:top w:val="nil"/>
              <w:left w:val="single" w:sz="12" w:space="0" w:color="1F4E79"/>
              <w:bottom w:val="single" w:sz="12" w:space="0" w:color="1F4E79"/>
              <w:right w:val="single" w:sz="12" w:space="0" w:color="1F4E79"/>
            </w:tcBorders>
            <w:vAlign w:val="center"/>
          </w:tcPr>
          <w:p w14:paraId="4287B13B" w14:textId="77777777" w:rsidR="00D9267D" w:rsidRPr="0064264A" w:rsidRDefault="00D9267D" w:rsidP="00D9267D">
            <w:pPr>
              <w:spacing w:line="360" w:lineRule="auto"/>
              <w:jc w:val="both"/>
              <w:rPr>
                <w:rFonts w:eastAsia="Calibri"/>
                <w:lang w:val="es-DO"/>
              </w:rPr>
            </w:pPr>
            <w:r w:rsidRPr="0064264A">
              <w:rPr>
                <w:rFonts w:eastAsia="Calibri"/>
                <w:lang w:val="es-DO"/>
              </w:rPr>
              <w:t>Grupo Profesional Técnico</w:t>
            </w:r>
          </w:p>
        </w:tc>
        <w:tc>
          <w:tcPr>
            <w:tcW w:w="1350" w:type="dxa"/>
            <w:tcBorders>
              <w:top w:val="nil"/>
              <w:left w:val="nil"/>
              <w:bottom w:val="single" w:sz="12" w:space="0" w:color="1F4E79"/>
              <w:right w:val="single" w:sz="12" w:space="0" w:color="1F4E79"/>
            </w:tcBorders>
            <w:vAlign w:val="bottom"/>
          </w:tcPr>
          <w:p w14:paraId="6AA6F594" w14:textId="77777777" w:rsidR="00D9267D" w:rsidRPr="0064264A" w:rsidRDefault="00D9267D" w:rsidP="00D9267D">
            <w:pPr>
              <w:spacing w:line="360" w:lineRule="auto"/>
              <w:jc w:val="both"/>
              <w:rPr>
                <w:rFonts w:eastAsia="Calibri"/>
                <w:lang w:val="es-DO"/>
              </w:rPr>
            </w:pPr>
            <w:r w:rsidRPr="0064264A">
              <w:rPr>
                <w:rFonts w:eastAsia="Calibri"/>
                <w:lang w:val="es-DO"/>
              </w:rPr>
              <w:t>821</w:t>
            </w:r>
          </w:p>
        </w:tc>
      </w:tr>
      <w:tr w:rsidR="0064264A" w:rsidRPr="0064264A" w14:paraId="5DD6790B" w14:textId="77777777" w:rsidTr="00953742">
        <w:trPr>
          <w:trHeight w:val="340"/>
        </w:trPr>
        <w:tc>
          <w:tcPr>
            <w:tcW w:w="3510" w:type="dxa"/>
            <w:tcBorders>
              <w:top w:val="nil"/>
              <w:left w:val="single" w:sz="12" w:space="0" w:color="1F4E79"/>
              <w:bottom w:val="single" w:sz="12" w:space="0" w:color="1F4E79"/>
              <w:right w:val="single" w:sz="12" w:space="0" w:color="1F4E79"/>
            </w:tcBorders>
            <w:vAlign w:val="center"/>
            <w:hideMark/>
          </w:tcPr>
          <w:p w14:paraId="78FDE484" w14:textId="77777777" w:rsidR="00D9267D" w:rsidRPr="0064264A" w:rsidRDefault="00D9267D" w:rsidP="00D9267D">
            <w:pPr>
              <w:spacing w:line="360" w:lineRule="auto"/>
              <w:jc w:val="both"/>
              <w:rPr>
                <w:rFonts w:eastAsia="Calibri"/>
                <w:lang w:val="es-DO"/>
              </w:rPr>
            </w:pPr>
            <w:r w:rsidRPr="0064264A">
              <w:rPr>
                <w:rFonts w:eastAsia="Calibri"/>
                <w:lang w:val="es-DO"/>
              </w:rPr>
              <w:t>Grupo de Apoyo</w:t>
            </w:r>
          </w:p>
        </w:tc>
        <w:tc>
          <w:tcPr>
            <w:tcW w:w="1350" w:type="dxa"/>
            <w:tcBorders>
              <w:top w:val="nil"/>
              <w:left w:val="nil"/>
              <w:bottom w:val="single" w:sz="12" w:space="0" w:color="1F4E79"/>
              <w:right w:val="single" w:sz="12" w:space="0" w:color="1F4E79"/>
            </w:tcBorders>
            <w:vAlign w:val="bottom"/>
            <w:hideMark/>
          </w:tcPr>
          <w:p w14:paraId="3F348B72" w14:textId="77777777" w:rsidR="00D9267D" w:rsidRPr="0064264A" w:rsidRDefault="00D9267D" w:rsidP="00D9267D">
            <w:pPr>
              <w:spacing w:line="360" w:lineRule="auto"/>
              <w:jc w:val="both"/>
              <w:rPr>
                <w:rFonts w:eastAsia="Calibri"/>
                <w:lang w:val="es-DO"/>
              </w:rPr>
            </w:pPr>
            <w:r w:rsidRPr="0064264A">
              <w:rPr>
                <w:rFonts w:eastAsia="Calibri"/>
                <w:lang w:val="es-DO"/>
              </w:rPr>
              <w:t>608</w:t>
            </w:r>
          </w:p>
        </w:tc>
      </w:tr>
      <w:tr w:rsidR="0064264A" w:rsidRPr="0064264A" w14:paraId="78004811" w14:textId="77777777" w:rsidTr="00953742">
        <w:trPr>
          <w:trHeight w:val="340"/>
        </w:trPr>
        <w:tc>
          <w:tcPr>
            <w:tcW w:w="3510" w:type="dxa"/>
            <w:tcBorders>
              <w:top w:val="nil"/>
              <w:left w:val="single" w:sz="12" w:space="0" w:color="1F4E79"/>
              <w:bottom w:val="single" w:sz="12" w:space="0" w:color="1F4E79"/>
              <w:right w:val="single" w:sz="12" w:space="0" w:color="1F4E79"/>
            </w:tcBorders>
            <w:shd w:val="clear" w:color="auto" w:fill="002060"/>
            <w:vAlign w:val="center"/>
            <w:hideMark/>
          </w:tcPr>
          <w:p w14:paraId="07EE72AA" w14:textId="77777777" w:rsidR="00D9267D" w:rsidRPr="00F61DE8" w:rsidRDefault="00D9267D" w:rsidP="004967BF">
            <w:pPr>
              <w:spacing w:line="360" w:lineRule="auto"/>
              <w:jc w:val="center"/>
              <w:rPr>
                <w:rFonts w:eastAsia="Calibri"/>
                <w:color w:val="FFFFFF" w:themeColor="background1"/>
                <w:lang w:val="es-DO"/>
              </w:rPr>
            </w:pPr>
            <w:r w:rsidRPr="00F61DE8">
              <w:rPr>
                <w:rFonts w:eastAsia="Calibri"/>
                <w:color w:val="FFFFFF" w:themeColor="background1"/>
                <w:lang w:val="es-DO"/>
              </w:rPr>
              <w:t>Total</w:t>
            </w:r>
          </w:p>
        </w:tc>
        <w:tc>
          <w:tcPr>
            <w:tcW w:w="1350" w:type="dxa"/>
            <w:tcBorders>
              <w:top w:val="nil"/>
              <w:left w:val="nil"/>
              <w:bottom w:val="single" w:sz="12" w:space="0" w:color="1F4E79"/>
              <w:right w:val="single" w:sz="12" w:space="0" w:color="1F4E79"/>
            </w:tcBorders>
            <w:shd w:val="clear" w:color="auto" w:fill="002060"/>
            <w:vAlign w:val="center"/>
            <w:hideMark/>
          </w:tcPr>
          <w:p w14:paraId="61B1AB2A" w14:textId="77777777" w:rsidR="00D9267D" w:rsidRPr="00F61DE8" w:rsidRDefault="00D9267D" w:rsidP="004967BF">
            <w:pPr>
              <w:spacing w:line="360" w:lineRule="auto"/>
              <w:jc w:val="center"/>
              <w:rPr>
                <w:rFonts w:eastAsia="Calibri"/>
                <w:color w:val="FFFFFF" w:themeColor="background1"/>
                <w:lang w:val="es-DO"/>
              </w:rPr>
            </w:pPr>
            <w:r w:rsidRPr="00F61DE8">
              <w:rPr>
                <w:rFonts w:eastAsia="Calibri"/>
                <w:color w:val="FFFFFF" w:themeColor="background1"/>
                <w:lang w:val="es-DO"/>
              </w:rPr>
              <w:t>1,917</w:t>
            </w:r>
          </w:p>
        </w:tc>
      </w:tr>
    </w:tbl>
    <w:p w14:paraId="608B65C8" w14:textId="1D593648" w:rsidR="00D9267D" w:rsidRPr="0064264A" w:rsidRDefault="00D9267D" w:rsidP="00D9267D">
      <w:pPr>
        <w:spacing w:line="360" w:lineRule="auto"/>
        <w:jc w:val="both"/>
        <w:rPr>
          <w:rFonts w:eastAsia="Calibri"/>
          <w:b/>
          <w:sz w:val="22"/>
          <w:szCs w:val="22"/>
          <w:lang w:val="es-DO"/>
        </w:rPr>
      </w:pPr>
      <w:bookmarkStart w:id="23" w:name="_Hlk121920556"/>
      <w:r w:rsidRPr="0064264A">
        <w:rPr>
          <w:rFonts w:eastAsia="Calibri"/>
          <w:lang w:val="es-DO"/>
        </w:rPr>
        <w:t xml:space="preserve">          </w:t>
      </w:r>
      <w:bookmarkStart w:id="24" w:name="_Hlk153807436"/>
      <w:r w:rsidR="005B169F" w:rsidRPr="0064264A">
        <w:rPr>
          <w:rFonts w:eastAsia="Calibri"/>
          <w:lang w:val="es-DO"/>
        </w:rPr>
        <w:t xml:space="preserve">     </w:t>
      </w:r>
      <w:r w:rsidRPr="0064264A">
        <w:rPr>
          <w:rFonts w:eastAsia="Calibri"/>
          <w:b/>
          <w:sz w:val="22"/>
          <w:szCs w:val="22"/>
          <w:lang w:val="es-DO"/>
        </w:rPr>
        <w:t>Fuente: Depto. de Recursos Humanos</w:t>
      </w:r>
      <w:bookmarkEnd w:id="23"/>
      <w:bookmarkEnd w:id="24"/>
      <w:r w:rsidRPr="0064264A">
        <w:rPr>
          <w:rFonts w:eastAsia="Calibri"/>
          <w:b/>
          <w:sz w:val="22"/>
          <w:szCs w:val="22"/>
          <w:lang w:val="es-DO"/>
        </w:rPr>
        <w:t xml:space="preserve"> </w:t>
      </w:r>
    </w:p>
    <w:p w14:paraId="5ECC92B4"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Distribución de </w:t>
      </w:r>
      <w:bookmarkStart w:id="25" w:name="_Hlk155255033"/>
      <w:r w:rsidRPr="0064264A">
        <w:rPr>
          <w:rFonts w:eastAsia="Calibri"/>
          <w:lang w:val="es-DO"/>
        </w:rPr>
        <w:t>Empleados Activos por Sexo y Grupo Ocupacional</w:t>
      </w:r>
      <w:bookmarkEnd w:id="25"/>
      <w:r w:rsidRPr="0064264A">
        <w:rPr>
          <w:rFonts w:eastAsia="Calibri"/>
          <w:lang w:val="es-DO"/>
        </w:rPr>
        <w:t xml:space="preserve"> </w:t>
      </w:r>
    </w:p>
    <w:tbl>
      <w:tblPr>
        <w:tblW w:w="7073" w:type="dxa"/>
        <w:jc w:val="center"/>
        <w:tblCellMar>
          <w:left w:w="70" w:type="dxa"/>
          <w:right w:w="70" w:type="dxa"/>
        </w:tblCellMar>
        <w:tblLook w:val="04A0" w:firstRow="1" w:lastRow="0" w:firstColumn="1" w:lastColumn="0" w:noHBand="0" w:noVBand="1"/>
      </w:tblPr>
      <w:tblGrid>
        <w:gridCol w:w="3817"/>
        <w:gridCol w:w="1420"/>
        <w:gridCol w:w="1836"/>
      </w:tblGrid>
      <w:tr w:rsidR="0064264A" w:rsidRPr="0064264A" w14:paraId="271E8A4A" w14:textId="77777777" w:rsidTr="00667F26">
        <w:trPr>
          <w:trHeight w:val="340"/>
          <w:tblHeader/>
          <w:jc w:val="center"/>
        </w:trPr>
        <w:tc>
          <w:tcPr>
            <w:tcW w:w="3817"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924F68E" w14:textId="77777777" w:rsidR="00D9267D" w:rsidRPr="00F61DE8" w:rsidRDefault="00D9267D" w:rsidP="005B169F">
            <w:pPr>
              <w:spacing w:line="360" w:lineRule="auto"/>
              <w:jc w:val="center"/>
              <w:rPr>
                <w:rFonts w:eastAsia="Calibri"/>
                <w:color w:val="FFFFFF" w:themeColor="background1"/>
                <w:lang w:val="es-DO"/>
              </w:rPr>
            </w:pPr>
            <w:r w:rsidRPr="00F61DE8">
              <w:rPr>
                <w:rFonts w:eastAsia="Calibri"/>
                <w:color w:val="FFFFFF" w:themeColor="background1"/>
                <w:lang w:val="es-DO"/>
              </w:rPr>
              <w:t>Localidad</w:t>
            </w:r>
          </w:p>
        </w:tc>
        <w:tc>
          <w:tcPr>
            <w:tcW w:w="1420" w:type="dxa"/>
            <w:tcBorders>
              <w:top w:val="single" w:sz="12" w:space="0" w:color="1F4E79"/>
              <w:left w:val="nil"/>
              <w:bottom w:val="single" w:sz="12" w:space="0" w:color="1F4E79"/>
              <w:right w:val="single" w:sz="12" w:space="0" w:color="1F4E79"/>
            </w:tcBorders>
            <w:shd w:val="clear" w:color="000000" w:fill="002060"/>
            <w:vAlign w:val="center"/>
            <w:hideMark/>
          </w:tcPr>
          <w:p w14:paraId="4A138665" w14:textId="77777777" w:rsidR="00D9267D" w:rsidRPr="00F61DE8" w:rsidRDefault="00D9267D" w:rsidP="005B169F">
            <w:pPr>
              <w:spacing w:line="360" w:lineRule="auto"/>
              <w:jc w:val="center"/>
              <w:rPr>
                <w:rFonts w:eastAsia="Calibri"/>
                <w:color w:val="FFFFFF" w:themeColor="background1"/>
                <w:lang w:val="es-DO"/>
              </w:rPr>
            </w:pPr>
            <w:r w:rsidRPr="00F61DE8">
              <w:rPr>
                <w:rFonts w:eastAsia="Calibri"/>
                <w:color w:val="FFFFFF" w:themeColor="background1"/>
                <w:lang w:val="es-DO"/>
              </w:rPr>
              <w:t>Femenino</w:t>
            </w:r>
          </w:p>
        </w:tc>
        <w:tc>
          <w:tcPr>
            <w:tcW w:w="1836" w:type="dxa"/>
            <w:tcBorders>
              <w:top w:val="single" w:sz="12" w:space="0" w:color="1F4E79"/>
              <w:left w:val="nil"/>
              <w:bottom w:val="single" w:sz="12" w:space="0" w:color="1F4E79"/>
              <w:right w:val="single" w:sz="12" w:space="0" w:color="1F4E79"/>
            </w:tcBorders>
            <w:shd w:val="clear" w:color="000000" w:fill="002060"/>
            <w:vAlign w:val="center"/>
            <w:hideMark/>
          </w:tcPr>
          <w:p w14:paraId="6A179E3D" w14:textId="77777777" w:rsidR="00D9267D" w:rsidRPr="00F61DE8" w:rsidRDefault="00D9267D" w:rsidP="005B169F">
            <w:pPr>
              <w:spacing w:line="360" w:lineRule="auto"/>
              <w:jc w:val="center"/>
              <w:rPr>
                <w:rFonts w:eastAsia="Calibri"/>
                <w:color w:val="FFFFFF" w:themeColor="background1"/>
                <w:lang w:val="es-DO"/>
              </w:rPr>
            </w:pPr>
            <w:r w:rsidRPr="00F61DE8">
              <w:rPr>
                <w:rFonts w:eastAsia="Calibri"/>
                <w:color w:val="FFFFFF" w:themeColor="background1"/>
                <w:lang w:val="es-DO"/>
              </w:rPr>
              <w:t>Masculino</w:t>
            </w:r>
          </w:p>
        </w:tc>
      </w:tr>
      <w:tr w:rsidR="0064264A" w:rsidRPr="0064264A" w14:paraId="056DD842" w14:textId="77777777" w:rsidTr="00953742">
        <w:trPr>
          <w:trHeight w:val="340"/>
          <w:jc w:val="center"/>
        </w:trPr>
        <w:tc>
          <w:tcPr>
            <w:tcW w:w="3817" w:type="dxa"/>
            <w:tcBorders>
              <w:top w:val="nil"/>
              <w:left w:val="single" w:sz="12" w:space="0" w:color="1F4E79"/>
              <w:bottom w:val="single" w:sz="12" w:space="0" w:color="1F4E79"/>
              <w:right w:val="single" w:sz="12" w:space="0" w:color="1F4E79"/>
            </w:tcBorders>
            <w:vAlign w:val="center"/>
            <w:hideMark/>
          </w:tcPr>
          <w:p w14:paraId="59AC0396" w14:textId="77777777" w:rsidR="00D9267D" w:rsidRPr="0064264A" w:rsidRDefault="00D9267D" w:rsidP="00D9267D">
            <w:pPr>
              <w:spacing w:line="360" w:lineRule="auto"/>
              <w:jc w:val="both"/>
              <w:rPr>
                <w:rFonts w:eastAsia="Calibri"/>
                <w:lang w:val="es-DO"/>
              </w:rPr>
            </w:pPr>
            <w:r w:rsidRPr="0064264A">
              <w:rPr>
                <w:rFonts w:eastAsia="Calibri"/>
                <w:lang w:val="es-DO"/>
              </w:rPr>
              <w:t>Autoridades</w:t>
            </w:r>
          </w:p>
        </w:tc>
        <w:tc>
          <w:tcPr>
            <w:tcW w:w="1420" w:type="dxa"/>
            <w:tcBorders>
              <w:top w:val="nil"/>
              <w:left w:val="nil"/>
              <w:bottom w:val="single" w:sz="12" w:space="0" w:color="1F4E79"/>
              <w:right w:val="single" w:sz="12" w:space="0" w:color="1F4E79"/>
            </w:tcBorders>
            <w:hideMark/>
          </w:tcPr>
          <w:p w14:paraId="37126F01" w14:textId="77777777" w:rsidR="00D9267D" w:rsidRPr="0064264A" w:rsidRDefault="00D9267D" w:rsidP="00D9267D">
            <w:pPr>
              <w:spacing w:line="360" w:lineRule="auto"/>
              <w:jc w:val="both"/>
              <w:rPr>
                <w:rFonts w:eastAsia="Calibri"/>
                <w:lang w:val="es-DO"/>
              </w:rPr>
            </w:pPr>
            <w:r w:rsidRPr="0064264A">
              <w:rPr>
                <w:rFonts w:eastAsia="Calibri"/>
                <w:lang w:val="es-ES"/>
              </w:rPr>
              <w:t>1</w:t>
            </w:r>
          </w:p>
        </w:tc>
        <w:tc>
          <w:tcPr>
            <w:tcW w:w="1836" w:type="dxa"/>
            <w:tcBorders>
              <w:top w:val="nil"/>
              <w:left w:val="nil"/>
              <w:bottom w:val="single" w:sz="12" w:space="0" w:color="1F4E79"/>
              <w:right w:val="single" w:sz="12" w:space="0" w:color="1F4E79"/>
            </w:tcBorders>
            <w:hideMark/>
          </w:tcPr>
          <w:p w14:paraId="59394736" w14:textId="77777777" w:rsidR="00D9267D" w:rsidRPr="0064264A" w:rsidRDefault="00D9267D" w:rsidP="00D9267D">
            <w:pPr>
              <w:spacing w:line="360" w:lineRule="auto"/>
              <w:jc w:val="both"/>
              <w:rPr>
                <w:rFonts w:eastAsia="Calibri"/>
                <w:lang w:val="es-DO"/>
              </w:rPr>
            </w:pPr>
            <w:r w:rsidRPr="0064264A">
              <w:rPr>
                <w:rFonts w:eastAsia="Calibri"/>
                <w:lang w:val="es-ES"/>
              </w:rPr>
              <w:t>1</w:t>
            </w:r>
          </w:p>
        </w:tc>
      </w:tr>
      <w:tr w:rsidR="0064264A" w:rsidRPr="0064264A" w14:paraId="11F65B1E" w14:textId="77777777" w:rsidTr="00953742">
        <w:trPr>
          <w:trHeight w:val="340"/>
          <w:jc w:val="center"/>
        </w:trPr>
        <w:tc>
          <w:tcPr>
            <w:tcW w:w="3817" w:type="dxa"/>
            <w:tcBorders>
              <w:top w:val="nil"/>
              <w:left w:val="single" w:sz="12" w:space="0" w:color="1F4E79"/>
              <w:bottom w:val="single" w:sz="12" w:space="0" w:color="1F4E79"/>
              <w:right w:val="single" w:sz="12" w:space="0" w:color="1F4E79"/>
            </w:tcBorders>
            <w:vAlign w:val="center"/>
          </w:tcPr>
          <w:p w14:paraId="620E1632" w14:textId="77777777" w:rsidR="00D9267D" w:rsidRPr="0064264A" w:rsidRDefault="00D9267D" w:rsidP="00D9267D">
            <w:pPr>
              <w:spacing w:line="360" w:lineRule="auto"/>
              <w:jc w:val="both"/>
              <w:rPr>
                <w:rFonts w:eastAsia="Calibri"/>
                <w:lang w:val="es-DO"/>
              </w:rPr>
            </w:pPr>
            <w:r w:rsidRPr="0064264A">
              <w:rPr>
                <w:rFonts w:eastAsia="Calibri"/>
                <w:lang w:val="es-DO"/>
              </w:rPr>
              <w:t>Gerente</w:t>
            </w:r>
          </w:p>
        </w:tc>
        <w:tc>
          <w:tcPr>
            <w:tcW w:w="1420" w:type="dxa"/>
            <w:tcBorders>
              <w:top w:val="nil"/>
              <w:left w:val="nil"/>
              <w:bottom w:val="single" w:sz="12" w:space="0" w:color="1F4E79"/>
              <w:right w:val="single" w:sz="12" w:space="0" w:color="1F4E79"/>
            </w:tcBorders>
          </w:tcPr>
          <w:p w14:paraId="51765B2C" w14:textId="77777777" w:rsidR="00D9267D" w:rsidRPr="0064264A" w:rsidRDefault="00D9267D" w:rsidP="00D9267D">
            <w:pPr>
              <w:spacing w:line="360" w:lineRule="auto"/>
              <w:jc w:val="both"/>
              <w:rPr>
                <w:rFonts w:eastAsia="Calibri"/>
                <w:lang w:val="es-DO"/>
              </w:rPr>
            </w:pPr>
            <w:r w:rsidRPr="0064264A">
              <w:rPr>
                <w:rFonts w:eastAsia="Calibri"/>
                <w:lang w:val="es-ES"/>
              </w:rPr>
              <w:t>0</w:t>
            </w:r>
          </w:p>
        </w:tc>
        <w:tc>
          <w:tcPr>
            <w:tcW w:w="1836" w:type="dxa"/>
            <w:tcBorders>
              <w:top w:val="nil"/>
              <w:left w:val="nil"/>
              <w:bottom w:val="single" w:sz="12" w:space="0" w:color="1F4E79"/>
              <w:right w:val="single" w:sz="12" w:space="0" w:color="1F4E79"/>
            </w:tcBorders>
          </w:tcPr>
          <w:p w14:paraId="44948D1D" w14:textId="77777777" w:rsidR="00D9267D" w:rsidRPr="0064264A" w:rsidRDefault="00D9267D" w:rsidP="00D9267D">
            <w:pPr>
              <w:spacing w:line="360" w:lineRule="auto"/>
              <w:jc w:val="both"/>
              <w:rPr>
                <w:rFonts w:eastAsia="Calibri"/>
                <w:lang w:val="es-DO"/>
              </w:rPr>
            </w:pPr>
            <w:r w:rsidRPr="0064264A">
              <w:rPr>
                <w:rFonts w:eastAsia="Calibri"/>
                <w:lang w:val="es-DO"/>
              </w:rPr>
              <w:t>1</w:t>
            </w:r>
          </w:p>
        </w:tc>
      </w:tr>
      <w:tr w:rsidR="0064264A" w:rsidRPr="0064264A" w14:paraId="6D5F0900" w14:textId="77777777" w:rsidTr="00953742">
        <w:trPr>
          <w:trHeight w:val="340"/>
          <w:jc w:val="center"/>
        </w:trPr>
        <w:tc>
          <w:tcPr>
            <w:tcW w:w="3817" w:type="dxa"/>
            <w:tcBorders>
              <w:top w:val="nil"/>
              <w:left w:val="single" w:sz="12" w:space="0" w:color="1F4E79"/>
              <w:bottom w:val="single" w:sz="12" w:space="0" w:color="1F4E79"/>
              <w:right w:val="single" w:sz="12" w:space="0" w:color="1F4E79"/>
            </w:tcBorders>
            <w:vAlign w:val="center"/>
          </w:tcPr>
          <w:p w14:paraId="33124F9D" w14:textId="77777777" w:rsidR="00D9267D" w:rsidRPr="0064264A" w:rsidRDefault="00D9267D" w:rsidP="00D9267D">
            <w:pPr>
              <w:spacing w:line="360" w:lineRule="auto"/>
              <w:jc w:val="both"/>
              <w:rPr>
                <w:rFonts w:eastAsia="Calibri"/>
                <w:lang w:val="es-DO"/>
              </w:rPr>
            </w:pPr>
            <w:r w:rsidRPr="0064264A">
              <w:rPr>
                <w:rFonts w:eastAsia="Calibri"/>
                <w:lang w:val="es-DO"/>
              </w:rPr>
              <w:t>Contralor</w:t>
            </w:r>
          </w:p>
        </w:tc>
        <w:tc>
          <w:tcPr>
            <w:tcW w:w="1420" w:type="dxa"/>
            <w:tcBorders>
              <w:top w:val="nil"/>
              <w:left w:val="nil"/>
              <w:bottom w:val="single" w:sz="12" w:space="0" w:color="1F4E79"/>
              <w:right w:val="single" w:sz="12" w:space="0" w:color="1F4E79"/>
            </w:tcBorders>
          </w:tcPr>
          <w:p w14:paraId="6084F8F9" w14:textId="77777777" w:rsidR="00D9267D" w:rsidRPr="0064264A" w:rsidRDefault="00D9267D" w:rsidP="00D9267D">
            <w:pPr>
              <w:spacing w:line="360" w:lineRule="auto"/>
              <w:jc w:val="both"/>
              <w:rPr>
                <w:rFonts w:eastAsia="Calibri"/>
                <w:lang w:val="es-DO"/>
              </w:rPr>
            </w:pPr>
            <w:r w:rsidRPr="0064264A">
              <w:rPr>
                <w:rFonts w:eastAsia="Calibri"/>
                <w:lang w:val="es-ES"/>
              </w:rPr>
              <w:t>0</w:t>
            </w:r>
          </w:p>
        </w:tc>
        <w:tc>
          <w:tcPr>
            <w:tcW w:w="1836" w:type="dxa"/>
            <w:tcBorders>
              <w:top w:val="nil"/>
              <w:left w:val="nil"/>
              <w:bottom w:val="single" w:sz="12" w:space="0" w:color="1F4E79"/>
              <w:right w:val="single" w:sz="12" w:space="0" w:color="1F4E79"/>
            </w:tcBorders>
          </w:tcPr>
          <w:p w14:paraId="68505879" w14:textId="77777777" w:rsidR="00D9267D" w:rsidRPr="0064264A" w:rsidRDefault="00D9267D" w:rsidP="00D9267D">
            <w:pPr>
              <w:spacing w:line="360" w:lineRule="auto"/>
              <w:jc w:val="both"/>
              <w:rPr>
                <w:rFonts w:eastAsia="Calibri"/>
                <w:lang w:val="es-DO"/>
              </w:rPr>
            </w:pPr>
            <w:r w:rsidRPr="0064264A">
              <w:rPr>
                <w:rFonts w:eastAsia="Calibri"/>
                <w:lang w:val="es-ES"/>
              </w:rPr>
              <w:t>1</w:t>
            </w:r>
          </w:p>
        </w:tc>
      </w:tr>
      <w:tr w:rsidR="0064264A" w:rsidRPr="0064264A" w14:paraId="6087CB6E" w14:textId="77777777" w:rsidTr="00953742">
        <w:trPr>
          <w:trHeight w:val="340"/>
          <w:jc w:val="center"/>
        </w:trPr>
        <w:tc>
          <w:tcPr>
            <w:tcW w:w="3817" w:type="dxa"/>
            <w:tcBorders>
              <w:top w:val="nil"/>
              <w:left w:val="single" w:sz="12" w:space="0" w:color="1F4E79"/>
              <w:bottom w:val="single" w:sz="12" w:space="0" w:color="1F4E79"/>
              <w:right w:val="single" w:sz="12" w:space="0" w:color="1F4E79"/>
            </w:tcBorders>
            <w:vAlign w:val="center"/>
          </w:tcPr>
          <w:p w14:paraId="71E9262E" w14:textId="77777777" w:rsidR="00D9267D" w:rsidRPr="0064264A" w:rsidRDefault="00D9267D" w:rsidP="00D9267D">
            <w:pPr>
              <w:spacing w:line="360" w:lineRule="auto"/>
              <w:jc w:val="both"/>
              <w:rPr>
                <w:rFonts w:eastAsia="Calibri"/>
                <w:lang w:val="es-DO"/>
              </w:rPr>
            </w:pPr>
            <w:r w:rsidRPr="0064264A">
              <w:rPr>
                <w:rFonts w:eastAsia="Calibri"/>
                <w:lang w:val="es-DO"/>
              </w:rPr>
              <w:t>Grupo Gerencial</w:t>
            </w:r>
          </w:p>
        </w:tc>
        <w:tc>
          <w:tcPr>
            <w:tcW w:w="1420" w:type="dxa"/>
            <w:tcBorders>
              <w:top w:val="nil"/>
              <w:left w:val="nil"/>
              <w:bottom w:val="single" w:sz="12" w:space="0" w:color="1F4E79"/>
              <w:right w:val="single" w:sz="12" w:space="0" w:color="1F4E79"/>
            </w:tcBorders>
          </w:tcPr>
          <w:p w14:paraId="186AA32E" w14:textId="77777777" w:rsidR="00D9267D" w:rsidRPr="0064264A" w:rsidRDefault="00D9267D" w:rsidP="00D9267D">
            <w:pPr>
              <w:spacing w:line="360" w:lineRule="auto"/>
              <w:jc w:val="both"/>
              <w:rPr>
                <w:rFonts w:eastAsia="Calibri"/>
                <w:lang w:val="es-DO"/>
              </w:rPr>
            </w:pPr>
            <w:r w:rsidRPr="0064264A">
              <w:rPr>
                <w:rFonts w:eastAsia="Calibri"/>
                <w:lang w:val="es-ES"/>
              </w:rPr>
              <w:t>3</w:t>
            </w:r>
          </w:p>
        </w:tc>
        <w:tc>
          <w:tcPr>
            <w:tcW w:w="1836" w:type="dxa"/>
            <w:tcBorders>
              <w:top w:val="nil"/>
              <w:left w:val="nil"/>
              <w:bottom w:val="single" w:sz="12" w:space="0" w:color="1F4E79"/>
              <w:right w:val="single" w:sz="12" w:space="0" w:color="1F4E79"/>
            </w:tcBorders>
          </w:tcPr>
          <w:p w14:paraId="4E02E7EA" w14:textId="77777777" w:rsidR="00D9267D" w:rsidRPr="0064264A" w:rsidRDefault="00D9267D" w:rsidP="00D9267D">
            <w:pPr>
              <w:spacing w:line="360" w:lineRule="auto"/>
              <w:jc w:val="both"/>
              <w:rPr>
                <w:rFonts w:eastAsia="Calibri"/>
                <w:lang w:val="es-DO"/>
              </w:rPr>
            </w:pPr>
            <w:r w:rsidRPr="0064264A">
              <w:rPr>
                <w:rFonts w:eastAsia="Calibri"/>
                <w:lang w:val="es-ES"/>
              </w:rPr>
              <w:t>10</w:t>
            </w:r>
          </w:p>
        </w:tc>
      </w:tr>
      <w:tr w:rsidR="0064264A" w:rsidRPr="0064264A" w14:paraId="7C8F4390" w14:textId="77777777" w:rsidTr="00953742">
        <w:trPr>
          <w:trHeight w:val="340"/>
          <w:jc w:val="center"/>
        </w:trPr>
        <w:tc>
          <w:tcPr>
            <w:tcW w:w="3817" w:type="dxa"/>
            <w:tcBorders>
              <w:top w:val="nil"/>
              <w:left w:val="single" w:sz="12" w:space="0" w:color="1F4E79"/>
              <w:bottom w:val="single" w:sz="12" w:space="0" w:color="1F4E79"/>
              <w:right w:val="single" w:sz="12" w:space="0" w:color="1F4E79"/>
            </w:tcBorders>
            <w:vAlign w:val="center"/>
          </w:tcPr>
          <w:p w14:paraId="5494297B" w14:textId="77777777" w:rsidR="00D9267D" w:rsidRPr="0064264A" w:rsidRDefault="00D9267D" w:rsidP="00D9267D">
            <w:pPr>
              <w:spacing w:line="360" w:lineRule="auto"/>
              <w:jc w:val="both"/>
              <w:rPr>
                <w:rFonts w:eastAsia="Calibri"/>
                <w:lang w:val="es-DO"/>
              </w:rPr>
            </w:pPr>
            <w:r w:rsidRPr="0064264A">
              <w:rPr>
                <w:rFonts w:eastAsia="Calibri"/>
                <w:lang w:val="es-DO"/>
              </w:rPr>
              <w:lastRenderedPageBreak/>
              <w:t>Grupo Directivo</w:t>
            </w:r>
          </w:p>
        </w:tc>
        <w:tc>
          <w:tcPr>
            <w:tcW w:w="1420" w:type="dxa"/>
            <w:tcBorders>
              <w:top w:val="nil"/>
              <w:left w:val="nil"/>
              <w:bottom w:val="single" w:sz="12" w:space="0" w:color="1F4E79"/>
              <w:right w:val="single" w:sz="12" w:space="0" w:color="1F4E79"/>
            </w:tcBorders>
          </w:tcPr>
          <w:p w14:paraId="53082A73" w14:textId="77777777" w:rsidR="00D9267D" w:rsidRPr="0064264A" w:rsidRDefault="00D9267D" w:rsidP="00D9267D">
            <w:pPr>
              <w:spacing w:line="360" w:lineRule="auto"/>
              <w:jc w:val="both"/>
              <w:rPr>
                <w:rFonts w:eastAsia="Calibri"/>
                <w:lang w:val="es-DO"/>
              </w:rPr>
            </w:pPr>
            <w:r w:rsidRPr="0064264A">
              <w:rPr>
                <w:rFonts w:eastAsia="Calibri"/>
                <w:lang w:val="es-DO"/>
              </w:rPr>
              <w:t>13</w:t>
            </w:r>
          </w:p>
        </w:tc>
        <w:tc>
          <w:tcPr>
            <w:tcW w:w="1836" w:type="dxa"/>
            <w:tcBorders>
              <w:top w:val="nil"/>
              <w:left w:val="nil"/>
              <w:bottom w:val="single" w:sz="12" w:space="0" w:color="1F4E79"/>
              <w:right w:val="single" w:sz="12" w:space="0" w:color="1F4E79"/>
            </w:tcBorders>
          </w:tcPr>
          <w:p w14:paraId="7B5164A7" w14:textId="77777777" w:rsidR="00D9267D" w:rsidRPr="0064264A" w:rsidRDefault="00D9267D" w:rsidP="00D9267D">
            <w:pPr>
              <w:spacing w:line="360" w:lineRule="auto"/>
              <w:jc w:val="both"/>
              <w:rPr>
                <w:rFonts w:eastAsia="Calibri"/>
                <w:lang w:val="es-DO"/>
              </w:rPr>
            </w:pPr>
            <w:r w:rsidRPr="0064264A">
              <w:rPr>
                <w:rFonts w:eastAsia="Calibri"/>
                <w:lang w:val="es-DO"/>
              </w:rPr>
              <w:t>14</w:t>
            </w:r>
          </w:p>
        </w:tc>
      </w:tr>
      <w:tr w:rsidR="0064264A" w:rsidRPr="0064264A" w14:paraId="132DFDE4" w14:textId="77777777" w:rsidTr="00953742">
        <w:trPr>
          <w:trHeight w:val="340"/>
          <w:jc w:val="center"/>
        </w:trPr>
        <w:tc>
          <w:tcPr>
            <w:tcW w:w="3817" w:type="dxa"/>
            <w:tcBorders>
              <w:top w:val="nil"/>
              <w:left w:val="single" w:sz="12" w:space="0" w:color="1F4E79"/>
              <w:bottom w:val="single" w:sz="12" w:space="0" w:color="1F4E79"/>
              <w:right w:val="single" w:sz="12" w:space="0" w:color="1F4E79"/>
            </w:tcBorders>
            <w:vAlign w:val="center"/>
          </w:tcPr>
          <w:p w14:paraId="1F1FF6E8"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Grupo </w:t>
            </w:r>
            <w:proofErr w:type="spellStart"/>
            <w:r w:rsidRPr="0064264A">
              <w:rPr>
                <w:rFonts w:eastAsia="Calibri"/>
                <w:lang w:val="es-DO"/>
              </w:rPr>
              <w:t>Subdirectivo</w:t>
            </w:r>
            <w:proofErr w:type="spellEnd"/>
          </w:p>
        </w:tc>
        <w:tc>
          <w:tcPr>
            <w:tcW w:w="1420" w:type="dxa"/>
            <w:tcBorders>
              <w:top w:val="nil"/>
              <w:left w:val="nil"/>
              <w:bottom w:val="single" w:sz="12" w:space="0" w:color="1F4E79"/>
              <w:right w:val="single" w:sz="12" w:space="0" w:color="1F4E79"/>
            </w:tcBorders>
          </w:tcPr>
          <w:p w14:paraId="284FE50B" w14:textId="77777777" w:rsidR="00D9267D" w:rsidRPr="0064264A" w:rsidRDefault="00D9267D" w:rsidP="00D9267D">
            <w:pPr>
              <w:spacing w:line="360" w:lineRule="auto"/>
              <w:jc w:val="both"/>
              <w:rPr>
                <w:rFonts w:eastAsia="Calibri"/>
                <w:lang w:val="es-DO"/>
              </w:rPr>
            </w:pPr>
            <w:r w:rsidRPr="0064264A">
              <w:rPr>
                <w:rFonts w:eastAsia="Calibri"/>
                <w:lang w:val="es-DO"/>
              </w:rPr>
              <w:t>122</w:t>
            </w:r>
          </w:p>
        </w:tc>
        <w:tc>
          <w:tcPr>
            <w:tcW w:w="1836" w:type="dxa"/>
            <w:tcBorders>
              <w:top w:val="nil"/>
              <w:left w:val="nil"/>
              <w:bottom w:val="single" w:sz="12" w:space="0" w:color="1F4E79"/>
              <w:right w:val="single" w:sz="12" w:space="0" w:color="1F4E79"/>
            </w:tcBorders>
          </w:tcPr>
          <w:p w14:paraId="1C12AAC5" w14:textId="77777777" w:rsidR="00D9267D" w:rsidRPr="0064264A" w:rsidRDefault="00D9267D" w:rsidP="00D9267D">
            <w:pPr>
              <w:spacing w:line="360" w:lineRule="auto"/>
              <w:jc w:val="both"/>
              <w:rPr>
                <w:rFonts w:eastAsia="Calibri"/>
                <w:lang w:val="es-DO"/>
              </w:rPr>
            </w:pPr>
            <w:r w:rsidRPr="0064264A">
              <w:rPr>
                <w:rFonts w:eastAsia="Calibri"/>
                <w:lang w:val="es-DO"/>
              </w:rPr>
              <w:t>121</w:t>
            </w:r>
          </w:p>
        </w:tc>
      </w:tr>
      <w:tr w:rsidR="0064264A" w:rsidRPr="0064264A" w14:paraId="339FA7B4" w14:textId="77777777" w:rsidTr="00953742">
        <w:trPr>
          <w:trHeight w:val="340"/>
          <w:jc w:val="center"/>
        </w:trPr>
        <w:tc>
          <w:tcPr>
            <w:tcW w:w="3817" w:type="dxa"/>
            <w:tcBorders>
              <w:top w:val="nil"/>
              <w:left w:val="single" w:sz="12" w:space="0" w:color="1F4E79"/>
              <w:bottom w:val="single" w:sz="12" w:space="0" w:color="1F4E79"/>
              <w:right w:val="single" w:sz="12" w:space="0" w:color="1F4E79"/>
            </w:tcBorders>
            <w:vAlign w:val="center"/>
          </w:tcPr>
          <w:p w14:paraId="6671E1C0" w14:textId="77777777" w:rsidR="00D9267D" w:rsidRPr="0064264A" w:rsidRDefault="00D9267D" w:rsidP="00D9267D">
            <w:pPr>
              <w:spacing w:line="360" w:lineRule="auto"/>
              <w:jc w:val="both"/>
              <w:rPr>
                <w:rFonts w:eastAsia="Calibri"/>
                <w:lang w:val="es-DO"/>
              </w:rPr>
            </w:pPr>
            <w:r w:rsidRPr="0064264A">
              <w:rPr>
                <w:rFonts w:eastAsia="Calibri"/>
                <w:lang w:val="es-DO"/>
              </w:rPr>
              <w:t>Grupo Mandos Medios</w:t>
            </w:r>
          </w:p>
        </w:tc>
        <w:tc>
          <w:tcPr>
            <w:tcW w:w="1420" w:type="dxa"/>
            <w:tcBorders>
              <w:top w:val="nil"/>
              <w:left w:val="nil"/>
              <w:bottom w:val="single" w:sz="12" w:space="0" w:color="1F4E79"/>
              <w:right w:val="single" w:sz="12" w:space="0" w:color="1F4E79"/>
            </w:tcBorders>
          </w:tcPr>
          <w:p w14:paraId="39EE7F5B" w14:textId="77777777" w:rsidR="00D9267D" w:rsidRPr="0064264A" w:rsidRDefault="00D9267D" w:rsidP="00D9267D">
            <w:pPr>
              <w:spacing w:line="360" w:lineRule="auto"/>
              <w:jc w:val="both"/>
              <w:rPr>
                <w:rFonts w:eastAsia="Calibri"/>
                <w:lang w:val="es-DO"/>
              </w:rPr>
            </w:pPr>
            <w:r w:rsidRPr="0064264A">
              <w:rPr>
                <w:rFonts w:eastAsia="Calibri"/>
                <w:lang w:val="es-DO"/>
              </w:rPr>
              <w:t>104</w:t>
            </w:r>
          </w:p>
        </w:tc>
        <w:tc>
          <w:tcPr>
            <w:tcW w:w="1836" w:type="dxa"/>
            <w:tcBorders>
              <w:top w:val="nil"/>
              <w:left w:val="nil"/>
              <w:bottom w:val="single" w:sz="12" w:space="0" w:color="1F4E79"/>
              <w:right w:val="single" w:sz="12" w:space="0" w:color="1F4E79"/>
            </w:tcBorders>
          </w:tcPr>
          <w:p w14:paraId="0D98A286" w14:textId="77777777" w:rsidR="00D9267D" w:rsidRPr="0064264A" w:rsidRDefault="00D9267D" w:rsidP="00D9267D">
            <w:pPr>
              <w:spacing w:line="360" w:lineRule="auto"/>
              <w:jc w:val="both"/>
              <w:rPr>
                <w:rFonts w:eastAsia="Calibri"/>
                <w:lang w:val="es-DO"/>
              </w:rPr>
            </w:pPr>
            <w:r w:rsidRPr="0064264A">
              <w:rPr>
                <w:rFonts w:eastAsia="Calibri"/>
                <w:lang w:val="es-DO"/>
              </w:rPr>
              <w:t>97</w:t>
            </w:r>
          </w:p>
        </w:tc>
      </w:tr>
      <w:tr w:rsidR="0064264A" w:rsidRPr="0064264A" w14:paraId="03640AAA" w14:textId="77777777" w:rsidTr="00953742">
        <w:trPr>
          <w:trHeight w:val="340"/>
          <w:jc w:val="center"/>
        </w:trPr>
        <w:tc>
          <w:tcPr>
            <w:tcW w:w="3817" w:type="dxa"/>
            <w:tcBorders>
              <w:top w:val="nil"/>
              <w:left w:val="single" w:sz="12" w:space="0" w:color="1F4E79"/>
              <w:bottom w:val="single" w:sz="12" w:space="0" w:color="1F4E79"/>
              <w:right w:val="single" w:sz="12" w:space="0" w:color="1F4E79"/>
            </w:tcBorders>
            <w:vAlign w:val="center"/>
          </w:tcPr>
          <w:p w14:paraId="0EF160A3" w14:textId="77777777" w:rsidR="00D9267D" w:rsidRPr="0064264A" w:rsidRDefault="00D9267D" w:rsidP="00D9267D">
            <w:pPr>
              <w:spacing w:line="360" w:lineRule="auto"/>
              <w:jc w:val="both"/>
              <w:rPr>
                <w:rFonts w:eastAsia="Calibri"/>
                <w:lang w:val="es-DO"/>
              </w:rPr>
            </w:pPr>
            <w:r w:rsidRPr="0064264A">
              <w:rPr>
                <w:rFonts w:eastAsia="Calibri"/>
                <w:lang w:val="es-DO"/>
              </w:rPr>
              <w:t>Grupo Profesional Técnico</w:t>
            </w:r>
          </w:p>
        </w:tc>
        <w:tc>
          <w:tcPr>
            <w:tcW w:w="1420" w:type="dxa"/>
            <w:tcBorders>
              <w:top w:val="nil"/>
              <w:left w:val="nil"/>
              <w:bottom w:val="single" w:sz="12" w:space="0" w:color="1F4E79"/>
              <w:right w:val="single" w:sz="12" w:space="0" w:color="1F4E79"/>
            </w:tcBorders>
          </w:tcPr>
          <w:p w14:paraId="5D150230" w14:textId="77777777" w:rsidR="00D9267D" w:rsidRPr="0064264A" w:rsidRDefault="00D9267D" w:rsidP="00D9267D">
            <w:pPr>
              <w:spacing w:line="360" w:lineRule="auto"/>
              <w:jc w:val="both"/>
              <w:rPr>
                <w:rFonts w:eastAsia="Calibri"/>
                <w:lang w:val="es-DO"/>
              </w:rPr>
            </w:pPr>
            <w:r w:rsidRPr="0064264A">
              <w:rPr>
                <w:rFonts w:eastAsia="Calibri"/>
                <w:lang w:val="es-DO"/>
              </w:rPr>
              <w:t>347</w:t>
            </w:r>
          </w:p>
        </w:tc>
        <w:tc>
          <w:tcPr>
            <w:tcW w:w="1836" w:type="dxa"/>
            <w:tcBorders>
              <w:top w:val="nil"/>
              <w:left w:val="nil"/>
              <w:bottom w:val="single" w:sz="12" w:space="0" w:color="1F4E79"/>
              <w:right w:val="single" w:sz="12" w:space="0" w:color="1F4E79"/>
            </w:tcBorders>
          </w:tcPr>
          <w:p w14:paraId="0A01D564" w14:textId="77777777" w:rsidR="00D9267D" w:rsidRPr="0064264A" w:rsidRDefault="00D9267D" w:rsidP="00D9267D">
            <w:pPr>
              <w:spacing w:line="360" w:lineRule="auto"/>
              <w:jc w:val="both"/>
              <w:rPr>
                <w:rFonts w:eastAsia="Calibri"/>
                <w:lang w:val="es-DO"/>
              </w:rPr>
            </w:pPr>
            <w:r w:rsidRPr="0064264A">
              <w:rPr>
                <w:rFonts w:eastAsia="Calibri"/>
                <w:lang w:val="es-DO"/>
              </w:rPr>
              <w:t>474</w:t>
            </w:r>
          </w:p>
        </w:tc>
      </w:tr>
      <w:tr w:rsidR="0064264A" w:rsidRPr="0064264A" w14:paraId="5903EC9E" w14:textId="77777777" w:rsidTr="00953742">
        <w:trPr>
          <w:trHeight w:val="340"/>
          <w:jc w:val="center"/>
        </w:trPr>
        <w:tc>
          <w:tcPr>
            <w:tcW w:w="3817" w:type="dxa"/>
            <w:tcBorders>
              <w:top w:val="nil"/>
              <w:left w:val="single" w:sz="12" w:space="0" w:color="1F4E79"/>
              <w:bottom w:val="single" w:sz="12" w:space="0" w:color="1F4E79"/>
              <w:right w:val="single" w:sz="12" w:space="0" w:color="1F4E79"/>
            </w:tcBorders>
            <w:vAlign w:val="center"/>
            <w:hideMark/>
          </w:tcPr>
          <w:p w14:paraId="2FF9CB1D"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Grupo de Apoyo </w:t>
            </w:r>
          </w:p>
        </w:tc>
        <w:tc>
          <w:tcPr>
            <w:tcW w:w="1420" w:type="dxa"/>
            <w:tcBorders>
              <w:top w:val="nil"/>
              <w:left w:val="nil"/>
              <w:bottom w:val="single" w:sz="12" w:space="0" w:color="1F4E79"/>
              <w:right w:val="single" w:sz="12" w:space="0" w:color="1F4E79"/>
            </w:tcBorders>
          </w:tcPr>
          <w:p w14:paraId="1CF1E996" w14:textId="77777777" w:rsidR="00D9267D" w:rsidRPr="0064264A" w:rsidRDefault="00D9267D" w:rsidP="00D9267D">
            <w:pPr>
              <w:spacing w:line="360" w:lineRule="auto"/>
              <w:jc w:val="both"/>
              <w:rPr>
                <w:rFonts w:eastAsia="Calibri"/>
                <w:lang w:val="es-DO"/>
              </w:rPr>
            </w:pPr>
            <w:r w:rsidRPr="0064264A">
              <w:rPr>
                <w:rFonts w:eastAsia="Calibri"/>
                <w:lang w:val="es-DO"/>
              </w:rPr>
              <w:t>139</w:t>
            </w:r>
          </w:p>
        </w:tc>
        <w:tc>
          <w:tcPr>
            <w:tcW w:w="1836" w:type="dxa"/>
            <w:tcBorders>
              <w:top w:val="nil"/>
              <w:left w:val="nil"/>
              <w:bottom w:val="single" w:sz="12" w:space="0" w:color="1F4E79"/>
              <w:right w:val="single" w:sz="12" w:space="0" w:color="1F4E79"/>
            </w:tcBorders>
          </w:tcPr>
          <w:p w14:paraId="079ACF00" w14:textId="77777777" w:rsidR="00D9267D" w:rsidRPr="0064264A" w:rsidRDefault="00D9267D" w:rsidP="00D9267D">
            <w:pPr>
              <w:spacing w:line="360" w:lineRule="auto"/>
              <w:jc w:val="both"/>
              <w:rPr>
                <w:rFonts w:eastAsia="Calibri"/>
                <w:lang w:val="es-DO"/>
              </w:rPr>
            </w:pPr>
            <w:r w:rsidRPr="0064264A">
              <w:rPr>
                <w:rFonts w:eastAsia="Calibri"/>
                <w:lang w:val="es-DO"/>
              </w:rPr>
              <w:t>469</w:t>
            </w:r>
          </w:p>
        </w:tc>
      </w:tr>
      <w:tr w:rsidR="0064264A" w:rsidRPr="0064264A" w14:paraId="7A038A8E" w14:textId="77777777" w:rsidTr="00953742">
        <w:trPr>
          <w:trHeight w:val="340"/>
          <w:jc w:val="center"/>
        </w:trPr>
        <w:tc>
          <w:tcPr>
            <w:tcW w:w="3817" w:type="dxa"/>
            <w:tcBorders>
              <w:top w:val="nil"/>
              <w:left w:val="single" w:sz="12" w:space="0" w:color="1F4E79"/>
              <w:bottom w:val="single" w:sz="12" w:space="0" w:color="1F4E79"/>
              <w:right w:val="single" w:sz="12" w:space="0" w:color="1F4E79"/>
            </w:tcBorders>
            <w:shd w:val="clear" w:color="auto" w:fill="002060"/>
            <w:vAlign w:val="center"/>
            <w:hideMark/>
          </w:tcPr>
          <w:p w14:paraId="06995D64" w14:textId="77777777" w:rsidR="00D9267D" w:rsidRPr="00F61DE8" w:rsidRDefault="00D9267D" w:rsidP="00D9267D">
            <w:pPr>
              <w:spacing w:line="360" w:lineRule="auto"/>
              <w:jc w:val="both"/>
              <w:rPr>
                <w:rFonts w:eastAsia="Calibri"/>
                <w:color w:val="FFFFFF" w:themeColor="background1"/>
                <w:lang w:val="es-DO"/>
              </w:rPr>
            </w:pPr>
            <w:r w:rsidRPr="00F61DE8">
              <w:rPr>
                <w:rFonts w:eastAsia="Calibri"/>
                <w:color w:val="FFFFFF" w:themeColor="background1"/>
                <w:lang w:val="es-DO"/>
              </w:rPr>
              <w:t>Total</w:t>
            </w:r>
          </w:p>
        </w:tc>
        <w:tc>
          <w:tcPr>
            <w:tcW w:w="1420" w:type="dxa"/>
            <w:tcBorders>
              <w:top w:val="nil"/>
              <w:left w:val="nil"/>
              <w:bottom w:val="single" w:sz="12" w:space="0" w:color="1F4E79"/>
              <w:right w:val="single" w:sz="12" w:space="0" w:color="1F4E79"/>
            </w:tcBorders>
            <w:shd w:val="clear" w:color="auto" w:fill="002060"/>
            <w:vAlign w:val="center"/>
            <w:hideMark/>
          </w:tcPr>
          <w:p w14:paraId="44A07FB3" w14:textId="77777777" w:rsidR="00D9267D" w:rsidRPr="00F61DE8" w:rsidRDefault="00D9267D" w:rsidP="00D9267D">
            <w:pPr>
              <w:spacing w:line="360" w:lineRule="auto"/>
              <w:jc w:val="both"/>
              <w:rPr>
                <w:rFonts w:eastAsia="Calibri"/>
                <w:color w:val="FFFFFF" w:themeColor="background1"/>
                <w:lang w:val="es-DO"/>
              </w:rPr>
            </w:pPr>
            <w:r w:rsidRPr="00F61DE8">
              <w:rPr>
                <w:rFonts w:eastAsia="Calibri"/>
                <w:color w:val="FFFFFF" w:themeColor="background1"/>
                <w:lang w:val="es-DO"/>
              </w:rPr>
              <w:t>729</w:t>
            </w:r>
          </w:p>
        </w:tc>
        <w:tc>
          <w:tcPr>
            <w:tcW w:w="1836" w:type="dxa"/>
            <w:tcBorders>
              <w:top w:val="nil"/>
              <w:left w:val="nil"/>
              <w:bottom w:val="single" w:sz="12" w:space="0" w:color="1F4E79"/>
              <w:right w:val="single" w:sz="12" w:space="0" w:color="1F4E79"/>
            </w:tcBorders>
            <w:shd w:val="clear" w:color="auto" w:fill="002060"/>
            <w:vAlign w:val="center"/>
            <w:hideMark/>
          </w:tcPr>
          <w:p w14:paraId="5C4FBC9C" w14:textId="77777777" w:rsidR="00D9267D" w:rsidRPr="00F61DE8" w:rsidRDefault="00D9267D" w:rsidP="00D9267D">
            <w:pPr>
              <w:spacing w:line="360" w:lineRule="auto"/>
              <w:jc w:val="both"/>
              <w:rPr>
                <w:rFonts w:eastAsia="Calibri"/>
                <w:color w:val="FFFFFF" w:themeColor="background1"/>
                <w:lang w:val="es-DO"/>
              </w:rPr>
            </w:pPr>
            <w:r w:rsidRPr="00F61DE8">
              <w:rPr>
                <w:rFonts w:eastAsia="Calibri"/>
                <w:color w:val="FFFFFF" w:themeColor="background1"/>
                <w:lang w:val="es-DO"/>
              </w:rPr>
              <w:t>1,188</w:t>
            </w:r>
          </w:p>
        </w:tc>
      </w:tr>
    </w:tbl>
    <w:p w14:paraId="74E75A46" w14:textId="06C630DC" w:rsidR="00D9267D" w:rsidRPr="0064264A" w:rsidRDefault="00D9267D" w:rsidP="00D9267D">
      <w:pPr>
        <w:spacing w:line="360" w:lineRule="auto"/>
        <w:jc w:val="both"/>
        <w:rPr>
          <w:rFonts w:eastAsia="Calibri"/>
          <w:b/>
          <w:lang w:val="es-DO"/>
        </w:rPr>
      </w:pPr>
      <w:bookmarkStart w:id="26" w:name="_Hlk121920748"/>
      <w:r w:rsidRPr="0064264A">
        <w:rPr>
          <w:rFonts w:eastAsia="Calibri"/>
          <w:lang w:val="es-DO"/>
        </w:rPr>
        <w:t xml:space="preserve">                   </w:t>
      </w:r>
      <w:r w:rsidRPr="0064264A">
        <w:rPr>
          <w:rFonts w:eastAsia="Calibri"/>
          <w:b/>
          <w:lang w:val="es-DO"/>
        </w:rPr>
        <w:t xml:space="preserve">Fuente: Depto. de Recursos Humanos </w:t>
      </w:r>
    </w:p>
    <w:p w14:paraId="6A7F36D3" w14:textId="77777777" w:rsidR="00D9267D" w:rsidRPr="0064264A" w:rsidRDefault="00D9267D" w:rsidP="00D9267D">
      <w:pPr>
        <w:spacing w:line="360" w:lineRule="auto"/>
        <w:jc w:val="both"/>
        <w:rPr>
          <w:rFonts w:eastAsia="Calibri"/>
          <w:b/>
          <w:lang w:val="es-DO"/>
        </w:rPr>
      </w:pPr>
    </w:p>
    <w:p w14:paraId="2D671F2F" w14:textId="77777777" w:rsidR="00D9267D" w:rsidRPr="0064264A" w:rsidRDefault="00D9267D" w:rsidP="00D9267D">
      <w:pPr>
        <w:spacing w:line="360" w:lineRule="auto"/>
        <w:jc w:val="both"/>
        <w:rPr>
          <w:rFonts w:eastAsia="Calibri"/>
          <w:lang w:val="es-DO"/>
        </w:rPr>
      </w:pPr>
      <w:r w:rsidRPr="0064264A">
        <w:rPr>
          <w:rFonts w:eastAsia="Calibri"/>
          <w:lang w:val="es-DO"/>
        </w:rPr>
        <w:t>En el año 2025, la distribución de empleados activos por sexo y grupo ocupacional muestra una estructura organizacional con presencia predominante masculina en la mayoría de los niveles, aunque con avances en participación femenina en categorías específicas.</w:t>
      </w:r>
    </w:p>
    <w:p w14:paraId="68242271" w14:textId="77777777" w:rsidR="00D9267D" w:rsidRPr="0064264A" w:rsidRDefault="00D9267D" w:rsidP="00D9267D">
      <w:pPr>
        <w:spacing w:line="360" w:lineRule="auto"/>
        <w:jc w:val="both"/>
        <w:rPr>
          <w:rFonts w:eastAsia="Calibri"/>
          <w:lang w:val="es-DO"/>
        </w:rPr>
      </w:pPr>
      <w:r w:rsidRPr="0064264A">
        <w:rPr>
          <w:rFonts w:eastAsia="Calibri"/>
          <w:lang w:val="es-DO"/>
        </w:rPr>
        <w:t>En los niveles superiores, como Autoridades, se observa equilibrio, con una mujer y un hombre. En las áreas de Gerencia y Contraloría, la representación es exclusivamente masculina, con un hombre en cada caso.</w:t>
      </w:r>
    </w:p>
    <w:p w14:paraId="4D4A371F" w14:textId="77777777" w:rsidR="00D9267D" w:rsidRPr="0064264A" w:rsidRDefault="00D9267D" w:rsidP="00D9267D">
      <w:pPr>
        <w:spacing w:line="360" w:lineRule="auto"/>
        <w:jc w:val="both"/>
        <w:rPr>
          <w:rFonts w:eastAsia="Calibri"/>
          <w:lang w:val="es-DO"/>
        </w:rPr>
      </w:pPr>
      <w:r w:rsidRPr="0064264A">
        <w:rPr>
          <w:rFonts w:eastAsia="Calibri"/>
          <w:lang w:val="es-DO"/>
        </w:rPr>
        <w:t>En el Grupo Gerencial, la mayor parte corresponde a hombres, con 10 frente a 3 mujeres. El Grupo Directivo presenta un comportamiento similar, manteniendo cifras cercanas entre ambos géneros, con 14 hombres y 13 mujeres.</w:t>
      </w:r>
    </w:p>
    <w:p w14:paraId="33317395"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El Grupo </w:t>
      </w:r>
      <w:proofErr w:type="spellStart"/>
      <w:r w:rsidRPr="0064264A">
        <w:rPr>
          <w:rFonts w:eastAsia="Calibri"/>
          <w:lang w:val="es-DO"/>
        </w:rPr>
        <w:t>Subdirectivo</w:t>
      </w:r>
      <w:proofErr w:type="spellEnd"/>
      <w:r w:rsidRPr="0064264A">
        <w:rPr>
          <w:rFonts w:eastAsia="Calibri"/>
          <w:lang w:val="es-DO"/>
        </w:rPr>
        <w:t xml:space="preserve"> evidencia una participación equilibrada, con 122 mujeres y 121 hombres, reflejando una distribución casi paritaria. Por su parte, los Mandos Medios continúan esta tendencia, con 104 mujeres y 97 hombres, destacando un ligero liderazgo femenino.</w:t>
      </w:r>
    </w:p>
    <w:p w14:paraId="0B2BF45F" w14:textId="77777777" w:rsidR="00D9267D" w:rsidRPr="0064264A" w:rsidRDefault="00D9267D" w:rsidP="00D9267D">
      <w:pPr>
        <w:spacing w:line="360" w:lineRule="auto"/>
        <w:jc w:val="both"/>
        <w:rPr>
          <w:rFonts w:eastAsia="Calibri"/>
          <w:lang w:val="es-DO"/>
        </w:rPr>
      </w:pPr>
      <w:r w:rsidRPr="0064264A">
        <w:rPr>
          <w:rFonts w:eastAsia="Calibri"/>
          <w:lang w:val="es-DO"/>
        </w:rPr>
        <w:lastRenderedPageBreak/>
        <w:t>En el Grupo Profesional Técnico, la participación masculina es mayoritaria con 474 hombres frente a 347 mujeres, mientras que en el Grupo de Apoyo también prevalece el género masculino, con 469 hombres frente a 139 mujeres.</w:t>
      </w:r>
    </w:p>
    <w:p w14:paraId="304AA0CD" w14:textId="77777777" w:rsidR="00D9267D" w:rsidRPr="0064264A" w:rsidRDefault="00D9267D" w:rsidP="00D9267D">
      <w:pPr>
        <w:spacing w:line="360" w:lineRule="auto"/>
        <w:jc w:val="both"/>
        <w:rPr>
          <w:rFonts w:eastAsia="Calibri"/>
          <w:lang w:val="es-DO"/>
        </w:rPr>
      </w:pPr>
      <w:r w:rsidRPr="0064264A">
        <w:rPr>
          <w:rFonts w:eastAsia="Calibri"/>
          <w:lang w:val="es-DO"/>
        </w:rPr>
        <w:t>Esta estructura evidencia que, aunque en los niveles estratégicos y en mandos medios la participación de ambos géneros se acerca al equilibrio, en los niveles operativos persiste una mayor presencia masculina, representando oportunidades para seguir promoviendo políticas de equidad en los distintos grupos ocupacionales.</w:t>
      </w:r>
    </w:p>
    <w:bookmarkEnd w:id="26"/>
    <w:p w14:paraId="3A07AC78" w14:textId="77777777" w:rsidR="00D9267D" w:rsidRPr="0064264A" w:rsidRDefault="00D9267D" w:rsidP="00D9267D">
      <w:pPr>
        <w:spacing w:line="360" w:lineRule="auto"/>
        <w:jc w:val="both"/>
        <w:rPr>
          <w:rFonts w:eastAsia="Calibri"/>
          <w:b/>
          <w:lang w:val="es-DO"/>
        </w:rPr>
      </w:pPr>
      <w:r w:rsidRPr="0064264A">
        <w:rPr>
          <w:rFonts w:eastAsia="Calibri"/>
          <w:b/>
          <w:lang w:val="es-DO"/>
        </w:rPr>
        <w:t>Reclutamiento y Selección de Personal</w:t>
      </w:r>
    </w:p>
    <w:p w14:paraId="537042D2"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El Banco Central se preocupa por identificar y captar talento humano idóneo que requieren las diferentes dependencias del Banco Central de la Republica Dominicana para el logro de los objetivos estratégicos institucionales, por lo que, nuestro proceso de reclutamiento contempla técnicas de entrevista y la medición de las habilidades, aptitudes, personalidad, capacidad intelectual y de razonamiento que posee un candidato, con el objetivo de seleccionar talento con el mejor ajuste a los requerimientos del perfil de puesto. </w:t>
      </w:r>
    </w:p>
    <w:p w14:paraId="14C05A38" w14:textId="77777777" w:rsidR="00D9267D" w:rsidRPr="0064264A" w:rsidRDefault="00D9267D" w:rsidP="00D9267D">
      <w:pPr>
        <w:spacing w:line="360" w:lineRule="auto"/>
        <w:jc w:val="both"/>
        <w:rPr>
          <w:rFonts w:eastAsia="Calibri"/>
          <w:lang w:val="es-DO"/>
        </w:rPr>
      </w:pPr>
      <w:r w:rsidRPr="0064264A">
        <w:rPr>
          <w:rFonts w:eastAsia="Calibri"/>
          <w:lang w:val="es-DO"/>
        </w:rPr>
        <w:t>Para garantizar la mejora continua de nuestros procesos, hemos tomado como referente los cambios en el mercado y la necesidad de identificar nuevas formas de gestionar nuestro trabajo, en el año 2025 con el apoyo de la alta dirección hemos llevado a cabo las siguientes acciones:</w:t>
      </w:r>
    </w:p>
    <w:p w14:paraId="1132B808" w14:textId="617CF174" w:rsidR="00752C2A" w:rsidRPr="0064264A" w:rsidRDefault="00D9267D" w:rsidP="00D9267D">
      <w:pPr>
        <w:spacing w:line="360" w:lineRule="auto"/>
        <w:jc w:val="both"/>
        <w:rPr>
          <w:rFonts w:eastAsia="Calibri"/>
          <w:lang w:val="es-DO"/>
        </w:rPr>
      </w:pPr>
      <w:r w:rsidRPr="0064264A">
        <w:rPr>
          <w:rFonts w:eastAsia="Calibri"/>
          <w:lang w:val="es-DO"/>
        </w:rPr>
        <w:t xml:space="preserve">Con la finalidad de seleccionar talento con el mejor ajuste a los requerimientos organizacionales, nos apoyamos en la metodología </w:t>
      </w:r>
      <w:proofErr w:type="spellStart"/>
      <w:r w:rsidRPr="0064264A">
        <w:rPr>
          <w:rFonts w:eastAsia="Calibri"/>
          <w:lang w:val="es-DO"/>
        </w:rPr>
        <w:t>Assessment</w:t>
      </w:r>
      <w:proofErr w:type="spellEnd"/>
      <w:r w:rsidRPr="0064264A">
        <w:rPr>
          <w:rFonts w:eastAsia="Calibri"/>
          <w:lang w:val="es-DO"/>
        </w:rPr>
        <w:t xml:space="preserve"> Center, hemos customizado un modelo de evaluación por Competencias alineado con los requerimientos definidos en los Perfiles de Puesto del Banco Central de la República Dominicana, </w:t>
      </w:r>
      <w:r w:rsidRPr="0064264A">
        <w:rPr>
          <w:rFonts w:eastAsia="Calibri"/>
          <w:lang w:val="es-DO"/>
        </w:rPr>
        <w:lastRenderedPageBreak/>
        <w:t xml:space="preserve">complementado con la medición de Habilidades, Razonamiento, Conocimientos Generales, Rasgos de la Personalidad y elementos Motivadores para un posible encaje a la Cultura de la Organización. </w:t>
      </w:r>
    </w:p>
    <w:p w14:paraId="7AB1E602" w14:textId="1B27EB50" w:rsidR="00D9267D" w:rsidRPr="0064264A" w:rsidRDefault="00D9267D" w:rsidP="00D9267D">
      <w:pPr>
        <w:spacing w:line="360" w:lineRule="auto"/>
        <w:jc w:val="both"/>
        <w:rPr>
          <w:rFonts w:eastAsia="Calibri"/>
          <w:lang w:val="es-DO"/>
        </w:rPr>
      </w:pPr>
      <w:r w:rsidRPr="0064264A">
        <w:rPr>
          <w:rFonts w:eastAsia="Calibri"/>
          <w:lang w:val="es-DO"/>
        </w:rPr>
        <w:t xml:space="preserve">El Departamento de Recursos Humanos cuenta con un Software interno para realizar Pruebas de Conocimientos Específicos a requerimiento de las Dependencias del Banco; este sistema permite diseñar evaluaciones personalizadas para medir el nivel de conocimiento que tiene un candidato o empleado sobre un tema relacionado a un puesto vacante. </w:t>
      </w:r>
    </w:p>
    <w:p w14:paraId="15D1CDF8" w14:textId="77777777" w:rsidR="00D9267D" w:rsidRPr="0064264A" w:rsidRDefault="00D9267D" w:rsidP="00D9267D">
      <w:pPr>
        <w:spacing w:line="360" w:lineRule="auto"/>
        <w:jc w:val="both"/>
        <w:rPr>
          <w:rFonts w:eastAsia="Calibri"/>
          <w:lang w:val="es-DO"/>
        </w:rPr>
      </w:pPr>
      <w:r w:rsidRPr="0064264A">
        <w:rPr>
          <w:rFonts w:eastAsia="Calibri"/>
          <w:lang w:val="es-DO"/>
        </w:rPr>
        <w:t>En apoyo a la sostenibilidad y nuestro compromiso con el medio ambiente, con el respaldo de la alta dirección, hemos implementado diversas acciones orientadas a la transformación digital de nuestros procesos:</w:t>
      </w:r>
    </w:p>
    <w:p w14:paraId="2CD764A8" w14:textId="77777777" w:rsidR="00D9267D" w:rsidRPr="0064264A" w:rsidRDefault="00D9267D" w:rsidP="00A40AE3">
      <w:pPr>
        <w:numPr>
          <w:ilvl w:val="0"/>
          <w:numId w:val="12"/>
        </w:numPr>
        <w:spacing w:line="360" w:lineRule="auto"/>
        <w:jc w:val="both"/>
        <w:rPr>
          <w:rFonts w:eastAsia="Calibri"/>
          <w:lang w:val="es-DO"/>
        </w:rPr>
      </w:pPr>
      <w:r w:rsidRPr="0064264A">
        <w:rPr>
          <w:rFonts w:eastAsia="Calibri"/>
          <w:lang w:val="es-DO"/>
        </w:rPr>
        <w:t xml:space="preserve">Digitalización de la mayoría de los formularios utilizados en el proceso de reclutamiento e ingreso de personal; estos documentos son colocados en el software de gestión interna utilizado en la institución con la finalidad de gestionar y controlar de una forma integral su almacenamiento y disminuir la cantidad de documentos de resguardo físico. </w:t>
      </w:r>
    </w:p>
    <w:p w14:paraId="727512F3" w14:textId="18758235" w:rsidR="00D9267D" w:rsidRPr="0064264A" w:rsidRDefault="00D9267D" w:rsidP="00A40AE3">
      <w:pPr>
        <w:numPr>
          <w:ilvl w:val="0"/>
          <w:numId w:val="13"/>
        </w:numPr>
        <w:spacing w:line="360" w:lineRule="auto"/>
        <w:jc w:val="both"/>
        <w:rPr>
          <w:rFonts w:eastAsia="Calibri"/>
          <w:lang w:val="es-DO"/>
        </w:rPr>
      </w:pPr>
      <w:r w:rsidRPr="0064264A">
        <w:rPr>
          <w:rFonts w:eastAsia="Calibri"/>
          <w:lang w:val="es-DO"/>
        </w:rPr>
        <w:t>Fue automatizado el modelo de comunicación utilizado para solicitar la Aprobación de Ingreso de Personal, que ahora es generado a través del software de gestión interna utilizado en la institución.</w:t>
      </w:r>
    </w:p>
    <w:p w14:paraId="1064E293" w14:textId="77777777" w:rsidR="00D9267D" w:rsidRPr="0064264A" w:rsidRDefault="00D9267D" w:rsidP="00A40AE3">
      <w:pPr>
        <w:numPr>
          <w:ilvl w:val="0"/>
          <w:numId w:val="13"/>
        </w:numPr>
        <w:spacing w:line="360" w:lineRule="auto"/>
        <w:jc w:val="both"/>
        <w:rPr>
          <w:rFonts w:eastAsia="Calibri"/>
          <w:lang w:val="es-DO"/>
        </w:rPr>
      </w:pPr>
      <w:r w:rsidRPr="0064264A">
        <w:rPr>
          <w:rFonts w:eastAsia="Calibri"/>
          <w:lang w:val="es-DO"/>
        </w:rPr>
        <w:t xml:space="preserve">Automatizado el formulario de Solicitud de Empleo mediante una herramienta digital desarrollada por el equipo de Sistemas y Tecnología. Esta plataforma, actualmente en funcionamiento y disponible en un entorno web, permite a los aplicantes completar y enviar su información personal, profesional y académica </w:t>
      </w:r>
      <w:r w:rsidRPr="0064264A">
        <w:rPr>
          <w:rFonts w:eastAsia="Calibri"/>
          <w:lang w:val="es-DO"/>
        </w:rPr>
        <w:lastRenderedPageBreak/>
        <w:t xml:space="preserve">de forma electrónica, lo que agiliza la recepción y registro de datos y fortalece la gestión interna de solicitudes por parte del área de Recursos Humanos. </w:t>
      </w:r>
    </w:p>
    <w:p w14:paraId="0954E345" w14:textId="77777777" w:rsidR="00D9267D" w:rsidRPr="0064264A" w:rsidRDefault="00D9267D" w:rsidP="00A40AE3">
      <w:pPr>
        <w:numPr>
          <w:ilvl w:val="0"/>
          <w:numId w:val="13"/>
        </w:numPr>
        <w:spacing w:line="360" w:lineRule="auto"/>
        <w:jc w:val="both"/>
        <w:rPr>
          <w:rFonts w:eastAsia="Calibri"/>
          <w:lang w:val="es-DO"/>
        </w:rPr>
      </w:pPr>
      <w:r w:rsidRPr="0064264A">
        <w:rPr>
          <w:rFonts w:eastAsia="Calibri"/>
          <w:lang w:val="es-DO"/>
        </w:rPr>
        <w:t xml:space="preserve">Amplio el uso de canales digitales para la gestión de procesos de reclutamiento, mediante la habilitación de un nuevo correo exclusivo para la recepción de hojas de vida e interés en futuras vacantes, reduciendo significativamente la documentación física y facilitando la actualización de la base de datos de posibles candidatos. </w:t>
      </w:r>
    </w:p>
    <w:p w14:paraId="189F7495" w14:textId="77777777" w:rsidR="00D9267D" w:rsidRPr="0064264A" w:rsidRDefault="00D9267D" w:rsidP="00D9267D">
      <w:pPr>
        <w:spacing w:line="360" w:lineRule="auto"/>
        <w:jc w:val="both"/>
        <w:rPr>
          <w:rFonts w:eastAsia="Calibri"/>
          <w:lang w:val="es-DO"/>
        </w:rPr>
      </w:pPr>
      <w:r w:rsidRPr="0064264A">
        <w:rPr>
          <w:rFonts w:eastAsia="Calibri"/>
          <w:lang w:val="es-DO"/>
        </w:rPr>
        <w:t>Uso de un correo externo exclusivo de Reclutamiento y Selección, habilitar este canal nos ha permitido:</w:t>
      </w:r>
    </w:p>
    <w:p w14:paraId="3848398B" w14:textId="77777777" w:rsidR="00D9267D" w:rsidRPr="0064264A" w:rsidRDefault="00D9267D" w:rsidP="00A40AE3">
      <w:pPr>
        <w:numPr>
          <w:ilvl w:val="0"/>
          <w:numId w:val="14"/>
        </w:numPr>
        <w:spacing w:line="360" w:lineRule="auto"/>
        <w:jc w:val="both"/>
        <w:rPr>
          <w:rFonts w:eastAsia="Calibri"/>
          <w:lang w:val="es-DO"/>
        </w:rPr>
      </w:pPr>
      <w:r w:rsidRPr="0064264A">
        <w:rPr>
          <w:rFonts w:eastAsia="Calibri"/>
          <w:lang w:val="es-DO"/>
        </w:rPr>
        <w:t>Mejorar la comunicación entre candidatos en proceso.</w:t>
      </w:r>
    </w:p>
    <w:p w14:paraId="45D452ED" w14:textId="77777777" w:rsidR="00D9267D" w:rsidRPr="0064264A" w:rsidRDefault="00D9267D" w:rsidP="00A40AE3">
      <w:pPr>
        <w:numPr>
          <w:ilvl w:val="0"/>
          <w:numId w:val="14"/>
        </w:numPr>
        <w:spacing w:line="360" w:lineRule="auto"/>
        <w:jc w:val="both"/>
        <w:rPr>
          <w:rFonts w:eastAsia="Calibri"/>
          <w:lang w:val="es-DO"/>
        </w:rPr>
      </w:pPr>
      <w:r w:rsidRPr="0064264A">
        <w:rPr>
          <w:rFonts w:eastAsia="Calibri"/>
          <w:lang w:val="es-DO"/>
        </w:rPr>
        <w:t>Facilitar el envío y recepción de evaluaciones por competencias y psicométricas.</w:t>
      </w:r>
    </w:p>
    <w:p w14:paraId="7D7E283C" w14:textId="77777777" w:rsidR="00D9267D" w:rsidRPr="0064264A" w:rsidRDefault="00D9267D" w:rsidP="00A40AE3">
      <w:pPr>
        <w:numPr>
          <w:ilvl w:val="0"/>
          <w:numId w:val="14"/>
        </w:numPr>
        <w:spacing w:line="360" w:lineRule="auto"/>
        <w:jc w:val="both"/>
        <w:rPr>
          <w:rFonts w:eastAsia="Calibri"/>
          <w:lang w:val="es-DO"/>
        </w:rPr>
      </w:pPr>
      <w:r w:rsidRPr="0064264A">
        <w:rPr>
          <w:rFonts w:eastAsia="Calibri"/>
          <w:lang w:val="es-DO"/>
        </w:rPr>
        <w:t>Agilizar la notificación de requerimientos de documentos y presentación de ofertas laborales.</w:t>
      </w:r>
    </w:p>
    <w:p w14:paraId="6BDA7357" w14:textId="77777777" w:rsidR="00D9267D" w:rsidRPr="0064264A" w:rsidRDefault="00D9267D" w:rsidP="00D9267D">
      <w:pPr>
        <w:spacing w:line="360" w:lineRule="auto"/>
        <w:jc w:val="both"/>
        <w:rPr>
          <w:rFonts w:eastAsia="Calibri"/>
          <w:lang w:val="es-DO"/>
        </w:rPr>
      </w:pPr>
      <w:r w:rsidRPr="0064264A">
        <w:rPr>
          <w:rFonts w:eastAsia="Calibri"/>
          <w:lang w:val="es-DO"/>
        </w:rPr>
        <w:t>Gestión de brechas para capacitación</w:t>
      </w:r>
    </w:p>
    <w:p w14:paraId="10DE83EB" w14:textId="6F10FD26" w:rsidR="00D9267D" w:rsidRPr="0064264A" w:rsidRDefault="00D9267D" w:rsidP="00D9267D">
      <w:pPr>
        <w:spacing w:line="360" w:lineRule="auto"/>
        <w:jc w:val="both"/>
        <w:rPr>
          <w:rFonts w:eastAsia="Calibri"/>
          <w:lang w:val="es-DO"/>
        </w:rPr>
      </w:pPr>
      <w:r w:rsidRPr="0064264A">
        <w:rPr>
          <w:rFonts w:eastAsia="Calibri"/>
          <w:lang w:val="es-DO"/>
        </w:rPr>
        <w:t>En materia de desarrollo del talento, se automatizó el informe de brechas de capacitación en el software interno, lo que permite identificar y comparar las competencias del personal ingresante con los requerimientos del puesto. Esta herramienta facilita el diseño de planes de desarrollo profesional alineados con las necesidades institucionales.</w:t>
      </w:r>
    </w:p>
    <w:p w14:paraId="43778AC3" w14:textId="77777777" w:rsidR="00D9267D" w:rsidRPr="0064264A" w:rsidRDefault="00D9267D" w:rsidP="00D9267D">
      <w:pPr>
        <w:spacing w:line="360" w:lineRule="auto"/>
        <w:jc w:val="both"/>
        <w:rPr>
          <w:rFonts w:eastAsia="Calibri"/>
          <w:lang w:val="es-DO"/>
        </w:rPr>
      </w:pPr>
      <w:r w:rsidRPr="0064264A">
        <w:rPr>
          <w:rFonts w:eastAsia="Calibri"/>
          <w:lang w:val="es-DO"/>
        </w:rPr>
        <w:t>Fortalecimiento de los procesos de verificación y control:</w:t>
      </w:r>
    </w:p>
    <w:p w14:paraId="5C13441D"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Con el fin de garantizar la integridad de la información proporcionada por el personal que ingresa a la Institución y fortalecer </w:t>
      </w:r>
      <w:r w:rsidRPr="0064264A">
        <w:rPr>
          <w:rFonts w:eastAsia="Calibri"/>
          <w:lang w:val="es-DO"/>
        </w:rPr>
        <w:lastRenderedPageBreak/>
        <w:t>la revisión inicial de los candidatos, conforme a los lineamientos institucionales, se llevaron a cabo las siguientes acciones:</w:t>
      </w:r>
    </w:p>
    <w:p w14:paraId="6A28EE3D" w14:textId="77777777" w:rsidR="00D9267D" w:rsidRPr="0064264A" w:rsidRDefault="00D9267D" w:rsidP="00A40AE3">
      <w:pPr>
        <w:numPr>
          <w:ilvl w:val="1"/>
          <w:numId w:val="21"/>
        </w:numPr>
        <w:spacing w:line="360" w:lineRule="auto"/>
        <w:jc w:val="both"/>
        <w:rPr>
          <w:rFonts w:eastAsia="Calibri"/>
          <w:lang w:val="es-DO"/>
        </w:rPr>
      </w:pPr>
      <w:r w:rsidRPr="0064264A">
        <w:rPr>
          <w:rFonts w:eastAsia="Calibri"/>
          <w:lang w:val="es-DO"/>
        </w:rPr>
        <w:t>Habilito fuentes de verificación interna orientadas a depurar información y detectar posibles vínculos familiares entre el personal propuesto y los funcionarios o empleados que laboran en la institución. Estas medidas han permitido asegurar que el personal ingresante cumpla con los lineamientos establecidos en el Reglamento de Administración de Recursos Humanos y en la Ley de Lavado de Activos y Financiamiento del Terrorismo.</w:t>
      </w:r>
    </w:p>
    <w:p w14:paraId="3F4894F8" w14:textId="77777777" w:rsidR="00D9267D" w:rsidRPr="0064264A" w:rsidRDefault="00D9267D" w:rsidP="00A40AE3">
      <w:pPr>
        <w:numPr>
          <w:ilvl w:val="1"/>
          <w:numId w:val="21"/>
        </w:numPr>
        <w:spacing w:line="360" w:lineRule="auto"/>
        <w:jc w:val="both"/>
        <w:rPr>
          <w:rFonts w:eastAsia="Calibri"/>
          <w:lang w:val="es-DO"/>
        </w:rPr>
      </w:pPr>
      <w:r w:rsidRPr="0064264A">
        <w:rPr>
          <w:rFonts w:eastAsia="Calibri"/>
          <w:lang w:val="es-DO"/>
        </w:rPr>
        <w:t>Solicitud y validación de la Certificación de no antecedentes penales a través de la página oficial de la Procuraduría General, garantizando la confiabilidad de la información suministrada por los candidatos.</w:t>
      </w:r>
    </w:p>
    <w:p w14:paraId="5E87BCC4" w14:textId="77777777" w:rsidR="00D9267D" w:rsidRPr="0064264A" w:rsidRDefault="00D9267D" w:rsidP="00A40AE3">
      <w:pPr>
        <w:numPr>
          <w:ilvl w:val="1"/>
          <w:numId w:val="21"/>
        </w:numPr>
        <w:spacing w:line="360" w:lineRule="auto"/>
        <w:jc w:val="both"/>
        <w:rPr>
          <w:rFonts w:eastAsia="Calibri"/>
          <w:lang w:val="es-DO"/>
        </w:rPr>
      </w:pPr>
      <w:r w:rsidRPr="0064264A">
        <w:rPr>
          <w:rFonts w:eastAsia="Calibri"/>
          <w:lang w:val="es-DO"/>
        </w:rPr>
        <w:t>Solicitud y validación de las informaciones sobre la referencia laboral y/o personal del candidato.</w:t>
      </w:r>
    </w:p>
    <w:p w14:paraId="1861A0C5"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Inducción y cultura organizacional</w:t>
      </w:r>
    </w:p>
    <w:p w14:paraId="746158D1" w14:textId="77777777" w:rsidR="00D9267D" w:rsidRPr="0064264A" w:rsidRDefault="00D9267D" w:rsidP="00D9267D">
      <w:pPr>
        <w:spacing w:line="360" w:lineRule="auto"/>
        <w:jc w:val="both"/>
        <w:rPr>
          <w:rFonts w:eastAsia="Calibri"/>
          <w:lang w:val="es-DO"/>
        </w:rPr>
      </w:pPr>
      <w:r w:rsidRPr="0064264A">
        <w:rPr>
          <w:rFonts w:eastAsia="Calibri"/>
          <w:lang w:val="es-DO"/>
        </w:rPr>
        <w:t>Otro avance significativo fue la publicación del Manual de Inducción en la Intranet institucional, lo que facilita el acceso del personal a información clave sobre la cultura organizacional, procesos y normativa interna, mejorando la experiencia de incorporación y adaptación de los nuevos colaboradores.</w:t>
      </w:r>
    </w:p>
    <w:p w14:paraId="55992D0E" w14:textId="77777777" w:rsidR="00D9267D" w:rsidRPr="0064264A" w:rsidRDefault="00D9267D" w:rsidP="00D9267D">
      <w:pPr>
        <w:spacing w:line="360" w:lineRule="auto"/>
        <w:jc w:val="both"/>
        <w:rPr>
          <w:rFonts w:eastAsia="Calibri"/>
          <w:lang w:val="es-DO"/>
        </w:rPr>
      </w:pPr>
      <w:r w:rsidRPr="0064264A">
        <w:rPr>
          <w:rFonts w:eastAsia="Calibri"/>
          <w:lang w:val="es-DO"/>
        </w:rPr>
        <w:t>Apoyo legal especializado</w:t>
      </w:r>
    </w:p>
    <w:p w14:paraId="0E7712AF" w14:textId="5FC3CEAD" w:rsidR="00752C2A" w:rsidRPr="0064264A" w:rsidRDefault="00D9267D" w:rsidP="00D9267D">
      <w:pPr>
        <w:spacing w:line="360" w:lineRule="auto"/>
        <w:jc w:val="both"/>
        <w:rPr>
          <w:rFonts w:eastAsia="Calibri"/>
          <w:lang w:val="es-DO"/>
        </w:rPr>
      </w:pPr>
      <w:r w:rsidRPr="0064264A">
        <w:rPr>
          <w:rFonts w:eastAsia="Calibri"/>
          <w:lang w:val="es-DO"/>
        </w:rPr>
        <w:t xml:space="preserve">Integración de una profesional del área jurídica al Departamento de Recursos Humanos, lo que ha permitido optimizar los procesos de revisión, validación y control de los contratos, asegurando el </w:t>
      </w:r>
      <w:r w:rsidRPr="0064264A">
        <w:rPr>
          <w:rFonts w:eastAsia="Calibri"/>
          <w:lang w:val="es-DO"/>
        </w:rPr>
        <w:lastRenderedPageBreak/>
        <w:t>cumplimiento normativo y la consistencia con los lineamientos institucionales.</w:t>
      </w:r>
    </w:p>
    <w:p w14:paraId="3C8E8966" w14:textId="09148B5C" w:rsidR="00752C2A" w:rsidRPr="0064264A" w:rsidRDefault="00D9267D" w:rsidP="00D9267D">
      <w:pPr>
        <w:spacing w:line="360" w:lineRule="auto"/>
        <w:jc w:val="both"/>
        <w:rPr>
          <w:rFonts w:eastAsia="Calibri"/>
          <w:b/>
          <w:bCs/>
          <w:lang w:val="es-DO"/>
        </w:rPr>
      </w:pPr>
      <w:r w:rsidRPr="0064264A">
        <w:rPr>
          <w:rFonts w:eastAsia="Calibri"/>
          <w:b/>
          <w:bCs/>
          <w:lang w:val="es-DO"/>
        </w:rPr>
        <w:t>Apoyo al Proyecto de Encuesta Nacional</w:t>
      </w:r>
    </w:p>
    <w:p w14:paraId="07B57E94" w14:textId="61CACFB0" w:rsidR="00667F26" w:rsidRPr="0064264A" w:rsidRDefault="00D9267D" w:rsidP="00D9267D">
      <w:pPr>
        <w:spacing w:line="360" w:lineRule="auto"/>
        <w:jc w:val="both"/>
        <w:rPr>
          <w:rFonts w:eastAsia="Calibri"/>
          <w:lang w:val="es-DO"/>
        </w:rPr>
      </w:pPr>
      <w:r w:rsidRPr="0064264A">
        <w:rPr>
          <w:rFonts w:eastAsia="Calibri"/>
          <w:lang w:val="es-DO"/>
        </w:rPr>
        <w:t>El Departamento de Recursos Humanos brinda de forma continua apoyo al Departamento de Cuentas Nacionales y Estadísticas Económicas de esta Institución en el proceso de contratación del personal a participar en la Encuesta Nacional de Precios al Consumidor (ENPC), Encuesta Nacional de Fuerza de Trabajo (ENCFT), Encuesta de Gasto, Opinión, Actitud y Motivación a Extranjeros no Residentes, Dominicanos Residentes y Dominicanos no Residentes en el Aeropuerto Internacional del Cibao (AIC). Este apoyo tiene como objetivo filtrar, depurar y seleccionar los candidatos con las competencias y experiencias necesarias para desempeñar las funciones requeridas para cada una de las encuestas anteriormente expuestas.</w:t>
      </w:r>
    </w:p>
    <w:p w14:paraId="26B6BCDA" w14:textId="7F4EA8FA" w:rsidR="00D9267D" w:rsidRPr="0064264A" w:rsidRDefault="00D9267D" w:rsidP="00D9267D">
      <w:pPr>
        <w:spacing w:line="360" w:lineRule="auto"/>
        <w:jc w:val="both"/>
        <w:rPr>
          <w:rFonts w:eastAsia="Calibri"/>
          <w:lang w:val="es-DO"/>
        </w:rPr>
      </w:pPr>
      <w:r w:rsidRPr="0064264A">
        <w:rPr>
          <w:rFonts w:eastAsia="Calibri"/>
          <w:b/>
          <w:bCs/>
          <w:lang w:val="es-ES"/>
        </w:rPr>
        <w:t>Subdirección de Desarrollo de Personal</w:t>
      </w:r>
    </w:p>
    <w:p w14:paraId="548A9C70" w14:textId="58C59BB4" w:rsidR="00D9267D" w:rsidRPr="0064264A" w:rsidRDefault="00D9267D" w:rsidP="00D9267D">
      <w:pPr>
        <w:spacing w:line="360" w:lineRule="auto"/>
        <w:jc w:val="both"/>
        <w:rPr>
          <w:rFonts w:eastAsia="Calibri"/>
          <w:lang w:val="es-ES"/>
        </w:rPr>
      </w:pPr>
      <w:r w:rsidRPr="0064264A">
        <w:rPr>
          <w:rFonts w:eastAsia="Calibri"/>
          <w:lang w:val="es-ES"/>
        </w:rPr>
        <w:t>El Plan de Capacitación del Banco Central de la República Dominicana, se ejecuta para el personal activo, que labora en la Institución. La ejecución de todas las actividades formativas contenidas en este plan, están sujetas a las decisiones emanadas del Comité de Administración de Recursos Humanos, las cuales quedan registradas en sus correspondientes actas y resoluciones.</w:t>
      </w:r>
    </w:p>
    <w:p w14:paraId="2DF0B25B" w14:textId="75DCAFCA" w:rsidR="00B07742" w:rsidRPr="0064264A" w:rsidRDefault="00D9267D" w:rsidP="00D9267D">
      <w:pPr>
        <w:spacing w:line="360" w:lineRule="auto"/>
        <w:jc w:val="both"/>
        <w:rPr>
          <w:rFonts w:eastAsia="Calibri"/>
          <w:lang w:val="es-ES"/>
        </w:rPr>
      </w:pPr>
      <w:r w:rsidRPr="0064264A">
        <w:rPr>
          <w:rFonts w:eastAsia="Calibri"/>
          <w:lang w:val="es-ES"/>
        </w:rPr>
        <w:t>La División de Capacitación y Adiestramiento continúa trabajando con el análisis y trámite de las solicitudes de participación de funcionarios y/o empleados en actividades formativas, tanto dentro como fuera del país, tomando en consideración las necesidades de capacitación que presentan los distintos departamentos y justificaciones indicadas por los mismos.</w:t>
      </w:r>
    </w:p>
    <w:p w14:paraId="0242B373" w14:textId="1C63EF65" w:rsidR="00D9267D" w:rsidRPr="0064264A" w:rsidRDefault="00D9267D" w:rsidP="00D9267D">
      <w:pPr>
        <w:spacing w:line="360" w:lineRule="auto"/>
        <w:jc w:val="both"/>
        <w:rPr>
          <w:rFonts w:eastAsia="Calibri"/>
          <w:lang w:val="es-ES"/>
        </w:rPr>
      </w:pPr>
      <w:r w:rsidRPr="0064264A">
        <w:rPr>
          <w:rFonts w:eastAsia="Calibri"/>
          <w:lang w:val="es-ES"/>
        </w:rPr>
        <w:lastRenderedPageBreak/>
        <w:t xml:space="preserve">Brindamos especial atención a las actividades formativas grupales dirigidas al personal que necesita fortalecer sus competencias laborales, detectadas mediante el proceso de evaluación de desempeño y del levantamiento de necesidades anteriormente mencionado. </w:t>
      </w:r>
    </w:p>
    <w:p w14:paraId="799F5A25" w14:textId="40E3B096" w:rsidR="00D9267D" w:rsidRPr="0064264A" w:rsidRDefault="00D9267D" w:rsidP="00D9267D">
      <w:pPr>
        <w:spacing w:line="360" w:lineRule="auto"/>
        <w:jc w:val="both"/>
        <w:rPr>
          <w:rFonts w:eastAsia="Calibri"/>
          <w:lang w:val="es-ES"/>
        </w:rPr>
      </w:pPr>
      <w:r w:rsidRPr="0064264A">
        <w:rPr>
          <w:rFonts w:eastAsia="Calibri"/>
          <w:lang w:val="es-ES"/>
        </w:rPr>
        <w:t>Damos continuidad a los análisis y trámite de las solicitudes de participación de funcionarios y/o empleados en programas de estudios de postgrados, maestrías y doctorados en el país, tomando en consideración las sugerencias y justificaciones indicadas por las distintas direcciones departamentales, priorizando las actividades virtuales y progresivamente, las presenciales.</w:t>
      </w:r>
    </w:p>
    <w:p w14:paraId="794AA92C" w14:textId="79FA3B7D" w:rsidR="00D9267D" w:rsidRPr="0064264A" w:rsidRDefault="00D9267D" w:rsidP="00D9267D">
      <w:pPr>
        <w:spacing w:line="360" w:lineRule="auto"/>
        <w:jc w:val="both"/>
        <w:rPr>
          <w:rFonts w:eastAsia="Calibri"/>
          <w:lang w:val="es-ES"/>
        </w:rPr>
      </w:pPr>
      <w:r w:rsidRPr="0064264A">
        <w:rPr>
          <w:rFonts w:eastAsia="Calibri"/>
          <w:lang w:val="es-ES"/>
        </w:rPr>
        <w:t xml:space="preserve">En los casos de estudios ofrecidos por universidades y altos centros académicos en el extranjero, continuamos considerando favorablemente aquellos programas de estudio que cuenten con financiamiento total o parcial de sus costos por parte de organismos externos y que constituyan fuentes de conocimiento para enriquecer las funciones de nuestros empleados, lo que a su vez se traduce en un fortalecimiento de la gestión estratégica de nuestra Institución. </w:t>
      </w:r>
    </w:p>
    <w:p w14:paraId="4048FFE2" w14:textId="39F0D7CA" w:rsidR="00D9267D" w:rsidRPr="0064264A" w:rsidRDefault="00D9267D" w:rsidP="00D9267D">
      <w:pPr>
        <w:spacing w:line="360" w:lineRule="auto"/>
        <w:jc w:val="both"/>
        <w:rPr>
          <w:rFonts w:eastAsia="Calibri"/>
          <w:lang w:val="es-ES"/>
        </w:rPr>
      </w:pPr>
      <w:r w:rsidRPr="0064264A">
        <w:rPr>
          <w:rFonts w:eastAsia="Calibri"/>
          <w:lang w:val="es-ES"/>
        </w:rPr>
        <w:t xml:space="preserve">A continuación, se presenta un desglose de la cantidad de empleados capacitados por departamentos, control de la gestión de capacitación y el total de los entrenamientos realizados del 01 de enero al 30 de </w:t>
      </w:r>
      <w:r w:rsidR="00D07CD9" w:rsidRPr="0064264A">
        <w:rPr>
          <w:rFonts w:eastAsia="Calibri"/>
          <w:lang w:val="es-ES"/>
        </w:rPr>
        <w:t>diciembre</w:t>
      </w:r>
      <w:r w:rsidRPr="0064264A">
        <w:rPr>
          <w:rFonts w:eastAsia="Calibri"/>
          <w:lang w:val="es-ES"/>
        </w:rPr>
        <w:t xml:space="preserve"> de 2025.</w:t>
      </w:r>
    </w:p>
    <w:p w14:paraId="6F2CFD41" w14:textId="77777777" w:rsidR="00580C8E" w:rsidRPr="0064264A" w:rsidRDefault="00580C8E" w:rsidP="00D9267D">
      <w:pPr>
        <w:spacing w:line="360" w:lineRule="auto"/>
        <w:jc w:val="both"/>
        <w:rPr>
          <w:rFonts w:eastAsia="Calibri"/>
          <w:lang w:val="es-ES"/>
        </w:rPr>
      </w:pPr>
    </w:p>
    <w:p w14:paraId="12F7FB5F" w14:textId="77777777" w:rsidR="00580C8E" w:rsidRPr="0064264A" w:rsidRDefault="00580C8E" w:rsidP="00D9267D">
      <w:pPr>
        <w:spacing w:line="360" w:lineRule="auto"/>
        <w:jc w:val="both"/>
        <w:rPr>
          <w:rFonts w:eastAsia="Calibri"/>
          <w:lang w:val="es-ES"/>
        </w:rPr>
      </w:pPr>
    </w:p>
    <w:p w14:paraId="35699431" w14:textId="77777777" w:rsidR="00580C8E" w:rsidRPr="0064264A" w:rsidRDefault="00580C8E" w:rsidP="00D9267D">
      <w:pPr>
        <w:spacing w:line="360" w:lineRule="auto"/>
        <w:jc w:val="both"/>
        <w:rPr>
          <w:rFonts w:eastAsia="Calibri"/>
          <w:lang w:val="es-ES"/>
        </w:rPr>
      </w:pPr>
    </w:p>
    <w:p w14:paraId="3ACB75B7" w14:textId="77777777" w:rsidR="00580C8E" w:rsidRPr="0064264A" w:rsidRDefault="00580C8E" w:rsidP="00D9267D">
      <w:pPr>
        <w:spacing w:line="360" w:lineRule="auto"/>
        <w:jc w:val="both"/>
        <w:rPr>
          <w:rFonts w:eastAsia="Calibri"/>
          <w:lang w:val="es-ES"/>
        </w:rPr>
      </w:pPr>
    </w:p>
    <w:p w14:paraId="4B8D6787" w14:textId="77777777" w:rsidR="00D9267D" w:rsidRPr="0064264A" w:rsidRDefault="00D9267D" w:rsidP="00B07742">
      <w:pPr>
        <w:spacing w:line="240" w:lineRule="auto"/>
        <w:jc w:val="center"/>
        <w:rPr>
          <w:rFonts w:eastAsia="Calibri"/>
          <w:lang w:val="es-ES"/>
        </w:rPr>
      </w:pPr>
      <w:r w:rsidRPr="0064264A">
        <w:rPr>
          <w:rFonts w:eastAsia="Calibri"/>
          <w:lang w:val="es-ES"/>
        </w:rPr>
        <w:t>Empleados capacitados</w:t>
      </w:r>
    </w:p>
    <w:p w14:paraId="0AC98B80" w14:textId="05C1159E" w:rsidR="00D9267D" w:rsidRPr="0064264A" w:rsidRDefault="00D9267D" w:rsidP="00B07742">
      <w:pPr>
        <w:spacing w:line="240" w:lineRule="auto"/>
        <w:jc w:val="center"/>
        <w:rPr>
          <w:rFonts w:eastAsia="Calibri"/>
          <w:lang w:val="es-ES"/>
        </w:rPr>
      </w:pPr>
      <w:r w:rsidRPr="0064264A">
        <w:rPr>
          <w:rFonts w:eastAsia="Calibri"/>
          <w:lang w:val="es-ES"/>
        </w:rPr>
        <w:lastRenderedPageBreak/>
        <w:t xml:space="preserve">Enero – </w:t>
      </w:r>
      <w:proofErr w:type="gramStart"/>
      <w:r w:rsidR="00D07CD9" w:rsidRPr="0064264A">
        <w:rPr>
          <w:rFonts w:eastAsia="Calibri"/>
          <w:lang w:val="es-ES"/>
        </w:rPr>
        <w:t>Diciembre</w:t>
      </w:r>
      <w:proofErr w:type="gramEnd"/>
      <w:r w:rsidRPr="0064264A">
        <w:rPr>
          <w:rFonts w:eastAsia="Calibri"/>
          <w:lang w:val="es-ES"/>
        </w:rPr>
        <w:t xml:space="preserve"> 2025</w:t>
      </w:r>
    </w:p>
    <w:tbl>
      <w:tblPr>
        <w:tblW w:w="0" w:type="auto"/>
        <w:jc w:val="center"/>
        <w:tblCellMar>
          <w:left w:w="70" w:type="dxa"/>
          <w:right w:w="70" w:type="dxa"/>
        </w:tblCellMar>
        <w:tblLook w:val="04A0" w:firstRow="1" w:lastRow="0" w:firstColumn="1" w:lastColumn="0" w:noHBand="0" w:noVBand="1"/>
      </w:tblPr>
      <w:tblGrid>
        <w:gridCol w:w="2667"/>
        <w:gridCol w:w="2607"/>
      </w:tblGrid>
      <w:tr w:rsidR="0064264A" w:rsidRPr="0064264A" w14:paraId="767FDA71" w14:textId="77777777" w:rsidTr="00667F26">
        <w:trPr>
          <w:trHeight w:val="354"/>
          <w:tblHeader/>
          <w:jc w:val="center"/>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70F95EBA" w14:textId="77777777" w:rsidR="00D9267D" w:rsidRPr="00A84C7F" w:rsidRDefault="00D9267D" w:rsidP="00D9267D">
            <w:pPr>
              <w:spacing w:line="360" w:lineRule="auto"/>
              <w:jc w:val="both"/>
              <w:rPr>
                <w:rFonts w:eastAsia="Calibri"/>
                <w:color w:val="FFFFFF" w:themeColor="background1"/>
                <w:lang w:val="es-ES"/>
              </w:rPr>
            </w:pPr>
            <w:r w:rsidRPr="00A84C7F">
              <w:rPr>
                <w:rFonts w:eastAsia="Calibri"/>
                <w:color w:val="FFFFFF" w:themeColor="background1"/>
                <w:lang w:val="es-ES"/>
              </w:rPr>
              <w:t>Código-Departamento</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29B3EC60" w14:textId="77777777" w:rsidR="00D9267D" w:rsidRPr="00A84C7F" w:rsidRDefault="00D9267D" w:rsidP="00D9267D">
            <w:pPr>
              <w:spacing w:line="360" w:lineRule="auto"/>
              <w:jc w:val="both"/>
              <w:rPr>
                <w:rFonts w:eastAsia="Calibri"/>
                <w:color w:val="FFFFFF" w:themeColor="background1"/>
                <w:lang w:val="es-ES"/>
              </w:rPr>
            </w:pPr>
            <w:r w:rsidRPr="00A84C7F">
              <w:rPr>
                <w:rFonts w:eastAsia="Calibri"/>
                <w:color w:val="FFFFFF" w:themeColor="background1"/>
                <w:lang w:val="es-ES"/>
              </w:rPr>
              <w:t>Cantidad de Personas</w:t>
            </w:r>
          </w:p>
        </w:tc>
      </w:tr>
      <w:tr w:rsidR="0064264A" w:rsidRPr="0064264A" w14:paraId="7F683CFF" w14:textId="77777777" w:rsidTr="00953742">
        <w:trPr>
          <w:trHeight w:val="354"/>
          <w:jc w:val="center"/>
        </w:trPr>
        <w:tc>
          <w:tcPr>
            <w:tcW w:w="0" w:type="auto"/>
            <w:tcBorders>
              <w:top w:val="nil"/>
              <w:left w:val="single" w:sz="12" w:space="0" w:color="1F4E79"/>
              <w:bottom w:val="single" w:sz="12" w:space="0" w:color="1F4E79"/>
              <w:right w:val="single" w:sz="12" w:space="0" w:color="1F4E79"/>
            </w:tcBorders>
            <w:vAlign w:val="center"/>
            <w:hideMark/>
          </w:tcPr>
          <w:p w14:paraId="21EC0A67" w14:textId="77777777" w:rsidR="00D9267D" w:rsidRPr="0064264A" w:rsidRDefault="00D9267D" w:rsidP="00D9267D">
            <w:pPr>
              <w:spacing w:line="360" w:lineRule="auto"/>
              <w:jc w:val="both"/>
              <w:rPr>
                <w:rFonts w:eastAsia="Calibri"/>
                <w:lang w:val="es-ES"/>
              </w:rPr>
            </w:pPr>
            <w:r w:rsidRPr="0064264A">
              <w:rPr>
                <w:rFonts w:eastAsia="Calibri"/>
                <w:lang w:val="es-ES"/>
              </w:rPr>
              <w:t>0101</w:t>
            </w:r>
          </w:p>
        </w:tc>
        <w:tc>
          <w:tcPr>
            <w:tcW w:w="0" w:type="auto"/>
            <w:tcBorders>
              <w:top w:val="nil"/>
              <w:left w:val="nil"/>
              <w:bottom w:val="single" w:sz="12" w:space="0" w:color="1F4E79"/>
              <w:right w:val="single" w:sz="12" w:space="0" w:color="1F4E79"/>
            </w:tcBorders>
            <w:vAlign w:val="center"/>
            <w:hideMark/>
          </w:tcPr>
          <w:p w14:paraId="7757D3E0" w14:textId="77777777" w:rsidR="00D9267D" w:rsidRPr="0064264A" w:rsidRDefault="00D9267D" w:rsidP="00D9267D">
            <w:pPr>
              <w:spacing w:line="360" w:lineRule="auto"/>
              <w:jc w:val="both"/>
              <w:rPr>
                <w:rFonts w:eastAsia="Calibri"/>
                <w:lang w:val="es-ES"/>
              </w:rPr>
            </w:pPr>
            <w:r w:rsidRPr="0064264A">
              <w:rPr>
                <w:rFonts w:eastAsia="Calibri"/>
                <w:lang w:val="es-DO"/>
              </w:rPr>
              <w:t>1</w:t>
            </w:r>
          </w:p>
        </w:tc>
      </w:tr>
      <w:tr w:rsidR="0064264A" w:rsidRPr="0064264A" w14:paraId="708C261A" w14:textId="77777777" w:rsidTr="00953742">
        <w:trPr>
          <w:trHeight w:val="354"/>
          <w:jc w:val="center"/>
        </w:trPr>
        <w:tc>
          <w:tcPr>
            <w:tcW w:w="0" w:type="auto"/>
            <w:tcBorders>
              <w:top w:val="nil"/>
              <w:left w:val="single" w:sz="12" w:space="0" w:color="1F4E79"/>
              <w:bottom w:val="single" w:sz="12" w:space="0" w:color="1F4E79"/>
              <w:right w:val="single" w:sz="12" w:space="0" w:color="1F4E79"/>
            </w:tcBorders>
            <w:vAlign w:val="center"/>
            <w:hideMark/>
          </w:tcPr>
          <w:p w14:paraId="5CF8EFF5" w14:textId="77777777" w:rsidR="00D9267D" w:rsidRPr="0064264A" w:rsidRDefault="00D9267D" w:rsidP="00D9267D">
            <w:pPr>
              <w:spacing w:line="360" w:lineRule="auto"/>
              <w:jc w:val="both"/>
              <w:rPr>
                <w:rFonts w:eastAsia="Calibri"/>
                <w:lang w:val="es-ES"/>
              </w:rPr>
            </w:pPr>
            <w:r w:rsidRPr="0064264A">
              <w:rPr>
                <w:rFonts w:eastAsia="Calibri"/>
                <w:lang w:val="es-ES"/>
              </w:rPr>
              <w:t>0201</w:t>
            </w:r>
          </w:p>
        </w:tc>
        <w:tc>
          <w:tcPr>
            <w:tcW w:w="0" w:type="auto"/>
            <w:tcBorders>
              <w:top w:val="nil"/>
              <w:left w:val="nil"/>
              <w:bottom w:val="single" w:sz="12" w:space="0" w:color="1F4E79"/>
              <w:right w:val="single" w:sz="12" w:space="0" w:color="1F4E79"/>
            </w:tcBorders>
            <w:vAlign w:val="center"/>
            <w:hideMark/>
          </w:tcPr>
          <w:p w14:paraId="551A6471" w14:textId="77777777" w:rsidR="00D9267D" w:rsidRPr="0064264A" w:rsidRDefault="00D9267D" w:rsidP="00D9267D">
            <w:pPr>
              <w:spacing w:line="360" w:lineRule="auto"/>
              <w:jc w:val="both"/>
              <w:rPr>
                <w:rFonts w:eastAsia="Calibri"/>
                <w:lang w:val="es-ES"/>
              </w:rPr>
            </w:pPr>
            <w:r w:rsidRPr="0064264A">
              <w:rPr>
                <w:rFonts w:eastAsia="Calibri"/>
                <w:lang w:val="es-DO"/>
              </w:rPr>
              <w:t>1</w:t>
            </w:r>
          </w:p>
        </w:tc>
      </w:tr>
      <w:tr w:rsidR="0064264A" w:rsidRPr="0064264A" w14:paraId="151554DE"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hideMark/>
          </w:tcPr>
          <w:p w14:paraId="4B9EB898" w14:textId="77777777" w:rsidR="00D9267D" w:rsidRPr="0064264A" w:rsidRDefault="00D9267D" w:rsidP="00D9267D">
            <w:pPr>
              <w:spacing w:line="360" w:lineRule="auto"/>
              <w:jc w:val="both"/>
              <w:rPr>
                <w:rFonts w:eastAsia="Calibri"/>
                <w:lang w:val="es-ES"/>
              </w:rPr>
            </w:pPr>
            <w:r w:rsidRPr="0064264A">
              <w:rPr>
                <w:rFonts w:eastAsia="Calibri"/>
                <w:lang w:val="es-ES"/>
              </w:rPr>
              <w:t>0301</w:t>
            </w:r>
          </w:p>
        </w:tc>
        <w:tc>
          <w:tcPr>
            <w:tcW w:w="0" w:type="auto"/>
            <w:tcBorders>
              <w:top w:val="nil"/>
              <w:left w:val="nil"/>
              <w:bottom w:val="single" w:sz="12" w:space="0" w:color="1F4E79"/>
              <w:right w:val="single" w:sz="12" w:space="0" w:color="1F4E79"/>
            </w:tcBorders>
            <w:vAlign w:val="center"/>
            <w:hideMark/>
          </w:tcPr>
          <w:p w14:paraId="231C7085" w14:textId="77777777" w:rsidR="00D9267D" w:rsidRPr="0064264A" w:rsidRDefault="00D9267D" w:rsidP="00D9267D">
            <w:pPr>
              <w:spacing w:line="360" w:lineRule="auto"/>
              <w:jc w:val="both"/>
              <w:rPr>
                <w:rFonts w:eastAsia="Calibri"/>
                <w:lang w:val="es-ES"/>
              </w:rPr>
            </w:pPr>
            <w:r w:rsidRPr="0064264A">
              <w:rPr>
                <w:rFonts w:eastAsia="Calibri"/>
                <w:lang w:val="es-DO"/>
              </w:rPr>
              <w:t>17</w:t>
            </w:r>
          </w:p>
        </w:tc>
      </w:tr>
      <w:tr w:rsidR="0064264A" w:rsidRPr="0064264A" w14:paraId="5D084507"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hideMark/>
          </w:tcPr>
          <w:p w14:paraId="6E65851D" w14:textId="77777777" w:rsidR="00D9267D" w:rsidRPr="0064264A" w:rsidRDefault="00D9267D" w:rsidP="00D9267D">
            <w:pPr>
              <w:spacing w:line="360" w:lineRule="auto"/>
              <w:jc w:val="both"/>
              <w:rPr>
                <w:rFonts w:eastAsia="Calibri"/>
                <w:lang w:val="es-ES"/>
              </w:rPr>
            </w:pPr>
            <w:r w:rsidRPr="0064264A">
              <w:rPr>
                <w:rFonts w:eastAsia="Calibri"/>
                <w:lang w:val="es-ES"/>
              </w:rPr>
              <w:t>0401</w:t>
            </w:r>
          </w:p>
        </w:tc>
        <w:tc>
          <w:tcPr>
            <w:tcW w:w="0" w:type="auto"/>
            <w:tcBorders>
              <w:top w:val="nil"/>
              <w:left w:val="nil"/>
              <w:bottom w:val="single" w:sz="12" w:space="0" w:color="1F4E79"/>
              <w:right w:val="single" w:sz="12" w:space="0" w:color="1F4E79"/>
            </w:tcBorders>
            <w:vAlign w:val="center"/>
            <w:hideMark/>
          </w:tcPr>
          <w:p w14:paraId="47B099C7" w14:textId="77777777" w:rsidR="00D9267D" w:rsidRPr="0064264A" w:rsidRDefault="00D9267D" w:rsidP="00D9267D">
            <w:pPr>
              <w:spacing w:line="360" w:lineRule="auto"/>
              <w:jc w:val="both"/>
              <w:rPr>
                <w:rFonts w:eastAsia="Calibri"/>
                <w:lang w:val="es-ES"/>
              </w:rPr>
            </w:pPr>
            <w:r w:rsidRPr="0064264A">
              <w:rPr>
                <w:rFonts w:eastAsia="Calibri"/>
                <w:lang w:val="es-DO"/>
              </w:rPr>
              <w:t>5</w:t>
            </w:r>
          </w:p>
        </w:tc>
      </w:tr>
      <w:tr w:rsidR="0064264A" w:rsidRPr="0064264A" w14:paraId="0CBF5BD0"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hideMark/>
          </w:tcPr>
          <w:p w14:paraId="214D004D" w14:textId="77777777" w:rsidR="00D9267D" w:rsidRPr="0064264A" w:rsidRDefault="00D9267D" w:rsidP="00D9267D">
            <w:pPr>
              <w:spacing w:line="360" w:lineRule="auto"/>
              <w:jc w:val="both"/>
              <w:rPr>
                <w:rFonts w:eastAsia="Calibri"/>
                <w:lang w:val="es-ES"/>
              </w:rPr>
            </w:pPr>
            <w:r w:rsidRPr="0064264A">
              <w:rPr>
                <w:rFonts w:eastAsia="Calibri"/>
                <w:lang w:val="es-ES"/>
              </w:rPr>
              <w:t>0501</w:t>
            </w:r>
          </w:p>
        </w:tc>
        <w:tc>
          <w:tcPr>
            <w:tcW w:w="0" w:type="auto"/>
            <w:tcBorders>
              <w:top w:val="nil"/>
              <w:left w:val="nil"/>
              <w:bottom w:val="single" w:sz="12" w:space="0" w:color="1F4E79"/>
              <w:right w:val="single" w:sz="12" w:space="0" w:color="1F4E79"/>
            </w:tcBorders>
            <w:vAlign w:val="center"/>
            <w:hideMark/>
          </w:tcPr>
          <w:p w14:paraId="22114CE3" w14:textId="77777777" w:rsidR="00D9267D" w:rsidRPr="0064264A" w:rsidRDefault="00D9267D" w:rsidP="00D9267D">
            <w:pPr>
              <w:spacing w:line="360" w:lineRule="auto"/>
              <w:jc w:val="both"/>
              <w:rPr>
                <w:rFonts w:eastAsia="Calibri"/>
                <w:lang w:val="es-ES"/>
              </w:rPr>
            </w:pPr>
            <w:r w:rsidRPr="0064264A">
              <w:rPr>
                <w:rFonts w:eastAsia="Calibri"/>
                <w:lang w:val="es-DO"/>
              </w:rPr>
              <w:t>5</w:t>
            </w:r>
          </w:p>
        </w:tc>
      </w:tr>
      <w:tr w:rsidR="0064264A" w:rsidRPr="0064264A" w14:paraId="656E0C98"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2431E8A5" w14:textId="77777777" w:rsidR="00D9267D" w:rsidRPr="0064264A" w:rsidRDefault="00D9267D" w:rsidP="00D9267D">
            <w:pPr>
              <w:spacing w:line="360" w:lineRule="auto"/>
              <w:jc w:val="both"/>
              <w:rPr>
                <w:rFonts w:eastAsia="Calibri"/>
                <w:lang w:val="es-ES"/>
              </w:rPr>
            </w:pPr>
            <w:r w:rsidRPr="0064264A">
              <w:rPr>
                <w:rFonts w:eastAsia="Calibri"/>
                <w:lang w:val="es-ES"/>
              </w:rPr>
              <w:t>0601</w:t>
            </w:r>
          </w:p>
        </w:tc>
        <w:tc>
          <w:tcPr>
            <w:tcW w:w="0" w:type="auto"/>
            <w:tcBorders>
              <w:top w:val="nil"/>
              <w:left w:val="nil"/>
              <w:bottom w:val="single" w:sz="12" w:space="0" w:color="1F4E79"/>
              <w:right w:val="single" w:sz="12" w:space="0" w:color="1F4E79"/>
            </w:tcBorders>
            <w:vAlign w:val="center"/>
          </w:tcPr>
          <w:p w14:paraId="29B6D09E" w14:textId="77777777" w:rsidR="00D9267D" w:rsidRPr="0064264A" w:rsidRDefault="00D9267D" w:rsidP="00D9267D">
            <w:pPr>
              <w:spacing w:line="360" w:lineRule="auto"/>
              <w:jc w:val="both"/>
              <w:rPr>
                <w:rFonts w:eastAsia="Calibri"/>
                <w:lang w:val="es-ES"/>
              </w:rPr>
            </w:pPr>
            <w:r w:rsidRPr="0064264A">
              <w:rPr>
                <w:rFonts w:eastAsia="Calibri"/>
                <w:lang w:val="es-DO"/>
              </w:rPr>
              <w:t>6</w:t>
            </w:r>
          </w:p>
        </w:tc>
      </w:tr>
      <w:tr w:rsidR="0064264A" w:rsidRPr="0064264A" w14:paraId="026DDB01"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49E62332" w14:textId="77777777" w:rsidR="00D9267D" w:rsidRPr="0064264A" w:rsidRDefault="00D9267D" w:rsidP="00D9267D">
            <w:pPr>
              <w:spacing w:line="360" w:lineRule="auto"/>
              <w:jc w:val="both"/>
              <w:rPr>
                <w:rFonts w:eastAsia="Calibri"/>
                <w:lang w:val="es-ES"/>
              </w:rPr>
            </w:pPr>
            <w:r w:rsidRPr="0064264A">
              <w:rPr>
                <w:rFonts w:eastAsia="Calibri"/>
                <w:lang w:val="es-ES"/>
              </w:rPr>
              <w:t>0701</w:t>
            </w:r>
          </w:p>
        </w:tc>
        <w:tc>
          <w:tcPr>
            <w:tcW w:w="0" w:type="auto"/>
            <w:tcBorders>
              <w:top w:val="nil"/>
              <w:left w:val="nil"/>
              <w:bottom w:val="single" w:sz="12" w:space="0" w:color="1F4E79"/>
              <w:right w:val="single" w:sz="12" w:space="0" w:color="1F4E79"/>
            </w:tcBorders>
            <w:vAlign w:val="center"/>
          </w:tcPr>
          <w:p w14:paraId="1CE1184C" w14:textId="77777777" w:rsidR="00D9267D" w:rsidRPr="0064264A" w:rsidRDefault="00D9267D" w:rsidP="00D9267D">
            <w:pPr>
              <w:spacing w:line="360" w:lineRule="auto"/>
              <w:jc w:val="both"/>
              <w:rPr>
                <w:rFonts w:eastAsia="Calibri"/>
                <w:lang w:val="es-ES"/>
              </w:rPr>
            </w:pPr>
            <w:r w:rsidRPr="0064264A">
              <w:rPr>
                <w:rFonts w:eastAsia="Calibri"/>
                <w:lang w:val="es-DO"/>
              </w:rPr>
              <w:t>11</w:t>
            </w:r>
          </w:p>
        </w:tc>
      </w:tr>
      <w:tr w:rsidR="0064264A" w:rsidRPr="0064264A" w14:paraId="6FA35E45" w14:textId="77777777" w:rsidTr="00953742">
        <w:trPr>
          <w:trHeight w:val="396"/>
          <w:jc w:val="center"/>
        </w:trPr>
        <w:tc>
          <w:tcPr>
            <w:tcW w:w="0" w:type="auto"/>
            <w:tcBorders>
              <w:top w:val="nil"/>
              <w:left w:val="single" w:sz="12" w:space="0" w:color="1F4E79"/>
              <w:bottom w:val="single" w:sz="12" w:space="0" w:color="1F4E79"/>
              <w:right w:val="single" w:sz="12" w:space="0" w:color="1F4E79"/>
            </w:tcBorders>
            <w:vAlign w:val="center"/>
          </w:tcPr>
          <w:p w14:paraId="4B775C1A" w14:textId="77777777" w:rsidR="00D9267D" w:rsidRPr="0064264A" w:rsidRDefault="00D9267D" w:rsidP="00D9267D">
            <w:pPr>
              <w:spacing w:line="360" w:lineRule="auto"/>
              <w:jc w:val="both"/>
              <w:rPr>
                <w:rFonts w:eastAsia="Calibri"/>
                <w:lang w:val="es-ES"/>
              </w:rPr>
            </w:pPr>
            <w:r w:rsidRPr="0064264A">
              <w:rPr>
                <w:rFonts w:eastAsia="Calibri"/>
                <w:lang w:val="es-ES"/>
              </w:rPr>
              <w:t>0801</w:t>
            </w:r>
          </w:p>
        </w:tc>
        <w:tc>
          <w:tcPr>
            <w:tcW w:w="0" w:type="auto"/>
            <w:tcBorders>
              <w:top w:val="nil"/>
              <w:left w:val="nil"/>
              <w:bottom w:val="single" w:sz="12" w:space="0" w:color="1F4E79"/>
              <w:right w:val="single" w:sz="12" w:space="0" w:color="1F4E79"/>
            </w:tcBorders>
            <w:vAlign w:val="center"/>
          </w:tcPr>
          <w:p w14:paraId="3D1527C4" w14:textId="77777777" w:rsidR="00D9267D" w:rsidRPr="0064264A" w:rsidRDefault="00D9267D" w:rsidP="00D9267D">
            <w:pPr>
              <w:spacing w:line="360" w:lineRule="auto"/>
              <w:jc w:val="both"/>
              <w:rPr>
                <w:rFonts w:eastAsia="Calibri"/>
                <w:lang w:val="es-ES"/>
              </w:rPr>
            </w:pPr>
            <w:r w:rsidRPr="0064264A">
              <w:rPr>
                <w:rFonts w:eastAsia="Calibri"/>
                <w:lang w:val="es-DO"/>
              </w:rPr>
              <w:t>2</w:t>
            </w:r>
          </w:p>
        </w:tc>
      </w:tr>
      <w:tr w:rsidR="0064264A" w:rsidRPr="0064264A" w14:paraId="25A68813"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696475A0" w14:textId="77777777" w:rsidR="00D9267D" w:rsidRPr="0064264A" w:rsidRDefault="00D9267D" w:rsidP="00D9267D">
            <w:pPr>
              <w:spacing w:line="360" w:lineRule="auto"/>
              <w:jc w:val="both"/>
              <w:rPr>
                <w:rFonts w:eastAsia="Calibri"/>
                <w:lang w:val="es-ES"/>
              </w:rPr>
            </w:pPr>
            <w:r w:rsidRPr="0064264A">
              <w:rPr>
                <w:rFonts w:eastAsia="Calibri"/>
                <w:lang w:val="es-ES"/>
              </w:rPr>
              <w:t>0901</w:t>
            </w:r>
          </w:p>
        </w:tc>
        <w:tc>
          <w:tcPr>
            <w:tcW w:w="0" w:type="auto"/>
            <w:tcBorders>
              <w:top w:val="nil"/>
              <w:left w:val="nil"/>
              <w:bottom w:val="single" w:sz="12" w:space="0" w:color="1F4E79"/>
              <w:right w:val="single" w:sz="12" w:space="0" w:color="1F4E79"/>
            </w:tcBorders>
            <w:vAlign w:val="center"/>
          </w:tcPr>
          <w:p w14:paraId="4E015F01" w14:textId="77777777" w:rsidR="00D9267D" w:rsidRPr="0064264A" w:rsidRDefault="00D9267D" w:rsidP="00D9267D">
            <w:pPr>
              <w:spacing w:line="360" w:lineRule="auto"/>
              <w:jc w:val="both"/>
              <w:rPr>
                <w:rFonts w:eastAsia="Calibri"/>
                <w:lang w:val="es-ES"/>
              </w:rPr>
            </w:pPr>
            <w:r w:rsidRPr="0064264A">
              <w:rPr>
                <w:rFonts w:eastAsia="Calibri"/>
                <w:lang w:val="es-DO"/>
              </w:rPr>
              <w:t>12</w:t>
            </w:r>
          </w:p>
        </w:tc>
      </w:tr>
      <w:tr w:rsidR="0064264A" w:rsidRPr="0064264A" w14:paraId="132AC8CD"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00BF0B29" w14:textId="77777777" w:rsidR="00D9267D" w:rsidRPr="0064264A" w:rsidRDefault="00D9267D" w:rsidP="00D9267D">
            <w:pPr>
              <w:spacing w:line="360" w:lineRule="auto"/>
              <w:jc w:val="both"/>
              <w:rPr>
                <w:rFonts w:eastAsia="Calibri"/>
                <w:lang w:val="es-ES"/>
              </w:rPr>
            </w:pPr>
            <w:r w:rsidRPr="0064264A">
              <w:rPr>
                <w:rFonts w:eastAsia="Calibri"/>
                <w:lang w:val="es-ES"/>
              </w:rPr>
              <w:t>1001</w:t>
            </w:r>
          </w:p>
        </w:tc>
        <w:tc>
          <w:tcPr>
            <w:tcW w:w="0" w:type="auto"/>
            <w:tcBorders>
              <w:top w:val="nil"/>
              <w:left w:val="nil"/>
              <w:bottom w:val="single" w:sz="12" w:space="0" w:color="1F4E79"/>
              <w:right w:val="single" w:sz="12" w:space="0" w:color="1F4E79"/>
            </w:tcBorders>
            <w:vAlign w:val="center"/>
          </w:tcPr>
          <w:p w14:paraId="3C1BD798" w14:textId="77777777" w:rsidR="00D9267D" w:rsidRPr="0064264A" w:rsidRDefault="00D9267D" w:rsidP="00D9267D">
            <w:pPr>
              <w:spacing w:line="360" w:lineRule="auto"/>
              <w:jc w:val="both"/>
              <w:rPr>
                <w:rFonts w:eastAsia="Calibri"/>
                <w:lang w:val="es-ES"/>
              </w:rPr>
            </w:pPr>
            <w:r w:rsidRPr="0064264A">
              <w:rPr>
                <w:rFonts w:eastAsia="Calibri"/>
                <w:lang w:val="es-DO"/>
              </w:rPr>
              <w:t>62</w:t>
            </w:r>
          </w:p>
        </w:tc>
      </w:tr>
      <w:tr w:rsidR="0064264A" w:rsidRPr="0064264A" w14:paraId="660E2BA2"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6B661299" w14:textId="77777777" w:rsidR="00D9267D" w:rsidRPr="0064264A" w:rsidRDefault="00D9267D" w:rsidP="00D9267D">
            <w:pPr>
              <w:spacing w:line="360" w:lineRule="auto"/>
              <w:jc w:val="both"/>
              <w:rPr>
                <w:rFonts w:eastAsia="Calibri"/>
                <w:lang w:val="es-ES"/>
              </w:rPr>
            </w:pPr>
            <w:r w:rsidRPr="0064264A">
              <w:rPr>
                <w:rFonts w:eastAsia="Calibri"/>
                <w:lang w:val="es-ES"/>
              </w:rPr>
              <w:t>1101</w:t>
            </w:r>
          </w:p>
        </w:tc>
        <w:tc>
          <w:tcPr>
            <w:tcW w:w="0" w:type="auto"/>
            <w:tcBorders>
              <w:top w:val="nil"/>
              <w:left w:val="nil"/>
              <w:bottom w:val="single" w:sz="12" w:space="0" w:color="1F4E79"/>
              <w:right w:val="single" w:sz="12" w:space="0" w:color="1F4E79"/>
            </w:tcBorders>
            <w:vAlign w:val="center"/>
          </w:tcPr>
          <w:p w14:paraId="45E46547" w14:textId="77777777" w:rsidR="00D9267D" w:rsidRPr="0064264A" w:rsidRDefault="00D9267D" w:rsidP="00D9267D">
            <w:pPr>
              <w:spacing w:line="360" w:lineRule="auto"/>
              <w:jc w:val="both"/>
              <w:rPr>
                <w:rFonts w:eastAsia="Calibri"/>
                <w:lang w:val="es-ES"/>
              </w:rPr>
            </w:pPr>
            <w:r w:rsidRPr="0064264A">
              <w:rPr>
                <w:rFonts w:eastAsia="Calibri"/>
                <w:lang w:val="es-DO"/>
              </w:rPr>
              <w:t>7</w:t>
            </w:r>
          </w:p>
        </w:tc>
      </w:tr>
      <w:tr w:rsidR="0064264A" w:rsidRPr="0064264A" w14:paraId="6C7C2CA7"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48ACD3B2" w14:textId="77777777" w:rsidR="00D9267D" w:rsidRPr="0064264A" w:rsidRDefault="00D9267D" w:rsidP="00D9267D">
            <w:pPr>
              <w:spacing w:line="360" w:lineRule="auto"/>
              <w:jc w:val="both"/>
              <w:rPr>
                <w:rFonts w:eastAsia="Calibri"/>
                <w:lang w:val="es-ES"/>
              </w:rPr>
            </w:pPr>
            <w:r w:rsidRPr="0064264A">
              <w:rPr>
                <w:rFonts w:eastAsia="Calibri"/>
                <w:lang w:val="es-ES"/>
              </w:rPr>
              <w:t>1201</w:t>
            </w:r>
          </w:p>
        </w:tc>
        <w:tc>
          <w:tcPr>
            <w:tcW w:w="0" w:type="auto"/>
            <w:tcBorders>
              <w:top w:val="nil"/>
              <w:left w:val="nil"/>
              <w:bottom w:val="single" w:sz="12" w:space="0" w:color="1F4E79"/>
              <w:right w:val="single" w:sz="12" w:space="0" w:color="1F4E79"/>
            </w:tcBorders>
            <w:vAlign w:val="center"/>
          </w:tcPr>
          <w:p w14:paraId="29423872" w14:textId="77777777" w:rsidR="00D9267D" w:rsidRPr="0064264A" w:rsidRDefault="00D9267D" w:rsidP="00D9267D">
            <w:pPr>
              <w:spacing w:line="360" w:lineRule="auto"/>
              <w:jc w:val="both"/>
              <w:rPr>
                <w:rFonts w:eastAsia="Calibri"/>
                <w:lang w:val="es-ES"/>
              </w:rPr>
            </w:pPr>
            <w:r w:rsidRPr="0064264A">
              <w:rPr>
                <w:rFonts w:eastAsia="Calibri"/>
                <w:lang w:val="es-DO"/>
              </w:rPr>
              <w:t>68</w:t>
            </w:r>
          </w:p>
        </w:tc>
      </w:tr>
      <w:tr w:rsidR="0064264A" w:rsidRPr="0064264A" w14:paraId="40080FD5"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72C9E831" w14:textId="77777777" w:rsidR="00D9267D" w:rsidRPr="0064264A" w:rsidRDefault="00D9267D" w:rsidP="00D9267D">
            <w:pPr>
              <w:spacing w:line="360" w:lineRule="auto"/>
              <w:jc w:val="both"/>
              <w:rPr>
                <w:rFonts w:eastAsia="Calibri"/>
                <w:lang w:val="es-ES"/>
              </w:rPr>
            </w:pPr>
            <w:r w:rsidRPr="0064264A">
              <w:rPr>
                <w:rFonts w:eastAsia="Calibri"/>
                <w:lang w:val="es-ES"/>
              </w:rPr>
              <w:t>1301</w:t>
            </w:r>
          </w:p>
        </w:tc>
        <w:tc>
          <w:tcPr>
            <w:tcW w:w="0" w:type="auto"/>
            <w:tcBorders>
              <w:top w:val="nil"/>
              <w:left w:val="nil"/>
              <w:bottom w:val="single" w:sz="12" w:space="0" w:color="1F4E79"/>
              <w:right w:val="single" w:sz="12" w:space="0" w:color="1F4E79"/>
            </w:tcBorders>
            <w:vAlign w:val="center"/>
          </w:tcPr>
          <w:p w14:paraId="46DDA4CC" w14:textId="77777777" w:rsidR="00D9267D" w:rsidRPr="0064264A" w:rsidRDefault="00D9267D" w:rsidP="00D9267D">
            <w:pPr>
              <w:spacing w:line="360" w:lineRule="auto"/>
              <w:jc w:val="both"/>
              <w:rPr>
                <w:rFonts w:eastAsia="Calibri"/>
                <w:lang w:val="es-ES"/>
              </w:rPr>
            </w:pPr>
            <w:r w:rsidRPr="0064264A">
              <w:rPr>
                <w:rFonts w:eastAsia="Calibri"/>
                <w:lang w:val="es-DO"/>
              </w:rPr>
              <w:t>188</w:t>
            </w:r>
          </w:p>
        </w:tc>
      </w:tr>
      <w:tr w:rsidR="0064264A" w:rsidRPr="0064264A" w14:paraId="6AC67E55"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10544389" w14:textId="77777777" w:rsidR="00D9267D" w:rsidRPr="0064264A" w:rsidRDefault="00D9267D" w:rsidP="00D9267D">
            <w:pPr>
              <w:spacing w:line="360" w:lineRule="auto"/>
              <w:jc w:val="both"/>
              <w:rPr>
                <w:rFonts w:eastAsia="Calibri"/>
                <w:lang w:val="es-ES"/>
              </w:rPr>
            </w:pPr>
            <w:r w:rsidRPr="0064264A">
              <w:rPr>
                <w:rFonts w:eastAsia="Calibri"/>
                <w:lang w:val="es-ES"/>
              </w:rPr>
              <w:t>1401</w:t>
            </w:r>
          </w:p>
        </w:tc>
        <w:tc>
          <w:tcPr>
            <w:tcW w:w="0" w:type="auto"/>
            <w:tcBorders>
              <w:top w:val="nil"/>
              <w:left w:val="nil"/>
              <w:bottom w:val="single" w:sz="12" w:space="0" w:color="1F4E79"/>
              <w:right w:val="single" w:sz="12" w:space="0" w:color="1F4E79"/>
            </w:tcBorders>
            <w:vAlign w:val="center"/>
          </w:tcPr>
          <w:p w14:paraId="0BAF9A7E" w14:textId="77777777" w:rsidR="00D9267D" w:rsidRPr="0064264A" w:rsidRDefault="00D9267D" w:rsidP="00D9267D">
            <w:pPr>
              <w:spacing w:line="360" w:lineRule="auto"/>
              <w:jc w:val="both"/>
              <w:rPr>
                <w:rFonts w:eastAsia="Calibri"/>
                <w:lang w:val="es-ES"/>
              </w:rPr>
            </w:pPr>
            <w:r w:rsidRPr="0064264A">
              <w:rPr>
                <w:rFonts w:eastAsia="Calibri"/>
                <w:lang w:val="es-DO"/>
              </w:rPr>
              <w:t>6</w:t>
            </w:r>
          </w:p>
        </w:tc>
      </w:tr>
      <w:tr w:rsidR="0064264A" w:rsidRPr="0064264A" w14:paraId="77017797"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5BE9634F" w14:textId="77777777" w:rsidR="00D9267D" w:rsidRPr="0064264A" w:rsidRDefault="00D9267D" w:rsidP="00D9267D">
            <w:pPr>
              <w:spacing w:line="360" w:lineRule="auto"/>
              <w:jc w:val="both"/>
              <w:rPr>
                <w:rFonts w:eastAsia="Calibri"/>
                <w:lang w:val="es-ES"/>
              </w:rPr>
            </w:pPr>
            <w:r w:rsidRPr="0064264A">
              <w:rPr>
                <w:rFonts w:eastAsia="Calibri"/>
                <w:lang w:val="es-ES"/>
              </w:rPr>
              <w:t>1501</w:t>
            </w:r>
          </w:p>
        </w:tc>
        <w:tc>
          <w:tcPr>
            <w:tcW w:w="0" w:type="auto"/>
            <w:tcBorders>
              <w:top w:val="nil"/>
              <w:left w:val="nil"/>
              <w:bottom w:val="single" w:sz="12" w:space="0" w:color="1F4E79"/>
              <w:right w:val="single" w:sz="12" w:space="0" w:color="1F4E79"/>
            </w:tcBorders>
            <w:vAlign w:val="center"/>
          </w:tcPr>
          <w:p w14:paraId="2393C536" w14:textId="77777777" w:rsidR="00D9267D" w:rsidRPr="0064264A" w:rsidRDefault="00D9267D" w:rsidP="00D9267D">
            <w:pPr>
              <w:spacing w:line="360" w:lineRule="auto"/>
              <w:jc w:val="both"/>
              <w:rPr>
                <w:rFonts w:eastAsia="Calibri"/>
                <w:lang w:val="es-ES"/>
              </w:rPr>
            </w:pPr>
            <w:r w:rsidRPr="0064264A">
              <w:rPr>
                <w:rFonts w:eastAsia="Calibri"/>
                <w:lang w:val="es-DO"/>
              </w:rPr>
              <w:t>13</w:t>
            </w:r>
          </w:p>
        </w:tc>
      </w:tr>
      <w:tr w:rsidR="0064264A" w:rsidRPr="0064264A" w14:paraId="7B58A25A"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0E55C6EE" w14:textId="77777777" w:rsidR="00D9267D" w:rsidRPr="0064264A" w:rsidRDefault="00D9267D" w:rsidP="00D9267D">
            <w:pPr>
              <w:spacing w:line="360" w:lineRule="auto"/>
              <w:jc w:val="both"/>
              <w:rPr>
                <w:rFonts w:eastAsia="Calibri"/>
                <w:lang w:val="es-ES"/>
              </w:rPr>
            </w:pPr>
            <w:r w:rsidRPr="0064264A">
              <w:rPr>
                <w:rFonts w:eastAsia="Calibri"/>
                <w:lang w:val="es-ES"/>
              </w:rPr>
              <w:t>1701</w:t>
            </w:r>
          </w:p>
        </w:tc>
        <w:tc>
          <w:tcPr>
            <w:tcW w:w="0" w:type="auto"/>
            <w:tcBorders>
              <w:top w:val="nil"/>
              <w:left w:val="nil"/>
              <w:bottom w:val="single" w:sz="12" w:space="0" w:color="1F4E79"/>
              <w:right w:val="single" w:sz="12" w:space="0" w:color="1F4E79"/>
            </w:tcBorders>
            <w:vAlign w:val="center"/>
          </w:tcPr>
          <w:p w14:paraId="0BBD61AB" w14:textId="77777777" w:rsidR="00D9267D" w:rsidRPr="0064264A" w:rsidRDefault="00D9267D" w:rsidP="00D9267D">
            <w:pPr>
              <w:spacing w:line="360" w:lineRule="auto"/>
              <w:jc w:val="both"/>
              <w:rPr>
                <w:rFonts w:eastAsia="Calibri"/>
                <w:lang w:val="es-ES"/>
              </w:rPr>
            </w:pPr>
            <w:r w:rsidRPr="0064264A">
              <w:rPr>
                <w:rFonts w:eastAsia="Calibri"/>
                <w:lang w:val="es-DO"/>
              </w:rPr>
              <w:t>0</w:t>
            </w:r>
          </w:p>
        </w:tc>
      </w:tr>
      <w:tr w:rsidR="0064264A" w:rsidRPr="0064264A" w14:paraId="57A3B683"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1259509B" w14:textId="77777777" w:rsidR="00D9267D" w:rsidRPr="0064264A" w:rsidRDefault="00D9267D" w:rsidP="00D9267D">
            <w:pPr>
              <w:spacing w:line="360" w:lineRule="auto"/>
              <w:jc w:val="both"/>
              <w:rPr>
                <w:rFonts w:eastAsia="Calibri"/>
                <w:lang w:val="es-ES"/>
              </w:rPr>
            </w:pPr>
            <w:r w:rsidRPr="0064264A">
              <w:rPr>
                <w:rFonts w:eastAsia="Calibri"/>
                <w:lang w:val="es-ES"/>
              </w:rPr>
              <w:t>1901</w:t>
            </w:r>
          </w:p>
        </w:tc>
        <w:tc>
          <w:tcPr>
            <w:tcW w:w="0" w:type="auto"/>
            <w:tcBorders>
              <w:top w:val="nil"/>
              <w:left w:val="nil"/>
              <w:bottom w:val="single" w:sz="12" w:space="0" w:color="1F4E79"/>
              <w:right w:val="single" w:sz="12" w:space="0" w:color="1F4E79"/>
            </w:tcBorders>
            <w:vAlign w:val="center"/>
          </w:tcPr>
          <w:p w14:paraId="0776122B" w14:textId="77777777" w:rsidR="00D9267D" w:rsidRPr="0064264A" w:rsidRDefault="00D9267D" w:rsidP="00D9267D">
            <w:pPr>
              <w:spacing w:line="360" w:lineRule="auto"/>
              <w:jc w:val="both"/>
              <w:rPr>
                <w:rFonts w:eastAsia="Calibri"/>
                <w:lang w:val="es-ES"/>
              </w:rPr>
            </w:pPr>
            <w:r w:rsidRPr="0064264A">
              <w:rPr>
                <w:rFonts w:eastAsia="Calibri"/>
                <w:lang w:val="es-DO"/>
              </w:rPr>
              <w:t>22</w:t>
            </w:r>
          </w:p>
        </w:tc>
      </w:tr>
      <w:tr w:rsidR="0064264A" w:rsidRPr="0064264A" w14:paraId="3149332A"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3E9DB6F3" w14:textId="77777777" w:rsidR="00D9267D" w:rsidRPr="0064264A" w:rsidRDefault="00D9267D" w:rsidP="00D9267D">
            <w:pPr>
              <w:spacing w:line="360" w:lineRule="auto"/>
              <w:jc w:val="both"/>
              <w:rPr>
                <w:rFonts w:eastAsia="Calibri"/>
                <w:lang w:val="es-ES"/>
              </w:rPr>
            </w:pPr>
            <w:r w:rsidRPr="0064264A">
              <w:rPr>
                <w:rFonts w:eastAsia="Calibri"/>
                <w:lang w:val="es-ES"/>
              </w:rPr>
              <w:t>2301</w:t>
            </w:r>
          </w:p>
        </w:tc>
        <w:tc>
          <w:tcPr>
            <w:tcW w:w="0" w:type="auto"/>
            <w:tcBorders>
              <w:top w:val="nil"/>
              <w:left w:val="nil"/>
              <w:bottom w:val="single" w:sz="12" w:space="0" w:color="1F4E79"/>
              <w:right w:val="single" w:sz="12" w:space="0" w:color="1F4E79"/>
            </w:tcBorders>
            <w:vAlign w:val="center"/>
          </w:tcPr>
          <w:p w14:paraId="43806FAE" w14:textId="77777777" w:rsidR="00D9267D" w:rsidRPr="0064264A" w:rsidRDefault="00D9267D" w:rsidP="00D9267D">
            <w:pPr>
              <w:spacing w:line="360" w:lineRule="auto"/>
              <w:jc w:val="both"/>
              <w:rPr>
                <w:rFonts w:eastAsia="Calibri"/>
                <w:lang w:val="es-ES"/>
              </w:rPr>
            </w:pPr>
            <w:r w:rsidRPr="0064264A">
              <w:rPr>
                <w:rFonts w:eastAsia="Calibri"/>
                <w:lang w:val="es-DO"/>
              </w:rPr>
              <w:t>3</w:t>
            </w:r>
          </w:p>
        </w:tc>
      </w:tr>
      <w:tr w:rsidR="0064264A" w:rsidRPr="0064264A" w14:paraId="3616C0FB"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603C9AA3" w14:textId="77777777" w:rsidR="00D9267D" w:rsidRPr="0064264A" w:rsidRDefault="00D9267D" w:rsidP="00D9267D">
            <w:pPr>
              <w:spacing w:line="360" w:lineRule="auto"/>
              <w:jc w:val="both"/>
              <w:rPr>
                <w:rFonts w:eastAsia="Calibri"/>
                <w:lang w:val="es-ES"/>
              </w:rPr>
            </w:pPr>
            <w:r w:rsidRPr="0064264A">
              <w:rPr>
                <w:rFonts w:eastAsia="Calibri"/>
                <w:lang w:val="es-ES"/>
              </w:rPr>
              <w:t>2501</w:t>
            </w:r>
          </w:p>
        </w:tc>
        <w:tc>
          <w:tcPr>
            <w:tcW w:w="0" w:type="auto"/>
            <w:tcBorders>
              <w:top w:val="nil"/>
              <w:left w:val="nil"/>
              <w:bottom w:val="single" w:sz="12" w:space="0" w:color="1F4E79"/>
              <w:right w:val="single" w:sz="12" w:space="0" w:color="1F4E79"/>
            </w:tcBorders>
            <w:vAlign w:val="center"/>
          </w:tcPr>
          <w:p w14:paraId="10054AE4" w14:textId="77777777" w:rsidR="00D9267D" w:rsidRPr="0064264A" w:rsidRDefault="00D9267D" w:rsidP="00D9267D">
            <w:pPr>
              <w:spacing w:line="360" w:lineRule="auto"/>
              <w:jc w:val="both"/>
              <w:rPr>
                <w:rFonts w:eastAsia="Calibri"/>
                <w:lang w:val="es-ES"/>
              </w:rPr>
            </w:pPr>
            <w:r w:rsidRPr="0064264A">
              <w:rPr>
                <w:rFonts w:eastAsia="Calibri"/>
                <w:lang w:val="es-DO"/>
              </w:rPr>
              <w:t>5</w:t>
            </w:r>
          </w:p>
        </w:tc>
      </w:tr>
      <w:tr w:rsidR="0064264A" w:rsidRPr="0064264A" w14:paraId="70D4BEF2"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21F620D9" w14:textId="77777777" w:rsidR="00D9267D" w:rsidRPr="0064264A" w:rsidRDefault="00D9267D" w:rsidP="00D9267D">
            <w:pPr>
              <w:spacing w:line="360" w:lineRule="auto"/>
              <w:jc w:val="both"/>
              <w:rPr>
                <w:rFonts w:eastAsia="Calibri"/>
                <w:lang w:val="es-ES"/>
              </w:rPr>
            </w:pPr>
            <w:r w:rsidRPr="0064264A">
              <w:rPr>
                <w:rFonts w:eastAsia="Calibri"/>
                <w:lang w:val="es-ES"/>
              </w:rPr>
              <w:lastRenderedPageBreak/>
              <w:t>2801</w:t>
            </w:r>
          </w:p>
        </w:tc>
        <w:tc>
          <w:tcPr>
            <w:tcW w:w="0" w:type="auto"/>
            <w:tcBorders>
              <w:top w:val="nil"/>
              <w:left w:val="nil"/>
              <w:bottom w:val="single" w:sz="12" w:space="0" w:color="1F4E79"/>
              <w:right w:val="single" w:sz="12" w:space="0" w:color="1F4E79"/>
            </w:tcBorders>
            <w:vAlign w:val="center"/>
          </w:tcPr>
          <w:p w14:paraId="7A56D921" w14:textId="77777777" w:rsidR="00D9267D" w:rsidRPr="0064264A" w:rsidRDefault="00D9267D" w:rsidP="00D9267D">
            <w:pPr>
              <w:spacing w:line="360" w:lineRule="auto"/>
              <w:jc w:val="both"/>
              <w:rPr>
                <w:rFonts w:eastAsia="Calibri"/>
                <w:lang w:val="es-ES"/>
              </w:rPr>
            </w:pPr>
            <w:r w:rsidRPr="0064264A">
              <w:rPr>
                <w:rFonts w:eastAsia="Calibri"/>
                <w:lang w:val="es-DO"/>
              </w:rPr>
              <w:t>49</w:t>
            </w:r>
          </w:p>
        </w:tc>
      </w:tr>
      <w:tr w:rsidR="0064264A" w:rsidRPr="0064264A" w14:paraId="42D53B04"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2CAE42C6" w14:textId="77777777" w:rsidR="00D9267D" w:rsidRPr="0064264A" w:rsidRDefault="00D9267D" w:rsidP="00D9267D">
            <w:pPr>
              <w:spacing w:line="360" w:lineRule="auto"/>
              <w:jc w:val="both"/>
              <w:rPr>
                <w:rFonts w:eastAsia="Calibri"/>
                <w:lang w:val="es-ES"/>
              </w:rPr>
            </w:pPr>
            <w:r w:rsidRPr="0064264A">
              <w:rPr>
                <w:rFonts w:eastAsia="Calibri"/>
                <w:lang w:val="es-ES"/>
              </w:rPr>
              <w:t>3101</w:t>
            </w:r>
          </w:p>
        </w:tc>
        <w:tc>
          <w:tcPr>
            <w:tcW w:w="0" w:type="auto"/>
            <w:tcBorders>
              <w:top w:val="nil"/>
              <w:left w:val="nil"/>
              <w:bottom w:val="single" w:sz="12" w:space="0" w:color="1F4E79"/>
              <w:right w:val="single" w:sz="12" w:space="0" w:color="1F4E79"/>
            </w:tcBorders>
            <w:vAlign w:val="center"/>
          </w:tcPr>
          <w:p w14:paraId="34447F52" w14:textId="77777777" w:rsidR="00D9267D" w:rsidRPr="0064264A" w:rsidRDefault="00D9267D" w:rsidP="00D9267D">
            <w:pPr>
              <w:spacing w:line="360" w:lineRule="auto"/>
              <w:jc w:val="both"/>
              <w:rPr>
                <w:rFonts w:eastAsia="Calibri"/>
                <w:lang w:val="es-ES"/>
              </w:rPr>
            </w:pPr>
            <w:r w:rsidRPr="0064264A">
              <w:rPr>
                <w:rFonts w:eastAsia="Calibri"/>
                <w:lang w:val="es-DO"/>
              </w:rPr>
              <w:t>64</w:t>
            </w:r>
          </w:p>
        </w:tc>
      </w:tr>
      <w:tr w:rsidR="0064264A" w:rsidRPr="0064264A" w14:paraId="0703D552"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0945D436" w14:textId="77777777" w:rsidR="00D9267D" w:rsidRPr="0064264A" w:rsidRDefault="00D9267D" w:rsidP="00D9267D">
            <w:pPr>
              <w:spacing w:line="360" w:lineRule="auto"/>
              <w:jc w:val="both"/>
              <w:rPr>
                <w:rFonts w:eastAsia="Calibri"/>
                <w:lang w:val="es-ES"/>
              </w:rPr>
            </w:pPr>
            <w:r w:rsidRPr="0064264A">
              <w:rPr>
                <w:rFonts w:eastAsia="Calibri"/>
                <w:lang w:val="es-ES"/>
              </w:rPr>
              <w:t>3201</w:t>
            </w:r>
          </w:p>
        </w:tc>
        <w:tc>
          <w:tcPr>
            <w:tcW w:w="0" w:type="auto"/>
            <w:tcBorders>
              <w:top w:val="nil"/>
              <w:left w:val="nil"/>
              <w:bottom w:val="single" w:sz="12" w:space="0" w:color="1F4E79"/>
              <w:right w:val="single" w:sz="12" w:space="0" w:color="1F4E79"/>
            </w:tcBorders>
            <w:vAlign w:val="center"/>
          </w:tcPr>
          <w:p w14:paraId="56EAC13B" w14:textId="77777777" w:rsidR="00D9267D" w:rsidRPr="0064264A" w:rsidRDefault="00D9267D" w:rsidP="00D9267D">
            <w:pPr>
              <w:spacing w:line="360" w:lineRule="auto"/>
              <w:jc w:val="both"/>
              <w:rPr>
                <w:rFonts w:eastAsia="Calibri"/>
                <w:lang w:val="es-DO"/>
              </w:rPr>
            </w:pPr>
            <w:r w:rsidRPr="0064264A">
              <w:rPr>
                <w:rFonts w:eastAsia="Calibri"/>
                <w:lang w:val="es-DO"/>
              </w:rPr>
              <w:t>10</w:t>
            </w:r>
          </w:p>
        </w:tc>
      </w:tr>
      <w:tr w:rsidR="0064264A" w:rsidRPr="0064264A" w14:paraId="741E6606"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391B58F2" w14:textId="77777777" w:rsidR="00D9267D" w:rsidRPr="0064264A" w:rsidRDefault="00D9267D" w:rsidP="00D9267D">
            <w:pPr>
              <w:spacing w:line="360" w:lineRule="auto"/>
              <w:jc w:val="both"/>
              <w:rPr>
                <w:rFonts w:eastAsia="Calibri"/>
                <w:lang w:val="es-ES"/>
              </w:rPr>
            </w:pPr>
            <w:r w:rsidRPr="0064264A">
              <w:rPr>
                <w:rFonts w:eastAsia="Calibri"/>
                <w:lang w:val="es-ES"/>
              </w:rPr>
              <w:t>3401</w:t>
            </w:r>
          </w:p>
        </w:tc>
        <w:tc>
          <w:tcPr>
            <w:tcW w:w="0" w:type="auto"/>
            <w:tcBorders>
              <w:top w:val="nil"/>
              <w:left w:val="nil"/>
              <w:bottom w:val="single" w:sz="12" w:space="0" w:color="1F4E79"/>
              <w:right w:val="single" w:sz="12" w:space="0" w:color="1F4E79"/>
            </w:tcBorders>
            <w:vAlign w:val="center"/>
          </w:tcPr>
          <w:p w14:paraId="6930118E" w14:textId="77777777" w:rsidR="00D9267D" w:rsidRPr="0064264A" w:rsidRDefault="00D9267D" w:rsidP="00D9267D">
            <w:pPr>
              <w:spacing w:line="360" w:lineRule="auto"/>
              <w:jc w:val="both"/>
              <w:rPr>
                <w:rFonts w:eastAsia="Calibri"/>
                <w:lang w:val="es-ES"/>
              </w:rPr>
            </w:pPr>
            <w:r w:rsidRPr="0064264A">
              <w:rPr>
                <w:rFonts w:eastAsia="Calibri"/>
                <w:lang w:val="es-DO"/>
              </w:rPr>
              <w:t>0</w:t>
            </w:r>
          </w:p>
        </w:tc>
      </w:tr>
      <w:tr w:rsidR="0064264A" w:rsidRPr="0064264A" w14:paraId="16CA7B79"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4D3CF488" w14:textId="77777777" w:rsidR="00D9267D" w:rsidRPr="0064264A" w:rsidRDefault="00D9267D" w:rsidP="00D9267D">
            <w:pPr>
              <w:spacing w:line="360" w:lineRule="auto"/>
              <w:jc w:val="both"/>
              <w:rPr>
                <w:rFonts w:eastAsia="Calibri"/>
                <w:lang w:val="es-ES"/>
              </w:rPr>
            </w:pPr>
            <w:r w:rsidRPr="0064264A">
              <w:rPr>
                <w:rFonts w:eastAsia="Calibri"/>
                <w:lang w:val="es-ES"/>
              </w:rPr>
              <w:t>3501</w:t>
            </w:r>
          </w:p>
        </w:tc>
        <w:tc>
          <w:tcPr>
            <w:tcW w:w="0" w:type="auto"/>
            <w:tcBorders>
              <w:top w:val="nil"/>
              <w:left w:val="nil"/>
              <w:bottom w:val="single" w:sz="12" w:space="0" w:color="1F4E79"/>
              <w:right w:val="single" w:sz="12" w:space="0" w:color="1F4E79"/>
            </w:tcBorders>
            <w:vAlign w:val="center"/>
          </w:tcPr>
          <w:p w14:paraId="367DE517" w14:textId="77777777" w:rsidR="00D9267D" w:rsidRPr="0064264A" w:rsidRDefault="00D9267D" w:rsidP="00D9267D">
            <w:pPr>
              <w:spacing w:line="360" w:lineRule="auto"/>
              <w:jc w:val="both"/>
              <w:rPr>
                <w:rFonts w:eastAsia="Calibri"/>
                <w:lang w:val="es-ES"/>
              </w:rPr>
            </w:pPr>
            <w:r w:rsidRPr="0064264A">
              <w:rPr>
                <w:rFonts w:eastAsia="Calibri"/>
                <w:lang w:val="es-DO"/>
              </w:rPr>
              <w:t>1</w:t>
            </w:r>
          </w:p>
        </w:tc>
      </w:tr>
      <w:tr w:rsidR="0064264A" w:rsidRPr="0064264A" w14:paraId="364B8910"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70EF9BCF" w14:textId="77777777" w:rsidR="00D9267D" w:rsidRPr="0064264A" w:rsidRDefault="00D9267D" w:rsidP="00D9267D">
            <w:pPr>
              <w:spacing w:line="360" w:lineRule="auto"/>
              <w:jc w:val="both"/>
              <w:rPr>
                <w:rFonts w:eastAsia="Calibri"/>
                <w:lang w:val="es-ES"/>
              </w:rPr>
            </w:pPr>
            <w:r w:rsidRPr="0064264A">
              <w:rPr>
                <w:rFonts w:eastAsia="Calibri"/>
                <w:lang w:val="es-ES"/>
              </w:rPr>
              <w:t>3601</w:t>
            </w:r>
          </w:p>
        </w:tc>
        <w:tc>
          <w:tcPr>
            <w:tcW w:w="0" w:type="auto"/>
            <w:tcBorders>
              <w:top w:val="nil"/>
              <w:left w:val="nil"/>
              <w:bottom w:val="single" w:sz="12" w:space="0" w:color="1F4E79"/>
              <w:right w:val="single" w:sz="12" w:space="0" w:color="1F4E79"/>
            </w:tcBorders>
            <w:vAlign w:val="center"/>
          </w:tcPr>
          <w:p w14:paraId="33393FA6" w14:textId="77777777" w:rsidR="00D9267D" w:rsidRPr="0064264A" w:rsidRDefault="00D9267D" w:rsidP="00D9267D">
            <w:pPr>
              <w:spacing w:line="360" w:lineRule="auto"/>
              <w:jc w:val="both"/>
              <w:rPr>
                <w:rFonts w:eastAsia="Calibri"/>
                <w:lang w:val="es-ES"/>
              </w:rPr>
            </w:pPr>
            <w:r w:rsidRPr="0064264A">
              <w:rPr>
                <w:rFonts w:eastAsia="Calibri"/>
                <w:lang w:val="es-DO"/>
              </w:rPr>
              <w:t>6</w:t>
            </w:r>
          </w:p>
        </w:tc>
      </w:tr>
      <w:tr w:rsidR="0064264A" w:rsidRPr="0064264A" w14:paraId="46073EFB"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0AD608C7" w14:textId="77777777" w:rsidR="00D9267D" w:rsidRPr="0064264A" w:rsidRDefault="00D9267D" w:rsidP="00D9267D">
            <w:pPr>
              <w:spacing w:line="360" w:lineRule="auto"/>
              <w:jc w:val="both"/>
              <w:rPr>
                <w:rFonts w:eastAsia="Calibri"/>
                <w:lang w:val="es-ES"/>
              </w:rPr>
            </w:pPr>
            <w:r w:rsidRPr="0064264A">
              <w:rPr>
                <w:rFonts w:eastAsia="Calibri"/>
                <w:lang w:val="es-ES"/>
              </w:rPr>
              <w:t>3701</w:t>
            </w:r>
          </w:p>
        </w:tc>
        <w:tc>
          <w:tcPr>
            <w:tcW w:w="0" w:type="auto"/>
            <w:tcBorders>
              <w:top w:val="nil"/>
              <w:left w:val="nil"/>
              <w:bottom w:val="single" w:sz="12" w:space="0" w:color="1F4E79"/>
              <w:right w:val="single" w:sz="12" w:space="0" w:color="1F4E79"/>
            </w:tcBorders>
            <w:vAlign w:val="center"/>
          </w:tcPr>
          <w:p w14:paraId="501B653A" w14:textId="77777777" w:rsidR="00D9267D" w:rsidRPr="0064264A" w:rsidRDefault="00D9267D" w:rsidP="00D9267D">
            <w:pPr>
              <w:spacing w:line="360" w:lineRule="auto"/>
              <w:jc w:val="both"/>
              <w:rPr>
                <w:rFonts w:eastAsia="Calibri"/>
                <w:lang w:val="es-ES"/>
              </w:rPr>
            </w:pPr>
            <w:r w:rsidRPr="0064264A">
              <w:rPr>
                <w:rFonts w:eastAsia="Calibri"/>
                <w:lang w:val="es-DO"/>
              </w:rPr>
              <w:t>32</w:t>
            </w:r>
          </w:p>
        </w:tc>
      </w:tr>
      <w:tr w:rsidR="0064264A" w:rsidRPr="0064264A" w14:paraId="2F634777" w14:textId="77777777" w:rsidTr="00953742">
        <w:trPr>
          <w:trHeight w:val="340"/>
          <w:jc w:val="center"/>
        </w:trPr>
        <w:tc>
          <w:tcPr>
            <w:tcW w:w="0" w:type="auto"/>
            <w:tcBorders>
              <w:top w:val="nil"/>
              <w:left w:val="single" w:sz="12" w:space="0" w:color="1F4E79"/>
              <w:bottom w:val="single" w:sz="12" w:space="0" w:color="1F4E79"/>
              <w:right w:val="single" w:sz="12" w:space="0" w:color="1F4E79"/>
            </w:tcBorders>
            <w:vAlign w:val="center"/>
          </w:tcPr>
          <w:p w14:paraId="1F080604" w14:textId="77777777" w:rsidR="00D9267D" w:rsidRPr="0064264A" w:rsidRDefault="00D9267D" w:rsidP="00D9267D">
            <w:pPr>
              <w:spacing w:line="360" w:lineRule="auto"/>
              <w:jc w:val="both"/>
              <w:rPr>
                <w:rFonts w:eastAsia="Calibri"/>
                <w:lang w:val="es-ES"/>
              </w:rPr>
            </w:pPr>
            <w:r w:rsidRPr="0064264A">
              <w:rPr>
                <w:rFonts w:eastAsia="Calibri"/>
                <w:lang w:val="es-ES"/>
              </w:rPr>
              <w:t>3801</w:t>
            </w:r>
          </w:p>
        </w:tc>
        <w:tc>
          <w:tcPr>
            <w:tcW w:w="0" w:type="auto"/>
            <w:tcBorders>
              <w:top w:val="nil"/>
              <w:left w:val="nil"/>
              <w:bottom w:val="single" w:sz="12" w:space="0" w:color="1F4E79"/>
              <w:right w:val="single" w:sz="12" w:space="0" w:color="1F4E79"/>
            </w:tcBorders>
            <w:vAlign w:val="center"/>
          </w:tcPr>
          <w:p w14:paraId="11DB9156" w14:textId="77777777" w:rsidR="00D9267D" w:rsidRPr="0064264A" w:rsidRDefault="00D9267D" w:rsidP="00D9267D">
            <w:pPr>
              <w:spacing w:line="360" w:lineRule="auto"/>
              <w:jc w:val="both"/>
              <w:rPr>
                <w:rFonts w:eastAsia="Calibri"/>
                <w:lang w:val="es-ES"/>
              </w:rPr>
            </w:pPr>
            <w:r w:rsidRPr="0064264A">
              <w:rPr>
                <w:rFonts w:eastAsia="Calibri"/>
                <w:lang w:val="es-DO"/>
              </w:rPr>
              <w:t>2</w:t>
            </w:r>
          </w:p>
        </w:tc>
      </w:tr>
      <w:tr w:rsidR="0064264A" w:rsidRPr="0064264A" w14:paraId="6594F855" w14:textId="77777777" w:rsidTr="00953742">
        <w:trPr>
          <w:trHeight w:val="254"/>
          <w:jc w:val="center"/>
        </w:trPr>
        <w:tc>
          <w:tcPr>
            <w:tcW w:w="0" w:type="auto"/>
            <w:tcBorders>
              <w:top w:val="nil"/>
              <w:left w:val="single" w:sz="12" w:space="0" w:color="1F4E79"/>
              <w:bottom w:val="single" w:sz="12" w:space="0" w:color="1F4E79"/>
              <w:right w:val="single" w:sz="12" w:space="0" w:color="1F4E79"/>
            </w:tcBorders>
            <w:shd w:val="clear" w:color="auto" w:fill="002060"/>
            <w:vAlign w:val="center"/>
          </w:tcPr>
          <w:p w14:paraId="0EB9750D" w14:textId="77777777" w:rsidR="00D9267D" w:rsidRPr="00A84C7F" w:rsidRDefault="00D9267D" w:rsidP="00667F26">
            <w:pPr>
              <w:spacing w:line="360" w:lineRule="auto"/>
              <w:jc w:val="center"/>
              <w:rPr>
                <w:rFonts w:eastAsia="Calibri"/>
                <w:color w:val="FFFFFF" w:themeColor="background1"/>
                <w:lang w:val="es-ES"/>
              </w:rPr>
            </w:pPr>
            <w:r w:rsidRPr="00A84C7F">
              <w:rPr>
                <w:rFonts w:eastAsia="Calibri"/>
                <w:color w:val="FFFFFF" w:themeColor="background1"/>
                <w:lang w:val="es-DO"/>
              </w:rPr>
              <w:t>Total</w:t>
            </w:r>
          </w:p>
        </w:tc>
        <w:tc>
          <w:tcPr>
            <w:tcW w:w="0" w:type="auto"/>
            <w:tcBorders>
              <w:top w:val="nil"/>
              <w:left w:val="nil"/>
              <w:bottom w:val="single" w:sz="12" w:space="0" w:color="1F4E79"/>
              <w:right w:val="single" w:sz="12" w:space="0" w:color="1F4E79"/>
            </w:tcBorders>
            <w:shd w:val="clear" w:color="auto" w:fill="002060"/>
            <w:vAlign w:val="center"/>
          </w:tcPr>
          <w:p w14:paraId="7BCC3EDF" w14:textId="77777777" w:rsidR="00D9267D" w:rsidRPr="00A84C7F" w:rsidRDefault="00D9267D" w:rsidP="00667F26">
            <w:pPr>
              <w:spacing w:line="360" w:lineRule="auto"/>
              <w:jc w:val="center"/>
              <w:rPr>
                <w:rFonts w:eastAsia="Calibri"/>
                <w:color w:val="FFFFFF" w:themeColor="background1"/>
                <w:lang w:val="es-ES"/>
              </w:rPr>
            </w:pPr>
            <w:r w:rsidRPr="00A84C7F">
              <w:rPr>
                <w:rFonts w:eastAsia="Calibri"/>
                <w:color w:val="FFFFFF" w:themeColor="background1"/>
                <w:lang w:val="es-DO"/>
              </w:rPr>
              <w:t>598</w:t>
            </w:r>
          </w:p>
        </w:tc>
      </w:tr>
    </w:tbl>
    <w:p w14:paraId="3818108E" w14:textId="05F714EB" w:rsidR="00D9267D" w:rsidRPr="0064264A" w:rsidRDefault="00D9267D" w:rsidP="00D9267D">
      <w:pPr>
        <w:spacing w:line="360" w:lineRule="auto"/>
        <w:jc w:val="both"/>
        <w:rPr>
          <w:rFonts w:eastAsia="Calibri"/>
          <w:b/>
          <w:sz w:val="22"/>
          <w:szCs w:val="22"/>
          <w:lang w:val="es-DO"/>
        </w:rPr>
      </w:pPr>
      <w:r w:rsidRPr="0064264A">
        <w:rPr>
          <w:rFonts w:eastAsia="Calibri"/>
          <w:sz w:val="22"/>
          <w:szCs w:val="22"/>
          <w:lang w:val="es-DO"/>
        </w:rPr>
        <w:t xml:space="preserve">                     </w:t>
      </w:r>
      <w:r w:rsidR="00667F26" w:rsidRPr="0064264A">
        <w:rPr>
          <w:rFonts w:eastAsia="Calibri"/>
          <w:sz w:val="22"/>
          <w:szCs w:val="22"/>
          <w:lang w:val="es-DO"/>
        </w:rPr>
        <w:t xml:space="preserve"> </w:t>
      </w:r>
      <w:r w:rsidRPr="0064264A">
        <w:rPr>
          <w:rFonts w:eastAsia="Calibri"/>
          <w:sz w:val="22"/>
          <w:szCs w:val="22"/>
          <w:lang w:val="es-DO"/>
        </w:rPr>
        <w:t xml:space="preserve"> </w:t>
      </w:r>
      <w:r w:rsidRPr="0064264A">
        <w:rPr>
          <w:rFonts w:eastAsia="Calibri"/>
          <w:b/>
          <w:sz w:val="22"/>
          <w:szCs w:val="22"/>
          <w:lang w:val="es-DO"/>
        </w:rPr>
        <w:t>Fuente: Depto. de Recursos Humanos</w:t>
      </w:r>
    </w:p>
    <w:p w14:paraId="0E3FE477" w14:textId="77777777" w:rsidR="00D9267D" w:rsidRPr="0064264A" w:rsidRDefault="00D9267D" w:rsidP="00B07742">
      <w:pPr>
        <w:spacing w:line="240" w:lineRule="auto"/>
        <w:jc w:val="center"/>
        <w:rPr>
          <w:rFonts w:eastAsia="Calibri"/>
          <w:lang w:val="es-ES"/>
        </w:rPr>
      </w:pPr>
      <w:r w:rsidRPr="0064264A">
        <w:rPr>
          <w:rFonts w:eastAsia="Calibri"/>
          <w:lang w:val="es-ES"/>
        </w:rPr>
        <w:t>Control de gestión de la formación</w:t>
      </w:r>
    </w:p>
    <w:p w14:paraId="442C6AA5" w14:textId="7C81D16C" w:rsidR="00D9267D" w:rsidRPr="0064264A" w:rsidRDefault="00D9267D" w:rsidP="00B07742">
      <w:pPr>
        <w:spacing w:line="240" w:lineRule="auto"/>
        <w:jc w:val="center"/>
        <w:rPr>
          <w:rFonts w:eastAsia="Calibri"/>
          <w:lang w:val="es-ES"/>
        </w:rPr>
      </w:pPr>
      <w:r w:rsidRPr="0064264A">
        <w:rPr>
          <w:rFonts w:eastAsia="Calibri"/>
          <w:lang w:val="es-ES"/>
        </w:rPr>
        <w:t xml:space="preserve">Enero – </w:t>
      </w:r>
      <w:proofErr w:type="gramStart"/>
      <w:r w:rsidR="00D07CD9" w:rsidRPr="0064264A">
        <w:rPr>
          <w:rFonts w:eastAsia="Calibri"/>
          <w:lang w:val="es-ES"/>
        </w:rPr>
        <w:t>Diciembre</w:t>
      </w:r>
      <w:proofErr w:type="gramEnd"/>
      <w:r w:rsidRPr="0064264A">
        <w:rPr>
          <w:rFonts w:eastAsia="Calibri"/>
          <w:lang w:val="es-ES"/>
        </w:rPr>
        <w:t xml:space="preserve"> 2025</w:t>
      </w:r>
    </w:p>
    <w:tbl>
      <w:tblPr>
        <w:tblW w:w="0" w:type="auto"/>
        <w:jc w:val="center"/>
        <w:tblCellMar>
          <w:left w:w="70" w:type="dxa"/>
          <w:right w:w="70" w:type="dxa"/>
        </w:tblCellMar>
        <w:tblLook w:val="04A0" w:firstRow="1" w:lastRow="0" w:firstColumn="1" w:lastColumn="0" w:noHBand="0" w:noVBand="1"/>
      </w:tblPr>
      <w:tblGrid>
        <w:gridCol w:w="4546"/>
        <w:gridCol w:w="1167"/>
      </w:tblGrid>
      <w:tr w:rsidR="0064264A" w:rsidRPr="0064264A" w14:paraId="1E19B8ED" w14:textId="77777777" w:rsidTr="00953742">
        <w:trPr>
          <w:trHeight w:val="435"/>
          <w:tblHeader/>
          <w:jc w:val="center"/>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7704055E" w14:textId="77777777" w:rsidR="00D9267D" w:rsidRPr="00A84C7F" w:rsidRDefault="00D9267D" w:rsidP="00D07CD9">
            <w:pPr>
              <w:spacing w:line="360" w:lineRule="auto"/>
              <w:jc w:val="center"/>
              <w:rPr>
                <w:rFonts w:eastAsia="Calibri"/>
                <w:color w:val="FFFFFF" w:themeColor="background1"/>
                <w:lang w:val="es-ES"/>
              </w:rPr>
            </w:pPr>
            <w:r w:rsidRPr="00A84C7F">
              <w:rPr>
                <w:rFonts w:eastAsia="Calibri"/>
                <w:color w:val="FFFFFF" w:themeColor="background1"/>
                <w:lang w:val="es-ES"/>
              </w:rPr>
              <w:t>Control de gestión</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704EE7A6" w14:textId="77777777" w:rsidR="00D9267D" w:rsidRPr="00A84C7F" w:rsidRDefault="00D9267D" w:rsidP="00D07CD9">
            <w:pPr>
              <w:spacing w:line="360" w:lineRule="auto"/>
              <w:jc w:val="center"/>
              <w:rPr>
                <w:rFonts w:eastAsia="Calibri"/>
                <w:color w:val="FFFFFF" w:themeColor="background1"/>
                <w:lang w:val="es-ES"/>
              </w:rPr>
            </w:pPr>
            <w:r w:rsidRPr="00A84C7F">
              <w:rPr>
                <w:rFonts w:eastAsia="Calibri"/>
                <w:color w:val="FFFFFF" w:themeColor="background1"/>
                <w:lang w:val="es-ES"/>
              </w:rPr>
              <w:t>Cantidad</w:t>
            </w:r>
          </w:p>
        </w:tc>
      </w:tr>
      <w:tr w:rsidR="0064264A" w:rsidRPr="0064264A" w14:paraId="242A7CBF" w14:textId="77777777" w:rsidTr="00953742">
        <w:trPr>
          <w:trHeight w:val="519"/>
          <w:tblHeader/>
          <w:jc w:val="center"/>
        </w:trPr>
        <w:tc>
          <w:tcPr>
            <w:tcW w:w="0" w:type="auto"/>
            <w:tcBorders>
              <w:top w:val="nil"/>
              <w:left w:val="single" w:sz="12" w:space="0" w:color="1F4E79"/>
              <w:bottom w:val="single" w:sz="12" w:space="0" w:color="1F4E79"/>
              <w:right w:val="single" w:sz="12" w:space="0" w:color="1F4E79"/>
            </w:tcBorders>
            <w:vAlign w:val="center"/>
            <w:hideMark/>
          </w:tcPr>
          <w:p w14:paraId="5BD82C0B" w14:textId="77777777" w:rsidR="00D9267D" w:rsidRPr="0064264A" w:rsidRDefault="00D9267D" w:rsidP="00D9267D">
            <w:pPr>
              <w:spacing w:line="360" w:lineRule="auto"/>
              <w:jc w:val="both"/>
              <w:rPr>
                <w:rFonts w:eastAsia="Calibri"/>
                <w:lang w:val="es-ES"/>
              </w:rPr>
            </w:pPr>
            <w:r w:rsidRPr="0064264A">
              <w:rPr>
                <w:rFonts w:eastAsia="Calibri"/>
                <w:lang w:val="es-ES"/>
              </w:rPr>
              <w:t>Personal impactado</w:t>
            </w:r>
          </w:p>
        </w:tc>
        <w:tc>
          <w:tcPr>
            <w:tcW w:w="0" w:type="auto"/>
            <w:tcBorders>
              <w:top w:val="nil"/>
              <w:left w:val="nil"/>
              <w:bottom w:val="single" w:sz="12" w:space="0" w:color="1F4E79"/>
              <w:right w:val="single" w:sz="12" w:space="0" w:color="1F4E79"/>
            </w:tcBorders>
            <w:vAlign w:val="center"/>
            <w:hideMark/>
          </w:tcPr>
          <w:p w14:paraId="0F1E9AEF" w14:textId="77777777" w:rsidR="00D9267D" w:rsidRPr="0064264A" w:rsidRDefault="00D9267D" w:rsidP="00D9267D">
            <w:pPr>
              <w:spacing w:line="360" w:lineRule="auto"/>
              <w:jc w:val="both"/>
              <w:rPr>
                <w:rFonts w:eastAsia="Calibri"/>
                <w:lang w:val="es-ES"/>
              </w:rPr>
            </w:pPr>
            <w:r w:rsidRPr="0064264A">
              <w:rPr>
                <w:rFonts w:eastAsia="Calibri"/>
                <w:lang w:val="es-DO"/>
              </w:rPr>
              <w:t>598</w:t>
            </w:r>
          </w:p>
        </w:tc>
      </w:tr>
      <w:tr w:rsidR="0064264A" w:rsidRPr="0064264A" w14:paraId="7087A48A" w14:textId="77777777" w:rsidTr="00953742">
        <w:trPr>
          <w:trHeight w:val="435"/>
          <w:tblHeader/>
          <w:jc w:val="center"/>
        </w:trPr>
        <w:tc>
          <w:tcPr>
            <w:tcW w:w="0" w:type="auto"/>
            <w:tcBorders>
              <w:top w:val="nil"/>
              <w:left w:val="single" w:sz="12" w:space="0" w:color="1F4E79"/>
              <w:bottom w:val="single" w:sz="12" w:space="0" w:color="1F4E79"/>
              <w:right w:val="single" w:sz="12" w:space="0" w:color="1F4E79"/>
            </w:tcBorders>
            <w:vAlign w:val="center"/>
            <w:hideMark/>
          </w:tcPr>
          <w:p w14:paraId="0D006E87" w14:textId="77777777" w:rsidR="00D9267D" w:rsidRPr="0064264A" w:rsidRDefault="00D9267D" w:rsidP="00D9267D">
            <w:pPr>
              <w:spacing w:line="360" w:lineRule="auto"/>
              <w:jc w:val="both"/>
              <w:rPr>
                <w:rFonts w:eastAsia="Calibri"/>
                <w:lang w:val="es-ES"/>
              </w:rPr>
            </w:pPr>
            <w:r w:rsidRPr="0064264A">
              <w:rPr>
                <w:rFonts w:eastAsia="Calibri"/>
                <w:lang w:val="es-ES"/>
              </w:rPr>
              <w:t>Solicitudes de capacitación trabajadas</w:t>
            </w:r>
          </w:p>
        </w:tc>
        <w:tc>
          <w:tcPr>
            <w:tcW w:w="0" w:type="auto"/>
            <w:tcBorders>
              <w:top w:val="nil"/>
              <w:left w:val="nil"/>
              <w:bottom w:val="single" w:sz="12" w:space="0" w:color="1F4E79"/>
              <w:right w:val="single" w:sz="12" w:space="0" w:color="1F4E79"/>
            </w:tcBorders>
            <w:vAlign w:val="center"/>
            <w:hideMark/>
          </w:tcPr>
          <w:p w14:paraId="649CDAED" w14:textId="77777777" w:rsidR="00D9267D" w:rsidRPr="0064264A" w:rsidRDefault="00D9267D" w:rsidP="00D9267D">
            <w:pPr>
              <w:spacing w:line="360" w:lineRule="auto"/>
              <w:jc w:val="both"/>
              <w:rPr>
                <w:rFonts w:eastAsia="Calibri"/>
                <w:lang w:val="es-ES"/>
              </w:rPr>
            </w:pPr>
            <w:r w:rsidRPr="0064264A">
              <w:rPr>
                <w:rFonts w:eastAsia="Calibri"/>
                <w:lang w:val="es-DO"/>
              </w:rPr>
              <w:t>111</w:t>
            </w:r>
          </w:p>
        </w:tc>
      </w:tr>
      <w:tr w:rsidR="0064264A" w:rsidRPr="0064264A" w14:paraId="139E5888" w14:textId="77777777" w:rsidTr="00953742">
        <w:trPr>
          <w:trHeight w:val="483"/>
          <w:tblHeader/>
          <w:jc w:val="center"/>
        </w:trPr>
        <w:tc>
          <w:tcPr>
            <w:tcW w:w="0" w:type="auto"/>
            <w:tcBorders>
              <w:top w:val="nil"/>
              <w:left w:val="single" w:sz="12" w:space="0" w:color="1F4E79"/>
              <w:bottom w:val="single" w:sz="12" w:space="0" w:color="1F4E79"/>
              <w:right w:val="single" w:sz="12" w:space="0" w:color="1F4E79"/>
            </w:tcBorders>
            <w:vAlign w:val="center"/>
            <w:hideMark/>
          </w:tcPr>
          <w:p w14:paraId="1EC0384C" w14:textId="77777777" w:rsidR="00D9267D" w:rsidRPr="0064264A" w:rsidRDefault="00D9267D" w:rsidP="00D9267D">
            <w:pPr>
              <w:spacing w:line="360" w:lineRule="auto"/>
              <w:jc w:val="both"/>
              <w:rPr>
                <w:rFonts w:eastAsia="Calibri"/>
                <w:lang w:val="es-ES"/>
              </w:rPr>
            </w:pPr>
            <w:r w:rsidRPr="0064264A">
              <w:rPr>
                <w:rFonts w:eastAsia="Calibri"/>
                <w:lang w:val="es-ES"/>
              </w:rPr>
              <w:t>Becas de maestrías activas</w:t>
            </w:r>
          </w:p>
          <w:p w14:paraId="4F3C8051" w14:textId="77777777" w:rsidR="00D9267D" w:rsidRPr="0064264A" w:rsidRDefault="00D9267D" w:rsidP="00D9267D">
            <w:pPr>
              <w:spacing w:line="360" w:lineRule="auto"/>
              <w:jc w:val="both"/>
              <w:rPr>
                <w:rFonts w:eastAsia="Calibri"/>
                <w:lang w:val="es-ES"/>
              </w:rPr>
            </w:pPr>
            <w:r w:rsidRPr="0064264A">
              <w:rPr>
                <w:rFonts w:eastAsia="Calibri"/>
                <w:lang w:val="es-ES"/>
              </w:rPr>
              <w:t>(Becas Nacionales, 31)</w:t>
            </w:r>
          </w:p>
          <w:p w14:paraId="5F1392EB" w14:textId="77777777" w:rsidR="00D9267D" w:rsidRPr="0064264A" w:rsidRDefault="00D9267D" w:rsidP="00D9267D">
            <w:pPr>
              <w:spacing w:line="360" w:lineRule="auto"/>
              <w:jc w:val="both"/>
              <w:rPr>
                <w:rFonts w:eastAsia="Calibri"/>
                <w:lang w:val="es-ES"/>
              </w:rPr>
            </w:pPr>
            <w:r w:rsidRPr="0064264A">
              <w:rPr>
                <w:rFonts w:eastAsia="Calibri"/>
                <w:lang w:val="es-ES"/>
              </w:rPr>
              <w:t>(Becas Internacionales, (20)</w:t>
            </w:r>
          </w:p>
          <w:p w14:paraId="0CF82601" w14:textId="77777777" w:rsidR="00D9267D" w:rsidRPr="0064264A" w:rsidRDefault="00D9267D" w:rsidP="00D9267D">
            <w:pPr>
              <w:spacing w:line="360" w:lineRule="auto"/>
              <w:jc w:val="both"/>
              <w:rPr>
                <w:rFonts w:eastAsia="Calibri"/>
                <w:lang w:val="es-ES"/>
              </w:rPr>
            </w:pPr>
            <w:r w:rsidRPr="0064264A">
              <w:rPr>
                <w:rFonts w:eastAsia="Calibri"/>
                <w:lang w:val="es-ES"/>
              </w:rPr>
              <w:t>(Doctorados Internacionales, (2)</w:t>
            </w:r>
          </w:p>
        </w:tc>
        <w:tc>
          <w:tcPr>
            <w:tcW w:w="0" w:type="auto"/>
            <w:tcBorders>
              <w:top w:val="nil"/>
              <w:left w:val="nil"/>
              <w:bottom w:val="single" w:sz="12" w:space="0" w:color="1F4E79"/>
              <w:right w:val="single" w:sz="12" w:space="0" w:color="1F4E79"/>
            </w:tcBorders>
            <w:vAlign w:val="center"/>
            <w:hideMark/>
          </w:tcPr>
          <w:p w14:paraId="26D6A5AB" w14:textId="77777777" w:rsidR="00D9267D" w:rsidRPr="0064264A" w:rsidRDefault="00D9267D" w:rsidP="00D9267D">
            <w:pPr>
              <w:spacing w:line="360" w:lineRule="auto"/>
              <w:jc w:val="both"/>
              <w:rPr>
                <w:rFonts w:eastAsia="Calibri"/>
                <w:lang w:val="es-ES"/>
              </w:rPr>
            </w:pPr>
            <w:r w:rsidRPr="0064264A">
              <w:rPr>
                <w:rFonts w:eastAsia="Calibri"/>
                <w:lang w:val="es-DO"/>
              </w:rPr>
              <w:t>53</w:t>
            </w:r>
          </w:p>
        </w:tc>
      </w:tr>
    </w:tbl>
    <w:p w14:paraId="560E64EB" w14:textId="726D5E1A" w:rsidR="00D9267D" w:rsidRPr="0064264A" w:rsidRDefault="00D9267D" w:rsidP="00D9267D">
      <w:pPr>
        <w:spacing w:line="360" w:lineRule="auto"/>
        <w:jc w:val="both"/>
        <w:rPr>
          <w:rFonts w:eastAsia="Calibri"/>
          <w:b/>
          <w:sz w:val="22"/>
          <w:szCs w:val="22"/>
          <w:lang w:val="es-DO"/>
        </w:rPr>
      </w:pPr>
      <w:r w:rsidRPr="0064264A">
        <w:rPr>
          <w:rFonts w:eastAsia="Calibri"/>
          <w:sz w:val="22"/>
          <w:szCs w:val="22"/>
          <w:lang w:val="es-DO"/>
        </w:rPr>
        <w:t xml:space="preserve">                  </w:t>
      </w:r>
      <w:r w:rsidR="00B07742" w:rsidRPr="0064264A">
        <w:rPr>
          <w:rFonts w:eastAsia="Calibri"/>
          <w:sz w:val="22"/>
          <w:szCs w:val="22"/>
          <w:lang w:val="es-DO"/>
        </w:rPr>
        <w:t xml:space="preserve">    </w:t>
      </w:r>
      <w:r w:rsidRPr="0064264A">
        <w:rPr>
          <w:rFonts w:eastAsia="Calibri"/>
          <w:sz w:val="22"/>
          <w:szCs w:val="22"/>
          <w:lang w:val="es-DO"/>
        </w:rPr>
        <w:t xml:space="preserve"> </w:t>
      </w:r>
      <w:r w:rsidRPr="0064264A">
        <w:rPr>
          <w:rFonts w:eastAsia="Calibri"/>
          <w:b/>
          <w:sz w:val="22"/>
          <w:szCs w:val="22"/>
          <w:lang w:val="es-DO"/>
        </w:rPr>
        <w:t>Fuente: Depto. de Recursos Humanos</w:t>
      </w:r>
    </w:p>
    <w:p w14:paraId="7F6B8D36" w14:textId="77777777" w:rsidR="00D07CD9" w:rsidRPr="0064264A" w:rsidRDefault="00D07CD9" w:rsidP="00D9267D">
      <w:pPr>
        <w:spacing w:line="360" w:lineRule="auto"/>
        <w:jc w:val="both"/>
        <w:rPr>
          <w:rFonts w:eastAsia="Calibri"/>
          <w:b/>
          <w:sz w:val="22"/>
          <w:szCs w:val="22"/>
          <w:lang w:val="es-DO"/>
        </w:rPr>
      </w:pPr>
    </w:p>
    <w:p w14:paraId="01427087" w14:textId="0BBCF6C5" w:rsidR="00D9267D" w:rsidRPr="0064264A" w:rsidRDefault="00D9267D" w:rsidP="00D9267D">
      <w:pPr>
        <w:spacing w:line="360" w:lineRule="auto"/>
        <w:jc w:val="both"/>
        <w:rPr>
          <w:rFonts w:eastAsia="Calibri"/>
          <w:lang w:val="es-DO"/>
        </w:rPr>
      </w:pPr>
      <w:r w:rsidRPr="0064264A">
        <w:rPr>
          <w:rFonts w:eastAsia="Calibri"/>
          <w:lang w:val="es-ES"/>
        </w:rPr>
        <w:lastRenderedPageBreak/>
        <w:t xml:space="preserve">        </w:t>
      </w:r>
      <w:r w:rsidRPr="0064264A">
        <w:rPr>
          <w:rFonts w:eastAsia="Calibri"/>
          <w:lang w:val="es-DO"/>
        </w:rPr>
        <w:t>Capacitaciones realizadas por el personal mensualmente</w:t>
      </w:r>
    </w:p>
    <w:p w14:paraId="2110BFD0" w14:textId="4EDF5D29" w:rsidR="00D9267D" w:rsidRPr="0064264A" w:rsidRDefault="00667F26" w:rsidP="00D9267D">
      <w:pPr>
        <w:spacing w:line="360" w:lineRule="auto"/>
        <w:jc w:val="both"/>
        <w:rPr>
          <w:rFonts w:eastAsia="Calibri"/>
          <w:lang w:val="es-DO"/>
        </w:rPr>
      </w:pPr>
      <w:r w:rsidRPr="0064264A">
        <w:rPr>
          <w:rFonts w:eastAsia="Calibri"/>
          <w:lang w:val="es-DO"/>
        </w:rPr>
        <w:t xml:space="preserve">                              </w:t>
      </w:r>
      <w:r w:rsidR="00D9267D" w:rsidRPr="0064264A">
        <w:rPr>
          <w:rFonts w:eastAsia="Calibri"/>
          <w:lang w:val="es-DO"/>
        </w:rPr>
        <w:t xml:space="preserve">Enero – </w:t>
      </w:r>
      <w:proofErr w:type="gramStart"/>
      <w:r w:rsidR="00D07CD9" w:rsidRPr="0064264A">
        <w:rPr>
          <w:rFonts w:eastAsia="Calibri"/>
          <w:lang w:val="es-DO"/>
        </w:rPr>
        <w:t>Diciembre</w:t>
      </w:r>
      <w:proofErr w:type="gramEnd"/>
      <w:r w:rsidR="00D9267D" w:rsidRPr="0064264A">
        <w:rPr>
          <w:rFonts w:eastAsia="Calibri"/>
          <w:lang w:val="es-DO"/>
        </w:rPr>
        <w:t xml:space="preserve"> 2025</w:t>
      </w:r>
    </w:p>
    <w:tbl>
      <w:tblPr>
        <w:tblW w:w="0" w:type="auto"/>
        <w:jc w:val="center"/>
        <w:tblCellMar>
          <w:left w:w="70" w:type="dxa"/>
          <w:right w:w="70" w:type="dxa"/>
        </w:tblCellMar>
        <w:tblLook w:val="04A0" w:firstRow="1" w:lastRow="0" w:firstColumn="1" w:lastColumn="0" w:noHBand="0" w:noVBand="1"/>
      </w:tblPr>
      <w:tblGrid>
        <w:gridCol w:w="1434"/>
        <w:gridCol w:w="3206"/>
      </w:tblGrid>
      <w:tr w:rsidR="0064264A" w:rsidRPr="0064264A" w14:paraId="5E04CAF5" w14:textId="77777777" w:rsidTr="00667F26">
        <w:trPr>
          <w:trHeight w:val="288"/>
          <w:tblHeader/>
          <w:jc w:val="center"/>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1A9B5EAA" w14:textId="77777777" w:rsidR="00D9267D" w:rsidRPr="00A84C7F" w:rsidRDefault="00D9267D" w:rsidP="00D9267D">
            <w:pPr>
              <w:spacing w:line="360" w:lineRule="auto"/>
              <w:jc w:val="both"/>
              <w:rPr>
                <w:rFonts w:eastAsia="Calibri"/>
                <w:color w:val="FFFFFF" w:themeColor="background1"/>
                <w:lang w:val="es-ES"/>
              </w:rPr>
            </w:pPr>
            <w:r w:rsidRPr="00A84C7F">
              <w:rPr>
                <w:rFonts w:eastAsia="Calibri"/>
                <w:color w:val="FFFFFF" w:themeColor="background1"/>
                <w:lang w:val="es-ES"/>
              </w:rPr>
              <w:t>Mes</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558B59E7" w14:textId="77777777" w:rsidR="00D9267D" w:rsidRPr="00A84C7F" w:rsidRDefault="00D9267D" w:rsidP="00D9267D">
            <w:pPr>
              <w:spacing w:line="360" w:lineRule="auto"/>
              <w:jc w:val="both"/>
              <w:rPr>
                <w:rFonts w:eastAsia="Calibri"/>
                <w:color w:val="FFFFFF" w:themeColor="background1"/>
                <w:lang w:val="es-ES"/>
              </w:rPr>
            </w:pPr>
            <w:r w:rsidRPr="00A84C7F">
              <w:rPr>
                <w:rFonts w:eastAsia="Calibri"/>
                <w:color w:val="FFFFFF" w:themeColor="background1"/>
                <w:lang w:val="es-ES"/>
              </w:rPr>
              <w:t>Número de Capacitaciones</w:t>
            </w:r>
          </w:p>
        </w:tc>
      </w:tr>
      <w:tr w:rsidR="0064264A" w:rsidRPr="0064264A" w14:paraId="78FB4698"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vAlign w:val="center"/>
            <w:hideMark/>
          </w:tcPr>
          <w:p w14:paraId="78EB0340" w14:textId="77777777" w:rsidR="00D9267D" w:rsidRPr="0064264A" w:rsidRDefault="00D9267D" w:rsidP="00667F26">
            <w:pPr>
              <w:spacing w:line="360" w:lineRule="auto"/>
              <w:jc w:val="center"/>
              <w:rPr>
                <w:rFonts w:eastAsia="Calibri"/>
                <w:lang w:val="es-ES"/>
              </w:rPr>
            </w:pPr>
            <w:r w:rsidRPr="0064264A">
              <w:rPr>
                <w:rFonts w:eastAsia="Calibri"/>
                <w:lang w:val="es-ES"/>
              </w:rPr>
              <w:t>Enero</w:t>
            </w:r>
          </w:p>
        </w:tc>
        <w:tc>
          <w:tcPr>
            <w:tcW w:w="0" w:type="auto"/>
            <w:tcBorders>
              <w:top w:val="single" w:sz="12" w:space="0" w:color="1F4E79"/>
              <w:left w:val="nil"/>
              <w:bottom w:val="single" w:sz="12" w:space="0" w:color="1F4E79"/>
              <w:right w:val="single" w:sz="12" w:space="0" w:color="1F4E79"/>
            </w:tcBorders>
            <w:vAlign w:val="center"/>
            <w:hideMark/>
          </w:tcPr>
          <w:p w14:paraId="6AE89DD1" w14:textId="77777777" w:rsidR="00D9267D" w:rsidRPr="0064264A" w:rsidRDefault="00D9267D" w:rsidP="00667F26">
            <w:pPr>
              <w:spacing w:line="360" w:lineRule="auto"/>
              <w:jc w:val="center"/>
              <w:rPr>
                <w:rFonts w:eastAsia="Calibri"/>
                <w:lang w:val="es-ES"/>
              </w:rPr>
            </w:pPr>
            <w:r w:rsidRPr="0064264A">
              <w:rPr>
                <w:rFonts w:eastAsia="Calibri"/>
                <w:lang w:val="es-ES"/>
              </w:rPr>
              <w:t>29</w:t>
            </w:r>
          </w:p>
        </w:tc>
      </w:tr>
      <w:tr w:rsidR="0064264A" w:rsidRPr="0064264A" w14:paraId="21163D73"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vAlign w:val="center"/>
            <w:hideMark/>
          </w:tcPr>
          <w:p w14:paraId="5AD0362B" w14:textId="77777777" w:rsidR="00D9267D" w:rsidRPr="0064264A" w:rsidRDefault="00D9267D" w:rsidP="00667F26">
            <w:pPr>
              <w:spacing w:line="360" w:lineRule="auto"/>
              <w:jc w:val="center"/>
              <w:rPr>
                <w:rFonts w:eastAsia="Calibri"/>
                <w:lang w:val="es-ES"/>
              </w:rPr>
            </w:pPr>
            <w:r w:rsidRPr="0064264A">
              <w:rPr>
                <w:rFonts w:eastAsia="Calibri"/>
                <w:lang w:val="es-ES"/>
              </w:rPr>
              <w:t>Febrero</w:t>
            </w:r>
          </w:p>
        </w:tc>
        <w:tc>
          <w:tcPr>
            <w:tcW w:w="0" w:type="auto"/>
            <w:tcBorders>
              <w:top w:val="single" w:sz="12" w:space="0" w:color="1F4E79"/>
              <w:left w:val="nil"/>
              <w:bottom w:val="single" w:sz="12" w:space="0" w:color="1F4E79"/>
              <w:right w:val="single" w:sz="12" w:space="0" w:color="1F4E79"/>
            </w:tcBorders>
            <w:vAlign w:val="center"/>
            <w:hideMark/>
          </w:tcPr>
          <w:p w14:paraId="00BB00B1" w14:textId="77777777" w:rsidR="00D9267D" w:rsidRPr="0064264A" w:rsidRDefault="00D9267D" w:rsidP="00667F26">
            <w:pPr>
              <w:spacing w:line="360" w:lineRule="auto"/>
              <w:jc w:val="center"/>
              <w:rPr>
                <w:rFonts w:eastAsia="Calibri"/>
                <w:lang w:val="es-ES"/>
              </w:rPr>
            </w:pPr>
            <w:r w:rsidRPr="0064264A">
              <w:rPr>
                <w:rFonts w:eastAsia="Calibri"/>
                <w:lang w:val="es-ES"/>
              </w:rPr>
              <w:t>36</w:t>
            </w:r>
          </w:p>
        </w:tc>
      </w:tr>
      <w:tr w:rsidR="0064264A" w:rsidRPr="0064264A" w14:paraId="6F196A9B"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vAlign w:val="center"/>
            <w:hideMark/>
          </w:tcPr>
          <w:p w14:paraId="6D4032A0" w14:textId="77777777" w:rsidR="00D9267D" w:rsidRPr="0064264A" w:rsidRDefault="00D9267D" w:rsidP="00667F26">
            <w:pPr>
              <w:spacing w:line="360" w:lineRule="auto"/>
              <w:jc w:val="center"/>
              <w:rPr>
                <w:rFonts w:eastAsia="Calibri"/>
                <w:lang w:val="es-ES"/>
              </w:rPr>
            </w:pPr>
            <w:r w:rsidRPr="0064264A">
              <w:rPr>
                <w:rFonts w:eastAsia="Calibri"/>
                <w:lang w:val="es-ES"/>
              </w:rPr>
              <w:t>Marzo</w:t>
            </w:r>
          </w:p>
        </w:tc>
        <w:tc>
          <w:tcPr>
            <w:tcW w:w="0" w:type="auto"/>
            <w:tcBorders>
              <w:top w:val="single" w:sz="12" w:space="0" w:color="1F4E79"/>
              <w:left w:val="nil"/>
              <w:bottom w:val="single" w:sz="12" w:space="0" w:color="1F4E79"/>
              <w:right w:val="single" w:sz="12" w:space="0" w:color="1F4E79"/>
            </w:tcBorders>
            <w:vAlign w:val="center"/>
            <w:hideMark/>
          </w:tcPr>
          <w:p w14:paraId="52E32543" w14:textId="77777777" w:rsidR="00D9267D" w:rsidRPr="0064264A" w:rsidRDefault="00D9267D" w:rsidP="00667F26">
            <w:pPr>
              <w:spacing w:line="360" w:lineRule="auto"/>
              <w:jc w:val="center"/>
              <w:rPr>
                <w:rFonts w:eastAsia="Calibri"/>
                <w:lang w:val="es-ES"/>
              </w:rPr>
            </w:pPr>
            <w:r w:rsidRPr="0064264A">
              <w:rPr>
                <w:rFonts w:eastAsia="Calibri"/>
                <w:lang w:val="es-ES"/>
              </w:rPr>
              <w:t>80</w:t>
            </w:r>
          </w:p>
        </w:tc>
      </w:tr>
      <w:tr w:rsidR="0064264A" w:rsidRPr="0064264A" w14:paraId="58636F7D"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vAlign w:val="center"/>
            <w:hideMark/>
          </w:tcPr>
          <w:p w14:paraId="3D1BB265" w14:textId="77777777" w:rsidR="00D9267D" w:rsidRPr="0064264A" w:rsidRDefault="00D9267D" w:rsidP="00667F26">
            <w:pPr>
              <w:spacing w:line="360" w:lineRule="auto"/>
              <w:jc w:val="center"/>
              <w:rPr>
                <w:rFonts w:eastAsia="Calibri"/>
                <w:lang w:val="es-ES"/>
              </w:rPr>
            </w:pPr>
            <w:r w:rsidRPr="0064264A">
              <w:rPr>
                <w:rFonts w:eastAsia="Calibri"/>
                <w:lang w:val="es-ES"/>
              </w:rPr>
              <w:t>Abril</w:t>
            </w:r>
          </w:p>
        </w:tc>
        <w:tc>
          <w:tcPr>
            <w:tcW w:w="0" w:type="auto"/>
            <w:tcBorders>
              <w:top w:val="single" w:sz="12" w:space="0" w:color="1F4E79"/>
              <w:left w:val="nil"/>
              <w:bottom w:val="single" w:sz="12" w:space="0" w:color="1F4E79"/>
              <w:right w:val="single" w:sz="12" w:space="0" w:color="1F4E79"/>
            </w:tcBorders>
            <w:vAlign w:val="center"/>
            <w:hideMark/>
          </w:tcPr>
          <w:p w14:paraId="6A97B0B8" w14:textId="77777777" w:rsidR="00D9267D" w:rsidRPr="0064264A" w:rsidRDefault="00D9267D" w:rsidP="00667F26">
            <w:pPr>
              <w:spacing w:line="360" w:lineRule="auto"/>
              <w:jc w:val="center"/>
              <w:rPr>
                <w:rFonts w:eastAsia="Calibri"/>
                <w:lang w:val="es-ES"/>
              </w:rPr>
            </w:pPr>
            <w:r w:rsidRPr="0064264A">
              <w:rPr>
                <w:rFonts w:eastAsia="Calibri"/>
                <w:lang w:val="es-ES"/>
              </w:rPr>
              <w:t>23</w:t>
            </w:r>
          </w:p>
        </w:tc>
      </w:tr>
      <w:tr w:rsidR="0064264A" w:rsidRPr="0064264A" w14:paraId="049665EB"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vAlign w:val="center"/>
            <w:hideMark/>
          </w:tcPr>
          <w:p w14:paraId="79B8F6C8" w14:textId="77777777" w:rsidR="00D9267D" w:rsidRPr="0064264A" w:rsidRDefault="00D9267D" w:rsidP="00667F26">
            <w:pPr>
              <w:spacing w:line="360" w:lineRule="auto"/>
              <w:jc w:val="center"/>
              <w:rPr>
                <w:rFonts w:eastAsia="Calibri"/>
                <w:lang w:val="es-ES"/>
              </w:rPr>
            </w:pPr>
            <w:r w:rsidRPr="0064264A">
              <w:rPr>
                <w:rFonts w:eastAsia="Calibri"/>
                <w:lang w:val="es-ES"/>
              </w:rPr>
              <w:t>Mayo</w:t>
            </w:r>
          </w:p>
        </w:tc>
        <w:tc>
          <w:tcPr>
            <w:tcW w:w="0" w:type="auto"/>
            <w:tcBorders>
              <w:top w:val="single" w:sz="12" w:space="0" w:color="1F4E79"/>
              <w:left w:val="nil"/>
              <w:bottom w:val="single" w:sz="12" w:space="0" w:color="1F4E79"/>
              <w:right w:val="single" w:sz="12" w:space="0" w:color="1F4E79"/>
            </w:tcBorders>
            <w:vAlign w:val="center"/>
            <w:hideMark/>
          </w:tcPr>
          <w:p w14:paraId="47E057D5" w14:textId="77777777" w:rsidR="00D9267D" w:rsidRPr="0064264A" w:rsidRDefault="00D9267D" w:rsidP="00667F26">
            <w:pPr>
              <w:spacing w:line="360" w:lineRule="auto"/>
              <w:jc w:val="center"/>
              <w:rPr>
                <w:rFonts w:eastAsia="Calibri"/>
                <w:lang w:val="es-ES"/>
              </w:rPr>
            </w:pPr>
            <w:r w:rsidRPr="0064264A">
              <w:rPr>
                <w:rFonts w:eastAsia="Calibri"/>
                <w:lang w:val="es-ES"/>
              </w:rPr>
              <w:t>34</w:t>
            </w:r>
          </w:p>
        </w:tc>
      </w:tr>
      <w:tr w:rsidR="0064264A" w:rsidRPr="0064264A" w14:paraId="5118AC1A"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vAlign w:val="center"/>
            <w:hideMark/>
          </w:tcPr>
          <w:p w14:paraId="18D08C31" w14:textId="77777777" w:rsidR="00D9267D" w:rsidRPr="0064264A" w:rsidRDefault="00D9267D" w:rsidP="00667F26">
            <w:pPr>
              <w:spacing w:line="360" w:lineRule="auto"/>
              <w:jc w:val="center"/>
              <w:rPr>
                <w:rFonts w:eastAsia="Calibri"/>
                <w:lang w:val="es-ES"/>
              </w:rPr>
            </w:pPr>
            <w:r w:rsidRPr="0064264A">
              <w:rPr>
                <w:rFonts w:eastAsia="Calibri"/>
                <w:lang w:val="es-ES"/>
              </w:rPr>
              <w:t>Junio</w:t>
            </w:r>
          </w:p>
        </w:tc>
        <w:tc>
          <w:tcPr>
            <w:tcW w:w="0" w:type="auto"/>
            <w:tcBorders>
              <w:top w:val="single" w:sz="12" w:space="0" w:color="1F4E79"/>
              <w:left w:val="nil"/>
              <w:bottom w:val="single" w:sz="12" w:space="0" w:color="1F4E79"/>
              <w:right w:val="single" w:sz="12" w:space="0" w:color="1F4E79"/>
            </w:tcBorders>
            <w:vAlign w:val="center"/>
            <w:hideMark/>
          </w:tcPr>
          <w:p w14:paraId="139EE089" w14:textId="77777777" w:rsidR="00D9267D" w:rsidRPr="0064264A" w:rsidRDefault="00D9267D" w:rsidP="00667F26">
            <w:pPr>
              <w:spacing w:line="360" w:lineRule="auto"/>
              <w:jc w:val="center"/>
              <w:rPr>
                <w:rFonts w:eastAsia="Calibri"/>
                <w:lang w:val="es-ES"/>
              </w:rPr>
            </w:pPr>
            <w:r w:rsidRPr="0064264A">
              <w:rPr>
                <w:rFonts w:eastAsia="Calibri"/>
                <w:lang w:val="es-DO"/>
              </w:rPr>
              <w:t>23</w:t>
            </w:r>
          </w:p>
        </w:tc>
      </w:tr>
      <w:tr w:rsidR="0064264A" w:rsidRPr="0064264A" w14:paraId="73F0F973"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vAlign w:val="center"/>
          </w:tcPr>
          <w:p w14:paraId="3A8F5476" w14:textId="77777777" w:rsidR="00D9267D" w:rsidRPr="0064264A" w:rsidRDefault="00D9267D" w:rsidP="00667F26">
            <w:pPr>
              <w:spacing w:line="360" w:lineRule="auto"/>
              <w:jc w:val="center"/>
              <w:rPr>
                <w:rFonts w:eastAsia="Calibri"/>
                <w:lang w:val="es-ES"/>
              </w:rPr>
            </w:pPr>
            <w:r w:rsidRPr="0064264A">
              <w:rPr>
                <w:rFonts w:eastAsia="Calibri"/>
                <w:lang w:val="es-ES"/>
              </w:rPr>
              <w:t>Julio</w:t>
            </w:r>
          </w:p>
        </w:tc>
        <w:tc>
          <w:tcPr>
            <w:tcW w:w="0" w:type="auto"/>
            <w:tcBorders>
              <w:top w:val="single" w:sz="12" w:space="0" w:color="1F4E79"/>
              <w:left w:val="nil"/>
              <w:bottom w:val="single" w:sz="12" w:space="0" w:color="1F4E79"/>
              <w:right w:val="single" w:sz="12" w:space="0" w:color="1F4E79"/>
            </w:tcBorders>
            <w:vAlign w:val="center"/>
          </w:tcPr>
          <w:p w14:paraId="27A805BD" w14:textId="77777777" w:rsidR="00D9267D" w:rsidRPr="0064264A" w:rsidRDefault="00D9267D" w:rsidP="00667F26">
            <w:pPr>
              <w:spacing w:line="360" w:lineRule="auto"/>
              <w:jc w:val="center"/>
              <w:rPr>
                <w:rFonts w:eastAsia="Calibri"/>
                <w:lang w:val="es-ES"/>
              </w:rPr>
            </w:pPr>
            <w:r w:rsidRPr="0064264A">
              <w:rPr>
                <w:rFonts w:eastAsia="Calibri"/>
                <w:lang w:val="es-DO"/>
              </w:rPr>
              <w:t>19</w:t>
            </w:r>
          </w:p>
        </w:tc>
      </w:tr>
      <w:tr w:rsidR="0064264A" w:rsidRPr="0064264A" w14:paraId="1E55443A"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vAlign w:val="center"/>
          </w:tcPr>
          <w:p w14:paraId="7E9EB027" w14:textId="77777777" w:rsidR="00D9267D" w:rsidRPr="0064264A" w:rsidRDefault="00D9267D" w:rsidP="00667F26">
            <w:pPr>
              <w:spacing w:line="360" w:lineRule="auto"/>
              <w:jc w:val="center"/>
              <w:rPr>
                <w:rFonts w:eastAsia="Calibri"/>
                <w:lang w:val="es-ES"/>
              </w:rPr>
            </w:pPr>
            <w:r w:rsidRPr="0064264A">
              <w:rPr>
                <w:rFonts w:eastAsia="Calibri"/>
                <w:lang w:val="es-ES"/>
              </w:rPr>
              <w:t>Agosto</w:t>
            </w:r>
          </w:p>
        </w:tc>
        <w:tc>
          <w:tcPr>
            <w:tcW w:w="0" w:type="auto"/>
            <w:tcBorders>
              <w:top w:val="single" w:sz="12" w:space="0" w:color="1F4E79"/>
              <w:left w:val="nil"/>
              <w:bottom w:val="single" w:sz="12" w:space="0" w:color="1F4E79"/>
              <w:right w:val="single" w:sz="12" w:space="0" w:color="1F4E79"/>
            </w:tcBorders>
            <w:vAlign w:val="center"/>
          </w:tcPr>
          <w:p w14:paraId="28D8C048" w14:textId="77777777" w:rsidR="00D9267D" w:rsidRPr="0064264A" w:rsidRDefault="00D9267D" w:rsidP="00667F26">
            <w:pPr>
              <w:spacing w:line="360" w:lineRule="auto"/>
              <w:jc w:val="center"/>
              <w:rPr>
                <w:rFonts w:eastAsia="Calibri"/>
                <w:lang w:val="es-ES"/>
              </w:rPr>
            </w:pPr>
            <w:r w:rsidRPr="0064264A">
              <w:rPr>
                <w:rFonts w:eastAsia="Calibri"/>
                <w:lang w:val="es-DO"/>
              </w:rPr>
              <w:t>25</w:t>
            </w:r>
          </w:p>
        </w:tc>
      </w:tr>
      <w:tr w:rsidR="0064264A" w:rsidRPr="0064264A" w14:paraId="0CBF919C"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vAlign w:val="center"/>
          </w:tcPr>
          <w:p w14:paraId="48273624" w14:textId="77777777" w:rsidR="00D9267D" w:rsidRPr="0064264A" w:rsidRDefault="00D9267D" w:rsidP="00667F26">
            <w:pPr>
              <w:spacing w:line="360" w:lineRule="auto"/>
              <w:jc w:val="center"/>
              <w:rPr>
                <w:rFonts w:eastAsia="Calibri"/>
                <w:lang w:val="es-ES"/>
              </w:rPr>
            </w:pPr>
            <w:r w:rsidRPr="0064264A">
              <w:rPr>
                <w:rFonts w:eastAsia="Calibri"/>
                <w:lang w:val="es-ES"/>
              </w:rPr>
              <w:t>Septiembre</w:t>
            </w:r>
          </w:p>
        </w:tc>
        <w:tc>
          <w:tcPr>
            <w:tcW w:w="0" w:type="auto"/>
            <w:tcBorders>
              <w:top w:val="single" w:sz="12" w:space="0" w:color="1F4E79"/>
              <w:left w:val="nil"/>
              <w:bottom w:val="single" w:sz="12" w:space="0" w:color="1F4E79"/>
              <w:right w:val="single" w:sz="12" w:space="0" w:color="1F4E79"/>
            </w:tcBorders>
            <w:vAlign w:val="center"/>
          </w:tcPr>
          <w:p w14:paraId="2354F173" w14:textId="77777777" w:rsidR="00D9267D" w:rsidRPr="0064264A" w:rsidRDefault="00D9267D" w:rsidP="00667F26">
            <w:pPr>
              <w:spacing w:line="360" w:lineRule="auto"/>
              <w:jc w:val="center"/>
              <w:rPr>
                <w:rFonts w:eastAsia="Calibri"/>
                <w:lang w:val="es-ES"/>
              </w:rPr>
            </w:pPr>
            <w:r w:rsidRPr="0064264A">
              <w:rPr>
                <w:rFonts w:eastAsia="Calibri"/>
                <w:lang w:val="es-DO"/>
              </w:rPr>
              <w:t>20</w:t>
            </w:r>
          </w:p>
        </w:tc>
      </w:tr>
      <w:tr w:rsidR="0064264A" w:rsidRPr="0064264A" w14:paraId="5085BAA8"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vAlign w:val="center"/>
          </w:tcPr>
          <w:p w14:paraId="2C41D66E" w14:textId="77777777" w:rsidR="00D9267D" w:rsidRPr="0064264A" w:rsidRDefault="00D9267D" w:rsidP="00667F26">
            <w:pPr>
              <w:spacing w:line="360" w:lineRule="auto"/>
              <w:jc w:val="center"/>
              <w:rPr>
                <w:rFonts w:eastAsia="Calibri"/>
                <w:lang w:val="es-ES"/>
              </w:rPr>
            </w:pPr>
            <w:r w:rsidRPr="0064264A">
              <w:rPr>
                <w:rFonts w:eastAsia="Calibri"/>
                <w:lang w:val="es-ES"/>
              </w:rPr>
              <w:t>Octubre</w:t>
            </w:r>
          </w:p>
        </w:tc>
        <w:tc>
          <w:tcPr>
            <w:tcW w:w="0" w:type="auto"/>
            <w:tcBorders>
              <w:top w:val="single" w:sz="12" w:space="0" w:color="1F4E79"/>
              <w:left w:val="nil"/>
              <w:bottom w:val="single" w:sz="12" w:space="0" w:color="1F4E79"/>
              <w:right w:val="single" w:sz="12" w:space="0" w:color="1F4E79"/>
            </w:tcBorders>
            <w:vAlign w:val="center"/>
          </w:tcPr>
          <w:p w14:paraId="74CBFBBF" w14:textId="77777777" w:rsidR="00D9267D" w:rsidRPr="0064264A" w:rsidRDefault="00D9267D" w:rsidP="00667F26">
            <w:pPr>
              <w:spacing w:line="360" w:lineRule="auto"/>
              <w:jc w:val="center"/>
              <w:rPr>
                <w:rFonts w:eastAsia="Calibri"/>
                <w:lang w:val="es-ES"/>
              </w:rPr>
            </w:pPr>
            <w:r w:rsidRPr="0064264A">
              <w:rPr>
                <w:rFonts w:eastAsia="Calibri"/>
                <w:lang w:val="es-DO"/>
              </w:rPr>
              <w:t>24</w:t>
            </w:r>
          </w:p>
        </w:tc>
      </w:tr>
      <w:tr w:rsidR="0064264A" w:rsidRPr="0064264A" w14:paraId="4DA05081"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vAlign w:val="center"/>
          </w:tcPr>
          <w:p w14:paraId="3556AB01" w14:textId="77777777" w:rsidR="00D9267D" w:rsidRPr="0064264A" w:rsidRDefault="00D9267D" w:rsidP="00667F26">
            <w:pPr>
              <w:spacing w:line="360" w:lineRule="auto"/>
              <w:jc w:val="center"/>
              <w:rPr>
                <w:rFonts w:eastAsia="Calibri"/>
                <w:lang w:val="es-ES"/>
              </w:rPr>
            </w:pPr>
            <w:r w:rsidRPr="0064264A">
              <w:rPr>
                <w:rFonts w:eastAsia="Calibri"/>
                <w:lang w:val="es-ES"/>
              </w:rPr>
              <w:t>Noviembre</w:t>
            </w:r>
          </w:p>
        </w:tc>
        <w:tc>
          <w:tcPr>
            <w:tcW w:w="0" w:type="auto"/>
            <w:tcBorders>
              <w:top w:val="single" w:sz="12" w:space="0" w:color="1F4E79"/>
              <w:left w:val="nil"/>
              <w:bottom w:val="single" w:sz="12" w:space="0" w:color="1F4E79"/>
              <w:right w:val="single" w:sz="12" w:space="0" w:color="1F4E79"/>
            </w:tcBorders>
            <w:vAlign w:val="center"/>
          </w:tcPr>
          <w:p w14:paraId="58EB1563" w14:textId="77777777" w:rsidR="00D9267D" w:rsidRPr="0064264A" w:rsidRDefault="00D9267D" w:rsidP="00667F26">
            <w:pPr>
              <w:spacing w:line="360" w:lineRule="auto"/>
              <w:jc w:val="center"/>
              <w:rPr>
                <w:rFonts w:eastAsia="Calibri"/>
                <w:lang w:val="es-ES"/>
              </w:rPr>
            </w:pPr>
            <w:r w:rsidRPr="0064264A">
              <w:rPr>
                <w:rFonts w:eastAsia="Calibri"/>
                <w:lang w:val="es-DO"/>
              </w:rPr>
              <w:t>13</w:t>
            </w:r>
          </w:p>
        </w:tc>
      </w:tr>
      <w:tr w:rsidR="0064264A" w:rsidRPr="0064264A" w14:paraId="10F87F40"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vAlign w:val="center"/>
          </w:tcPr>
          <w:p w14:paraId="0E3DBD9B" w14:textId="1B039588" w:rsidR="00A448C8" w:rsidRPr="0064264A" w:rsidRDefault="00D07CD9" w:rsidP="00667F26">
            <w:pPr>
              <w:spacing w:line="360" w:lineRule="auto"/>
              <w:jc w:val="center"/>
              <w:rPr>
                <w:rFonts w:eastAsia="Calibri"/>
                <w:lang w:val="es-ES"/>
              </w:rPr>
            </w:pPr>
            <w:r w:rsidRPr="0064264A">
              <w:rPr>
                <w:rFonts w:eastAsia="Calibri"/>
                <w:lang w:val="es-ES"/>
              </w:rPr>
              <w:t>Diciembre</w:t>
            </w:r>
          </w:p>
        </w:tc>
        <w:tc>
          <w:tcPr>
            <w:tcW w:w="0" w:type="auto"/>
            <w:tcBorders>
              <w:top w:val="single" w:sz="12" w:space="0" w:color="1F4E79"/>
              <w:left w:val="nil"/>
              <w:bottom w:val="single" w:sz="12" w:space="0" w:color="1F4E79"/>
              <w:right w:val="single" w:sz="12" w:space="0" w:color="1F4E79"/>
            </w:tcBorders>
            <w:vAlign w:val="center"/>
          </w:tcPr>
          <w:p w14:paraId="719F8D31" w14:textId="738C4CE2" w:rsidR="00A448C8" w:rsidRPr="0064264A" w:rsidRDefault="00D07CD9" w:rsidP="00667F26">
            <w:pPr>
              <w:spacing w:line="360" w:lineRule="auto"/>
              <w:jc w:val="center"/>
              <w:rPr>
                <w:rFonts w:eastAsia="Calibri"/>
                <w:lang w:val="es-DO"/>
              </w:rPr>
            </w:pPr>
            <w:r w:rsidRPr="0064264A">
              <w:rPr>
                <w:rFonts w:eastAsia="Calibri"/>
                <w:lang w:val="es-DO"/>
              </w:rPr>
              <w:t>6</w:t>
            </w:r>
          </w:p>
        </w:tc>
      </w:tr>
      <w:tr w:rsidR="0064264A" w:rsidRPr="0064264A" w14:paraId="4E087ED0" w14:textId="77777777" w:rsidTr="00953742">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002060"/>
            <w:vAlign w:val="center"/>
            <w:hideMark/>
          </w:tcPr>
          <w:p w14:paraId="1A3D4107" w14:textId="77777777" w:rsidR="00D9267D" w:rsidRPr="00A84C7F" w:rsidRDefault="00D9267D" w:rsidP="00667F26">
            <w:pPr>
              <w:spacing w:line="360" w:lineRule="auto"/>
              <w:jc w:val="center"/>
              <w:rPr>
                <w:rFonts w:eastAsia="Calibri"/>
                <w:color w:val="FFFFFF" w:themeColor="background1"/>
                <w:lang w:val="es-ES"/>
              </w:rPr>
            </w:pPr>
            <w:r w:rsidRPr="00A84C7F">
              <w:rPr>
                <w:rFonts w:eastAsia="Calibri"/>
                <w:color w:val="FFFFFF" w:themeColor="background1"/>
                <w:lang w:val="es-ES"/>
              </w:rPr>
              <w:t>Total</w:t>
            </w:r>
          </w:p>
        </w:tc>
        <w:tc>
          <w:tcPr>
            <w:tcW w:w="0" w:type="auto"/>
            <w:tcBorders>
              <w:top w:val="single" w:sz="12" w:space="0" w:color="1F4E79"/>
              <w:left w:val="nil"/>
              <w:bottom w:val="single" w:sz="12" w:space="0" w:color="1F4E79"/>
              <w:right w:val="single" w:sz="12" w:space="0" w:color="1F4E79"/>
            </w:tcBorders>
            <w:shd w:val="clear" w:color="auto" w:fill="002060"/>
            <w:vAlign w:val="center"/>
            <w:hideMark/>
          </w:tcPr>
          <w:p w14:paraId="3AF46D0E" w14:textId="1DE2EA61" w:rsidR="00D9267D" w:rsidRPr="00A84C7F" w:rsidRDefault="00D9267D" w:rsidP="00667F26">
            <w:pPr>
              <w:spacing w:line="360" w:lineRule="auto"/>
              <w:jc w:val="center"/>
              <w:rPr>
                <w:rFonts w:eastAsia="Calibri"/>
                <w:color w:val="FFFFFF" w:themeColor="background1"/>
                <w:lang w:val="es-ES"/>
              </w:rPr>
            </w:pPr>
            <w:r w:rsidRPr="00A84C7F">
              <w:rPr>
                <w:rFonts w:eastAsia="Calibri"/>
                <w:color w:val="FFFFFF" w:themeColor="background1"/>
                <w:lang w:val="es-ES"/>
              </w:rPr>
              <w:t>3</w:t>
            </w:r>
            <w:r w:rsidR="00D07CD9" w:rsidRPr="00A84C7F">
              <w:rPr>
                <w:rFonts w:eastAsia="Calibri"/>
                <w:color w:val="FFFFFF" w:themeColor="background1"/>
                <w:lang w:val="es-ES"/>
              </w:rPr>
              <w:t>32</w:t>
            </w:r>
          </w:p>
        </w:tc>
      </w:tr>
    </w:tbl>
    <w:p w14:paraId="0E890018" w14:textId="1D2729CD" w:rsidR="00D9267D" w:rsidRPr="0064264A" w:rsidRDefault="00D9267D" w:rsidP="00D9267D">
      <w:pPr>
        <w:spacing w:line="360" w:lineRule="auto"/>
        <w:jc w:val="both"/>
        <w:rPr>
          <w:rFonts w:eastAsia="Calibri"/>
          <w:b/>
          <w:sz w:val="22"/>
          <w:szCs w:val="22"/>
          <w:lang w:val="es-DO"/>
        </w:rPr>
      </w:pPr>
      <w:r w:rsidRPr="0064264A">
        <w:rPr>
          <w:rFonts w:eastAsia="Calibri"/>
          <w:lang w:val="es-ES"/>
        </w:rPr>
        <w:t xml:space="preserve">                  </w:t>
      </w:r>
      <w:r w:rsidRPr="0064264A">
        <w:rPr>
          <w:rFonts w:eastAsia="Calibri"/>
          <w:lang w:val="es-DO"/>
        </w:rPr>
        <w:t xml:space="preserve">   </w:t>
      </w:r>
      <w:r w:rsidRPr="0064264A">
        <w:rPr>
          <w:rFonts w:eastAsia="Calibri"/>
          <w:b/>
          <w:sz w:val="22"/>
          <w:szCs w:val="22"/>
          <w:lang w:val="es-DO"/>
        </w:rPr>
        <w:t>Fuente: Depto. de Recursos Humanos</w:t>
      </w:r>
    </w:p>
    <w:p w14:paraId="2015F7DD" w14:textId="77777777" w:rsidR="00A448C8" w:rsidRPr="0064264A" w:rsidRDefault="00A448C8" w:rsidP="00D9267D">
      <w:pPr>
        <w:spacing w:line="360" w:lineRule="auto"/>
        <w:jc w:val="both"/>
        <w:rPr>
          <w:rFonts w:eastAsia="Calibri"/>
          <w:b/>
          <w:lang w:val="es-ES"/>
        </w:rPr>
      </w:pPr>
    </w:p>
    <w:p w14:paraId="7DC47497" w14:textId="77777777" w:rsidR="00A448C8" w:rsidRPr="0064264A" w:rsidRDefault="00A448C8" w:rsidP="00D9267D">
      <w:pPr>
        <w:spacing w:line="360" w:lineRule="auto"/>
        <w:jc w:val="both"/>
        <w:rPr>
          <w:rFonts w:eastAsia="Calibri"/>
          <w:b/>
          <w:lang w:val="es-ES"/>
        </w:rPr>
      </w:pPr>
    </w:p>
    <w:p w14:paraId="130C41C1" w14:textId="77777777" w:rsidR="00A448C8" w:rsidRPr="0064264A" w:rsidRDefault="00A448C8" w:rsidP="00D9267D">
      <w:pPr>
        <w:spacing w:line="360" w:lineRule="auto"/>
        <w:jc w:val="both"/>
        <w:rPr>
          <w:rFonts w:eastAsia="Calibri"/>
          <w:b/>
          <w:lang w:val="es-ES"/>
        </w:rPr>
      </w:pPr>
    </w:p>
    <w:p w14:paraId="28ABA52E" w14:textId="77777777" w:rsidR="00A448C8" w:rsidRPr="0064264A" w:rsidRDefault="00A448C8" w:rsidP="00D9267D">
      <w:pPr>
        <w:spacing w:line="360" w:lineRule="auto"/>
        <w:jc w:val="both"/>
        <w:rPr>
          <w:rFonts w:eastAsia="Calibri"/>
          <w:b/>
          <w:lang w:val="es-ES"/>
        </w:rPr>
      </w:pPr>
    </w:p>
    <w:p w14:paraId="51F21F96" w14:textId="77777777" w:rsidR="00A448C8" w:rsidRPr="0064264A" w:rsidRDefault="00A448C8" w:rsidP="00D9267D">
      <w:pPr>
        <w:spacing w:line="360" w:lineRule="auto"/>
        <w:jc w:val="both"/>
        <w:rPr>
          <w:rFonts w:eastAsia="Calibri"/>
          <w:b/>
          <w:lang w:val="es-ES"/>
        </w:rPr>
      </w:pPr>
    </w:p>
    <w:p w14:paraId="3385D3FA" w14:textId="6F899C5B" w:rsidR="00A448C8" w:rsidRPr="0064264A" w:rsidRDefault="00D9267D" w:rsidP="00D9267D">
      <w:pPr>
        <w:spacing w:line="360" w:lineRule="auto"/>
        <w:jc w:val="both"/>
        <w:rPr>
          <w:rFonts w:eastAsia="Calibri"/>
          <w:b/>
          <w:lang w:val="es-ES"/>
        </w:rPr>
      </w:pPr>
      <w:r w:rsidRPr="0064264A">
        <w:rPr>
          <w:rFonts w:eastAsia="Calibri"/>
          <w:b/>
          <w:lang w:val="es-ES"/>
        </w:rPr>
        <w:lastRenderedPageBreak/>
        <w:t>Promedio del desempeño de los colaboradores por grupo ocupacional</w:t>
      </w:r>
      <w:r w:rsidR="00A448C8" w:rsidRPr="0064264A">
        <w:rPr>
          <w:rFonts w:eastAsia="Calibri"/>
          <w:b/>
          <w:lang w:val="es-ES"/>
        </w:rPr>
        <w:t>.</w:t>
      </w:r>
    </w:p>
    <w:p w14:paraId="69C7AC9C" w14:textId="79DD229D" w:rsidR="00D9267D" w:rsidRPr="0064264A" w:rsidRDefault="00D9267D" w:rsidP="00D9267D">
      <w:pPr>
        <w:spacing w:line="360" w:lineRule="auto"/>
        <w:jc w:val="both"/>
        <w:rPr>
          <w:rFonts w:eastAsia="Calibri"/>
          <w:lang w:val="es-ES"/>
        </w:rPr>
      </w:pPr>
      <w:r w:rsidRPr="0064264A">
        <w:rPr>
          <w:rFonts w:eastAsia="Calibri"/>
          <w:lang w:val="es-ES"/>
        </w:rPr>
        <w:t>Desempeño de los empleados del BCRD: PERIODO PROBATORIO</w:t>
      </w:r>
    </w:p>
    <w:tbl>
      <w:tblPr>
        <w:tblW w:w="7869" w:type="dxa"/>
        <w:tblCellMar>
          <w:left w:w="70" w:type="dxa"/>
          <w:right w:w="70" w:type="dxa"/>
        </w:tblCellMar>
        <w:tblLook w:val="04A0" w:firstRow="1" w:lastRow="0" w:firstColumn="1" w:lastColumn="0" w:noHBand="0" w:noVBand="1"/>
      </w:tblPr>
      <w:tblGrid>
        <w:gridCol w:w="2560"/>
        <w:gridCol w:w="1840"/>
        <w:gridCol w:w="1509"/>
        <w:gridCol w:w="1960"/>
      </w:tblGrid>
      <w:tr w:rsidR="0064264A" w:rsidRPr="0064264A" w14:paraId="120D9834" w14:textId="77777777" w:rsidTr="00953742">
        <w:trPr>
          <w:trHeight w:val="615"/>
          <w:tblHeader/>
        </w:trPr>
        <w:tc>
          <w:tcPr>
            <w:tcW w:w="2560" w:type="dxa"/>
            <w:tcBorders>
              <w:top w:val="single" w:sz="12" w:space="0" w:color="1F3864"/>
              <w:left w:val="single" w:sz="8" w:space="0" w:color="auto"/>
              <w:bottom w:val="single" w:sz="12" w:space="0" w:color="1F3864"/>
              <w:right w:val="single" w:sz="12" w:space="0" w:color="1F3864"/>
            </w:tcBorders>
            <w:shd w:val="clear" w:color="auto" w:fill="1F3864" w:themeFill="accent1" w:themeFillShade="80"/>
            <w:noWrap/>
            <w:vAlign w:val="center"/>
            <w:hideMark/>
          </w:tcPr>
          <w:p w14:paraId="2C35CECA" w14:textId="77777777" w:rsidR="00D9267D" w:rsidRPr="0064264A" w:rsidRDefault="00D9267D" w:rsidP="00D9267D">
            <w:pPr>
              <w:spacing w:line="360" w:lineRule="auto"/>
              <w:jc w:val="both"/>
              <w:rPr>
                <w:rFonts w:eastAsia="Calibri"/>
                <w:b/>
                <w:bCs/>
                <w:lang w:val="es-ES"/>
              </w:rPr>
            </w:pPr>
            <w:r w:rsidRPr="00A84C7F">
              <w:rPr>
                <w:rFonts w:eastAsia="Calibri"/>
                <w:b/>
                <w:bCs/>
                <w:color w:val="FFFFFF" w:themeColor="background1"/>
                <w:lang w:val="es-ES"/>
              </w:rPr>
              <w:t>Grupo Ocupacional</w:t>
            </w:r>
          </w:p>
        </w:tc>
        <w:tc>
          <w:tcPr>
            <w:tcW w:w="1840" w:type="dxa"/>
            <w:tcBorders>
              <w:top w:val="single" w:sz="12" w:space="0" w:color="1F3864"/>
              <w:left w:val="single" w:sz="12" w:space="0" w:color="1F3864"/>
              <w:bottom w:val="single" w:sz="12" w:space="0" w:color="1F3864"/>
              <w:right w:val="single" w:sz="12" w:space="0" w:color="1F3864" w:themeColor="accent1" w:themeShade="80"/>
            </w:tcBorders>
            <w:shd w:val="clear" w:color="auto" w:fill="1F3864" w:themeFill="accent1" w:themeFillShade="80"/>
            <w:vAlign w:val="center"/>
            <w:hideMark/>
          </w:tcPr>
          <w:p w14:paraId="274AE75D" w14:textId="77777777" w:rsidR="00D9267D" w:rsidRPr="00A84C7F" w:rsidRDefault="00D9267D" w:rsidP="00D9267D">
            <w:pPr>
              <w:spacing w:line="360" w:lineRule="auto"/>
              <w:jc w:val="both"/>
              <w:rPr>
                <w:rFonts w:eastAsia="Calibri"/>
                <w:b/>
                <w:bCs/>
                <w:color w:val="FFFFFF" w:themeColor="background1"/>
                <w:lang w:val="es-ES"/>
              </w:rPr>
            </w:pPr>
            <w:r w:rsidRPr="00A84C7F">
              <w:rPr>
                <w:rFonts w:eastAsia="Calibri"/>
                <w:b/>
                <w:bCs/>
                <w:color w:val="FFFFFF" w:themeColor="background1"/>
                <w:lang w:val="es-ES"/>
              </w:rPr>
              <w:t>Cantidad de Empleados</w:t>
            </w:r>
          </w:p>
        </w:tc>
        <w:tc>
          <w:tcPr>
            <w:tcW w:w="1509" w:type="dxa"/>
            <w:tcBorders>
              <w:top w:val="single" w:sz="12" w:space="0" w:color="1F3864"/>
              <w:left w:val="single" w:sz="12" w:space="0" w:color="1F3864" w:themeColor="accent1" w:themeShade="80"/>
              <w:bottom w:val="single" w:sz="12" w:space="0" w:color="1F3864"/>
              <w:right w:val="single" w:sz="12" w:space="0" w:color="1F3864"/>
            </w:tcBorders>
            <w:shd w:val="clear" w:color="auto" w:fill="1F3864" w:themeFill="accent1" w:themeFillShade="80"/>
            <w:vAlign w:val="center"/>
            <w:hideMark/>
          </w:tcPr>
          <w:p w14:paraId="7F9A954D" w14:textId="77777777" w:rsidR="00D9267D" w:rsidRPr="00A84C7F" w:rsidRDefault="00D9267D" w:rsidP="00D9267D">
            <w:pPr>
              <w:spacing w:line="360" w:lineRule="auto"/>
              <w:jc w:val="both"/>
              <w:rPr>
                <w:rFonts w:eastAsia="Calibri"/>
                <w:b/>
                <w:bCs/>
                <w:color w:val="FFFFFF" w:themeColor="background1"/>
                <w:lang w:val="es-ES"/>
              </w:rPr>
            </w:pPr>
            <w:r w:rsidRPr="00A84C7F">
              <w:rPr>
                <w:rFonts w:eastAsia="Calibri"/>
                <w:b/>
                <w:bCs/>
                <w:color w:val="FFFFFF" w:themeColor="background1"/>
                <w:lang w:val="es-ES"/>
              </w:rPr>
              <w:t>Promedio Desempeño</w:t>
            </w:r>
          </w:p>
        </w:tc>
        <w:tc>
          <w:tcPr>
            <w:tcW w:w="1960" w:type="dxa"/>
            <w:tcBorders>
              <w:top w:val="single" w:sz="12" w:space="0" w:color="1F3864"/>
              <w:left w:val="single" w:sz="12" w:space="0" w:color="1F3864"/>
              <w:bottom w:val="single" w:sz="12" w:space="0" w:color="1F3864"/>
              <w:right w:val="single" w:sz="12" w:space="0" w:color="1F3864"/>
            </w:tcBorders>
            <w:shd w:val="clear" w:color="auto" w:fill="1F3864" w:themeFill="accent1" w:themeFillShade="80"/>
            <w:vAlign w:val="center"/>
            <w:hideMark/>
          </w:tcPr>
          <w:p w14:paraId="685EA5DA" w14:textId="77777777" w:rsidR="00D9267D" w:rsidRPr="00A84C7F" w:rsidRDefault="00D9267D" w:rsidP="00D9267D">
            <w:pPr>
              <w:spacing w:line="360" w:lineRule="auto"/>
              <w:jc w:val="both"/>
              <w:rPr>
                <w:rFonts w:eastAsia="Calibri"/>
                <w:b/>
                <w:bCs/>
                <w:color w:val="FFFFFF" w:themeColor="background1"/>
                <w:lang w:val="es-ES"/>
              </w:rPr>
            </w:pPr>
            <w:r w:rsidRPr="00A84C7F">
              <w:rPr>
                <w:rFonts w:eastAsia="Calibri"/>
                <w:b/>
                <w:bCs/>
                <w:color w:val="FFFFFF" w:themeColor="background1"/>
                <w:lang w:val="es-ES"/>
              </w:rPr>
              <w:t>Porcentaje de Empleados</w:t>
            </w:r>
          </w:p>
        </w:tc>
      </w:tr>
      <w:tr w:rsidR="0064264A" w:rsidRPr="0064264A" w14:paraId="6FC604AC" w14:textId="77777777" w:rsidTr="00953742">
        <w:trPr>
          <w:trHeight w:val="315"/>
          <w:tblHeader/>
        </w:trPr>
        <w:tc>
          <w:tcPr>
            <w:tcW w:w="2560" w:type="dxa"/>
            <w:tcBorders>
              <w:top w:val="single" w:sz="12" w:space="0" w:color="1F3864"/>
              <w:left w:val="single" w:sz="12" w:space="0" w:color="1F3864"/>
              <w:bottom w:val="single" w:sz="12" w:space="0" w:color="1F3864"/>
              <w:right w:val="single" w:sz="12" w:space="0" w:color="1F3864"/>
            </w:tcBorders>
            <w:noWrap/>
            <w:hideMark/>
          </w:tcPr>
          <w:p w14:paraId="2E94CDF8" w14:textId="77777777" w:rsidR="00D9267D" w:rsidRPr="0064264A" w:rsidRDefault="00D9267D" w:rsidP="00A448C8">
            <w:pPr>
              <w:spacing w:line="360" w:lineRule="auto"/>
              <w:jc w:val="center"/>
              <w:rPr>
                <w:rFonts w:eastAsia="Calibri"/>
                <w:lang w:val="es-ES"/>
              </w:rPr>
            </w:pPr>
            <w:r w:rsidRPr="0064264A">
              <w:rPr>
                <w:rFonts w:eastAsia="Calibri"/>
                <w:lang w:val="es-ES"/>
              </w:rPr>
              <w:t>Apoyo</w:t>
            </w:r>
          </w:p>
        </w:tc>
        <w:tc>
          <w:tcPr>
            <w:tcW w:w="1840" w:type="dxa"/>
            <w:tcBorders>
              <w:top w:val="nil"/>
              <w:left w:val="nil"/>
              <w:bottom w:val="single" w:sz="12" w:space="0" w:color="1F3864"/>
              <w:right w:val="single" w:sz="12" w:space="0" w:color="1F3864"/>
            </w:tcBorders>
            <w:noWrap/>
            <w:vAlign w:val="center"/>
            <w:hideMark/>
          </w:tcPr>
          <w:p w14:paraId="1DAE7D16" w14:textId="77777777" w:rsidR="00D9267D" w:rsidRPr="0064264A" w:rsidRDefault="00D9267D" w:rsidP="00A448C8">
            <w:pPr>
              <w:spacing w:line="360" w:lineRule="auto"/>
              <w:jc w:val="center"/>
              <w:rPr>
                <w:rFonts w:eastAsia="Calibri"/>
                <w:lang w:val="es-ES"/>
              </w:rPr>
            </w:pPr>
            <w:r w:rsidRPr="0064264A">
              <w:rPr>
                <w:rFonts w:eastAsia="Calibri"/>
                <w:lang w:val="es-DO"/>
              </w:rPr>
              <w:t>32</w:t>
            </w:r>
          </w:p>
        </w:tc>
        <w:tc>
          <w:tcPr>
            <w:tcW w:w="1509" w:type="dxa"/>
            <w:tcBorders>
              <w:top w:val="nil"/>
              <w:left w:val="nil"/>
              <w:bottom w:val="single" w:sz="12" w:space="0" w:color="1F3864"/>
              <w:right w:val="single" w:sz="12" w:space="0" w:color="1F3864"/>
            </w:tcBorders>
            <w:noWrap/>
            <w:vAlign w:val="center"/>
            <w:hideMark/>
          </w:tcPr>
          <w:p w14:paraId="4A016E3D" w14:textId="77777777" w:rsidR="00D9267D" w:rsidRPr="0064264A" w:rsidRDefault="00D9267D" w:rsidP="00A448C8">
            <w:pPr>
              <w:spacing w:line="360" w:lineRule="auto"/>
              <w:jc w:val="center"/>
              <w:rPr>
                <w:rFonts w:eastAsia="Calibri"/>
                <w:lang w:val="es-ES"/>
              </w:rPr>
            </w:pPr>
            <w:r w:rsidRPr="0064264A">
              <w:rPr>
                <w:rFonts w:eastAsia="Calibri"/>
                <w:lang w:val="es-DO"/>
              </w:rPr>
              <w:t>401.53</w:t>
            </w:r>
          </w:p>
        </w:tc>
        <w:tc>
          <w:tcPr>
            <w:tcW w:w="1960" w:type="dxa"/>
            <w:tcBorders>
              <w:top w:val="nil"/>
              <w:left w:val="nil"/>
              <w:bottom w:val="single" w:sz="12" w:space="0" w:color="1F3864"/>
              <w:right w:val="single" w:sz="12" w:space="0" w:color="1F3864"/>
            </w:tcBorders>
            <w:noWrap/>
            <w:vAlign w:val="center"/>
            <w:hideMark/>
          </w:tcPr>
          <w:p w14:paraId="33EEEB4F" w14:textId="77777777" w:rsidR="00D9267D" w:rsidRPr="0064264A" w:rsidRDefault="00D9267D" w:rsidP="00A448C8">
            <w:pPr>
              <w:spacing w:line="360" w:lineRule="auto"/>
              <w:jc w:val="center"/>
              <w:rPr>
                <w:rFonts w:eastAsia="Calibri"/>
                <w:lang w:val="es-ES"/>
              </w:rPr>
            </w:pPr>
            <w:r w:rsidRPr="0064264A">
              <w:rPr>
                <w:rFonts w:eastAsia="Calibri"/>
                <w:lang w:val="es-DO"/>
              </w:rPr>
              <w:t>47.1%</w:t>
            </w:r>
          </w:p>
        </w:tc>
      </w:tr>
      <w:tr w:rsidR="0064264A" w:rsidRPr="0064264A" w14:paraId="664E1A87" w14:textId="77777777" w:rsidTr="00953742">
        <w:trPr>
          <w:trHeight w:val="300"/>
          <w:tblHeader/>
        </w:trPr>
        <w:tc>
          <w:tcPr>
            <w:tcW w:w="2560" w:type="dxa"/>
            <w:tcBorders>
              <w:top w:val="single" w:sz="12" w:space="0" w:color="1F3864"/>
              <w:left w:val="single" w:sz="12" w:space="0" w:color="1F3864"/>
              <w:bottom w:val="single" w:sz="12" w:space="0" w:color="1F3864"/>
              <w:right w:val="single" w:sz="12" w:space="0" w:color="1F3864"/>
            </w:tcBorders>
            <w:noWrap/>
            <w:hideMark/>
          </w:tcPr>
          <w:p w14:paraId="1AAE258F" w14:textId="77777777" w:rsidR="00D9267D" w:rsidRPr="0064264A" w:rsidRDefault="00D9267D" w:rsidP="00A448C8">
            <w:pPr>
              <w:spacing w:line="360" w:lineRule="auto"/>
              <w:jc w:val="center"/>
              <w:rPr>
                <w:rFonts w:eastAsia="Calibri"/>
                <w:lang w:val="es-ES"/>
              </w:rPr>
            </w:pPr>
            <w:r w:rsidRPr="0064264A">
              <w:rPr>
                <w:rFonts w:eastAsia="Calibri"/>
                <w:lang w:val="es-ES"/>
              </w:rPr>
              <w:t>Profesional o Técnico</w:t>
            </w:r>
          </w:p>
        </w:tc>
        <w:tc>
          <w:tcPr>
            <w:tcW w:w="1840" w:type="dxa"/>
            <w:tcBorders>
              <w:top w:val="nil"/>
              <w:left w:val="nil"/>
              <w:bottom w:val="single" w:sz="12" w:space="0" w:color="1F3864"/>
              <w:right w:val="single" w:sz="12" w:space="0" w:color="1F3864"/>
            </w:tcBorders>
            <w:noWrap/>
            <w:vAlign w:val="center"/>
            <w:hideMark/>
          </w:tcPr>
          <w:p w14:paraId="25E3A828" w14:textId="77777777" w:rsidR="00D9267D" w:rsidRPr="0064264A" w:rsidRDefault="00D9267D" w:rsidP="00A448C8">
            <w:pPr>
              <w:spacing w:line="360" w:lineRule="auto"/>
              <w:jc w:val="center"/>
              <w:rPr>
                <w:rFonts w:eastAsia="Calibri"/>
                <w:lang w:val="es-ES"/>
              </w:rPr>
            </w:pPr>
            <w:r w:rsidRPr="0064264A">
              <w:rPr>
                <w:rFonts w:eastAsia="Calibri"/>
                <w:lang w:val="es-DO"/>
              </w:rPr>
              <w:t>30</w:t>
            </w:r>
          </w:p>
        </w:tc>
        <w:tc>
          <w:tcPr>
            <w:tcW w:w="1509" w:type="dxa"/>
            <w:tcBorders>
              <w:top w:val="nil"/>
              <w:left w:val="nil"/>
              <w:bottom w:val="single" w:sz="12" w:space="0" w:color="1F3864"/>
              <w:right w:val="single" w:sz="12" w:space="0" w:color="1F3864"/>
            </w:tcBorders>
            <w:noWrap/>
            <w:vAlign w:val="center"/>
            <w:hideMark/>
          </w:tcPr>
          <w:p w14:paraId="29B6CBC4" w14:textId="77777777" w:rsidR="00D9267D" w:rsidRPr="0064264A" w:rsidRDefault="00D9267D" w:rsidP="00A448C8">
            <w:pPr>
              <w:spacing w:line="360" w:lineRule="auto"/>
              <w:jc w:val="center"/>
              <w:rPr>
                <w:rFonts w:eastAsia="Calibri"/>
                <w:lang w:val="es-ES"/>
              </w:rPr>
            </w:pPr>
            <w:r w:rsidRPr="0064264A">
              <w:rPr>
                <w:rFonts w:eastAsia="Calibri"/>
                <w:lang w:val="es-DO"/>
              </w:rPr>
              <w:t>402.63</w:t>
            </w:r>
          </w:p>
        </w:tc>
        <w:tc>
          <w:tcPr>
            <w:tcW w:w="1960" w:type="dxa"/>
            <w:tcBorders>
              <w:top w:val="nil"/>
              <w:left w:val="nil"/>
              <w:bottom w:val="single" w:sz="12" w:space="0" w:color="1F3864"/>
              <w:right w:val="single" w:sz="12" w:space="0" w:color="1F3864"/>
            </w:tcBorders>
            <w:noWrap/>
            <w:vAlign w:val="center"/>
            <w:hideMark/>
          </w:tcPr>
          <w:p w14:paraId="64B3F1BF" w14:textId="77777777" w:rsidR="00D9267D" w:rsidRPr="0064264A" w:rsidRDefault="00D9267D" w:rsidP="00A448C8">
            <w:pPr>
              <w:spacing w:line="360" w:lineRule="auto"/>
              <w:jc w:val="center"/>
              <w:rPr>
                <w:rFonts w:eastAsia="Calibri"/>
                <w:lang w:val="es-ES"/>
              </w:rPr>
            </w:pPr>
            <w:r w:rsidRPr="0064264A">
              <w:rPr>
                <w:rFonts w:eastAsia="Calibri"/>
                <w:lang w:val="es-DO"/>
              </w:rPr>
              <w:t>44.1%</w:t>
            </w:r>
          </w:p>
        </w:tc>
      </w:tr>
      <w:tr w:rsidR="0064264A" w:rsidRPr="0064264A" w14:paraId="79D72458" w14:textId="77777777" w:rsidTr="00953742">
        <w:trPr>
          <w:trHeight w:val="300"/>
          <w:tblHeader/>
        </w:trPr>
        <w:tc>
          <w:tcPr>
            <w:tcW w:w="2560" w:type="dxa"/>
            <w:tcBorders>
              <w:top w:val="single" w:sz="12" w:space="0" w:color="1F3864"/>
              <w:left w:val="single" w:sz="12" w:space="0" w:color="1F3864"/>
              <w:bottom w:val="single" w:sz="12" w:space="0" w:color="1F3864"/>
              <w:right w:val="single" w:sz="12" w:space="0" w:color="1F3864"/>
            </w:tcBorders>
            <w:noWrap/>
            <w:hideMark/>
          </w:tcPr>
          <w:p w14:paraId="5D5CADB2" w14:textId="77777777" w:rsidR="00D9267D" w:rsidRPr="0064264A" w:rsidRDefault="00D9267D" w:rsidP="00A448C8">
            <w:pPr>
              <w:spacing w:line="360" w:lineRule="auto"/>
              <w:jc w:val="center"/>
              <w:rPr>
                <w:rFonts w:eastAsia="Calibri"/>
                <w:lang w:val="es-ES"/>
              </w:rPr>
            </w:pPr>
            <w:r w:rsidRPr="0064264A">
              <w:rPr>
                <w:rFonts w:eastAsia="Calibri"/>
                <w:lang w:val="es-ES"/>
              </w:rPr>
              <w:t>Mandos Medios</w:t>
            </w:r>
          </w:p>
        </w:tc>
        <w:tc>
          <w:tcPr>
            <w:tcW w:w="1840" w:type="dxa"/>
            <w:tcBorders>
              <w:top w:val="nil"/>
              <w:left w:val="nil"/>
              <w:bottom w:val="single" w:sz="12" w:space="0" w:color="1F3864"/>
              <w:right w:val="single" w:sz="12" w:space="0" w:color="1F3864"/>
            </w:tcBorders>
            <w:noWrap/>
            <w:vAlign w:val="center"/>
            <w:hideMark/>
          </w:tcPr>
          <w:p w14:paraId="47805AC8" w14:textId="77777777" w:rsidR="00D9267D" w:rsidRPr="0064264A" w:rsidRDefault="00D9267D" w:rsidP="00A448C8">
            <w:pPr>
              <w:spacing w:line="360" w:lineRule="auto"/>
              <w:jc w:val="center"/>
              <w:rPr>
                <w:rFonts w:eastAsia="Calibri"/>
                <w:lang w:val="es-ES"/>
              </w:rPr>
            </w:pPr>
            <w:r w:rsidRPr="0064264A">
              <w:rPr>
                <w:rFonts w:eastAsia="Calibri"/>
                <w:lang w:val="es-DO"/>
              </w:rPr>
              <w:t>06</w:t>
            </w:r>
          </w:p>
        </w:tc>
        <w:tc>
          <w:tcPr>
            <w:tcW w:w="1509" w:type="dxa"/>
            <w:tcBorders>
              <w:top w:val="nil"/>
              <w:left w:val="nil"/>
              <w:bottom w:val="single" w:sz="12" w:space="0" w:color="1F3864"/>
              <w:right w:val="single" w:sz="12" w:space="0" w:color="1F3864"/>
            </w:tcBorders>
            <w:noWrap/>
            <w:vAlign w:val="center"/>
            <w:hideMark/>
          </w:tcPr>
          <w:p w14:paraId="222791AF" w14:textId="77777777" w:rsidR="00D9267D" w:rsidRPr="0064264A" w:rsidRDefault="00D9267D" w:rsidP="00A448C8">
            <w:pPr>
              <w:spacing w:line="360" w:lineRule="auto"/>
              <w:jc w:val="center"/>
              <w:rPr>
                <w:rFonts w:eastAsia="Calibri"/>
                <w:lang w:val="es-ES"/>
              </w:rPr>
            </w:pPr>
            <w:r w:rsidRPr="0064264A">
              <w:rPr>
                <w:rFonts w:eastAsia="Calibri"/>
                <w:lang w:val="es-DO"/>
              </w:rPr>
              <w:t>416.67</w:t>
            </w:r>
          </w:p>
        </w:tc>
        <w:tc>
          <w:tcPr>
            <w:tcW w:w="1960" w:type="dxa"/>
            <w:tcBorders>
              <w:top w:val="nil"/>
              <w:left w:val="nil"/>
              <w:bottom w:val="single" w:sz="12" w:space="0" w:color="1F3864"/>
              <w:right w:val="single" w:sz="12" w:space="0" w:color="1F3864"/>
            </w:tcBorders>
            <w:noWrap/>
            <w:vAlign w:val="center"/>
            <w:hideMark/>
          </w:tcPr>
          <w:p w14:paraId="630CB70C" w14:textId="77777777" w:rsidR="00D9267D" w:rsidRPr="0064264A" w:rsidRDefault="00D9267D" w:rsidP="00A448C8">
            <w:pPr>
              <w:spacing w:line="360" w:lineRule="auto"/>
              <w:jc w:val="center"/>
              <w:rPr>
                <w:rFonts w:eastAsia="Calibri"/>
                <w:lang w:val="es-ES"/>
              </w:rPr>
            </w:pPr>
            <w:r w:rsidRPr="0064264A">
              <w:rPr>
                <w:rFonts w:eastAsia="Calibri"/>
                <w:lang w:val="es-DO"/>
              </w:rPr>
              <w:t>8.8%</w:t>
            </w:r>
          </w:p>
        </w:tc>
      </w:tr>
      <w:tr w:rsidR="0064264A" w:rsidRPr="0064264A" w14:paraId="0A581F4B" w14:textId="77777777" w:rsidTr="00953742">
        <w:trPr>
          <w:trHeight w:val="315"/>
          <w:tblHeader/>
        </w:trPr>
        <w:tc>
          <w:tcPr>
            <w:tcW w:w="2560" w:type="dxa"/>
            <w:tcBorders>
              <w:top w:val="single" w:sz="12" w:space="0" w:color="1F3864"/>
              <w:left w:val="single" w:sz="12" w:space="0" w:color="1F3864"/>
              <w:bottom w:val="single" w:sz="12" w:space="0" w:color="1F3864"/>
              <w:right w:val="single" w:sz="12" w:space="0" w:color="1F3864"/>
            </w:tcBorders>
            <w:noWrap/>
            <w:hideMark/>
          </w:tcPr>
          <w:p w14:paraId="4D9A2DC4" w14:textId="77777777" w:rsidR="00D9267D" w:rsidRPr="0064264A" w:rsidRDefault="00D9267D" w:rsidP="00A448C8">
            <w:pPr>
              <w:spacing w:line="360" w:lineRule="auto"/>
              <w:jc w:val="center"/>
              <w:rPr>
                <w:rFonts w:eastAsia="Calibri"/>
                <w:lang w:val="es-ES"/>
              </w:rPr>
            </w:pPr>
            <w:proofErr w:type="spellStart"/>
            <w:r w:rsidRPr="0064264A">
              <w:rPr>
                <w:rFonts w:eastAsia="Calibri"/>
                <w:lang w:val="es-ES"/>
              </w:rPr>
              <w:t>Subdirectivo</w:t>
            </w:r>
            <w:proofErr w:type="spellEnd"/>
          </w:p>
        </w:tc>
        <w:tc>
          <w:tcPr>
            <w:tcW w:w="1840" w:type="dxa"/>
            <w:tcBorders>
              <w:top w:val="nil"/>
              <w:left w:val="nil"/>
              <w:bottom w:val="single" w:sz="12" w:space="0" w:color="1F3864"/>
              <w:right w:val="single" w:sz="12" w:space="0" w:color="1F3864"/>
            </w:tcBorders>
            <w:noWrap/>
            <w:vAlign w:val="center"/>
            <w:hideMark/>
          </w:tcPr>
          <w:p w14:paraId="2EDAA453" w14:textId="77777777" w:rsidR="00D9267D" w:rsidRPr="0064264A" w:rsidRDefault="00D9267D" w:rsidP="00A448C8">
            <w:pPr>
              <w:spacing w:line="360" w:lineRule="auto"/>
              <w:jc w:val="center"/>
              <w:rPr>
                <w:rFonts w:eastAsia="Calibri"/>
                <w:lang w:val="es-ES"/>
              </w:rPr>
            </w:pPr>
            <w:r w:rsidRPr="0064264A">
              <w:rPr>
                <w:rFonts w:eastAsia="Calibri"/>
                <w:lang w:val="es-DO"/>
              </w:rPr>
              <w:t>0</w:t>
            </w:r>
          </w:p>
        </w:tc>
        <w:tc>
          <w:tcPr>
            <w:tcW w:w="1509" w:type="dxa"/>
            <w:tcBorders>
              <w:top w:val="nil"/>
              <w:left w:val="nil"/>
              <w:bottom w:val="single" w:sz="12" w:space="0" w:color="1F3864"/>
              <w:right w:val="single" w:sz="12" w:space="0" w:color="1F3864"/>
            </w:tcBorders>
            <w:noWrap/>
            <w:vAlign w:val="center"/>
            <w:hideMark/>
          </w:tcPr>
          <w:p w14:paraId="14DEE21E" w14:textId="77777777" w:rsidR="00D9267D" w:rsidRPr="0064264A" w:rsidRDefault="00D9267D" w:rsidP="00A448C8">
            <w:pPr>
              <w:spacing w:line="360" w:lineRule="auto"/>
              <w:jc w:val="center"/>
              <w:rPr>
                <w:rFonts w:eastAsia="Calibri"/>
                <w:lang w:val="es-ES"/>
              </w:rPr>
            </w:pPr>
            <w:r w:rsidRPr="0064264A">
              <w:rPr>
                <w:rFonts w:eastAsia="Calibri"/>
                <w:lang w:val="es-DO"/>
              </w:rPr>
              <w:t>0</w:t>
            </w:r>
          </w:p>
        </w:tc>
        <w:tc>
          <w:tcPr>
            <w:tcW w:w="1960" w:type="dxa"/>
            <w:tcBorders>
              <w:top w:val="nil"/>
              <w:left w:val="nil"/>
              <w:bottom w:val="single" w:sz="12" w:space="0" w:color="1F3864"/>
              <w:right w:val="single" w:sz="12" w:space="0" w:color="1F3864"/>
            </w:tcBorders>
            <w:noWrap/>
            <w:vAlign w:val="center"/>
            <w:hideMark/>
          </w:tcPr>
          <w:p w14:paraId="459543D5" w14:textId="77777777" w:rsidR="00D9267D" w:rsidRPr="0064264A" w:rsidRDefault="00D9267D" w:rsidP="00A448C8">
            <w:pPr>
              <w:spacing w:line="360" w:lineRule="auto"/>
              <w:jc w:val="center"/>
              <w:rPr>
                <w:rFonts w:eastAsia="Calibri"/>
                <w:lang w:val="es-ES"/>
              </w:rPr>
            </w:pPr>
            <w:r w:rsidRPr="0064264A">
              <w:rPr>
                <w:rFonts w:eastAsia="Calibri"/>
                <w:lang w:val="es-DO"/>
              </w:rPr>
              <w:t>0%</w:t>
            </w:r>
          </w:p>
        </w:tc>
      </w:tr>
      <w:tr w:rsidR="0064264A" w:rsidRPr="0064264A" w14:paraId="00A4BFCC" w14:textId="77777777" w:rsidTr="00953742">
        <w:trPr>
          <w:trHeight w:val="315"/>
          <w:tblHeader/>
        </w:trPr>
        <w:tc>
          <w:tcPr>
            <w:tcW w:w="2560" w:type="dxa"/>
            <w:tcBorders>
              <w:top w:val="single" w:sz="12" w:space="0" w:color="1F3864"/>
              <w:left w:val="nil"/>
              <w:bottom w:val="nil"/>
              <w:right w:val="single" w:sz="12" w:space="0" w:color="1F3864"/>
            </w:tcBorders>
            <w:noWrap/>
            <w:hideMark/>
          </w:tcPr>
          <w:p w14:paraId="71B53CB6" w14:textId="77777777" w:rsidR="00D9267D" w:rsidRPr="0064264A" w:rsidRDefault="00D9267D" w:rsidP="00D9267D">
            <w:pPr>
              <w:spacing w:line="360" w:lineRule="auto"/>
              <w:jc w:val="both"/>
              <w:rPr>
                <w:rFonts w:eastAsia="Calibri"/>
                <w:lang w:val="es-ES"/>
              </w:rPr>
            </w:pPr>
            <w:r w:rsidRPr="0064264A">
              <w:rPr>
                <w:rFonts w:eastAsia="Calibri"/>
                <w:lang w:val="es-ES"/>
              </w:rPr>
              <w:t> </w:t>
            </w:r>
          </w:p>
        </w:tc>
        <w:tc>
          <w:tcPr>
            <w:tcW w:w="1840" w:type="dxa"/>
            <w:tcBorders>
              <w:top w:val="nil"/>
              <w:left w:val="nil"/>
              <w:bottom w:val="single" w:sz="12" w:space="0" w:color="1F3864"/>
              <w:right w:val="single" w:sz="12" w:space="0" w:color="1F3864"/>
            </w:tcBorders>
            <w:shd w:val="clear" w:color="auto" w:fill="1F3864"/>
            <w:noWrap/>
            <w:vAlign w:val="center"/>
            <w:hideMark/>
          </w:tcPr>
          <w:p w14:paraId="50E7025C" w14:textId="77777777" w:rsidR="00D9267D" w:rsidRPr="00A84C7F" w:rsidRDefault="00D9267D" w:rsidP="00A84C7F">
            <w:pPr>
              <w:spacing w:line="360" w:lineRule="auto"/>
              <w:jc w:val="center"/>
              <w:rPr>
                <w:rFonts w:eastAsia="Calibri"/>
                <w:bCs/>
                <w:color w:val="FFFFFF" w:themeColor="background1"/>
                <w:lang w:val="es-ES"/>
              </w:rPr>
            </w:pPr>
            <w:r w:rsidRPr="00A84C7F">
              <w:rPr>
                <w:rFonts w:eastAsia="Calibri"/>
                <w:bCs/>
                <w:color w:val="FFFFFF" w:themeColor="background1"/>
                <w:lang w:val="es-DO"/>
              </w:rPr>
              <w:t>68</w:t>
            </w:r>
          </w:p>
        </w:tc>
        <w:tc>
          <w:tcPr>
            <w:tcW w:w="1509" w:type="dxa"/>
            <w:tcBorders>
              <w:top w:val="nil"/>
              <w:left w:val="nil"/>
              <w:bottom w:val="single" w:sz="12" w:space="0" w:color="1F3864"/>
              <w:right w:val="single" w:sz="12" w:space="0" w:color="1F3864"/>
            </w:tcBorders>
            <w:shd w:val="clear" w:color="auto" w:fill="1F3864"/>
            <w:noWrap/>
            <w:vAlign w:val="center"/>
            <w:hideMark/>
          </w:tcPr>
          <w:p w14:paraId="49526128" w14:textId="77777777" w:rsidR="00D9267D" w:rsidRPr="00A84C7F" w:rsidRDefault="00D9267D" w:rsidP="00A84C7F">
            <w:pPr>
              <w:spacing w:line="360" w:lineRule="auto"/>
              <w:jc w:val="center"/>
              <w:rPr>
                <w:rFonts w:eastAsia="Calibri"/>
                <w:bCs/>
                <w:color w:val="FFFFFF" w:themeColor="background1"/>
                <w:lang w:val="es-ES"/>
              </w:rPr>
            </w:pPr>
            <w:r w:rsidRPr="00A84C7F">
              <w:rPr>
                <w:rFonts w:eastAsia="Calibri"/>
                <w:bCs/>
                <w:color w:val="FFFFFF" w:themeColor="background1"/>
                <w:lang w:val="es-DO"/>
              </w:rPr>
              <w:t>406.94</w:t>
            </w:r>
          </w:p>
        </w:tc>
        <w:tc>
          <w:tcPr>
            <w:tcW w:w="1960" w:type="dxa"/>
            <w:tcBorders>
              <w:top w:val="nil"/>
              <w:left w:val="nil"/>
              <w:bottom w:val="single" w:sz="12" w:space="0" w:color="1F3864"/>
              <w:right w:val="single" w:sz="12" w:space="0" w:color="1F3864"/>
            </w:tcBorders>
            <w:shd w:val="clear" w:color="auto" w:fill="1F3864"/>
            <w:noWrap/>
            <w:vAlign w:val="center"/>
            <w:hideMark/>
          </w:tcPr>
          <w:p w14:paraId="78661E49" w14:textId="77777777" w:rsidR="00D9267D" w:rsidRPr="00A84C7F" w:rsidRDefault="00D9267D" w:rsidP="00A84C7F">
            <w:pPr>
              <w:spacing w:line="360" w:lineRule="auto"/>
              <w:jc w:val="center"/>
              <w:rPr>
                <w:rFonts w:eastAsia="Calibri"/>
                <w:bCs/>
                <w:color w:val="FFFFFF" w:themeColor="background1"/>
                <w:lang w:val="es-ES"/>
              </w:rPr>
            </w:pPr>
            <w:r w:rsidRPr="00A84C7F">
              <w:rPr>
                <w:rFonts w:eastAsia="Calibri"/>
                <w:b/>
                <w:bCs/>
                <w:color w:val="FFFFFF" w:themeColor="background1"/>
                <w:lang w:val="es-DO"/>
              </w:rPr>
              <w:t>100%</w:t>
            </w:r>
          </w:p>
        </w:tc>
      </w:tr>
    </w:tbl>
    <w:p w14:paraId="4B5EB087" w14:textId="77777777" w:rsidR="00D9267D" w:rsidRPr="0064264A" w:rsidRDefault="00D9267D" w:rsidP="00D9267D">
      <w:pPr>
        <w:spacing w:line="360" w:lineRule="auto"/>
        <w:jc w:val="both"/>
        <w:rPr>
          <w:rFonts w:eastAsia="Calibri"/>
          <w:b/>
          <w:sz w:val="22"/>
          <w:szCs w:val="22"/>
          <w:lang w:val="es-DO"/>
        </w:rPr>
      </w:pPr>
      <w:r w:rsidRPr="0064264A">
        <w:rPr>
          <w:rFonts w:eastAsia="Calibri"/>
          <w:b/>
          <w:lang w:val="es-DO"/>
        </w:rPr>
        <w:t xml:space="preserve">                     </w:t>
      </w:r>
      <w:r w:rsidRPr="0064264A">
        <w:rPr>
          <w:rFonts w:eastAsia="Calibri"/>
          <w:b/>
          <w:sz w:val="22"/>
          <w:szCs w:val="22"/>
          <w:lang w:val="es-DO"/>
        </w:rPr>
        <w:t>Fuente: Depto. de Recursos Humanos</w:t>
      </w:r>
    </w:p>
    <w:p w14:paraId="0AA70676" w14:textId="77777777" w:rsidR="00D9267D" w:rsidRPr="0064264A" w:rsidRDefault="00D9267D" w:rsidP="00D9267D">
      <w:pPr>
        <w:spacing w:line="360" w:lineRule="auto"/>
        <w:jc w:val="both"/>
        <w:rPr>
          <w:rFonts w:eastAsia="Calibri"/>
          <w:b/>
          <w:lang w:val="es-ES"/>
        </w:rPr>
      </w:pPr>
      <w:r w:rsidRPr="0064264A">
        <w:rPr>
          <w:rFonts w:eastAsia="Calibri"/>
          <w:b/>
          <w:lang w:val="es-ES"/>
        </w:rPr>
        <w:t>Programas de Becas</w:t>
      </w:r>
    </w:p>
    <w:p w14:paraId="7BB1A6B8" w14:textId="0308B260" w:rsidR="00D9267D" w:rsidRPr="0064264A" w:rsidRDefault="00D9267D" w:rsidP="00D9267D">
      <w:pPr>
        <w:spacing w:line="360" w:lineRule="auto"/>
        <w:jc w:val="both"/>
        <w:rPr>
          <w:rFonts w:eastAsia="Calibri"/>
          <w:lang w:val="es-DO"/>
        </w:rPr>
      </w:pPr>
      <w:r w:rsidRPr="0064264A">
        <w:rPr>
          <w:rFonts w:eastAsia="Calibri"/>
          <w:lang w:val="es-DO"/>
        </w:rPr>
        <w:t xml:space="preserve">El programa de becas de la Institución tiene como objetivo otorgar becas a estudiantes sobresalientes externos de escasos recursos. A través de este programa se han beneficiado más de 1,425 jóvenes de todo el territorio nacional, con cobertura al 100%, en las distintas carreras que ofrecen el Instituto Tecnológico de Santo Domingo (INTEC), la Pontificia Universidad Católica Madre y Maestra (PUCMM) y la Universidad Acción </w:t>
      </w:r>
      <w:proofErr w:type="gramStart"/>
      <w:r w:rsidRPr="0064264A">
        <w:rPr>
          <w:rFonts w:eastAsia="Calibri"/>
          <w:lang w:val="es-DO"/>
        </w:rPr>
        <w:t>Pro Educación</w:t>
      </w:r>
      <w:proofErr w:type="gramEnd"/>
      <w:r w:rsidRPr="0064264A">
        <w:rPr>
          <w:rFonts w:eastAsia="Calibri"/>
          <w:lang w:val="es-DO"/>
        </w:rPr>
        <w:t xml:space="preserve"> y Cultura (APEC). Hoy en día, dicho programa tiene 44 becas activas en INTEC y PUCMM</w:t>
      </w:r>
      <w:r w:rsidR="00667F26" w:rsidRPr="0064264A">
        <w:rPr>
          <w:rFonts w:eastAsia="Calibri"/>
          <w:lang w:val="es-DO"/>
        </w:rPr>
        <w:t>.</w:t>
      </w:r>
    </w:p>
    <w:tbl>
      <w:tblPr>
        <w:tblW w:w="5755" w:type="dxa"/>
        <w:tblInd w:w="1070" w:type="dxa"/>
        <w:tblCellMar>
          <w:left w:w="0" w:type="dxa"/>
          <w:right w:w="0" w:type="dxa"/>
        </w:tblCellMar>
        <w:tblLook w:val="04A0" w:firstRow="1" w:lastRow="0" w:firstColumn="1" w:lastColumn="0" w:noHBand="0" w:noVBand="1"/>
      </w:tblPr>
      <w:tblGrid>
        <w:gridCol w:w="4945"/>
        <w:gridCol w:w="810"/>
      </w:tblGrid>
      <w:tr w:rsidR="0064264A" w:rsidRPr="0064264A" w14:paraId="1ED5590A" w14:textId="77777777" w:rsidTr="00953742">
        <w:trPr>
          <w:trHeight w:val="315"/>
          <w:tblHeader/>
        </w:trPr>
        <w:tc>
          <w:tcPr>
            <w:tcW w:w="5755" w:type="dxa"/>
            <w:gridSpan w:val="2"/>
            <w:tcBorders>
              <w:top w:val="single" w:sz="12" w:space="0" w:color="1F3864"/>
              <w:left w:val="single" w:sz="8" w:space="0" w:color="auto"/>
              <w:bottom w:val="single" w:sz="12" w:space="0" w:color="1F3864"/>
              <w:right w:val="single" w:sz="12" w:space="0" w:color="1F3864"/>
            </w:tcBorders>
            <w:shd w:val="clear" w:color="auto" w:fill="203764"/>
            <w:noWrap/>
            <w:tcMar>
              <w:top w:w="0" w:type="dxa"/>
              <w:left w:w="70" w:type="dxa"/>
              <w:bottom w:w="0" w:type="dxa"/>
              <w:right w:w="70" w:type="dxa"/>
            </w:tcMar>
            <w:vAlign w:val="bottom"/>
            <w:hideMark/>
          </w:tcPr>
          <w:p w14:paraId="6955E23E" w14:textId="77777777" w:rsidR="00D9267D" w:rsidRPr="0064264A" w:rsidRDefault="00D9267D" w:rsidP="00667F26">
            <w:pPr>
              <w:spacing w:line="360" w:lineRule="auto"/>
              <w:jc w:val="center"/>
              <w:rPr>
                <w:rFonts w:eastAsia="Calibri"/>
                <w:b/>
                <w:bCs/>
              </w:rPr>
            </w:pPr>
            <w:r w:rsidRPr="00A84C7F">
              <w:rPr>
                <w:rFonts w:eastAsia="Calibri"/>
                <w:b/>
                <w:bCs/>
                <w:color w:val="FFFFFF" w:themeColor="background1"/>
                <w:lang w:val="es-ES"/>
              </w:rPr>
              <w:lastRenderedPageBreak/>
              <w:t>Becas activas 2025</w:t>
            </w:r>
          </w:p>
        </w:tc>
      </w:tr>
      <w:tr w:rsidR="0064264A" w:rsidRPr="0064264A" w14:paraId="61D6A3AD" w14:textId="77777777" w:rsidTr="00953742">
        <w:trPr>
          <w:trHeight w:val="315"/>
          <w:tblHeader/>
        </w:trPr>
        <w:tc>
          <w:tcPr>
            <w:tcW w:w="4945" w:type="dxa"/>
            <w:tcBorders>
              <w:top w:val="nil"/>
              <w:left w:val="single" w:sz="12" w:space="0" w:color="1F3864"/>
              <w:bottom w:val="single" w:sz="12" w:space="0" w:color="1F3864"/>
              <w:right w:val="single" w:sz="12" w:space="0" w:color="1F3864"/>
            </w:tcBorders>
            <w:noWrap/>
            <w:tcMar>
              <w:top w:w="0" w:type="dxa"/>
              <w:left w:w="70" w:type="dxa"/>
              <w:bottom w:w="0" w:type="dxa"/>
              <w:right w:w="70" w:type="dxa"/>
            </w:tcMar>
            <w:vAlign w:val="bottom"/>
            <w:hideMark/>
          </w:tcPr>
          <w:p w14:paraId="79C5996A" w14:textId="77777777" w:rsidR="00D9267D" w:rsidRPr="0064264A" w:rsidRDefault="00D9267D" w:rsidP="00D9267D">
            <w:pPr>
              <w:spacing w:line="360" w:lineRule="auto"/>
              <w:jc w:val="both"/>
              <w:rPr>
                <w:rFonts w:eastAsia="Calibri"/>
                <w:lang w:val="es-ES"/>
              </w:rPr>
            </w:pPr>
            <w:r w:rsidRPr="0064264A">
              <w:rPr>
                <w:rFonts w:eastAsia="Calibri"/>
                <w:lang w:val="es-ES"/>
              </w:rPr>
              <w:t>Instituto Tecnológico de Santo Domingo (INTEC)</w:t>
            </w:r>
          </w:p>
        </w:tc>
        <w:tc>
          <w:tcPr>
            <w:tcW w:w="810" w:type="dxa"/>
            <w:tcBorders>
              <w:top w:val="nil"/>
              <w:left w:val="nil"/>
              <w:bottom w:val="single" w:sz="12" w:space="0" w:color="1F3864"/>
              <w:right w:val="single" w:sz="12" w:space="0" w:color="1F3864"/>
            </w:tcBorders>
            <w:noWrap/>
            <w:tcMar>
              <w:top w:w="0" w:type="dxa"/>
              <w:left w:w="70" w:type="dxa"/>
              <w:bottom w:w="0" w:type="dxa"/>
              <w:right w:w="70" w:type="dxa"/>
            </w:tcMar>
            <w:vAlign w:val="bottom"/>
            <w:hideMark/>
          </w:tcPr>
          <w:p w14:paraId="2C9B6DF9" w14:textId="77777777" w:rsidR="00D9267D" w:rsidRPr="0064264A" w:rsidRDefault="00D9267D" w:rsidP="00D9267D">
            <w:pPr>
              <w:spacing w:line="360" w:lineRule="auto"/>
              <w:jc w:val="both"/>
              <w:rPr>
                <w:rFonts w:eastAsia="Calibri"/>
                <w:lang w:val="es-ES"/>
              </w:rPr>
            </w:pPr>
            <w:r w:rsidRPr="0064264A">
              <w:rPr>
                <w:rFonts w:eastAsia="Calibri"/>
                <w:lang w:val="es-DO"/>
              </w:rPr>
              <w:t>26</w:t>
            </w:r>
          </w:p>
        </w:tc>
      </w:tr>
      <w:tr w:rsidR="0064264A" w:rsidRPr="0064264A" w14:paraId="1FCA3686" w14:textId="77777777" w:rsidTr="00953742">
        <w:trPr>
          <w:trHeight w:val="315"/>
          <w:tblHeader/>
        </w:trPr>
        <w:tc>
          <w:tcPr>
            <w:tcW w:w="4945" w:type="dxa"/>
            <w:tcBorders>
              <w:top w:val="nil"/>
              <w:left w:val="single" w:sz="12" w:space="0" w:color="1F3864"/>
              <w:bottom w:val="single" w:sz="12" w:space="0" w:color="1F3864"/>
              <w:right w:val="single" w:sz="12" w:space="0" w:color="1F3864"/>
            </w:tcBorders>
            <w:noWrap/>
            <w:tcMar>
              <w:top w:w="0" w:type="dxa"/>
              <w:left w:w="70" w:type="dxa"/>
              <w:bottom w:w="0" w:type="dxa"/>
              <w:right w:w="70" w:type="dxa"/>
            </w:tcMar>
            <w:vAlign w:val="bottom"/>
            <w:hideMark/>
          </w:tcPr>
          <w:p w14:paraId="025202DC" w14:textId="77777777" w:rsidR="00D9267D" w:rsidRPr="0064264A" w:rsidRDefault="00D9267D" w:rsidP="00D9267D">
            <w:pPr>
              <w:spacing w:line="360" w:lineRule="auto"/>
              <w:jc w:val="both"/>
              <w:rPr>
                <w:rFonts w:eastAsia="Calibri"/>
                <w:lang w:val="es-ES"/>
              </w:rPr>
            </w:pPr>
            <w:r w:rsidRPr="0064264A">
              <w:rPr>
                <w:rFonts w:eastAsia="Calibri"/>
                <w:lang w:val="es-ES"/>
              </w:rPr>
              <w:t>Pontificia Universidad Católica Madre y Maestra (PUCMM)</w:t>
            </w:r>
          </w:p>
        </w:tc>
        <w:tc>
          <w:tcPr>
            <w:tcW w:w="810" w:type="dxa"/>
            <w:tcBorders>
              <w:top w:val="nil"/>
              <w:left w:val="nil"/>
              <w:bottom w:val="single" w:sz="12" w:space="0" w:color="1F3864"/>
              <w:right w:val="single" w:sz="12" w:space="0" w:color="1F3864"/>
            </w:tcBorders>
            <w:noWrap/>
            <w:tcMar>
              <w:top w:w="0" w:type="dxa"/>
              <w:left w:w="70" w:type="dxa"/>
              <w:bottom w:w="0" w:type="dxa"/>
              <w:right w:w="70" w:type="dxa"/>
            </w:tcMar>
            <w:vAlign w:val="bottom"/>
            <w:hideMark/>
          </w:tcPr>
          <w:p w14:paraId="1F4471B0" w14:textId="77777777" w:rsidR="00D9267D" w:rsidRPr="0064264A" w:rsidRDefault="00D9267D" w:rsidP="00D9267D">
            <w:pPr>
              <w:spacing w:line="360" w:lineRule="auto"/>
              <w:jc w:val="both"/>
              <w:rPr>
                <w:rFonts w:eastAsia="Calibri"/>
                <w:lang w:val="es-ES"/>
              </w:rPr>
            </w:pPr>
            <w:r w:rsidRPr="0064264A">
              <w:rPr>
                <w:rFonts w:eastAsia="Calibri"/>
                <w:lang w:val="es-DO"/>
              </w:rPr>
              <w:t>18</w:t>
            </w:r>
          </w:p>
        </w:tc>
      </w:tr>
      <w:tr w:rsidR="0064264A" w:rsidRPr="0064264A" w14:paraId="193215EC" w14:textId="77777777" w:rsidTr="00953742">
        <w:trPr>
          <w:trHeight w:val="315"/>
          <w:tblHeader/>
        </w:trPr>
        <w:tc>
          <w:tcPr>
            <w:tcW w:w="4945" w:type="dxa"/>
            <w:tcBorders>
              <w:top w:val="nil"/>
              <w:left w:val="nil"/>
              <w:bottom w:val="nil"/>
              <w:right w:val="single" w:sz="12" w:space="0" w:color="1F3864"/>
            </w:tcBorders>
            <w:noWrap/>
            <w:tcMar>
              <w:top w:w="0" w:type="dxa"/>
              <w:left w:w="70" w:type="dxa"/>
              <w:bottom w:w="0" w:type="dxa"/>
              <w:right w:w="70" w:type="dxa"/>
            </w:tcMar>
            <w:vAlign w:val="bottom"/>
            <w:hideMark/>
          </w:tcPr>
          <w:p w14:paraId="2B9A6508" w14:textId="77777777" w:rsidR="00D9267D" w:rsidRPr="0064264A" w:rsidRDefault="00D9267D" w:rsidP="00D9267D">
            <w:pPr>
              <w:spacing w:line="360" w:lineRule="auto"/>
              <w:jc w:val="both"/>
              <w:rPr>
                <w:rFonts w:eastAsia="Calibri"/>
                <w:lang w:val="es-ES"/>
              </w:rPr>
            </w:pPr>
            <w:r w:rsidRPr="0064264A">
              <w:rPr>
                <w:rFonts w:eastAsia="Calibri"/>
                <w:lang w:val="es-ES"/>
              </w:rPr>
              <w:t>Total</w:t>
            </w:r>
          </w:p>
        </w:tc>
        <w:tc>
          <w:tcPr>
            <w:tcW w:w="810" w:type="dxa"/>
            <w:tcBorders>
              <w:top w:val="nil"/>
              <w:left w:val="nil"/>
              <w:bottom w:val="single" w:sz="12" w:space="0" w:color="1F3864"/>
              <w:right w:val="single" w:sz="12" w:space="0" w:color="1F3864"/>
            </w:tcBorders>
            <w:shd w:val="clear" w:color="auto" w:fill="1F3864"/>
            <w:noWrap/>
            <w:tcMar>
              <w:top w:w="0" w:type="dxa"/>
              <w:left w:w="70" w:type="dxa"/>
              <w:bottom w:w="0" w:type="dxa"/>
              <w:right w:w="70" w:type="dxa"/>
            </w:tcMar>
            <w:vAlign w:val="bottom"/>
            <w:hideMark/>
          </w:tcPr>
          <w:p w14:paraId="5D22C024" w14:textId="77777777" w:rsidR="00D9267D" w:rsidRPr="0064264A" w:rsidRDefault="00D9267D" w:rsidP="00667F26">
            <w:pPr>
              <w:spacing w:line="360" w:lineRule="auto"/>
              <w:jc w:val="center"/>
              <w:rPr>
                <w:rFonts w:eastAsia="Calibri"/>
                <w:lang w:val="es-ES"/>
              </w:rPr>
            </w:pPr>
            <w:r w:rsidRPr="00A84C7F">
              <w:rPr>
                <w:rFonts w:eastAsia="Calibri"/>
                <w:color w:val="FFFFFF" w:themeColor="background1"/>
                <w:lang w:val="es-DO"/>
              </w:rPr>
              <w:t>44</w:t>
            </w:r>
          </w:p>
        </w:tc>
      </w:tr>
    </w:tbl>
    <w:p w14:paraId="7783FC70" w14:textId="19F9296F" w:rsidR="00D9267D" w:rsidRPr="0064264A" w:rsidRDefault="00D9267D" w:rsidP="00D9267D">
      <w:pPr>
        <w:spacing w:line="360" w:lineRule="auto"/>
        <w:jc w:val="both"/>
        <w:rPr>
          <w:rFonts w:eastAsia="Calibri"/>
          <w:b/>
          <w:bCs/>
          <w:sz w:val="22"/>
          <w:szCs w:val="22"/>
          <w:lang w:val="es-DO"/>
        </w:rPr>
      </w:pPr>
      <w:r w:rsidRPr="0064264A">
        <w:rPr>
          <w:rFonts w:eastAsia="Calibri"/>
          <w:b/>
          <w:bCs/>
          <w:lang w:val="es-DO"/>
        </w:rPr>
        <w:t xml:space="preserve">                </w:t>
      </w:r>
      <w:bookmarkStart w:id="27" w:name="_Hlk153790791"/>
      <w:r w:rsidR="00667F26" w:rsidRPr="0064264A">
        <w:rPr>
          <w:rFonts w:eastAsia="Calibri"/>
          <w:b/>
          <w:bCs/>
          <w:lang w:val="es-DO"/>
        </w:rPr>
        <w:t xml:space="preserve">  </w:t>
      </w:r>
      <w:r w:rsidR="00B07742" w:rsidRPr="0064264A">
        <w:rPr>
          <w:rFonts w:eastAsia="Calibri"/>
          <w:b/>
          <w:bCs/>
          <w:lang w:val="es-DO"/>
        </w:rPr>
        <w:t xml:space="preserve">  </w:t>
      </w:r>
      <w:r w:rsidRPr="0064264A">
        <w:rPr>
          <w:rFonts w:eastAsia="Calibri"/>
          <w:b/>
          <w:bCs/>
          <w:sz w:val="22"/>
          <w:szCs w:val="22"/>
          <w:lang w:val="es-DO"/>
        </w:rPr>
        <w:t>Fuente: Depto. de Recursos Humanos</w:t>
      </w:r>
      <w:bookmarkEnd w:id="27"/>
    </w:p>
    <w:p w14:paraId="1D783FD6"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Resumen Acuerdo BCRD-INFOTEP</w:t>
      </w:r>
    </w:p>
    <w:p w14:paraId="518DCEDB" w14:textId="72EA3643" w:rsidR="00D9267D" w:rsidRPr="0064264A" w:rsidRDefault="00D9267D" w:rsidP="00D9267D">
      <w:pPr>
        <w:spacing w:line="360" w:lineRule="auto"/>
        <w:jc w:val="both"/>
        <w:rPr>
          <w:rFonts w:eastAsia="Calibri"/>
          <w:lang w:val="es-DO"/>
        </w:rPr>
      </w:pPr>
      <w:r w:rsidRPr="0064264A">
        <w:rPr>
          <w:rFonts w:eastAsia="Calibri"/>
          <w:lang w:val="es-DO"/>
        </w:rPr>
        <w:t xml:space="preserve">El Acuerdo entre el Banco Central de la República Dominicana (BCRD) y el Instituto Nacional de Formación Técnico Profesional (INFOTEP), luego de ejecutar el enfoque principal de aportar al desarrollo y formación de los habitantes del municipio Santo Domingo Este, específicamente las comunidades Moneda I y II. Ahora, en esta fase final, se incluyó a los empleados de la Institución, brindando estas capacitaciones en las instalaciones de este Banco Central. La responsabilidad de ejecución de las capacitaciones y/o formación a los residentes de dicha zona o municipio, y en este momento a los empleados activos de la Institución, está a cargo de la Subdirección de Desarrollo de Personal del Departamento de Recursos Humanos de este Banco Central. </w:t>
      </w:r>
    </w:p>
    <w:p w14:paraId="4845928E" w14:textId="77777777" w:rsidR="00D9267D" w:rsidRPr="0064264A" w:rsidRDefault="00D9267D" w:rsidP="00D9267D">
      <w:pPr>
        <w:spacing w:line="360" w:lineRule="auto"/>
        <w:jc w:val="both"/>
        <w:rPr>
          <w:rFonts w:eastAsia="Calibri"/>
          <w:lang w:val="es-DO"/>
        </w:rPr>
      </w:pPr>
      <w:r w:rsidRPr="0064264A">
        <w:rPr>
          <w:rFonts w:eastAsia="Calibri"/>
          <w:lang w:val="es-DO"/>
        </w:rPr>
        <w:t>En ese sentido, es oportuno mencionar que se han ejecutado 130 capacitaciones a la fecha, impactando diferentes públicos (estudiantes, operarios, técnicos y mandos medios), con una cantidad de 2,553 beneficiados.</w:t>
      </w:r>
    </w:p>
    <w:tbl>
      <w:tblPr>
        <w:tblW w:w="5125" w:type="dxa"/>
        <w:tblInd w:w="1388" w:type="dxa"/>
        <w:tblCellMar>
          <w:left w:w="0" w:type="dxa"/>
          <w:right w:w="0" w:type="dxa"/>
        </w:tblCellMar>
        <w:tblLook w:val="04A0" w:firstRow="1" w:lastRow="0" w:firstColumn="1" w:lastColumn="0" w:noHBand="0" w:noVBand="1"/>
      </w:tblPr>
      <w:tblGrid>
        <w:gridCol w:w="3595"/>
        <w:gridCol w:w="1530"/>
      </w:tblGrid>
      <w:tr w:rsidR="0064264A" w:rsidRPr="00BF4E24" w14:paraId="6EF63106" w14:textId="77777777" w:rsidTr="00953742">
        <w:trPr>
          <w:trHeight w:val="315"/>
          <w:tblHeader/>
        </w:trPr>
        <w:tc>
          <w:tcPr>
            <w:tcW w:w="5125" w:type="dxa"/>
            <w:gridSpan w:val="2"/>
            <w:tcBorders>
              <w:top w:val="single" w:sz="8" w:space="0" w:color="auto"/>
              <w:left w:val="single" w:sz="8" w:space="0" w:color="auto"/>
              <w:bottom w:val="single" w:sz="8" w:space="0" w:color="auto"/>
              <w:right w:val="single" w:sz="8" w:space="0" w:color="auto"/>
            </w:tcBorders>
            <w:shd w:val="clear" w:color="auto" w:fill="203764"/>
            <w:noWrap/>
            <w:tcMar>
              <w:top w:w="0" w:type="dxa"/>
              <w:left w:w="70" w:type="dxa"/>
              <w:bottom w:w="0" w:type="dxa"/>
              <w:right w:w="70" w:type="dxa"/>
            </w:tcMar>
            <w:vAlign w:val="bottom"/>
            <w:hideMark/>
          </w:tcPr>
          <w:p w14:paraId="30143A1D" w14:textId="77777777" w:rsidR="00D9267D" w:rsidRPr="00A84C7F" w:rsidRDefault="00D9267D" w:rsidP="00667F26">
            <w:pPr>
              <w:spacing w:line="360" w:lineRule="auto"/>
              <w:jc w:val="center"/>
              <w:rPr>
                <w:rFonts w:eastAsia="Calibri"/>
                <w:b/>
                <w:bCs/>
                <w:color w:val="FFFFFF" w:themeColor="background1"/>
                <w:lang w:val="es-ES"/>
              </w:rPr>
            </w:pPr>
            <w:r w:rsidRPr="00A84C7F">
              <w:rPr>
                <w:rFonts w:eastAsia="Calibri"/>
                <w:b/>
                <w:bCs/>
                <w:color w:val="FFFFFF" w:themeColor="background1"/>
                <w:lang w:val="es-ES"/>
              </w:rPr>
              <w:lastRenderedPageBreak/>
              <w:t>Capacitaciones y beneficiados Proyecto</w:t>
            </w:r>
          </w:p>
          <w:p w14:paraId="13062CED" w14:textId="10102FFF" w:rsidR="00D9267D" w:rsidRPr="0064264A" w:rsidRDefault="00D9267D" w:rsidP="00667F26">
            <w:pPr>
              <w:spacing w:line="360" w:lineRule="auto"/>
              <w:jc w:val="center"/>
              <w:rPr>
                <w:rFonts w:eastAsia="Calibri"/>
                <w:b/>
                <w:bCs/>
                <w:lang w:val="es-DO"/>
              </w:rPr>
            </w:pPr>
            <w:r w:rsidRPr="00A84C7F">
              <w:rPr>
                <w:rFonts w:eastAsia="Calibri"/>
                <w:b/>
                <w:bCs/>
                <w:color w:val="FFFFFF" w:themeColor="background1"/>
                <w:lang w:val="es-ES"/>
              </w:rPr>
              <w:t>BCRD-INFOTEP</w:t>
            </w:r>
          </w:p>
        </w:tc>
      </w:tr>
      <w:tr w:rsidR="0064264A" w:rsidRPr="0064264A" w14:paraId="4F4D6EA7" w14:textId="77777777" w:rsidTr="00953742">
        <w:trPr>
          <w:trHeight w:val="315"/>
          <w:tblHeader/>
        </w:trPr>
        <w:tc>
          <w:tcPr>
            <w:tcW w:w="359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5C3A478" w14:textId="77777777" w:rsidR="00D9267D" w:rsidRPr="0064264A" w:rsidRDefault="00D9267D" w:rsidP="00D9267D">
            <w:pPr>
              <w:spacing w:line="360" w:lineRule="auto"/>
              <w:jc w:val="both"/>
              <w:rPr>
                <w:rFonts w:eastAsia="Calibri"/>
                <w:lang w:val="es-DO"/>
              </w:rPr>
            </w:pPr>
            <w:r w:rsidRPr="0064264A">
              <w:rPr>
                <w:rFonts w:eastAsia="Calibri"/>
                <w:lang w:val="es-DO"/>
              </w:rPr>
              <w:t>Capacitaciones</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898202" w14:textId="77777777" w:rsidR="00D9267D" w:rsidRPr="0064264A" w:rsidRDefault="00D9267D" w:rsidP="00580C8E">
            <w:pPr>
              <w:spacing w:line="360" w:lineRule="auto"/>
              <w:jc w:val="center"/>
              <w:rPr>
                <w:rFonts w:eastAsia="Calibri"/>
                <w:lang w:val="es-ES"/>
              </w:rPr>
            </w:pPr>
            <w:r w:rsidRPr="0064264A">
              <w:rPr>
                <w:rFonts w:eastAsia="Calibri"/>
                <w:lang w:val="es-DO"/>
              </w:rPr>
              <w:t>130</w:t>
            </w:r>
          </w:p>
        </w:tc>
      </w:tr>
      <w:tr w:rsidR="0064264A" w:rsidRPr="0064264A" w14:paraId="13F5B672" w14:textId="77777777" w:rsidTr="00953742">
        <w:trPr>
          <w:trHeight w:val="315"/>
          <w:tblHeader/>
        </w:trPr>
        <w:tc>
          <w:tcPr>
            <w:tcW w:w="359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689AD41B" w14:textId="77777777" w:rsidR="00D9267D" w:rsidRPr="0064264A" w:rsidRDefault="00D9267D" w:rsidP="00D9267D">
            <w:pPr>
              <w:spacing w:line="360" w:lineRule="auto"/>
              <w:jc w:val="both"/>
              <w:rPr>
                <w:rFonts w:eastAsia="Calibri"/>
                <w:lang w:val="es-DO"/>
              </w:rPr>
            </w:pPr>
            <w:r w:rsidRPr="0064264A">
              <w:rPr>
                <w:rFonts w:eastAsia="Calibri"/>
                <w:lang w:val="es-DO"/>
              </w:rPr>
              <w:t>Beneficiados</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C80F0A" w14:textId="77777777" w:rsidR="00D9267D" w:rsidRPr="0064264A" w:rsidRDefault="00D9267D" w:rsidP="00580C8E">
            <w:pPr>
              <w:spacing w:line="360" w:lineRule="auto"/>
              <w:jc w:val="center"/>
              <w:rPr>
                <w:rFonts w:eastAsia="Calibri"/>
                <w:lang w:val="es-ES"/>
              </w:rPr>
            </w:pPr>
            <w:r w:rsidRPr="0064264A">
              <w:rPr>
                <w:rFonts w:eastAsia="Calibri"/>
                <w:lang w:val="es-DO"/>
              </w:rPr>
              <w:t>2,553</w:t>
            </w:r>
          </w:p>
        </w:tc>
      </w:tr>
      <w:tr w:rsidR="0064264A" w:rsidRPr="0064264A" w14:paraId="2BCFA65A" w14:textId="77777777" w:rsidTr="00953742">
        <w:trPr>
          <w:trHeight w:val="315"/>
          <w:tblHeader/>
        </w:trPr>
        <w:tc>
          <w:tcPr>
            <w:tcW w:w="359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5464F5A6"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                       Total</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030D106" w14:textId="77777777" w:rsidR="00D9267D" w:rsidRPr="0064264A" w:rsidRDefault="00D9267D" w:rsidP="00580C8E">
            <w:pPr>
              <w:spacing w:line="360" w:lineRule="auto"/>
              <w:jc w:val="center"/>
              <w:rPr>
                <w:rFonts w:eastAsia="Calibri"/>
                <w:lang w:val="es-ES"/>
              </w:rPr>
            </w:pPr>
            <w:r w:rsidRPr="0064264A">
              <w:rPr>
                <w:rFonts w:eastAsia="Calibri"/>
                <w:lang w:val="es-ES"/>
              </w:rPr>
              <w:t>2,683</w:t>
            </w:r>
          </w:p>
        </w:tc>
      </w:tr>
    </w:tbl>
    <w:p w14:paraId="582D95FF" w14:textId="4A6B7D81" w:rsidR="00D9267D" w:rsidRPr="0064264A" w:rsidRDefault="00D9267D" w:rsidP="00D9267D">
      <w:pPr>
        <w:spacing w:line="360" w:lineRule="auto"/>
        <w:jc w:val="both"/>
        <w:rPr>
          <w:rFonts w:eastAsia="Calibri"/>
          <w:b/>
          <w:sz w:val="22"/>
          <w:szCs w:val="22"/>
          <w:lang w:val="es-DO"/>
        </w:rPr>
      </w:pPr>
      <w:bookmarkStart w:id="28" w:name="_Hlk153791212"/>
      <w:r w:rsidRPr="0064264A">
        <w:rPr>
          <w:rFonts w:eastAsia="Calibri"/>
          <w:lang w:val="es-DO"/>
        </w:rPr>
        <w:t xml:space="preserve">                 </w:t>
      </w:r>
      <w:r w:rsidR="00667F26" w:rsidRPr="0064264A">
        <w:rPr>
          <w:rFonts w:eastAsia="Calibri"/>
          <w:lang w:val="es-DO"/>
        </w:rPr>
        <w:t xml:space="preserve">  </w:t>
      </w:r>
      <w:r w:rsidR="00B07742" w:rsidRPr="0064264A">
        <w:rPr>
          <w:rFonts w:eastAsia="Calibri"/>
          <w:lang w:val="es-DO"/>
        </w:rPr>
        <w:t xml:space="preserve">  </w:t>
      </w:r>
      <w:r w:rsidRPr="0064264A">
        <w:rPr>
          <w:rFonts w:eastAsia="Calibri"/>
          <w:b/>
          <w:sz w:val="22"/>
          <w:szCs w:val="22"/>
          <w:lang w:val="es-DO"/>
        </w:rPr>
        <w:t>Fuente: Depto. de Recursos Humano</w:t>
      </w:r>
      <w:bookmarkEnd w:id="28"/>
      <w:r w:rsidRPr="0064264A">
        <w:rPr>
          <w:rFonts w:eastAsia="Calibri"/>
          <w:b/>
          <w:sz w:val="22"/>
          <w:szCs w:val="22"/>
          <w:lang w:val="es-DO"/>
        </w:rPr>
        <w:t>s</w:t>
      </w:r>
    </w:p>
    <w:p w14:paraId="67E04687" w14:textId="77777777" w:rsidR="00D9267D" w:rsidRPr="0064264A" w:rsidRDefault="00D9267D" w:rsidP="00D9267D">
      <w:pPr>
        <w:spacing w:line="360" w:lineRule="auto"/>
        <w:jc w:val="both"/>
        <w:rPr>
          <w:rFonts w:eastAsia="Calibri"/>
          <w:b/>
          <w:lang w:val="es-DO"/>
        </w:rPr>
      </w:pPr>
      <w:r w:rsidRPr="0064264A">
        <w:rPr>
          <w:rFonts w:eastAsia="Calibri"/>
          <w:b/>
          <w:lang w:val="es-DO"/>
        </w:rPr>
        <w:t>Bienestar Laboral</w:t>
      </w:r>
    </w:p>
    <w:p w14:paraId="21FEA2A7" w14:textId="77777777" w:rsidR="00D9267D" w:rsidRPr="0064264A" w:rsidRDefault="00D9267D" w:rsidP="00D9267D">
      <w:pPr>
        <w:spacing w:line="360" w:lineRule="auto"/>
        <w:jc w:val="both"/>
        <w:rPr>
          <w:rFonts w:eastAsia="Calibri"/>
          <w:lang w:val="es-DO"/>
        </w:rPr>
      </w:pPr>
      <w:r w:rsidRPr="0064264A">
        <w:rPr>
          <w:rFonts w:eastAsia="Calibri"/>
          <w:lang w:val="es-DO"/>
        </w:rPr>
        <w:t>El Banco Central de la República Dominicana cuenta con el Reglamento Interno de Administración de Recursos Humanos, el cual rige todos los procesos de Gestión Humana de la institución, en procura de elevar el bienestar y la calidad de vida de todo el personal del BCRD.</w:t>
      </w:r>
    </w:p>
    <w:p w14:paraId="40B2B2F1" w14:textId="77777777" w:rsidR="00D9267D" w:rsidRPr="0064264A" w:rsidRDefault="00D9267D" w:rsidP="00D9267D">
      <w:pPr>
        <w:spacing w:line="360" w:lineRule="auto"/>
        <w:jc w:val="both"/>
        <w:rPr>
          <w:rFonts w:eastAsia="Calibri"/>
          <w:lang w:val="es-DO"/>
        </w:rPr>
      </w:pPr>
      <w:r w:rsidRPr="0064264A">
        <w:rPr>
          <w:rFonts w:eastAsia="Calibri"/>
          <w:lang w:val="es-DO"/>
        </w:rPr>
        <w:t>Dentro del portafolio de beneficios del BCRD, destinado a los colaboradores, están los siguientes:</w:t>
      </w:r>
    </w:p>
    <w:p w14:paraId="22878BF6" w14:textId="77777777" w:rsidR="00D9267D" w:rsidRPr="0064264A" w:rsidRDefault="00D9267D" w:rsidP="00A40AE3">
      <w:pPr>
        <w:numPr>
          <w:ilvl w:val="0"/>
          <w:numId w:val="8"/>
        </w:numPr>
        <w:spacing w:line="360" w:lineRule="auto"/>
        <w:jc w:val="both"/>
        <w:rPr>
          <w:rFonts w:eastAsia="Calibri"/>
          <w:lang w:val="es-DO"/>
        </w:rPr>
      </w:pPr>
      <w:r w:rsidRPr="0064264A">
        <w:rPr>
          <w:rFonts w:eastAsia="Calibri"/>
          <w:lang w:val="es-DO"/>
        </w:rPr>
        <w:t>Seguro médico a través de la ARS Plan Salud.</w:t>
      </w:r>
    </w:p>
    <w:p w14:paraId="45112FFD" w14:textId="77777777" w:rsidR="00D9267D" w:rsidRPr="0064264A" w:rsidRDefault="00D9267D" w:rsidP="00A40AE3">
      <w:pPr>
        <w:numPr>
          <w:ilvl w:val="0"/>
          <w:numId w:val="8"/>
        </w:numPr>
        <w:spacing w:line="360" w:lineRule="auto"/>
        <w:jc w:val="both"/>
        <w:rPr>
          <w:rFonts w:eastAsia="Calibri"/>
          <w:lang w:val="es-DO"/>
        </w:rPr>
      </w:pPr>
      <w:r w:rsidRPr="0064264A">
        <w:rPr>
          <w:rFonts w:eastAsia="Calibri"/>
          <w:lang w:val="es-DO"/>
        </w:rPr>
        <w:t>Seguro Colectivo de vida.</w:t>
      </w:r>
    </w:p>
    <w:p w14:paraId="3F6ACBA9" w14:textId="77777777" w:rsidR="00D9267D" w:rsidRPr="0064264A" w:rsidRDefault="00D9267D" w:rsidP="00A40AE3">
      <w:pPr>
        <w:numPr>
          <w:ilvl w:val="0"/>
          <w:numId w:val="8"/>
        </w:numPr>
        <w:spacing w:line="360" w:lineRule="auto"/>
        <w:jc w:val="both"/>
        <w:rPr>
          <w:rFonts w:eastAsia="Calibri"/>
          <w:lang w:val="es-DO"/>
        </w:rPr>
      </w:pPr>
      <w:r w:rsidRPr="0064264A">
        <w:rPr>
          <w:rFonts w:eastAsia="Calibri"/>
          <w:lang w:val="es-DO"/>
        </w:rPr>
        <w:t>Club de Empleados del BCRD.</w:t>
      </w:r>
    </w:p>
    <w:p w14:paraId="7F13E88F" w14:textId="77777777" w:rsidR="00D9267D" w:rsidRPr="0064264A" w:rsidRDefault="00D9267D" w:rsidP="00A40AE3">
      <w:pPr>
        <w:numPr>
          <w:ilvl w:val="0"/>
          <w:numId w:val="8"/>
        </w:numPr>
        <w:spacing w:line="360" w:lineRule="auto"/>
        <w:jc w:val="both"/>
        <w:rPr>
          <w:rFonts w:eastAsia="Calibri"/>
          <w:lang w:val="es-DO"/>
        </w:rPr>
      </w:pPr>
      <w:r w:rsidRPr="0064264A">
        <w:rPr>
          <w:rFonts w:eastAsia="Calibri"/>
          <w:lang w:val="es-DO"/>
        </w:rPr>
        <w:t>Programas de Subsidio Educativo.</w:t>
      </w:r>
    </w:p>
    <w:p w14:paraId="39CDB1CE" w14:textId="77777777" w:rsidR="00D9267D" w:rsidRPr="0064264A" w:rsidRDefault="00D9267D" w:rsidP="00A40AE3">
      <w:pPr>
        <w:numPr>
          <w:ilvl w:val="0"/>
          <w:numId w:val="8"/>
        </w:numPr>
        <w:spacing w:line="360" w:lineRule="auto"/>
        <w:jc w:val="both"/>
        <w:rPr>
          <w:rFonts w:eastAsia="Calibri"/>
          <w:lang w:val="es-DO"/>
        </w:rPr>
      </w:pPr>
      <w:r w:rsidRPr="0064264A">
        <w:rPr>
          <w:rFonts w:eastAsia="Calibri"/>
          <w:lang w:val="es-DO"/>
        </w:rPr>
        <w:t>Pensión.</w:t>
      </w:r>
    </w:p>
    <w:p w14:paraId="232B0F6B" w14:textId="4A0C7239" w:rsidR="00D9267D" w:rsidRPr="0064264A" w:rsidRDefault="00D9267D" w:rsidP="00A40AE3">
      <w:pPr>
        <w:numPr>
          <w:ilvl w:val="0"/>
          <w:numId w:val="8"/>
        </w:numPr>
        <w:spacing w:line="360" w:lineRule="auto"/>
        <w:jc w:val="both"/>
        <w:rPr>
          <w:rFonts w:eastAsia="Calibri"/>
          <w:lang w:val="es-DO"/>
        </w:rPr>
      </w:pPr>
      <w:r w:rsidRPr="0064264A">
        <w:rPr>
          <w:rFonts w:eastAsia="Calibri"/>
          <w:lang w:val="es-DO"/>
        </w:rPr>
        <w:t xml:space="preserve">Servicios Funerarios, a través de una Red de funerarias a </w:t>
      </w:r>
      <w:proofErr w:type="spellStart"/>
      <w:r w:rsidRPr="0064264A">
        <w:rPr>
          <w:rFonts w:eastAsia="Calibri"/>
          <w:lang w:val="es-DO"/>
        </w:rPr>
        <w:t>nivelnacional</w:t>
      </w:r>
      <w:proofErr w:type="spellEnd"/>
      <w:r w:rsidRPr="0064264A">
        <w:rPr>
          <w:rFonts w:eastAsia="Calibri"/>
          <w:lang w:val="es-DO"/>
        </w:rPr>
        <w:t>.</w:t>
      </w:r>
    </w:p>
    <w:p w14:paraId="45FB3EB5" w14:textId="77777777" w:rsidR="00D9267D" w:rsidRPr="0064264A" w:rsidRDefault="00D9267D" w:rsidP="00A40AE3">
      <w:pPr>
        <w:numPr>
          <w:ilvl w:val="0"/>
          <w:numId w:val="8"/>
        </w:numPr>
        <w:spacing w:line="360" w:lineRule="auto"/>
        <w:jc w:val="both"/>
        <w:rPr>
          <w:rFonts w:eastAsia="Calibri"/>
          <w:lang w:val="es-DO"/>
        </w:rPr>
      </w:pPr>
      <w:r w:rsidRPr="0064264A">
        <w:rPr>
          <w:rFonts w:eastAsia="Calibri"/>
          <w:lang w:val="es-DO"/>
        </w:rPr>
        <w:t>Consultorio médico en la Sede Principal, Oficinal Regional y Club de Empleados del Banco Central.</w:t>
      </w:r>
    </w:p>
    <w:p w14:paraId="18CB3A57" w14:textId="77777777" w:rsidR="00D9267D" w:rsidRPr="0064264A" w:rsidRDefault="00D9267D" w:rsidP="00D9267D">
      <w:pPr>
        <w:spacing w:line="360" w:lineRule="auto"/>
        <w:jc w:val="both"/>
        <w:rPr>
          <w:rFonts w:eastAsia="Calibri"/>
          <w:lang w:val="es-DO"/>
        </w:rPr>
      </w:pPr>
    </w:p>
    <w:p w14:paraId="4789E9E8" w14:textId="77777777" w:rsidR="00D9267D" w:rsidRPr="0064264A" w:rsidRDefault="00D9267D" w:rsidP="00D9267D">
      <w:pPr>
        <w:spacing w:line="360" w:lineRule="auto"/>
        <w:jc w:val="both"/>
        <w:rPr>
          <w:rFonts w:eastAsia="Calibri"/>
          <w:lang w:val="es-DO"/>
        </w:rPr>
      </w:pPr>
      <w:r w:rsidRPr="0064264A">
        <w:rPr>
          <w:rFonts w:eastAsia="Calibri"/>
          <w:lang w:val="es-DO"/>
        </w:rPr>
        <w:lastRenderedPageBreak/>
        <w:t xml:space="preserve">Además, el BCRD otorga permisos especiales a los colaboradores y conforme a lo establecido en su Reglamento Interno, dentro de los cuales destacamos la licencia por maternidad y lactancia, licencia por paternidad, por adopción, por matrimonio, por fallecimiento de padres, hijos, hermanos, conyugue, abuelos, nietos, tíos, sobrinos, suegro, nuera, yerno o cuñado. </w:t>
      </w:r>
    </w:p>
    <w:p w14:paraId="10DF3C01"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Con la finalidad de garantizar que el personal se mantenga actualizado con los temas de la institución al momento de hacer uso de estas facilidades, se cuenta con una plataforma tecnológica que permite disponer en todo momento de informaciones de interés de la institución para todo el personal. </w:t>
      </w:r>
    </w:p>
    <w:p w14:paraId="5F0DBA38" w14:textId="77777777" w:rsidR="00D9267D" w:rsidRPr="0064264A" w:rsidRDefault="00D9267D" w:rsidP="00D9267D">
      <w:pPr>
        <w:spacing w:line="360" w:lineRule="auto"/>
        <w:jc w:val="both"/>
        <w:rPr>
          <w:rFonts w:eastAsia="Calibri"/>
          <w:lang w:val="es-DO"/>
        </w:rPr>
      </w:pPr>
      <w:r w:rsidRPr="0064264A">
        <w:rPr>
          <w:rFonts w:eastAsia="Calibri"/>
          <w:lang w:val="es-DO"/>
        </w:rPr>
        <w:t>Otras facilidades que otorgó la institución fueron programas orientados a atender necesidades especiales de los colaboradores o de aquellos de menor ingreso, como son los siguientes:</w:t>
      </w:r>
    </w:p>
    <w:p w14:paraId="2CADD79A" w14:textId="77777777" w:rsidR="00D9267D" w:rsidRPr="0064264A" w:rsidRDefault="00D9267D" w:rsidP="00A40AE3">
      <w:pPr>
        <w:numPr>
          <w:ilvl w:val="0"/>
          <w:numId w:val="9"/>
        </w:numPr>
        <w:spacing w:line="360" w:lineRule="auto"/>
        <w:jc w:val="both"/>
        <w:rPr>
          <w:rFonts w:eastAsia="Calibri"/>
          <w:lang w:val="es-DO"/>
        </w:rPr>
      </w:pPr>
      <w:r w:rsidRPr="0064264A">
        <w:rPr>
          <w:rFonts w:eastAsia="Calibri"/>
          <w:lang w:val="es-DO"/>
        </w:rPr>
        <w:t>Programa de ayuda para la Primera Infancia.</w:t>
      </w:r>
    </w:p>
    <w:p w14:paraId="2434FFF2" w14:textId="77777777" w:rsidR="00D9267D" w:rsidRPr="0064264A" w:rsidRDefault="00D9267D" w:rsidP="00A40AE3">
      <w:pPr>
        <w:numPr>
          <w:ilvl w:val="0"/>
          <w:numId w:val="9"/>
        </w:numPr>
        <w:spacing w:line="360" w:lineRule="auto"/>
        <w:jc w:val="both"/>
        <w:rPr>
          <w:rFonts w:eastAsia="Calibri"/>
          <w:lang w:val="es-DO"/>
        </w:rPr>
      </w:pPr>
      <w:r w:rsidRPr="0064264A">
        <w:rPr>
          <w:rFonts w:eastAsia="Calibri"/>
          <w:lang w:val="es-DO"/>
        </w:rPr>
        <w:t>Ayuda a través de los programas de estudio para hijos del personal.</w:t>
      </w:r>
    </w:p>
    <w:p w14:paraId="204BA7F4" w14:textId="77777777" w:rsidR="00D9267D" w:rsidRPr="0064264A" w:rsidRDefault="00D9267D" w:rsidP="00A40AE3">
      <w:pPr>
        <w:numPr>
          <w:ilvl w:val="0"/>
          <w:numId w:val="9"/>
        </w:numPr>
        <w:spacing w:line="360" w:lineRule="auto"/>
        <w:jc w:val="both"/>
        <w:rPr>
          <w:rFonts w:eastAsia="Calibri"/>
          <w:lang w:val="es-DO"/>
        </w:rPr>
      </w:pPr>
      <w:r w:rsidRPr="0064264A">
        <w:rPr>
          <w:rFonts w:eastAsia="Calibri"/>
          <w:lang w:val="es-DO"/>
        </w:rPr>
        <w:t>Tarjeta metro.</w:t>
      </w:r>
    </w:p>
    <w:p w14:paraId="11770898" w14:textId="77777777" w:rsidR="00D9267D" w:rsidRPr="0064264A" w:rsidRDefault="00D9267D" w:rsidP="00A40AE3">
      <w:pPr>
        <w:numPr>
          <w:ilvl w:val="0"/>
          <w:numId w:val="9"/>
        </w:numPr>
        <w:spacing w:line="360" w:lineRule="auto"/>
        <w:jc w:val="both"/>
        <w:rPr>
          <w:rFonts w:eastAsia="Calibri"/>
          <w:lang w:val="es-DO"/>
        </w:rPr>
      </w:pPr>
      <w:r w:rsidRPr="0064264A">
        <w:rPr>
          <w:rFonts w:eastAsia="Calibri"/>
          <w:lang w:val="es-DO"/>
        </w:rPr>
        <w:t>Facilidades de Préstamos Personales e Hipotecarios.</w:t>
      </w:r>
    </w:p>
    <w:p w14:paraId="1E91779A" w14:textId="77777777" w:rsidR="00D9267D" w:rsidRPr="0064264A" w:rsidRDefault="00D9267D" w:rsidP="00A40AE3">
      <w:pPr>
        <w:numPr>
          <w:ilvl w:val="0"/>
          <w:numId w:val="9"/>
        </w:numPr>
        <w:spacing w:line="360" w:lineRule="auto"/>
        <w:jc w:val="both"/>
        <w:rPr>
          <w:rFonts w:eastAsia="Calibri"/>
          <w:lang w:val="es-DO"/>
        </w:rPr>
      </w:pPr>
      <w:r w:rsidRPr="0064264A">
        <w:rPr>
          <w:rFonts w:eastAsia="Calibri"/>
          <w:lang w:val="es-DO"/>
        </w:rPr>
        <w:t>Facilidad para la adquisición de útiles escolares, a través del Voluntariado del BCRD.</w:t>
      </w:r>
    </w:p>
    <w:p w14:paraId="4DA61441" w14:textId="77777777" w:rsidR="00D9267D" w:rsidRPr="0064264A" w:rsidRDefault="00D9267D" w:rsidP="00A40AE3">
      <w:pPr>
        <w:numPr>
          <w:ilvl w:val="0"/>
          <w:numId w:val="9"/>
        </w:numPr>
        <w:spacing w:line="360" w:lineRule="auto"/>
        <w:jc w:val="both"/>
        <w:rPr>
          <w:rFonts w:eastAsia="Calibri"/>
          <w:lang w:val="es-DO"/>
        </w:rPr>
      </w:pPr>
      <w:r w:rsidRPr="0064264A">
        <w:rPr>
          <w:rFonts w:eastAsia="Calibri"/>
          <w:lang w:val="es-DO"/>
        </w:rPr>
        <w:t>Sala de lactancia en la sede central.</w:t>
      </w:r>
    </w:p>
    <w:p w14:paraId="7763DC20" w14:textId="77777777" w:rsidR="00D9267D" w:rsidRPr="0064264A" w:rsidRDefault="00D9267D" w:rsidP="00A40AE3">
      <w:pPr>
        <w:numPr>
          <w:ilvl w:val="0"/>
          <w:numId w:val="9"/>
        </w:numPr>
        <w:spacing w:line="360" w:lineRule="auto"/>
        <w:jc w:val="both"/>
        <w:rPr>
          <w:rFonts w:eastAsia="Calibri"/>
          <w:lang w:val="es-DO"/>
        </w:rPr>
      </w:pPr>
      <w:r w:rsidRPr="0064264A">
        <w:rPr>
          <w:rFonts w:eastAsia="Calibri"/>
          <w:lang w:val="es-DO"/>
        </w:rPr>
        <w:t>Cafeterías.</w:t>
      </w:r>
    </w:p>
    <w:p w14:paraId="4D00A1A6" w14:textId="77777777" w:rsidR="00D9267D" w:rsidRPr="0064264A" w:rsidRDefault="00D9267D" w:rsidP="00A40AE3">
      <w:pPr>
        <w:numPr>
          <w:ilvl w:val="0"/>
          <w:numId w:val="9"/>
        </w:numPr>
        <w:spacing w:line="360" w:lineRule="auto"/>
        <w:jc w:val="both"/>
        <w:rPr>
          <w:rFonts w:eastAsia="Calibri"/>
          <w:lang w:val="es-DO"/>
        </w:rPr>
      </w:pPr>
      <w:r w:rsidRPr="0064264A">
        <w:rPr>
          <w:rFonts w:eastAsia="Calibri"/>
          <w:lang w:val="es-DO"/>
        </w:rPr>
        <w:t>Subsidio para almuerzo.</w:t>
      </w:r>
    </w:p>
    <w:p w14:paraId="2C46380B"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Además, el BCRD en procura de la búsqueda del bienestar de todo colaborador de la institución, se cuenta con gimnasios en las </w:t>
      </w:r>
      <w:r w:rsidRPr="0064264A">
        <w:rPr>
          <w:rFonts w:eastAsia="Calibri"/>
          <w:lang w:val="es-DO"/>
        </w:rPr>
        <w:lastRenderedPageBreak/>
        <w:t>instalaciones del Club de Empleados del Banco Central y se otorgan diferentes tipos de obsequios para premiar y reconocer la antigüedad del personal, por ejemplo:</w:t>
      </w:r>
    </w:p>
    <w:p w14:paraId="1CE0D690" w14:textId="77777777" w:rsidR="00D9267D" w:rsidRPr="0064264A" w:rsidRDefault="00D9267D" w:rsidP="00A40AE3">
      <w:pPr>
        <w:numPr>
          <w:ilvl w:val="0"/>
          <w:numId w:val="10"/>
        </w:numPr>
        <w:spacing w:line="360" w:lineRule="auto"/>
        <w:jc w:val="both"/>
        <w:rPr>
          <w:rFonts w:eastAsia="Calibri"/>
          <w:lang w:val="es-DO"/>
        </w:rPr>
      </w:pPr>
      <w:r w:rsidRPr="0064264A">
        <w:rPr>
          <w:rFonts w:eastAsia="Calibri"/>
          <w:lang w:val="es-DO"/>
        </w:rPr>
        <w:t>Programa de ejercicios dentro de las instalaciones del CEBC.</w:t>
      </w:r>
    </w:p>
    <w:p w14:paraId="7894209C" w14:textId="77777777" w:rsidR="00D9267D" w:rsidRPr="0064264A" w:rsidRDefault="00D9267D" w:rsidP="00A40AE3">
      <w:pPr>
        <w:numPr>
          <w:ilvl w:val="0"/>
          <w:numId w:val="10"/>
        </w:numPr>
        <w:spacing w:line="360" w:lineRule="auto"/>
        <w:jc w:val="both"/>
        <w:rPr>
          <w:rFonts w:eastAsia="Calibri"/>
          <w:lang w:val="es-DO"/>
        </w:rPr>
      </w:pPr>
      <w:r w:rsidRPr="0064264A">
        <w:rPr>
          <w:rFonts w:eastAsia="Calibri"/>
          <w:lang w:val="es-DO"/>
        </w:rPr>
        <w:t>Beneficio de tarjeta metro al personal de menor ingreso.</w:t>
      </w:r>
    </w:p>
    <w:p w14:paraId="65B3F9C1" w14:textId="77777777" w:rsidR="00D9267D" w:rsidRPr="0064264A" w:rsidRDefault="00D9267D" w:rsidP="00A40AE3">
      <w:pPr>
        <w:numPr>
          <w:ilvl w:val="0"/>
          <w:numId w:val="10"/>
        </w:numPr>
        <w:spacing w:line="360" w:lineRule="auto"/>
        <w:jc w:val="both"/>
        <w:rPr>
          <w:rFonts w:eastAsia="Calibri"/>
          <w:lang w:val="es-DO"/>
        </w:rPr>
      </w:pPr>
      <w:r w:rsidRPr="0064264A">
        <w:rPr>
          <w:rFonts w:eastAsia="Calibri"/>
          <w:lang w:val="es-DO"/>
        </w:rPr>
        <w:t>Charlas en temas económicos y financieros para no economistas.</w:t>
      </w:r>
    </w:p>
    <w:p w14:paraId="44814F55" w14:textId="77777777" w:rsidR="00D9267D" w:rsidRPr="0064264A" w:rsidRDefault="00D9267D" w:rsidP="00A40AE3">
      <w:pPr>
        <w:numPr>
          <w:ilvl w:val="0"/>
          <w:numId w:val="10"/>
        </w:numPr>
        <w:spacing w:line="360" w:lineRule="auto"/>
        <w:jc w:val="both"/>
        <w:rPr>
          <w:rFonts w:eastAsia="Calibri"/>
          <w:lang w:val="es-DO"/>
        </w:rPr>
      </w:pPr>
      <w:r w:rsidRPr="0064264A">
        <w:rPr>
          <w:rFonts w:eastAsia="Calibri"/>
          <w:lang w:val="es-DO"/>
        </w:rPr>
        <w:t>Actividad día de las madres.</w:t>
      </w:r>
    </w:p>
    <w:p w14:paraId="2FCD5123" w14:textId="77777777" w:rsidR="00D9267D" w:rsidRPr="0064264A" w:rsidRDefault="00D9267D" w:rsidP="00A40AE3">
      <w:pPr>
        <w:numPr>
          <w:ilvl w:val="0"/>
          <w:numId w:val="10"/>
        </w:numPr>
        <w:spacing w:line="360" w:lineRule="auto"/>
        <w:jc w:val="both"/>
        <w:rPr>
          <w:rFonts w:eastAsia="Calibri"/>
          <w:lang w:val="es-DO"/>
        </w:rPr>
      </w:pPr>
      <w:r w:rsidRPr="0064264A">
        <w:rPr>
          <w:rFonts w:eastAsia="Calibri"/>
          <w:lang w:val="es-DO"/>
        </w:rPr>
        <w:t>Regalo del día de los padres.</w:t>
      </w:r>
    </w:p>
    <w:p w14:paraId="72AE7CB6" w14:textId="77777777" w:rsidR="00D9267D" w:rsidRPr="0064264A" w:rsidRDefault="00D9267D" w:rsidP="00A40AE3">
      <w:pPr>
        <w:numPr>
          <w:ilvl w:val="0"/>
          <w:numId w:val="10"/>
        </w:numPr>
        <w:spacing w:line="360" w:lineRule="auto"/>
        <w:jc w:val="both"/>
        <w:rPr>
          <w:rFonts w:eastAsia="Calibri"/>
          <w:lang w:val="es-DO"/>
        </w:rPr>
      </w:pPr>
      <w:r w:rsidRPr="0064264A">
        <w:rPr>
          <w:rFonts w:eastAsia="Calibri"/>
          <w:lang w:val="es-DO"/>
        </w:rPr>
        <w:t>Actividad del día de la mujer.</w:t>
      </w:r>
    </w:p>
    <w:p w14:paraId="4FF27044" w14:textId="18A2AE86" w:rsidR="00D9267D" w:rsidRPr="0064264A" w:rsidRDefault="00D9267D" w:rsidP="00A40AE3">
      <w:pPr>
        <w:numPr>
          <w:ilvl w:val="0"/>
          <w:numId w:val="10"/>
        </w:numPr>
        <w:spacing w:line="360" w:lineRule="auto"/>
        <w:jc w:val="both"/>
        <w:rPr>
          <w:rFonts w:eastAsia="Calibri"/>
          <w:lang w:val="es-DO"/>
        </w:rPr>
      </w:pPr>
      <w:r w:rsidRPr="0064264A">
        <w:rPr>
          <w:rFonts w:eastAsia="Calibri"/>
          <w:lang w:val="es-DO"/>
        </w:rPr>
        <w:t>Actividad día de la secretaria</w:t>
      </w:r>
    </w:p>
    <w:p w14:paraId="22C9CF73" w14:textId="77777777" w:rsidR="00D9267D" w:rsidRPr="0064264A" w:rsidRDefault="00D9267D" w:rsidP="00D9267D">
      <w:pPr>
        <w:spacing w:line="360" w:lineRule="auto"/>
        <w:jc w:val="both"/>
        <w:rPr>
          <w:rFonts w:eastAsia="Calibri"/>
          <w:b/>
          <w:lang w:val="es-DO"/>
        </w:rPr>
      </w:pPr>
      <w:r w:rsidRPr="0064264A">
        <w:rPr>
          <w:rFonts w:eastAsia="Calibri"/>
          <w:b/>
          <w:lang w:val="es-DO"/>
        </w:rPr>
        <w:t>Prevención de Riesgos</w:t>
      </w:r>
    </w:p>
    <w:p w14:paraId="33283416"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La institución reafirma el compromiso con la seguridad del personal y el cuidado al medioambiente, desarrollando planes y actividades, tales como: </w:t>
      </w:r>
    </w:p>
    <w:p w14:paraId="28630A82" w14:textId="77777777" w:rsidR="00D9267D" w:rsidRPr="0064264A" w:rsidRDefault="00D9267D" w:rsidP="00A40AE3">
      <w:pPr>
        <w:numPr>
          <w:ilvl w:val="0"/>
          <w:numId w:val="8"/>
        </w:numPr>
        <w:spacing w:line="360" w:lineRule="auto"/>
        <w:jc w:val="both"/>
        <w:rPr>
          <w:rFonts w:eastAsia="Calibri"/>
          <w:lang w:val="es-DO"/>
        </w:rPr>
      </w:pPr>
      <w:r w:rsidRPr="0064264A">
        <w:rPr>
          <w:rFonts w:eastAsia="Calibri"/>
          <w:lang w:val="es-DO"/>
        </w:rPr>
        <w:t>Planes de emergencia y evacuación.</w:t>
      </w:r>
    </w:p>
    <w:p w14:paraId="7A96E0E2" w14:textId="77777777" w:rsidR="00D9267D" w:rsidRPr="0064264A" w:rsidRDefault="00D9267D" w:rsidP="00A40AE3">
      <w:pPr>
        <w:numPr>
          <w:ilvl w:val="0"/>
          <w:numId w:val="8"/>
        </w:numPr>
        <w:spacing w:line="360" w:lineRule="auto"/>
        <w:jc w:val="both"/>
        <w:rPr>
          <w:rFonts w:eastAsia="Calibri"/>
          <w:lang w:val="es-DO"/>
        </w:rPr>
      </w:pPr>
      <w:r w:rsidRPr="0064264A">
        <w:rPr>
          <w:rFonts w:eastAsia="Calibri"/>
          <w:lang w:val="es-DO"/>
        </w:rPr>
        <w:t>Auditorías en las instalaciones de la institución para garantizar que las condiciones de trabajo sean seguras y cumplan con las normativas aplicables.</w:t>
      </w:r>
    </w:p>
    <w:p w14:paraId="4A89D306" w14:textId="1807456F" w:rsidR="00B07742" w:rsidRPr="0064264A" w:rsidRDefault="00D9267D" w:rsidP="00A40AE3">
      <w:pPr>
        <w:numPr>
          <w:ilvl w:val="0"/>
          <w:numId w:val="8"/>
        </w:numPr>
        <w:spacing w:line="360" w:lineRule="auto"/>
        <w:jc w:val="both"/>
        <w:rPr>
          <w:rFonts w:eastAsia="Calibri"/>
          <w:lang w:val="es-DO"/>
        </w:rPr>
      </w:pPr>
      <w:r w:rsidRPr="0064264A">
        <w:rPr>
          <w:rFonts w:eastAsia="Calibri"/>
          <w:lang w:val="es-DO"/>
        </w:rPr>
        <w:t>Provee los Equipos de Protección Personal (EPP) necesarios para la ejecución de los trabajos de manera segura.</w:t>
      </w:r>
    </w:p>
    <w:p w14:paraId="4AF15AA8" w14:textId="77777777" w:rsidR="00D9267D" w:rsidRPr="0064264A" w:rsidRDefault="00D9267D" w:rsidP="00245795">
      <w:pPr>
        <w:pStyle w:val="Heading1"/>
        <w:jc w:val="left"/>
        <w:rPr>
          <w:rFonts w:eastAsia="Calibri"/>
          <w:color w:val="767171"/>
          <w:lang w:val="es-DO"/>
        </w:rPr>
      </w:pPr>
      <w:bookmarkStart w:id="29" w:name="_Toc217386293"/>
      <w:r w:rsidRPr="0064264A">
        <w:rPr>
          <w:rFonts w:eastAsia="Calibri"/>
          <w:color w:val="767171"/>
          <w:lang w:val="es-DO"/>
        </w:rPr>
        <w:t>4.3 Desempeño de los Procesos Jurídicos</w:t>
      </w:r>
      <w:bookmarkEnd w:id="29"/>
    </w:p>
    <w:p w14:paraId="282FA923"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Durante el ejercicio correspondiente al año 2025, sostuvo una activa participación en la revisión, elaboración, negociación y formalización de instrumentos jurídicos nacionales e internacionales </w:t>
      </w:r>
      <w:r w:rsidRPr="0064264A">
        <w:rPr>
          <w:rFonts w:eastAsia="Calibri"/>
          <w:lang w:val="es-DO"/>
        </w:rPr>
        <w:lastRenderedPageBreak/>
        <w:t>requeridos para respaldar la actividad institucional del Banco Central de la República Dominicana (BCRD).</w:t>
      </w:r>
    </w:p>
    <w:p w14:paraId="47786FD8" w14:textId="77777777" w:rsidR="00D9267D" w:rsidRPr="0064264A" w:rsidRDefault="00D9267D" w:rsidP="00D9267D">
      <w:pPr>
        <w:spacing w:line="360" w:lineRule="auto"/>
        <w:jc w:val="both"/>
        <w:rPr>
          <w:rFonts w:eastAsia="Calibri"/>
          <w:lang w:val="es-DO"/>
        </w:rPr>
      </w:pPr>
      <w:r w:rsidRPr="0064264A">
        <w:rPr>
          <w:rFonts w:eastAsia="Calibri"/>
          <w:lang w:val="es-DO"/>
        </w:rPr>
        <w:t>En total, se trabajó en veintisiete (27) acuerdos, distribuidos en doce (12) de alcance nacional y quince (15) internacionales. De estos, diez (10) acuerdos nacionales y seis (6) internacionales alcanzaron etapa de suscripción formal. A la fecha de cierre del período reportado, se mantenían once (11) acuerdos y enmiendas contractuales en proceso de formalización y negociación, acompañando su adecuada gestión jurídica en coordinación con las áreas involucradas.</w:t>
      </w:r>
    </w:p>
    <w:p w14:paraId="726779EC" w14:textId="77777777" w:rsidR="00D9267D" w:rsidRPr="0064264A" w:rsidRDefault="00D9267D" w:rsidP="00D9267D">
      <w:pPr>
        <w:spacing w:line="360" w:lineRule="auto"/>
        <w:jc w:val="both"/>
        <w:rPr>
          <w:rFonts w:eastAsia="Calibri"/>
          <w:lang w:val="es-DO"/>
        </w:rPr>
      </w:pPr>
      <w:r w:rsidRPr="0064264A">
        <w:rPr>
          <w:rFonts w:eastAsia="Calibri"/>
          <w:lang w:val="es-DO"/>
        </w:rPr>
        <w:t>En el ámbito nacional, la dependencia desarrolló actividades claves orientadas a garantizar el cumplimiento de los requisitos legales, la seguridad jurídica y la correcta ejecución contractual. Dentro de los acuerdos nacional formalizados se destacan dos contratos principales:</w:t>
      </w:r>
    </w:p>
    <w:p w14:paraId="06BD4561" w14:textId="77777777" w:rsidR="00D9267D" w:rsidRPr="0064264A" w:rsidRDefault="00D9267D" w:rsidP="00A40AE3">
      <w:pPr>
        <w:numPr>
          <w:ilvl w:val="0"/>
          <w:numId w:val="22"/>
        </w:numPr>
        <w:spacing w:line="360" w:lineRule="auto"/>
        <w:jc w:val="both"/>
        <w:rPr>
          <w:rFonts w:eastAsia="Calibri"/>
          <w:lang w:val="es-DO"/>
        </w:rPr>
      </w:pPr>
      <w:r w:rsidRPr="0064264A">
        <w:rPr>
          <w:rFonts w:eastAsia="Calibri"/>
          <w:b/>
          <w:bCs/>
          <w:lang w:val="es-DO"/>
        </w:rPr>
        <w:t>Contrato de uso de espacio temporal para la XVII Feria Internacional del Libro de Santo Domingo 2025</w:t>
      </w:r>
      <w:r w:rsidRPr="0064264A">
        <w:rPr>
          <w:rFonts w:eastAsia="Calibri"/>
          <w:lang w:val="es-DO"/>
        </w:rPr>
        <w:t>, suscrito el 27 de agosto de 2025 entre el BCRD y el Ministerio de Cultura, mediante el cual se aseguró la debida formalización para la participación institucional en el evento celebrado del 25 de septiembre al 5 de octubre de 2025.</w:t>
      </w:r>
    </w:p>
    <w:p w14:paraId="261B4A6B" w14:textId="77777777" w:rsidR="00D9267D" w:rsidRPr="0064264A" w:rsidRDefault="00D9267D" w:rsidP="00A40AE3">
      <w:pPr>
        <w:numPr>
          <w:ilvl w:val="0"/>
          <w:numId w:val="22"/>
        </w:numPr>
        <w:spacing w:line="360" w:lineRule="auto"/>
        <w:jc w:val="both"/>
        <w:rPr>
          <w:rFonts w:eastAsia="Calibri"/>
          <w:lang w:val="es-DO"/>
        </w:rPr>
      </w:pPr>
      <w:r w:rsidRPr="0064264A">
        <w:rPr>
          <w:rFonts w:eastAsia="Calibri"/>
          <w:b/>
          <w:bCs/>
          <w:lang w:val="es-DO"/>
        </w:rPr>
        <w:t>Contrato tripartito de custodia de valores con CEVALDOM Depósito Centralizado de Valores, S.A. y la AFP APS, S.A.</w:t>
      </w:r>
      <w:r w:rsidRPr="0064264A">
        <w:rPr>
          <w:rFonts w:eastAsia="Calibri"/>
          <w:lang w:val="es-DO"/>
        </w:rPr>
        <w:t>, suscrito el 15 de octubre de 2025, mediante el cual se establecen obligaciones relativas a la prestación de servicios de depósito centralizado de valores y custodia de instrumentos financieros entregados en depósito.</w:t>
      </w:r>
    </w:p>
    <w:p w14:paraId="0002BCD9"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De forma complementaria, se ejecutaron labores relacionadas con la elaboración, revisión y firma de siete (7) contratos de edición e impresión y ocho (8) </w:t>
      </w:r>
      <w:r w:rsidRPr="0064264A">
        <w:rPr>
          <w:rFonts w:eastAsia="Calibri"/>
          <w:lang w:val="es-DO"/>
        </w:rPr>
        <w:lastRenderedPageBreak/>
        <w:t>declaraciones de autorización de derechos de propiedad intelectual vinculados a obras literarias publicadas bajo auspicio del Banco Central. Estas actuaciones abarcaron contratos con autores individuales y colectivos, así como autorizaciones formales para la utilización de ilustraciones digitales, fotografías, diseños y otros elementos artísticos destinados a portadas y contenidos de publicaciones institucionales.</w:t>
      </w:r>
    </w:p>
    <w:p w14:paraId="0413795F" w14:textId="77777777" w:rsidR="00D9267D" w:rsidRPr="0064264A" w:rsidRDefault="00D9267D" w:rsidP="00D9267D">
      <w:pPr>
        <w:spacing w:line="360" w:lineRule="auto"/>
        <w:jc w:val="both"/>
        <w:rPr>
          <w:rFonts w:eastAsia="Calibri"/>
          <w:lang w:val="es-DO"/>
        </w:rPr>
      </w:pPr>
      <w:r w:rsidRPr="0064264A">
        <w:rPr>
          <w:rFonts w:eastAsia="Calibri"/>
          <w:lang w:val="es-DO"/>
        </w:rPr>
        <w:t>Estas gestiones permitieron asegurar el cumplimiento del régimen legal de propiedad intelectual, garantizar la utilización autorizada de contenidos protegidos por derechos de autor, y respaldar la continuidad del programa editorial institucional mediante instrumentos jurídicos adecuados y debidamente formalizados.</w:t>
      </w:r>
    </w:p>
    <w:p w14:paraId="7A23EF40" w14:textId="77777777" w:rsidR="00D9267D" w:rsidRPr="0064264A" w:rsidRDefault="00D9267D" w:rsidP="00D9267D">
      <w:pPr>
        <w:spacing w:line="360" w:lineRule="auto"/>
        <w:jc w:val="both"/>
        <w:rPr>
          <w:rFonts w:eastAsia="Calibri"/>
          <w:lang w:val="es-DO"/>
        </w:rPr>
      </w:pPr>
      <w:r w:rsidRPr="0064264A">
        <w:rPr>
          <w:rFonts w:eastAsia="Calibri"/>
          <w:lang w:val="es-DO"/>
        </w:rPr>
        <w:t>El conjunto de actuaciones realizadas evidencia el compromiso de la dependencia con la seguridad jurídica, la transparencia en los procesos contractuales y la gestión eficiente de los acuerdos institucionales. Asimismo, se fortalece el rol del Banco Central como ente garante del cumplimiento normativo en los actos jurídicos vinculantes con instituciones públicas, privadas y actores del sector cultural, contribuyendo a la difusión del patrimonio bibliográfico nacional, la protección de los derechos de autor y la correcta administración de contratos financieros y patrimoniales.</w:t>
      </w:r>
    </w:p>
    <w:p w14:paraId="4F9E6BB3" w14:textId="77777777" w:rsidR="00D9267D" w:rsidRPr="0064264A" w:rsidRDefault="00D9267D" w:rsidP="00D9267D">
      <w:pPr>
        <w:spacing w:line="360" w:lineRule="auto"/>
        <w:jc w:val="both"/>
        <w:rPr>
          <w:rFonts w:eastAsia="Calibri"/>
          <w:lang w:val="es-DO"/>
        </w:rPr>
      </w:pPr>
      <w:r w:rsidRPr="0064264A">
        <w:rPr>
          <w:rFonts w:eastAsia="Calibri"/>
          <w:lang w:val="es-DO"/>
        </w:rPr>
        <w:t>Estas acciones consolidan avances significativos en la gestión jurídica preventiva, la supervisión de obligaciones contractuales y la coordinación interinstitucional, asegurando que los acuerdos suscritos se ejecuten conforme a las leyes, reglamentos internos y buenas prácticas administrativas vigentes en el ejercicio 2025.</w:t>
      </w:r>
    </w:p>
    <w:p w14:paraId="19DD2D64" w14:textId="77777777" w:rsidR="00580C8E" w:rsidRPr="0064264A" w:rsidRDefault="00580C8E" w:rsidP="00D9267D">
      <w:pPr>
        <w:spacing w:line="360" w:lineRule="auto"/>
        <w:jc w:val="both"/>
        <w:rPr>
          <w:rFonts w:eastAsia="Calibri"/>
          <w:lang w:val="es-DO"/>
        </w:rPr>
      </w:pPr>
    </w:p>
    <w:p w14:paraId="3DEFE32B" w14:textId="77777777" w:rsidR="00580C8E" w:rsidRPr="0064264A" w:rsidRDefault="00580C8E" w:rsidP="00D9267D">
      <w:pPr>
        <w:spacing w:line="360" w:lineRule="auto"/>
        <w:jc w:val="both"/>
        <w:rPr>
          <w:rFonts w:eastAsia="Calibri"/>
          <w:lang w:val="es-DO"/>
        </w:rPr>
      </w:pPr>
    </w:p>
    <w:p w14:paraId="0B967FBB" w14:textId="77777777" w:rsidR="00D9267D" w:rsidRPr="0064264A" w:rsidRDefault="00D9267D" w:rsidP="00D9267D">
      <w:pPr>
        <w:spacing w:line="360" w:lineRule="auto"/>
        <w:jc w:val="both"/>
        <w:rPr>
          <w:rFonts w:eastAsia="Calibri"/>
          <w:b/>
          <w:lang w:val="es-DO"/>
        </w:rPr>
      </w:pPr>
      <w:r w:rsidRPr="0064264A">
        <w:rPr>
          <w:rFonts w:eastAsia="Calibri"/>
          <w:b/>
          <w:lang w:val="es-DO"/>
        </w:rPr>
        <w:lastRenderedPageBreak/>
        <w:t>Gestiones realizadas en el ámbito Nacional:</w:t>
      </w:r>
    </w:p>
    <w:p w14:paraId="27AEEA46" w14:textId="77777777" w:rsidR="00D9267D" w:rsidRPr="0064264A" w:rsidRDefault="00D9267D" w:rsidP="00D9267D">
      <w:pPr>
        <w:spacing w:line="360" w:lineRule="auto"/>
        <w:jc w:val="both"/>
        <w:rPr>
          <w:rFonts w:eastAsia="Calibri"/>
          <w:lang w:val="es-DO"/>
        </w:rPr>
      </w:pPr>
      <w:r w:rsidRPr="0064264A">
        <w:rPr>
          <w:rFonts w:eastAsia="Calibri"/>
          <w:lang w:val="es-DO"/>
        </w:rPr>
        <w:t>Durante el período enero – diciembre de 2025, la Consultoría Jurídica trabajó en los documentos siguientes:</w:t>
      </w:r>
    </w:p>
    <w:p w14:paraId="7C5E41E3"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Plataforma Cambiaria BCRD – Circular núm. 251 (9 de enero de 2025)</w:t>
      </w:r>
    </w:p>
    <w:p w14:paraId="4712A616" w14:textId="77777777" w:rsidR="00D9267D" w:rsidRPr="0064264A" w:rsidRDefault="00D9267D" w:rsidP="00A40AE3">
      <w:pPr>
        <w:numPr>
          <w:ilvl w:val="0"/>
          <w:numId w:val="23"/>
        </w:numPr>
        <w:spacing w:line="360" w:lineRule="auto"/>
        <w:jc w:val="both"/>
        <w:rPr>
          <w:rFonts w:eastAsia="Calibri"/>
          <w:lang w:val="es-DO"/>
        </w:rPr>
      </w:pPr>
      <w:r w:rsidRPr="0064264A">
        <w:rPr>
          <w:rFonts w:eastAsia="Calibri"/>
          <w:lang w:val="es-DO"/>
        </w:rPr>
        <w:t>Revisión jurídica integral de la Circular núm. 251 mediante la cual se notificó la enmienda al contrato de participación en la Plataforma Cambiaria BCRD.</w:t>
      </w:r>
    </w:p>
    <w:p w14:paraId="317A8750" w14:textId="77777777" w:rsidR="00D9267D" w:rsidRPr="0064264A" w:rsidRDefault="00D9267D" w:rsidP="00A40AE3">
      <w:pPr>
        <w:numPr>
          <w:ilvl w:val="0"/>
          <w:numId w:val="23"/>
        </w:numPr>
        <w:spacing w:line="360" w:lineRule="auto"/>
        <w:jc w:val="both"/>
        <w:rPr>
          <w:rFonts w:eastAsia="Calibri"/>
          <w:lang w:val="es-DO"/>
        </w:rPr>
      </w:pPr>
      <w:r w:rsidRPr="0064264A">
        <w:rPr>
          <w:rFonts w:eastAsia="Calibri"/>
          <w:lang w:val="es-DO"/>
        </w:rPr>
        <w:t>Se realizaron cuatro (4) rondas de revisión:</w:t>
      </w:r>
    </w:p>
    <w:p w14:paraId="44A5E26D" w14:textId="77777777" w:rsidR="00D9267D" w:rsidRPr="0064264A" w:rsidRDefault="00D9267D" w:rsidP="00A40AE3">
      <w:pPr>
        <w:numPr>
          <w:ilvl w:val="1"/>
          <w:numId w:val="23"/>
        </w:numPr>
        <w:spacing w:line="360" w:lineRule="auto"/>
        <w:jc w:val="both"/>
        <w:rPr>
          <w:rFonts w:eastAsia="Calibri"/>
          <w:lang w:val="es-DO"/>
        </w:rPr>
      </w:pPr>
      <w:r w:rsidRPr="0064264A">
        <w:rPr>
          <w:rFonts w:eastAsia="Calibri"/>
          <w:lang w:val="es-DO"/>
        </w:rPr>
        <w:t>tres rondas preparatorias en 2024.</w:t>
      </w:r>
    </w:p>
    <w:p w14:paraId="2AEC4BB0" w14:textId="77777777" w:rsidR="00D9267D" w:rsidRPr="0064264A" w:rsidRDefault="00D9267D" w:rsidP="00A40AE3">
      <w:pPr>
        <w:numPr>
          <w:ilvl w:val="1"/>
          <w:numId w:val="23"/>
        </w:numPr>
        <w:spacing w:line="360" w:lineRule="auto"/>
        <w:jc w:val="both"/>
        <w:rPr>
          <w:rFonts w:eastAsia="Calibri"/>
          <w:lang w:val="es-DO"/>
        </w:rPr>
      </w:pPr>
      <w:r w:rsidRPr="0064264A">
        <w:rPr>
          <w:rFonts w:eastAsia="Calibri"/>
          <w:lang w:val="es-DO"/>
        </w:rPr>
        <w:t>una ronda final en 2025, correspondiente a la versión de firma.</w:t>
      </w:r>
    </w:p>
    <w:p w14:paraId="62624E88" w14:textId="323E1EC8" w:rsidR="00D9267D" w:rsidRPr="0064264A" w:rsidRDefault="00D9267D" w:rsidP="00A40AE3">
      <w:pPr>
        <w:numPr>
          <w:ilvl w:val="0"/>
          <w:numId w:val="23"/>
        </w:numPr>
        <w:spacing w:line="360" w:lineRule="auto"/>
        <w:jc w:val="both"/>
        <w:rPr>
          <w:rFonts w:eastAsia="Calibri"/>
          <w:lang w:val="es-DO"/>
        </w:rPr>
      </w:pPr>
      <w:r w:rsidRPr="0064264A">
        <w:rPr>
          <w:rFonts w:eastAsia="Calibri"/>
          <w:lang w:val="es-DO"/>
        </w:rPr>
        <w:t>La revisión se orientó a actualizar el aporte por uso y la modalidad de pago aplicable a los participantes.</w:t>
      </w:r>
    </w:p>
    <w:p w14:paraId="706B90DE"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Departamento de Tesorería – Notas de riesgo legal</w:t>
      </w:r>
    </w:p>
    <w:p w14:paraId="69A19034" w14:textId="77777777" w:rsidR="00D9267D" w:rsidRPr="0064264A" w:rsidRDefault="00D9267D" w:rsidP="00A40AE3">
      <w:pPr>
        <w:numPr>
          <w:ilvl w:val="0"/>
          <w:numId w:val="24"/>
        </w:numPr>
        <w:spacing w:line="360" w:lineRule="auto"/>
        <w:jc w:val="both"/>
        <w:rPr>
          <w:rFonts w:eastAsia="Calibri"/>
          <w:lang w:val="es-DO"/>
        </w:rPr>
      </w:pPr>
      <w:r w:rsidRPr="0064264A">
        <w:rPr>
          <w:rFonts w:eastAsia="Calibri"/>
          <w:lang w:val="es-DO"/>
        </w:rPr>
        <w:t>Revisión de la redacción y contenido técnico jurídico de las notas de riesgo legal vinculadas a la gestión de Tesorería.</w:t>
      </w:r>
    </w:p>
    <w:p w14:paraId="2C3298B0" w14:textId="716792CC" w:rsidR="00D9267D" w:rsidRPr="0064264A" w:rsidRDefault="00D9267D" w:rsidP="00D9267D">
      <w:pPr>
        <w:numPr>
          <w:ilvl w:val="0"/>
          <w:numId w:val="24"/>
        </w:numPr>
        <w:spacing w:line="360" w:lineRule="auto"/>
        <w:jc w:val="both"/>
        <w:rPr>
          <w:rFonts w:eastAsia="Calibri"/>
          <w:lang w:val="es-DO"/>
        </w:rPr>
      </w:pPr>
      <w:r w:rsidRPr="0064264A">
        <w:rPr>
          <w:rFonts w:eastAsia="Calibri"/>
          <w:lang w:val="es-DO"/>
        </w:rPr>
        <w:t>Las notas fueron preparadas para su incorporación en los estados financieros institucionales del año 2024.</w:t>
      </w:r>
    </w:p>
    <w:p w14:paraId="2C18712E"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Modificación del Reglamento Cambiario</w:t>
      </w:r>
    </w:p>
    <w:p w14:paraId="40BAB200" w14:textId="77777777" w:rsidR="00D9267D" w:rsidRPr="0064264A" w:rsidRDefault="00D9267D" w:rsidP="00A40AE3">
      <w:pPr>
        <w:numPr>
          <w:ilvl w:val="0"/>
          <w:numId w:val="25"/>
        </w:numPr>
        <w:spacing w:line="360" w:lineRule="auto"/>
        <w:jc w:val="both"/>
        <w:rPr>
          <w:rFonts w:eastAsia="Calibri"/>
          <w:lang w:val="es-DO"/>
        </w:rPr>
      </w:pPr>
      <w:r w:rsidRPr="0064264A">
        <w:rPr>
          <w:rFonts w:eastAsia="Calibri"/>
          <w:lang w:val="es-DO"/>
        </w:rPr>
        <w:t>Revisión de la propuesta de modificación del Reglamento Cambiario para:</w:t>
      </w:r>
    </w:p>
    <w:p w14:paraId="554B7DFE" w14:textId="5C170FE3" w:rsidR="00D9267D" w:rsidRPr="0064264A" w:rsidRDefault="00580C8E" w:rsidP="00A40AE3">
      <w:pPr>
        <w:numPr>
          <w:ilvl w:val="1"/>
          <w:numId w:val="25"/>
        </w:numPr>
        <w:spacing w:line="360" w:lineRule="auto"/>
        <w:jc w:val="both"/>
        <w:rPr>
          <w:rFonts w:eastAsia="Calibri"/>
          <w:lang w:val="es-DO"/>
        </w:rPr>
      </w:pPr>
      <w:r w:rsidRPr="0064264A">
        <w:rPr>
          <w:rFonts w:eastAsia="Calibri"/>
          <w:lang w:val="es-DO"/>
        </w:rPr>
        <w:t>I</w:t>
      </w:r>
      <w:r w:rsidR="00D9267D" w:rsidRPr="0064264A">
        <w:rPr>
          <w:rFonts w:eastAsia="Calibri"/>
          <w:lang w:val="es-DO"/>
        </w:rPr>
        <w:t>ncorporar intermediarios cambiarios como participantes autorizados en la Plataforma Cambiaria BCRD</w:t>
      </w:r>
    </w:p>
    <w:p w14:paraId="4C2D6ADD" w14:textId="760D05D3" w:rsidR="00D9267D" w:rsidRPr="0064264A" w:rsidRDefault="00580C8E" w:rsidP="00A40AE3">
      <w:pPr>
        <w:numPr>
          <w:ilvl w:val="1"/>
          <w:numId w:val="25"/>
        </w:numPr>
        <w:spacing w:line="360" w:lineRule="auto"/>
        <w:jc w:val="both"/>
        <w:rPr>
          <w:rFonts w:eastAsia="Calibri"/>
          <w:lang w:val="es-DO"/>
        </w:rPr>
      </w:pPr>
      <w:r w:rsidRPr="0064264A">
        <w:rPr>
          <w:rFonts w:eastAsia="Calibri"/>
          <w:lang w:val="es-DO"/>
        </w:rPr>
        <w:lastRenderedPageBreak/>
        <w:t>A</w:t>
      </w:r>
      <w:r w:rsidR="00D9267D" w:rsidRPr="0064264A">
        <w:rPr>
          <w:rFonts w:eastAsia="Calibri"/>
          <w:lang w:val="es-DO"/>
        </w:rPr>
        <w:t>ctualizar normas de comportamiento para participantes del mercado cambiario</w:t>
      </w:r>
    </w:p>
    <w:p w14:paraId="3C9B56FC" w14:textId="72E94492" w:rsidR="00D9267D" w:rsidRPr="0064264A" w:rsidRDefault="00D9267D" w:rsidP="00A40AE3">
      <w:pPr>
        <w:numPr>
          <w:ilvl w:val="0"/>
          <w:numId w:val="25"/>
        </w:numPr>
        <w:spacing w:line="360" w:lineRule="auto"/>
        <w:jc w:val="both"/>
        <w:rPr>
          <w:rFonts w:eastAsia="Calibri"/>
          <w:lang w:val="es-DO"/>
        </w:rPr>
      </w:pPr>
      <w:r w:rsidRPr="0064264A">
        <w:rPr>
          <w:rFonts w:eastAsia="Calibri"/>
          <w:lang w:val="es-DO"/>
        </w:rPr>
        <w:t xml:space="preserve">El reglamento fue aprobado mediante </w:t>
      </w:r>
      <w:r w:rsidRPr="0064264A">
        <w:rPr>
          <w:rFonts w:eastAsia="Calibri"/>
          <w:b/>
          <w:bCs/>
          <w:lang w:val="es-DO"/>
        </w:rPr>
        <w:t>Primera Resolución</w:t>
      </w:r>
      <w:r w:rsidRPr="0064264A">
        <w:rPr>
          <w:rFonts w:eastAsia="Calibri"/>
          <w:lang w:val="es-DO"/>
        </w:rPr>
        <w:t xml:space="preserve"> adoptada por la </w:t>
      </w:r>
      <w:r w:rsidRPr="0064264A">
        <w:rPr>
          <w:rFonts w:eastAsia="Calibri"/>
          <w:b/>
          <w:bCs/>
          <w:lang w:val="es-DO"/>
        </w:rPr>
        <w:t>Junta Monetaria el 11 de septiembre de 2025</w:t>
      </w:r>
      <w:r w:rsidRPr="0064264A">
        <w:rPr>
          <w:rFonts w:eastAsia="Calibri"/>
          <w:lang w:val="es-DO"/>
        </w:rPr>
        <w:t>.</w:t>
      </w:r>
    </w:p>
    <w:p w14:paraId="2E64D372"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Modificación del Instructivo de Administración y Funcionamiento de la Plataforma Cambiaria BCRD</w:t>
      </w:r>
    </w:p>
    <w:p w14:paraId="6D108458" w14:textId="77777777" w:rsidR="00D9267D" w:rsidRPr="0064264A" w:rsidRDefault="00D9267D" w:rsidP="00A40AE3">
      <w:pPr>
        <w:numPr>
          <w:ilvl w:val="0"/>
          <w:numId w:val="26"/>
        </w:numPr>
        <w:spacing w:line="360" w:lineRule="auto"/>
        <w:jc w:val="both"/>
        <w:rPr>
          <w:rFonts w:eastAsia="Calibri"/>
          <w:lang w:val="es-DO"/>
        </w:rPr>
      </w:pPr>
      <w:r w:rsidRPr="0064264A">
        <w:rPr>
          <w:rFonts w:eastAsia="Calibri"/>
          <w:lang w:val="es-DO"/>
        </w:rPr>
        <w:t>Análisis y revisión jurídica del instructivo para adecuarlo al Reglamento Cambiario aprobado el 11 de septiembre de 2025.</w:t>
      </w:r>
    </w:p>
    <w:p w14:paraId="2DB20C32" w14:textId="77777777" w:rsidR="00D9267D" w:rsidRPr="0064264A" w:rsidRDefault="00D9267D" w:rsidP="00A40AE3">
      <w:pPr>
        <w:numPr>
          <w:ilvl w:val="0"/>
          <w:numId w:val="26"/>
        </w:numPr>
        <w:spacing w:line="360" w:lineRule="auto"/>
        <w:jc w:val="both"/>
        <w:rPr>
          <w:rFonts w:eastAsia="Calibri"/>
          <w:lang w:val="es-DO"/>
        </w:rPr>
      </w:pPr>
      <w:r w:rsidRPr="0064264A">
        <w:rPr>
          <w:rFonts w:eastAsia="Calibri"/>
          <w:lang w:val="es-DO"/>
        </w:rPr>
        <w:t>Se incorporaron:</w:t>
      </w:r>
    </w:p>
    <w:p w14:paraId="228AA71E" w14:textId="77777777" w:rsidR="00D9267D" w:rsidRPr="0064264A" w:rsidRDefault="00D9267D" w:rsidP="00A40AE3">
      <w:pPr>
        <w:numPr>
          <w:ilvl w:val="1"/>
          <w:numId w:val="26"/>
        </w:numPr>
        <w:spacing w:line="360" w:lineRule="auto"/>
        <w:jc w:val="both"/>
        <w:rPr>
          <w:rFonts w:eastAsia="Calibri"/>
          <w:lang w:val="es-DO"/>
        </w:rPr>
      </w:pPr>
      <w:r w:rsidRPr="0064264A">
        <w:rPr>
          <w:rFonts w:eastAsia="Calibri"/>
          <w:lang w:val="es-DO"/>
        </w:rPr>
        <w:t>actualización de normas de comportamiento del mercado cambiario</w:t>
      </w:r>
    </w:p>
    <w:p w14:paraId="3C39F248" w14:textId="77777777" w:rsidR="00D9267D" w:rsidRPr="0064264A" w:rsidRDefault="00D9267D" w:rsidP="00A40AE3">
      <w:pPr>
        <w:numPr>
          <w:ilvl w:val="1"/>
          <w:numId w:val="26"/>
        </w:numPr>
        <w:spacing w:line="360" w:lineRule="auto"/>
        <w:jc w:val="both"/>
        <w:rPr>
          <w:rFonts w:eastAsia="Calibri"/>
          <w:lang w:val="es-DO"/>
        </w:rPr>
      </w:pPr>
      <w:r w:rsidRPr="0064264A">
        <w:rPr>
          <w:rFonts w:eastAsia="Calibri"/>
          <w:lang w:val="es-DO"/>
        </w:rPr>
        <w:t>inclusión de agentes de cambio en la Plataforma Cambiaria</w:t>
      </w:r>
    </w:p>
    <w:p w14:paraId="1110A4BF" w14:textId="34554C31" w:rsidR="00D9267D" w:rsidRPr="0064264A" w:rsidRDefault="00D9267D" w:rsidP="00A40AE3">
      <w:pPr>
        <w:numPr>
          <w:ilvl w:val="0"/>
          <w:numId w:val="26"/>
        </w:numPr>
        <w:spacing w:line="360" w:lineRule="auto"/>
        <w:jc w:val="both"/>
        <w:rPr>
          <w:rFonts w:eastAsia="Calibri"/>
          <w:lang w:val="es-DO"/>
        </w:rPr>
      </w:pPr>
      <w:r w:rsidRPr="0064264A">
        <w:rPr>
          <w:rFonts w:eastAsia="Calibri"/>
          <w:lang w:val="es-DO"/>
        </w:rPr>
        <w:t xml:space="preserve">El instructivo fue aprobado el </w:t>
      </w:r>
      <w:r w:rsidRPr="0064264A">
        <w:rPr>
          <w:rFonts w:eastAsia="Calibri"/>
          <w:b/>
          <w:bCs/>
          <w:lang w:val="es-DO"/>
        </w:rPr>
        <w:t>15 de octubre de 2025</w:t>
      </w:r>
      <w:r w:rsidRPr="0064264A">
        <w:rPr>
          <w:rFonts w:eastAsia="Calibri"/>
          <w:lang w:val="es-DO"/>
        </w:rPr>
        <w:t>.</w:t>
      </w:r>
    </w:p>
    <w:p w14:paraId="468CF70C"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Instrumentos contractuales para participantes autorizados de la Plataforma Cambiaria BCRD</w:t>
      </w:r>
    </w:p>
    <w:p w14:paraId="28EE6206" w14:textId="77777777" w:rsidR="00D9267D" w:rsidRPr="0064264A" w:rsidRDefault="00D9267D" w:rsidP="00D9267D">
      <w:pPr>
        <w:spacing w:line="360" w:lineRule="auto"/>
        <w:jc w:val="both"/>
        <w:rPr>
          <w:rFonts w:eastAsia="Calibri"/>
          <w:lang w:val="es-DO"/>
        </w:rPr>
      </w:pPr>
      <w:r w:rsidRPr="0064264A">
        <w:rPr>
          <w:rFonts w:eastAsia="Calibri"/>
          <w:lang w:val="es-DO"/>
        </w:rPr>
        <w:t>Revisión y análisis de los documentos jurídicos requeridos para la participación formal de las entidades autorizadas:</w:t>
      </w:r>
    </w:p>
    <w:p w14:paraId="5C3351C6" w14:textId="77777777" w:rsidR="00D9267D" w:rsidRPr="0064264A" w:rsidRDefault="00D9267D" w:rsidP="00A40AE3">
      <w:pPr>
        <w:numPr>
          <w:ilvl w:val="0"/>
          <w:numId w:val="27"/>
        </w:numPr>
        <w:spacing w:line="360" w:lineRule="auto"/>
        <w:jc w:val="both"/>
        <w:rPr>
          <w:rFonts w:eastAsia="Calibri"/>
          <w:lang w:val="es-DO"/>
        </w:rPr>
      </w:pPr>
      <w:r w:rsidRPr="0064264A">
        <w:rPr>
          <w:rFonts w:eastAsia="Calibri"/>
          <w:lang w:val="es-DO"/>
        </w:rPr>
        <w:t>Contrato de Participación para Bancos de Ahorro y Crédito.</w:t>
      </w:r>
    </w:p>
    <w:p w14:paraId="37D511B7" w14:textId="77777777" w:rsidR="00D9267D" w:rsidRPr="0064264A" w:rsidRDefault="00D9267D" w:rsidP="00A40AE3">
      <w:pPr>
        <w:numPr>
          <w:ilvl w:val="0"/>
          <w:numId w:val="27"/>
        </w:numPr>
        <w:spacing w:line="360" w:lineRule="auto"/>
        <w:jc w:val="both"/>
        <w:rPr>
          <w:rFonts w:eastAsia="Calibri"/>
          <w:lang w:val="es-DO"/>
        </w:rPr>
      </w:pPr>
      <w:r w:rsidRPr="0064264A">
        <w:rPr>
          <w:rFonts w:eastAsia="Calibri"/>
          <w:lang w:val="es-DO"/>
        </w:rPr>
        <w:t>Contrato de Participación para Agentes de Cambio.</w:t>
      </w:r>
    </w:p>
    <w:p w14:paraId="04156BD5" w14:textId="77777777" w:rsidR="00D9267D" w:rsidRPr="0064264A" w:rsidRDefault="00D9267D" w:rsidP="00A40AE3">
      <w:pPr>
        <w:numPr>
          <w:ilvl w:val="0"/>
          <w:numId w:val="27"/>
        </w:numPr>
        <w:spacing w:line="360" w:lineRule="auto"/>
        <w:jc w:val="both"/>
        <w:rPr>
          <w:rFonts w:eastAsia="Calibri"/>
          <w:lang w:val="es-DO"/>
        </w:rPr>
      </w:pPr>
      <w:r w:rsidRPr="0064264A">
        <w:rPr>
          <w:rFonts w:eastAsia="Calibri"/>
          <w:lang w:val="es-DO"/>
        </w:rPr>
        <w:t>Contrato de Participación para Asociaciones de Ahorros y Préstamos.</w:t>
      </w:r>
    </w:p>
    <w:p w14:paraId="44D66F65" w14:textId="77777777" w:rsidR="00D9267D" w:rsidRPr="0064264A" w:rsidRDefault="00D9267D" w:rsidP="00A40AE3">
      <w:pPr>
        <w:numPr>
          <w:ilvl w:val="0"/>
          <w:numId w:val="27"/>
        </w:numPr>
        <w:spacing w:line="360" w:lineRule="auto"/>
        <w:jc w:val="both"/>
        <w:rPr>
          <w:rFonts w:eastAsia="Calibri"/>
          <w:lang w:val="es-DO"/>
        </w:rPr>
      </w:pPr>
      <w:r w:rsidRPr="0064264A">
        <w:rPr>
          <w:rFonts w:eastAsia="Calibri"/>
          <w:lang w:val="es-DO"/>
        </w:rPr>
        <w:t xml:space="preserve">Cronograma para la implementación del Código Global de Conducta del Mercado Cambiario (FX Global </w:t>
      </w:r>
      <w:proofErr w:type="spellStart"/>
      <w:r w:rsidRPr="0064264A">
        <w:rPr>
          <w:rFonts w:eastAsia="Calibri"/>
          <w:lang w:val="es-DO"/>
        </w:rPr>
        <w:t>Code</w:t>
      </w:r>
      <w:proofErr w:type="spellEnd"/>
      <w:r w:rsidRPr="0064264A">
        <w:rPr>
          <w:rFonts w:eastAsia="Calibri"/>
          <w:lang w:val="es-DO"/>
        </w:rPr>
        <w:t>).</w:t>
      </w:r>
    </w:p>
    <w:p w14:paraId="717C4530" w14:textId="77777777" w:rsidR="00D9267D" w:rsidRPr="0064264A" w:rsidRDefault="00D9267D" w:rsidP="00A40AE3">
      <w:pPr>
        <w:numPr>
          <w:ilvl w:val="0"/>
          <w:numId w:val="27"/>
        </w:numPr>
        <w:spacing w:line="360" w:lineRule="auto"/>
        <w:jc w:val="both"/>
        <w:rPr>
          <w:rFonts w:eastAsia="Calibri"/>
          <w:lang w:val="es-DO"/>
        </w:rPr>
      </w:pPr>
      <w:r w:rsidRPr="0064264A">
        <w:rPr>
          <w:rFonts w:eastAsia="Calibri"/>
          <w:lang w:val="es-DO"/>
        </w:rPr>
        <w:lastRenderedPageBreak/>
        <w:t xml:space="preserve">Guía de Comportamiento Esperado – Marco interno de aplicación del FX Global </w:t>
      </w:r>
      <w:proofErr w:type="spellStart"/>
      <w:r w:rsidRPr="0064264A">
        <w:rPr>
          <w:rFonts w:eastAsia="Calibri"/>
          <w:lang w:val="es-DO"/>
        </w:rPr>
        <w:t>Code</w:t>
      </w:r>
      <w:proofErr w:type="spellEnd"/>
      <w:r w:rsidRPr="0064264A">
        <w:rPr>
          <w:rFonts w:eastAsia="Calibri"/>
          <w:lang w:val="es-DO"/>
        </w:rPr>
        <w:t>.</w:t>
      </w:r>
    </w:p>
    <w:p w14:paraId="477737ED" w14:textId="77777777" w:rsidR="00D9267D" w:rsidRPr="0064264A" w:rsidRDefault="00D9267D" w:rsidP="00A40AE3">
      <w:pPr>
        <w:numPr>
          <w:ilvl w:val="0"/>
          <w:numId w:val="27"/>
        </w:numPr>
        <w:spacing w:line="360" w:lineRule="auto"/>
        <w:jc w:val="both"/>
        <w:rPr>
          <w:rFonts w:eastAsia="Calibri"/>
          <w:lang w:val="es-DO"/>
        </w:rPr>
      </w:pPr>
      <w:r w:rsidRPr="0064264A">
        <w:rPr>
          <w:rFonts w:eastAsia="Calibri"/>
          <w:lang w:val="es-DO"/>
        </w:rPr>
        <w:t>Declaración de Compromiso con el Código Global.</w:t>
      </w:r>
    </w:p>
    <w:p w14:paraId="51B1CD46" w14:textId="18EE146F" w:rsidR="00D9267D" w:rsidRPr="0064264A" w:rsidRDefault="00D9267D" w:rsidP="00A40AE3">
      <w:pPr>
        <w:numPr>
          <w:ilvl w:val="0"/>
          <w:numId w:val="27"/>
        </w:numPr>
        <w:spacing w:line="360" w:lineRule="auto"/>
        <w:jc w:val="both"/>
        <w:rPr>
          <w:rFonts w:eastAsia="Calibri"/>
          <w:lang w:val="es-DO"/>
        </w:rPr>
      </w:pPr>
      <w:r w:rsidRPr="0064264A">
        <w:rPr>
          <w:rFonts w:eastAsia="Calibri"/>
          <w:lang w:val="es-DO"/>
        </w:rPr>
        <w:t>Declaración jurada de cumplimiento vinculada al Código Global.</w:t>
      </w:r>
    </w:p>
    <w:p w14:paraId="2D1CDBCF"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Actuaciones en materia de propiedad intelectual</w:t>
      </w:r>
    </w:p>
    <w:p w14:paraId="472964D2" w14:textId="77777777" w:rsidR="00D9267D" w:rsidRPr="0064264A" w:rsidRDefault="00D9267D" w:rsidP="00D9267D">
      <w:pPr>
        <w:spacing w:line="360" w:lineRule="auto"/>
        <w:jc w:val="both"/>
        <w:rPr>
          <w:rFonts w:eastAsia="Calibri"/>
          <w:lang w:val="es-DO"/>
        </w:rPr>
      </w:pPr>
      <w:r w:rsidRPr="0064264A">
        <w:rPr>
          <w:rFonts w:eastAsia="Calibri"/>
          <w:b/>
          <w:bCs/>
          <w:lang w:val="es-DO"/>
        </w:rPr>
        <w:t>Solicitudes de autorización sobre uso de imágenes de billetes y monedas dominicanos</w:t>
      </w:r>
    </w:p>
    <w:p w14:paraId="1A0DB737" w14:textId="77777777" w:rsidR="00D9267D" w:rsidRPr="0064264A" w:rsidRDefault="00D9267D" w:rsidP="00A40AE3">
      <w:pPr>
        <w:numPr>
          <w:ilvl w:val="0"/>
          <w:numId w:val="28"/>
        </w:numPr>
        <w:spacing w:line="360" w:lineRule="auto"/>
        <w:jc w:val="both"/>
        <w:rPr>
          <w:rFonts w:eastAsia="Calibri"/>
          <w:lang w:val="es-DO"/>
        </w:rPr>
      </w:pPr>
      <w:r w:rsidRPr="0064264A">
        <w:rPr>
          <w:rFonts w:eastAsia="Calibri"/>
          <w:lang w:val="es-DO"/>
        </w:rPr>
        <w:t>Análisis de solicitud del Banco de Reservas para utilizar imágenes oficiales en materiales didácticos.</w:t>
      </w:r>
    </w:p>
    <w:p w14:paraId="1B3A742D" w14:textId="77777777" w:rsidR="00D9267D" w:rsidRPr="0064264A" w:rsidRDefault="00D9267D" w:rsidP="00A40AE3">
      <w:pPr>
        <w:numPr>
          <w:ilvl w:val="1"/>
          <w:numId w:val="28"/>
        </w:numPr>
        <w:spacing w:line="360" w:lineRule="auto"/>
        <w:jc w:val="both"/>
        <w:rPr>
          <w:rFonts w:eastAsia="Calibri"/>
          <w:lang w:val="es-DO"/>
        </w:rPr>
      </w:pPr>
      <w:r w:rsidRPr="0064264A">
        <w:rPr>
          <w:rFonts w:eastAsia="Calibri"/>
          <w:lang w:val="es-DO"/>
        </w:rPr>
        <w:t xml:space="preserve">Opinión jurídica emitida el </w:t>
      </w:r>
      <w:r w:rsidRPr="0064264A">
        <w:rPr>
          <w:rFonts w:eastAsia="Calibri"/>
          <w:b/>
          <w:bCs/>
          <w:lang w:val="es-DO"/>
        </w:rPr>
        <w:t>11 de febrero de 2025</w:t>
      </w:r>
      <w:r w:rsidRPr="0064264A">
        <w:rPr>
          <w:rFonts w:eastAsia="Calibri"/>
          <w:lang w:val="es-DO"/>
        </w:rPr>
        <w:t>.</w:t>
      </w:r>
    </w:p>
    <w:p w14:paraId="2C87A8DB" w14:textId="77777777" w:rsidR="00D9267D" w:rsidRPr="0064264A" w:rsidRDefault="00D9267D" w:rsidP="00A40AE3">
      <w:pPr>
        <w:numPr>
          <w:ilvl w:val="0"/>
          <w:numId w:val="28"/>
        </w:numPr>
        <w:spacing w:line="360" w:lineRule="auto"/>
        <w:jc w:val="both"/>
        <w:rPr>
          <w:rFonts w:eastAsia="Calibri"/>
          <w:lang w:val="es-DO"/>
        </w:rPr>
      </w:pPr>
      <w:r w:rsidRPr="0064264A">
        <w:rPr>
          <w:rFonts w:eastAsia="Calibri"/>
          <w:lang w:val="es-DO"/>
        </w:rPr>
        <w:t xml:space="preserve">Análisis de solicitud de la oficina Lugo </w:t>
      </w:r>
      <w:proofErr w:type="spellStart"/>
      <w:r w:rsidRPr="0064264A">
        <w:rPr>
          <w:rFonts w:eastAsia="Calibri"/>
          <w:lang w:val="es-DO"/>
        </w:rPr>
        <w:t>Lovatón</w:t>
      </w:r>
      <w:proofErr w:type="spellEnd"/>
      <w:r w:rsidRPr="0064264A">
        <w:rPr>
          <w:rFonts w:eastAsia="Calibri"/>
          <w:lang w:val="es-DO"/>
        </w:rPr>
        <w:t xml:space="preserve"> para reproducción con fines comerciales.</w:t>
      </w:r>
    </w:p>
    <w:p w14:paraId="6B65B079" w14:textId="77777777" w:rsidR="00D9267D" w:rsidRPr="0064264A" w:rsidRDefault="00D9267D" w:rsidP="00A40AE3">
      <w:pPr>
        <w:numPr>
          <w:ilvl w:val="1"/>
          <w:numId w:val="28"/>
        </w:numPr>
        <w:spacing w:line="360" w:lineRule="auto"/>
        <w:jc w:val="both"/>
        <w:rPr>
          <w:rFonts w:eastAsia="Calibri"/>
          <w:lang w:val="es-DO"/>
        </w:rPr>
      </w:pPr>
      <w:r w:rsidRPr="0064264A">
        <w:rPr>
          <w:rFonts w:eastAsia="Calibri"/>
          <w:lang w:val="es-DO"/>
        </w:rPr>
        <w:t xml:space="preserve">Respuesta emitida el </w:t>
      </w:r>
      <w:r w:rsidRPr="0064264A">
        <w:rPr>
          <w:rFonts w:eastAsia="Calibri"/>
          <w:b/>
          <w:bCs/>
          <w:lang w:val="es-DO"/>
        </w:rPr>
        <w:t>28 de julio de 2025</w:t>
      </w:r>
      <w:r w:rsidRPr="0064264A">
        <w:rPr>
          <w:rFonts w:eastAsia="Calibri"/>
          <w:lang w:val="es-DO"/>
        </w:rPr>
        <w:t>.</w:t>
      </w:r>
    </w:p>
    <w:p w14:paraId="373006C5" w14:textId="77777777" w:rsidR="00D9267D" w:rsidRPr="0064264A" w:rsidRDefault="00D9267D" w:rsidP="00D9267D">
      <w:pPr>
        <w:spacing w:line="360" w:lineRule="auto"/>
        <w:jc w:val="both"/>
        <w:rPr>
          <w:rFonts w:eastAsia="Calibri"/>
          <w:lang w:val="es-DO"/>
        </w:rPr>
      </w:pPr>
      <w:r w:rsidRPr="0064264A">
        <w:rPr>
          <w:rFonts w:eastAsia="Calibri"/>
          <w:b/>
          <w:bCs/>
          <w:lang w:val="es-DO"/>
        </w:rPr>
        <w:t>Registro marcario del isotipo e imagotipo institucional del BCRD ante ONAPI</w:t>
      </w:r>
    </w:p>
    <w:p w14:paraId="4880944C" w14:textId="77777777" w:rsidR="00D9267D" w:rsidRPr="0064264A" w:rsidRDefault="00D9267D" w:rsidP="00A40AE3">
      <w:pPr>
        <w:numPr>
          <w:ilvl w:val="0"/>
          <w:numId w:val="29"/>
        </w:numPr>
        <w:spacing w:line="360" w:lineRule="auto"/>
        <w:jc w:val="both"/>
        <w:rPr>
          <w:rFonts w:eastAsia="Calibri"/>
          <w:lang w:val="es-DO"/>
        </w:rPr>
      </w:pPr>
      <w:r w:rsidRPr="0064264A">
        <w:rPr>
          <w:rFonts w:eastAsia="Calibri"/>
          <w:lang w:val="es-DO"/>
        </w:rPr>
        <w:t>Presentación del Formulario de Solicitud de Registro de Marcas para protección jurídica en la Clasificación de Niza núm. 36 – 12 de septiembre de 2025</w:t>
      </w:r>
    </w:p>
    <w:p w14:paraId="07C6148F" w14:textId="77777777" w:rsidR="00D9267D" w:rsidRPr="0064264A" w:rsidRDefault="00D9267D" w:rsidP="00A40AE3">
      <w:pPr>
        <w:numPr>
          <w:ilvl w:val="0"/>
          <w:numId w:val="29"/>
        </w:numPr>
        <w:spacing w:line="360" w:lineRule="auto"/>
        <w:jc w:val="both"/>
        <w:rPr>
          <w:rFonts w:eastAsia="Calibri"/>
          <w:lang w:val="es-DO"/>
        </w:rPr>
      </w:pPr>
      <w:r w:rsidRPr="0064264A">
        <w:rPr>
          <w:rFonts w:eastAsia="Calibri"/>
          <w:lang w:val="es-DO"/>
        </w:rPr>
        <w:t>Aprobación del registro marcario emitida por ONAPI – 15 de septiembre de 2025</w:t>
      </w:r>
    </w:p>
    <w:p w14:paraId="4B4E1149" w14:textId="568C2569" w:rsidR="00D9267D" w:rsidRPr="0064264A" w:rsidRDefault="00D9267D" w:rsidP="00A40AE3">
      <w:pPr>
        <w:numPr>
          <w:ilvl w:val="0"/>
          <w:numId w:val="29"/>
        </w:numPr>
        <w:spacing w:line="360" w:lineRule="auto"/>
        <w:jc w:val="both"/>
        <w:rPr>
          <w:rFonts w:eastAsia="Calibri"/>
          <w:lang w:val="es-DO"/>
        </w:rPr>
      </w:pPr>
      <w:r w:rsidRPr="0064264A">
        <w:rPr>
          <w:rFonts w:eastAsia="Calibri"/>
          <w:lang w:val="es-DO"/>
        </w:rPr>
        <w:t>Publicación en periódico de circulación nacional – 30 de octubre de 2025</w:t>
      </w:r>
    </w:p>
    <w:p w14:paraId="1E17E078" w14:textId="77777777" w:rsidR="00580C8E" w:rsidRPr="0064264A" w:rsidRDefault="00580C8E" w:rsidP="00580C8E">
      <w:pPr>
        <w:spacing w:line="360" w:lineRule="auto"/>
        <w:jc w:val="both"/>
        <w:rPr>
          <w:rFonts w:eastAsia="Calibri"/>
          <w:lang w:val="es-DO"/>
        </w:rPr>
      </w:pPr>
    </w:p>
    <w:p w14:paraId="6567AA89" w14:textId="77777777" w:rsidR="00580C8E" w:rsidRPr="0064264A" w:rsidRDefault="00580C8E" w:rsidP="00580C8E">
      <w:pPr>
        <w:spacing w:line="360" w:lineRule="auto"/>
        <w:jc w:val="both"/>
        <w:rPr>
          <w:rFonts w:eastAsia="Calibri"/>
          <w:lang w:val="es-DO"/>
        </w:rPr>
      </w:pPr>
    </w:p>
    <w:p w14:paraId="6A374AD2" w14:textId="77777777" w:rsidR="00580C8E" w:rsidRPr="0064264A" w:rsidRDefault="00580C8E" w:rsidP="00580C8E">
      <w:pPr>
        <w:spacing w:line="360" w:lineRule="auto"/>
        <w:jc w:val="both"/>
        <w:rPr>
          <w:rFonts w:eastAsia="Calibri"/>
          <w:lang w:val="es-DO"/>
        </w:rPr>
      </w:pPr>
    </w:p>
    <w:p w14:paraId="0CF9FE8E" w14:textId="77777777" w:rsidR="00D9267D" w:rsidRPr="0064264A" w:rsidRDefault="00D9267D" w:rsidP="00D9267D">
      <w:pPr>
        <w:spacing w:line="360" w:lineRule="auto"/>
        <w:jc w:val="both"/>
        <w:rPr>
          <w:rFonts w:eastAsia="Calibri"/>
          <w:b/>
          <w:lang w:val="es-DO"/>
        </w:rPr>
      </w:pPr>
      <w:r w:rsidRPr="0064264A">
        <w:rPr>
          <w:rFonts w:eastAsia="Calibri"/>
          <w:b/>
          <w:lang w:val="es-DO"/>
        </w:rPr>
        <w:t>Contratos Internacionales: Contratos marco ISDA y GMRA</w:t>
      </w:r>
    </w:p>
    <w:p w14:paraId="45C2659D" w14:textId="59840482" w:rsidR="00D9267D" w:rsidRPr="0064264A" w:rsidRDefault="00D9267D" w:rsidP="00D9267D">
      <w:pPr>
        <w:spacing w:line="360" w:lineRule="auto"/>
        <w:jc w:val="both"/>
        <w:rPr>
          <w:rFonts w:eastAsia="Calibri"/>
          <w:lang w:val="es-DO"/>
        </w:rPr>
      </w:pPr>
      <w:r w:rsidRPr="0064264A">
        <w:rPr>
          <w:rFonts w:eastAsia="Calibri"/>
          <w:lang w:val="es-DO"/>
        </w:rPr>
        <w:t xml:space="preserve">La Consultoría Jurídica participa como integrante del equipo liderado por el departamento de Tesorería de este Banco Central, para apoyar y asistir en todos los aspectos legales relativos a la estrategia de desarrollo del mercado cambiario dominicano y la efectiva gestión de las Reservas Internacionales, para lo cual se pondera expandir los instrumentos de inversión disponibles para el Portafolio de Reservas, incluyendo los derivados cambiarios.  </w:t>
      </w:r>
    </w:p>
    <w:p w14:paraId="00C0E81B" w14:textId="38ADE77D" w:rsidR="00D9267D" w:rsidRPr="0064264A" w:rsidRDefault="00D9267D" w:rsidP="00D9267D">
      <w:pPr>
        <w:spacing w:line="360" w:lineRule="auto"/>
        <w:jc w:val="both"/>
        <w:rPr>
          <w:rFonts w:eastAsia="Calibri"/>
          <w:b/>
          <w:iCs/>
          <w:lang w:val="es-ES"/>
        </w:rPr>
      </w:pPr>
      <w:r w:rsidRPr="0064264A">
        <w:rPr>
          <w:rFonts w:eastAsia="Calibri"/>
          <w:b/>
          <w:iCs/>
          <w:lang w:val="es-ES"/>
        </w:rPr>
        <w:t>Contratos suscritos:</w:t>
      </w:r>
    </w:p>
    <w:p w14:paraId="03950617" w14:textId="77777777" w:rsidR="00D9267D" w:rsidRPr="0064264A" w:rsidRDefault="00D9267D" w:rsidP="00A40AE3">
      <w:pPr>
        <w:numPr>
          <w:ilvl w:val="0"/>
          <w:numId w:val="30"/>
        </w:numPr>
        <w:spacing w:line="360" w:lineRule="auto"/>
        <w:jc w:val="both"/>
        <w:rPr>
          <w:rFonts w:eastAsia="Calibri"/>
          <w:lang w:val="es-DO"/>
        </w:rPr>
      </w:pPr>
      <w:r w:rsidRPr="0064264A">
        <w:rPr>
          <w:rFonts w:eastAsia="Calibri"/>
          <w:lang w:val="es-DO"/>
        </w:rPr>
        <w:t xml:space="preserve">Moody’s </w:t>
      </w:r>
      <w:proofErr w:type="spellStart"/>
      <w:r w:rsidRPr="0064264A">
        <w:rPr>
          <w:rFonts w:eastAsia="Calibri"/>
          <w:lang w:val="es-DO"/>
        </w:rPr>
        <w:t>Analytics</w:t>
      </w:r>
      <w:proofErr w:type="spellEnd"/>
      <w:r w:rsidRPr="0064264A">
        <w:rPr>
          <w:rFonts w:eastAsia="Calibri"/>
          <w:lang w:val="es-DO"/>
        </w:rPr>
        <w:t>, Inc. (Moody’s)</w:t>
      </w:r>
    </w:p>
    <w:p w14:paraId="24489770" w14:textId="02966E58" w:rsidR="00D9267D" w:rsidRPr="0064264A" w:rsidRDefault="00D9267D" w:rsidP="00D9267D">
      <w:pPr>
        <w:spacing w:line="360" w:lineRule="auto"/>
        <w:jc w:val="both"/>
        <w:rPr>
          <w:rFonts w:eastAsia="Calibri"/>
          <w:lang w:val="es-DO"/>
        </w:rPr>
      </w:pPr>
      <w:r w:rsidRPr="0064264A">
        <w:rPr>
          <w:rFonts w:eastAsia="Calibri"/>
          <w:lang w:val="es-DO"/>
        </w:rPr>
        <w:t>Suscripción del Acuerdo de Licencia de Uso de Datos (</w:t>
      </w:r>
      <w:proofErr w:type="spellStart"/>
      <w:r w:rsidRPr="0064264A">
        <w:rPr>
          <w:rFonts w:eastAsia="Calibri"/>
          <w:lang w:val="es-DO"/>
        </w:rPr>
        <w:t>License</w:t>
      </w:r>
      <w:proofErr w:type="spellEnd"/>
      <w:r w:rsidRPr="0064264A">
        <w:rPr>
          <w:rFonts w:eastAsia="Calibri"/>
          <w:lang w:val="es-DO"/>
        </w:rPr>
        <w:t xml:space="preserve"> </w:t>
      </w:r>
      <w:proofErr w:type="spellStart"/>
      <w:r w:rsidRPr="0064264A">
        <w:rPr>
          <w:rFonts w:eastAsia="Calibri"/>
          <w:lang w:val="es-DO"/>
        </w:rPr>
        <w:t>Agreement</w:t>
      </w:r>
      <w:proofErr w:type="spellEnd"/>
      <w:r w:rsidRPr="0064264A">
        <w:rPr>
          <w:rFonts w:eastAsia="Calibri"/>
          <w:lang w:val="es-DO"/>
        </w:rPr>
        <w:t xml:space="preserve">) entre el Banco Central y Moody’s </w:t>
      </w:r>
      <w:proofErr w:type="spellStart"/>
      <w:r w:rsidRPr="0064264A">
        <w:rPr>
          <w:rFonts w:eastAsia="Calibri"/>
          <w:lang w:val="es-DO"/>
        </w:rPr>
        <w:t>Analytics</w:t>
      </w:r>
      <w:proofErr w:type="spellEnd"/>
      <w:r w:rsidRPr="0064264A">
        <w:rPr>
          <w:rFonts w:eastAsia="Calibri"/>
          <w:lang w:val="es-DO"/>
        </w:rPr>
        <w:t>, Inc. el 15 de septiembre de 2025. Por medio de este instrumento el Banco Central otorga licencia a Moody’s para el uso de las informaciones, datos estadísticos y otros productos publicados por esta institución.</w:t>
      </w:r>
    </w:p>
    <w:p w14:paraId="0FE672F2" w14:textId="77777777" w:rsidR="00D9267D" w:rsidRPr="0064264A" w:rsidRDefault="00D9267D" w:rsidP="00A40AE3">
      <w:pPr>
        <w:numPr>
          <w:ilvl w:val="0"/>
          <w:numId w:val="30"/>
        </w:numPr>
        <w:spacing w:line="360" w:lineRule="auto"/>
        <w:jc w:val="both"/>
        <w:rPr>
          <w:rFonts w:eastAsia="Calibri"/>
          <w:lang w:val="es-DO"/>
        </w:rPr>
      </w:pPr>
      <w:r w:rsidRPr="0064264A">
        <w:rPr>
          <w:rFonts w:eastAsia="Calibri"/>
          <w:lang w:val="es-DO"/>
        </w:rPr>
        <w:t>Ministerio de Hacienda y MUFG Bank, LTD. – Programa de Eficiencia Energética</w:t>
      </w:r>
    </w:p>
    <w:p w14:paraId="6ED991C7" w14:textId="24716034" w:rsidR="00D9267D" w:rsidRPr="0064264A" w:rsidRDefault="00D9267D" w:rsidP="00D9267D">
      <w:pPr>
        <w:spacing w:line="360" w:lineRule="auto"/>
        <w:jc w:val="both"/>
        <w:rPr>
          <w:rFonts w:eastAsia="Calibri"/>
          <w:lang w:val="es-DO"/>
        </w:rPr>
      </w:pPr>
      <w:r w:rsidRPr="0064264A">
        <w:rPr>
          <w:rFonts w:eastAsia="Calibri"/>
          <w:lang w:val="es-DO"/>
        </w:rPr>
        <w:t>Suscripción del Acuerdo Bancario de conformidad con, y para la implementación del Convenio de Préstamo núm. DO-P5 de fecha 28 de diciembre 2021, entre la Agencia de Cooperación Internacional del Japón y el Gobierno de la República Dominicana, sobre el Programa de Eficiencia Energética entre el Ministerio de Hacienda y MUFG Bank, LTD. el 20 de junio de 2025.</w:t>
      </w:r>
    </w:p>
    <w:p w14:paraId="01EB1A4C" w14:textId="1DDEA440" w:rsidR="00D9267D" w:rsidRPr="0064264A" w:rsidRDefault="00D9267D" w:rsidP="00D9267D">
      <w:pPr>
        <w:spacing w:line="360" w:lineRule="auto"/>
        <w:jc w:val="both"/>
        <w:rPr>
          <w:rFonts w:eastAsia="Calibri"/>
          <w:b/>
          <w:iCs/>
          <w:lang w:val="es-ES"/>
        </w:rPr>
      </w:pPr>
      <w:r w:rsidRPr="0064264A">
        <w:rPr>
          <w:rFonts w:eastAsia="Calibri"/>
          <w:b/>
          <w:iCs/>
          <w:lang w:val="es-ES"/>
        </w:rPr>
        <w:t>Gestiones y operaciones realizadas en el ámbito internacional</w:t>
      </w:r>
      <w:r w:rsidR="00B07742" w:rsidRPr="0064264A">
        <w:rPr>
          <w:rFonts w:eastAsia="Calibri"/>
          <w:b/>
          <w:iCs/>
          <w:lang w:val="es-ES"/>
        </w:rPr>
        <w:t xml:space="preserve">: </w:t>
      </w:r>
      <w:r w:rsidRPr="0064264A">
        <w:rPr>
          <w:rFonts w:eastAsia="Calibri"/>
          <w:b/>
          <w:bCs/>
          <w:lang w:val="es-DO"/>
        </w:rPr>
        <w:t>Programa de Administradores Externos para las Reservas Internacionales</w:t>
      </w:r>
    </w:p>
    <w:p w14:paraId="7F742921" w14:textId="76B1A341" w:rsidR="00D9267D" w:rsidRPr="0064264A" w:rsidRDefault="00D9267D" w:rsidP="00D9267D">
      <w:pPr>
        <w:spacing w:line="360" w:lineRule="auto"/>
        <w:jc w:val="both"/>
        <w:rPr>
          <w:rFonts w:eastAsia="Calibri"/>
          <w:lang w:val="es-DO"/>
        </w:rPr>
      </w:pPr>
      <w:r w:rsidRPr="0064264A">
        <w:rPr>
          <w:rFonts w:eastAsia="Calibri"/>
          <w:lang w:val="es-DO"/>
        </w:rPr>
        <w:lastRenderedPageBreak/>
        <w:t>Desde 2022, el Banco Central mantiene activo el Programa de Administradores Externos para las Reservas Internacionales, mediante el cual delega una porción de dichas reservas para su gestión por terceros especializados. Bajo este esquema, continúan vigentes los contratos de gestión de inversiones (</w:t>
      </w:r>
      <w:proofErr w:type="spellStart"/>
      <w:r w:rsidRPr="0064264A">
        <w:rPr>
          <w:rFonts w:eastAsia="Calibri"/>
          <w:lang w:val="es-DO"/>
        </w:rPr>
        <w:t>Investment</w:t>
      </w:r>
      <w:proofErr w:type="spellEnd"/>
      <w:r w:rsidRPr="0064264A">
        <w:rPr>
          <w:rFonts w:eastAsia="Calibri"/>
          <w:lang w:val="es-DO"/>
        </w:rPr>
        <w:t xml:space="preserve"> Management </w:t>
      </w:r>
      <w:proofErr w:type="spellStart"/>
      <w:r w:rsidRPr="0064264A">
        <w:rPr>
          <w:rFonts w:eastAsia="Calibri"/>
          <w:lang w:val="es-DO"/>
        </w:rPr>
        <w:t>Agreement</w:t>
      </w:r>
      <w:proofErr w:type="spellEnd"/>
      <w:r w:rsidRPr="0064264A">
        <w:rPr>
          <w:rFonts w:eastAsia="Calibri"/>
          <w:lang w:val="es-DO"/>
        </w:rPr>
        <w:t xml:space="preserve"> - IMA) suscritos con:</w:t>
      </w:r>
    </w:p>
    <w:p w14:paraId="265AD59E" w14:textId="77777777" w:rsidR="00D9267D" w:rsidRPr="0064264A" w:rsidRDefault="00D9267D" w:rsidP="00A40AE3">
      <w:pPr>
        <w:numPr>
          <w:ilvl w:val="0"/>
          <w:numId w:val="31"/>
        </w:numPr>
        <w:spacing w:line="360" w:lineRule="auto"/>
        <w:jc w:val="both"/>
        <w:rPr>
          <w:rFonts w:eastAsia="Calibri"/>
        </w:rPr>
      </w:pPr>
      <w:r w:rsidRPr="0064264A">
        <w:rPr>
          <w:rFonts w:eastAsia="Calibri"/>
        </w:rPr>
        <w:t>BNP Paribas Asset Management USA, Inc.</w:t>
      </w:r>
    </w:p>
    <w:p w14:paraId="05C1E758" w14:textId="77777777" w:rsidR="00D9267D" w:rsidRPr="0064264A" w:rsidRDefault="00D9267D" w:rsidP="00A40AE3">
      <w:pPr>
        <w:numPr>
          <w:ilvl w:val="0"/>
          <w:numId w:val="31"/>
        </w:numPr>
        <w:spacing w:line="360" w:lineRule="auto"/>
        <w:jc w:val="both"/>
        <w:rPr>
          <w:rFonts w:eastAsia="Calibri"/>
          <w:lang w:val="es-DO"/>
        </w:rPr>
      </w:pPr>
      <w:proofErr w:type="spellStart"/>
      <w:r w:rsidRPr="0064264A">
        <w:rPr>
          <w:rFonts w:eastAsia="Calibri"/>
          <w:lang w:val="es-DO"/>
        </w:rPr>
        <w:t>BlackRock</w:t>
      </w:r>
      <w:proofErr w:type="spellEnd"/>
      <w:r w:rsidRPr="0064264A">
        <w:rPr>
          <w:rFonts w:eastAsia="Calibri"/>
          <w:lang w:val="es-DO"/>
        </w:rPr>
        <w:t xml:space="preserve"> </w:t>
      </w:r>
      <w:proofErr w:type="spellStart"/>
      <w:r w:rsidRPr="0064264A">
        <w:rPr>
          <w:rFonts w:eastAsia="Calibri"/>
          <w:lang w:val="es-DO"/>
        </w:rPr>
        <w:t>Financial</w:t>
      </w:r>
      <w:proofErr w:type="spellEnd"/>
      <w:r w:rsidRPr="0064264A">
        <w:rPr>
          <w:rFonts w:eastAsia="Calibri"/>
          <w:lang w:val="es-DO"/>
        </w:rPr>
        <w:t xml:space="preserve"> Management, Inc.</w:t>
      </w:r>
    </w:p>
    <w:p w14:paraId="4EBEF714" w14:textId="3E799D7A" w:rsidR="00D9267D" w:rsidRPr="0064264A" w:rsidRDefault="00D9267D" w:rsidP="00A40AE3">
      <w:pPr>
        <w:numPr>
          <w:ilvl w:val="0"/>
          <w:numId w:val="31"/>
        </w:numPr>
        <w:spacing w:line="360" w:lineRule="auto"/>
        <w:jc w:val="both"/>
        <w:rPr>
          <w:rFonts w:eastAsia="Calibri"/>
        </w:rPr>
      </w:pPr>
      <w:r w:rsidRPr="0064264A">
        <w:rPr>
          <w:rFonts w:eastAsia="Calibri"/>
        </w:rPr>
        <w:t>J.P. Morgan Asset Management (UK) Limited</w:t>
      </w:r>
    </w:p>
    <w:p w14:paraId="66AC3AF0" w14:textId="1A49F269" w:rsidR="00D9267D" w:rsidRPr="0064264A" w:rsidRDefault="00D9267D" w:rsidP="00D9267D">
      <w:pPr>
        <w:spacing w:line="360" w:lineRule="auto"/>
        <w:jc w:val="both"/>
        <w:rPr>
          <w:rFonts w:eastAsia="Calibri"/>
          <w:lang w:val="es-DO"/>
        </w:rPr>
      </w:pPr>
      <w:r w:rsidRPr="0064264A">
        <w:rPr>
          <w:rFonts w:eastAsia="Calibri"/>
          <w:lang w:val="es-DO"/>
        </w:rPr>
        <w:t>Durante el período enero–</w:t>
      </w:r>
      <w:r w:rsidR="00A448C8" w:rsidRPr="0064264A">
        <w:rPr>
          <w:rFonts w:eastAsia="Calibri"/>
          <w:lang w:val="es-DO"/>
        </w:rPr>
        <w:t xml:space="preserve"> diciembre</w:t>
      </w:r>
      <w:r w:rsidRPr="0064264A">
        <w:rPr>
          <w:rFonts w:eastAsia="Calibri"/>
          <w:lang w:val="es-DO"/>
        </w:rPr>
        <w:t xml:space="preserve"> de 2025, la Consultoría Jurídica realizó actividades continuas de monitoreo, verificación y cumplimiento contractual, incluyendo revisión de documentación regulatoria depositada ante organismos supervisores como la SEC y la FCA</w:t>
      </w:r>
    </w:p>
    <w:p w14:paraId="785E087D"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Proyecto de Préstamo de Valores (</w:t>
      </w:r>
      <w:proofErr w:type="spellStart"/>
      <w:r w:rsidRPr="0064264A">
        <w:rPr>
          <w:rFonts w:eastAsia="Calibri"/>
          <w:b/>
          <w:bCs/>
          <w:lang w:val="es-DO"/>
        </w:rPr>
        <w:t>Securities</w:t>
      </w:r>
      <w:proofErr w:type="spellEnd"/>
      <w:r w:rsidRPr="0064264A">
        <w:rPr>
          <w:rFonts w:eastAsia="Calibri"/>
          <w:b/>
          <w:bCs/>
          <w:lang w:val="es-DO"/>
        </w:rPr>
        <w:t xml:space="preserve"> </w:t>
      </w:r>
      <w:proofErr w:type="spellStart"/>
      <w:r w:rsidRPr="0064264A">
        <w:rPr>
          <w:rFonts w:eastAsia="Calibri"/>
          <w:b/>
          <w:bCs/>
          <w:lang w:val="es-DO"/>
        </w:rPr>
        <w:t>Lending</w:t>
      </w:r>
      <w:proofErr w:type="spellEnd"/>
      <w:r w:rsidRPr="0064264A">
        <w:rPr>
          <w:rFonts w:eastAsia="Calibri"/>
          <w:b/>
          <w:bCs/>
          <w:lang w:val="es-DO"/>
        </w:rPr>
        <w:t>)</w:t>
      </w:r>
    </w:p>
    <w:p w14:paraId="4A78948D" w14:textId="77777777" w:rsidR="00D9267D" w:rsidRPr="0064264A" w:rsidRDefault="00D9267D" w:rsidP="00D9267D">
      <w:pPr>
        <w:spacing w:line="360" w:lineRule="auto"/>
        <w:jc w:val="both"/>
        <w:rPr>
          <w:rFonts w:eastAsia="Calibri"/>
          <w:lang w:val="es-DO"/>
        </w:rPr>
      </w:pPr>
      <w:r w:rsidRPr="0064264A">
        <w:rPr>
          <w:rFonts w:eastAsia="Calibri"/>
          <w:lang w:val="es-DO"/>
        </w:rPr>
        <w:t>Se desarrollaron múltiples actividades jurídicas vinculadas al proceso contractual requerido para implementar préstamos de valores a través de agentes y custodios internacionales. Dentro de ellas:</w:t>
      </w:r>
    </w:p>
    <w:p w14:paraId="0EE7C9DB" w14:textId="77777777" w:rsidR="00D9267D" w:rsidRPr="0064264A" w:rsidRDefault="00D9267D" w:rsidP="00A40AE3">
      <w:pPr>
        <w:numPr>
          <w:ilvl w:val="0"/>
          <w:numId w:val="32"/>
        </w:numPr>
        <w:spacing w:line="360" w:lineRule="auto"/>
        <w:jc w:val="both"/>
        <w:rPr>
          <w:rFonts w:eastAsia="Calibri"/>
          <w:lang w:val="es-DO"/>
        </w:rPr>
      </w:pPr>
      <w:r w:rsidRPr="0064264A">
        <w:rPr>
          <w:rFonts w:eastAsia="Calibri"/>
          <w:lang w:val="es-DO"/>
        </w:rPr>
        <w:t xml:space="preserve">Revisión del Contrato de Agencia de Préstamo de Valores – SLAA con BNP </w:t>
      </w:r>
      <w:proofErr w:type="spellStart"/>
      <w:r w:rsidRPr="0064264A">
        <w:rPr>
          <w:rFonts w:eastAsia="Calibri"/>
          <w:lang w:val="es-DO"/>
        </w:rPr>
        <w:t>Paribas</w:t>
      </w:r>
      <w:proofErr w:type="spellEnd"/>
      <w:r w:rsidRPr="0064264A">
        <w:rPr>
          <w:rFonts w:eastAsia="Calibri"/>
          <w:lang w:val="es-DO"/>
        </w:rPr>
        <w:t>, incluyendo nueve (9) rondas de revisión entre 2024 y 2025.</w:t>
      </w:r>
    </w:p>
    <w:p w14:paraId="6D3787DC" w14:textId="77777777" w:rsidR="00D9267D" w:rsidRPr="0064264A" w:rsidRDefault="00D9267D" w:rsidP="00A40AE3">
      <w:pPr>
        <w:numPr>
          <w:ilvl w:val="0"/>
          <w:numId w:val="32"/>
        </w:numPr>
        <w:spacing w:line="360" w:lineRule="auto"/>
        <w:jc w:val="both"/>
        <w:rPr>
          <w:rFonts w:eastAsia="Calibri"/>
          <w:lang w:val="es-DO"/>
        </w:rPr>
      </w:pPr>
      <w:r w:rsidRPr="0064264A">
        <w:rPr>
          <w:rFonts w:eastAsia="Calibri"/>
          <w:lang w:val="es-DO"/>
        </w:rPr>
        <w:t>Revisión del Contrato de Custodia de Valores con la Reserva Federal de Nueva York, mediante seis (6) rondas de revisión.</w:t>
      </w:r>
    </w:p>
    <w:p w14:paraId="0663F0B2" w14:textId="77777777" w:rsidR="00D9267D" w:rsidRPr="0064264A" w:rsidRDefault="00D9267D" w:rsidP="00A40AE3">
      <w:pPr>
        <w:numPr>
          <w:ilvl w:val="0"/>
          <w:numId w:val="32"/>
        </w:numPr>
        <w:spacing w:line="360" w:lineRule="auto"/>
        <w:jc w:val="both"/>
        <w:rPr>
          <w:rFonts w:eastAsia="Calibri"/>
          <w:lang w:val="es-DO"/>
        </w:rPr>
      </w:pPr>
      <w:r w:rsidRPr="0064264A">
        <w:rPr>
          <w:rFonts w:eastAsia="Calibri"/>
          <w:lang w:val="es-DO"/>
        </w:rPr>
        <w:t xml:space="preserve">Elaboración de </w:t>
      </w:r>
      <w:proofErr w:type="gramStart"/>
      <w:r w:rsidRPr="0064264A">
        <w:rPr>
          <w:rFonts w:eastAsia="Calibri"/>
          <w:lang w:val="es-DO"/>
        </w:rPr>
        <w:t>ayuda memoria</w:t>
      </w:r>
      <w:proofErr w:type="gramEnd"/>
      <w:r w:rsidRPr="0064264A">
        <w:rPr>
          <w:rFonts w:eastAsia="Calibri"/>
          <w:lang w:val="es-DO"/>
        </w:rPr>
        <w:t xml:space="preserve"> técnica sobre el cambio de jurisdicción aplicable a dicho contrato (Reino Unido → Nueva York).</w:t>
      </w:r>
    </w:p>
    <w:p w14:paraId="43159430" w14:textId="77777777" w:rsidR="00D9267D" w:rsidRPr="0064264A" w:rsidRDefault="00D9267D" w:rsidP="00A40AE3">
      <w:pPr>
        <w:numPr>
          <w:ilvl w:val="0"/>
          <w:numId w:val="32"/>
        </w:numPr>
        <w:spacing w:line="360" w:lineRule="auto"/>
        <w:jc w:val="both"/>
        <w:rPr>
          <w:rFonts w:eastAsia="Calibri"/>
          <w:lang w:val="es-DO"/>
        </w:rPr>
      </w:pPr>
      <w:r w:rsidRPr="0064264A">
        <w:rPr>
          <w:rFonts w:eastAsia="Calibri"/>
          <w:lang w:val="es-DO"/>
        </w:rPr>
        <w:lastRenderedPageBreak/>
        <w:t>Revisión jurídica del SLAA bajo ley de Nueva York en tres (3) rondas adicionales.</w:t>
      </w:r>
    </w:p>
    <w:p w14:paraId="2DE2BFC5"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Acuerdos internacionales vinculados a eficiencia energética (Ministerio de Hacienda – MUFG Bank y convenios asociados)</w:t>
      </w:r>
    </w:p>
    <w:p w14:paraId="6EE3A33C" w14:textId="77777777" w:rsidR="00D9267D" w:rsidRPr="0064264A" w:rsidRDefault="00D9267D" w:rsidP="00D9267D">
      <w:pPr>
        <w:spacing w:line="360" w:lineRule="auto"/>
        <w:jc w:val="both"/>
        <w:rPr>
          <w:rFonts w:eastAsia="Calibri"/>
          <w:lang w:val="es-DO"/>
        </w:rPr>
      </w:pPr>
      <w:r w:rsidRPr="0064264A">
        <w:rPr>
          <w:rFonts w:eastAsia="Calibri"/>
          <w:lang w:val="es-DO"/>
        </w:rPr>
        <w:t>Se revisaron instrumentos contractuales relacionados a la implementación del Convenio de Préstamo DO-P5 (Programa de Eficiencia Energética), mediante varias rondas de revisión jurídica, entre ellas:</w:t>
      </w:r>
    </w:p>
    <w:p w14:paraId="2DFA1741" w14:textId="77777777" w:rsidR="00D9267D" w:rsidRPr="0064264A" w:rsidRDefault="00D9267D" w:rsidP="00A40AE3">
      <w:pPr>
        <w:numPr>
          <w:ilvl w:val="0"/>
          <w:numId w:val="33"/>
        </w:numPr>
        <w:spacing w:line="360" w:lineRule="auto"/>
        <w:jc w:val="both"/>
        <w:rPr>
          <w:rFonts w:eastAsia="Calibri"/>
          <w:lang w:val="es-DO"/>
        </w:rPr>
      </w:pPr>
      <w:r w:rsidRPr="0064264A">
        <w:rPr>
          <w:rFonts w:eastAsia="Calibri"/>
          <w:lang w:val="es-DO"/>
        </w:rPr>
        <w:t>Acuerdo Bancario con MUFG Bank, LTD. – tres (3) rondas, incluyendo versión de firma.</w:t>
      </w:r>
    </w:p>
    <w:p w14:paraId="6E5AE629" w14:textId="77777777" w:rsidR="00D9267D" w:rsidRPr="0064264A" w:rsidRDefault="00D9267D" w:rsidP="00A40AE3">
      <w:pPr>
        <w:numPr>
          <w:ilvl w:val="0"/>
          <w:numId w:val="33"/>
        </w:numPr>
        <w:spacing w:line="360" w:lineRule="auto"/>
        <w:jc w:val="both"/>
        <w:rPr>
          <w:rFonts w:eastAsia="Calibri"/>
          <w:lang w:val="es-DO"/>
        </w:rPr>
      </w:pPr>
      <w:r w:rsidRPr="0064264A">
        <w:rPr>
          <w:rFonts w:eastAsia="Calibri"/>
          <w:lang w:val="es-DO"/>
        </w:rPr>
        <w:t>Acuse de recibo suscrito por el Banco Central – dos (2) rondas.</w:t>
      </w:r>
    </w:p>
    <w:p w14:paraId="303CB306" w14:textId="77777777" w:rsidR="00D9267D" w:rsidRPr="0064264A" w:rsidRDefault="00D9267D" w:rsidP="00A40AE3">
      <w:pPr>
        <w:numPr>
          <w:ilvl w:val="0"/>
          <w:numId w:val="33"/>
        </w:numPr>
        <w:spacing w:line="360" w:lineRule="auto"/>
        <w:jc w:val="both"/>
        <w:rPr>
          <w:rFonts w:eastAsia="Calibri"/>
          <w:lang w:val="es-DO"/>
        </w:rPr>
      </w:pPr>
      <w:r w:rsidRPr="0064264A">
        <w:rPr>
          <w:rFonts w:eastAsia="Calibri"/>
          <w:lang w:val="es-DO"/>
        </w:rPr>
        <w:t>Convenio de Préstamo DO-P5 – dos (2) rondas.</w:t>
      </w:r>
    </w:p>
    <w:p w14:paraId="23ACB809" w14:textId="77777777" w:rsidR="00D9267D" w:rsidRPr="0064264A" w:rsidRDefault="00D9267D" w:rsidP="00A40AE3">
      <w:pPr>
        <w:numPr>
          <w:ilvl w:val="0"/>
          <w:numId w:val="33"/>
        </w:numPr>
        <w:spacing w:line="360" w:lineRule="auto"/>
        <w:jc w:val="both"/>
        <w:rPr>
          <w:rFonts w:eastAsia="Calibri"/>
          <w:lang w:val="es-DO"/>
        </w:rPr>
      </w:pPr>
      <w:r w:rsidRPr="0064264A">
        <w:rPr>
          <w:rFonts w:eastAsia="Calibri"/>
          <w:lang w:val="es-DO"/>
        </w:rPr>
        <w:t>Manual de Desembolsos del Convenio Marco BID-JICA – revisión jurídica general.</w:t>
      </w:r>
    </w:p>
    <w:p w14:paraId="5623C6AA" w14:textId="69FF6D64" w:rsidR="00D9267D" w:rsidRPr="0064264A" w:rsidRDefault="00D9267D" w:rsidP="00D9267D">
      <w:pPr>
        <w:spacing w:line="360" w:lineRule="auto"/>
        <w:jc w:val="both"/>
        <w:rPr>
          <w:rFonts w:eastAsia="Calibri"/>
          <w:b/>
          <w:bCs/>
          <w:lang w:val="es-DO"/>
        </w:rPr>
      </w:pPr>
      <w:r w:rsidRPr="0064264A">
        <w:rPr>
          <w:rFonts w:eastAsia="Calibri"/>
          <w:b/>
          <w:bCs/>
          <w:lang w:val="es-DO"/>
        </w:rPr>
        <w:t>Acuerdos y revisiones jurídicas con proveedores y contrapartes internacionales</w:t>
      </w:r>
    </w:p>
    <w:p w14:paraId="35895E25"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 xml:space="preserve">Moody’s </w:t>
      </w:r>
      <w:proofErr w:type="spellStart"/>
      <w:r w:rsidRPr="0064264A">
        <w:rPr>
          <w:rFonts w:eastAsia="Calibri"/>
          <w:b/>
          <w:bCs/>
          <w:lang w:val="es-DO"/>
        </w:rPr>
        <w:t>Analytics</w:t>
      </w:r>
      <w:proofErr w:type="spellEnd"/>
      <w:r w:rsidRPr="0064264A">
        <w:rPr>
          <w:rFonts w:eastAsia="Calibri"/>
          <w:b/>
          <w:bCs/>
          <w:lang w:val="es-DO"/>
        </w:rPr>
        <w:t>, Inc.</w:t>
      </w:r>
    </w:p>
    <w:p w14:paraId="71ED8AFA" w14:textId="77777777" w:rsidR="00D9267D" w:rsidRPr="0064264A" w:rsidRDefault="00D9267D" w:rsidP="00A40AE3">
      <w:pPr>
        <w:numPr>
          <w:ilvl w:val="0"/>
          <w:numId w:val="34"/>
        </w:numPr>
        <w:spacing w:line="360" w:lineRule="auto"/>
        <w:jc w:val="both"/>
        <w:rPr>
          <w:rFonts w:eastAsia="Calibri"/>
          <w:lang w:val="es-DO"/>
        </w:rPr>
      </w:pPr>
      <w:r w:rsidRPr="0064264A">
        <w:rPr>
          <w:rFonts w:eastAsia="Calibri"/>
          <w:lang w:val="es-DO"/>
        </w:rPr>
        <w:t>Cinco (5) rondas de revisión del acuerdo de licencia de datos, incluyendo versión final.</w:t>
      </w:r>
    </w:p>
    <w:p w14:paraId="40F99B58" w14:textId="77777777" w:rsidR="00D9267D" w:rsidRPr="0064264A" w:rsidRDefault="00D9267D" w:rsidP="00A40AE3">
      <w:pPr>
        <w:numPr>
          <w:ilvl w:val="0"/>
          <w:numId w:val="34"/>
        </w:numPr>
        <w:spacing w:line="360" w:lineRule="auto"/>
        <w:jc w:val="both"/>
        <w:rPr>
          <w:rFonts w:eastAsia="Calibri"/>
          <w:lang w:val="es-DO"/>
        </w:rPr>
      </w:pPr>
      <w:r w:rsidRPr="0064264A">
        <w:rPr>
          <w:rFonts w:eastAsia="Calibri"/>
          <w:lang w:val="es-DO"/>
        </w:rPr>
        <w:t>Revisión de consentimiento unánime otorgando calidades al firmante designado.</w:t>
      </w:r>
    </w:p>
    <w:p w14:paraId="42C968FE"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Banque de France – Servicios de gestión de reservas</w:t>
      </w:r>
    </w:p>
    <w:p w14:paraId="43CDB2F0" w14:textId="77777777" w:rsidR="00D9267D" w:rsidRPr="0064264A" w:rsidRDefault="00D9267D" w:rsidP="00D9267D">
      <w:pPr>
        <w:spacing w:line="360" w:lineRule="auto"/>
        <w:jc w:val="both"/>
        <w:rPr>
          <w:rFonts w:eastAsia="Calibri"/>
          <w:lang w:val="es-DO"/>
        </w:rPr>
      </w:pPr>
      <w:r w:rsidRPr="0064264A">
        <w:rPr>
          <w:rFonts w:eastAsia="Calibri"/>
          <w:lang w:val="es-DO"/>
        </w:rPr>
        <w:t>Revisión integral de los documentos contractuales aplicables a los servicios de gestión de reservas, incluyendo:</w:t>
      </w:r>
    </w:p>
    <w:p w14:paraId="455672C9" w14:textId="77777777" w:rsidR="00D9267D" w:rsidRPr="0064264A" w:rsidRDefault="00D9267D" w:rsidP="00A40AE3">
      <w:pPr>
        <w:numPr>
          <w:ilvl w:val="0"/>
          <w:numId w:val="35"/>
        </w:numPr>
        <w:spacing w:line="360" w:lineRule="auto"/>
        <w:jc w:val="both"/>
        <w:rPr>
          <w:rFonts w:eastAsia="Calibri"/>
          <w:lang w:val="es-DO"/>
        </w:rPr>
      </w:pPr>
      <w:r w:rsidRPr="0064264A">
        <w:rPr>
          <w:rFonts w:eastAsia="Calibri"/>
          <w:lang w:val="es-DO"/>
        </w:rPr>
        <w:t>Términos y Condiciones Generales</w:t>
      </w:r>
    </w:p>
    <w:p w14:paraId="207E5B71" w14:textId="77777777" w:rsidR="00D9267D" w:rsidRPr="0064264A" w:rsidRDefault="00D9267D" w:rsidP="00A40AE3">
      <w:pPr>
        <w:numPr>
          <w:ilvl w:val="0"/>
          <w:numId w:val="35"/>
        </w:numPr>
        <w:spacing w:line="360" w:lineRule="auto"/>
        <w:jc w:val="both"/>
        <w:rPr>
          <w:rFonts w:eastAsia="Calibri"/>
          <w:lang w:val="es-DO"/>
        </w:rPr>
      </w:pPr>
      <w:r w:rsidRPr="0064264A">
        <w:rPr>
          <w:rFonts w:eastAsia="Calibri"/>
          <w:lang w:val="es-DO"/>
        </w:rPr>
        <w:lastRenderedPageBreak/>
        <w:t>Condiciones específicas de servicios en efectivo</w:t>
      </w:r>
    </w:p>
    <w:p w14:paraId="2A86D066" w14:textId="77777777" w:rsidR="00D9267D" w:rsidRPr="0064264A" w:rsidRDefault="00D9267D" w:rsidP="00A40AE3">
      <w:pPr>
        <w:numPr>
          <w:ilvl w:val="0"/>
          <w:numId w:val="35"/>
        </w:numPr>
        <w:spacing w:line="360" w:lineRule="auto"/>
        <w:jc w:val="both"/>
        <w:rPr>
          <w:rFonts w:eastAsia="Calibri"/>
          <w:lang w:val="es-DO"/>
        </w:rPr>
      </w:pPr>
      <w:r w:rsidRPr="0064264A">
        <w:rPr>
          <w:rFonts w:eastAsia="Calibri"/>
          <w:lang w:val="es-DO"/>
        </w:rPr>
        <w:t>Carta de aceptación consolidada</w:t>
      </w:r>
    </w:p>
    <w:p w14:paraId="10F5A470" w14:textId="77777777" w:rsidR="00D9267D" w:rsidRPr="0064264A" w:rsidRDefault="00D9267D" w:rsidP="00A40AE3">
      <w:pPr>
        <w:numPr>
          <w:ilvl w:val="0"/>
          <w:numId w:val="35"/>
        </w:numPr>
        <w:spacing w:line="360" w:lineRule="auto"/>
        <w:jc w:val="both"/>
        <w:rPr>
          <w:rFonts w:eastAsia="Calibri"/>
          <w:lang w:val="es-DO"/>
        </w:rPr>
      </w:pPr>
      <w:r w:rsidRPr="0064264A">
        <w:rPr>
          <w:rFonts w:eastAsia="Calibri"/>
          <w:lang w:val="es-DO"/>
        </w:rPr>
        <w:t>Manual operativo</w:t>
      </w:r>
    </w:p>
    <w:p w14:paraId="3AB205D3" w14:textId="77777777" w:rsidR="00D9267D" w:rsidRPr="0064264A" w:rsidRDefault="00D9267D" w:rsidP="00A40AE3">
      <w:pPr>
        <w:numPr>
          <w:ilvl w:val="0"/>
          <w:numId w:val="35"/>
        </w:numPr>
        <w:spacing w:line="360" w:lineRule="auto"/>
        <w:jc w:val="both"/>
        <w:rPr>
          <w:rFonts w:eastAsia="Calibri"/>
          <w:lang w:val="es-DO"/>
        </w:rPr>
      </w:pPr>
      <w:r w:rsidRPr="0064264A">
        <w:rPr>
          <w:rFonts w:eastAsia="Calibri"/>
          <w:lang w:val="es-DO"/>
        </w:rPr>
        <w:t>Matriz comparativa contractual</w:t>
      </w:r>
    </w:p>
    <w:p w14:paraId="5A963EC6" w14:textId="77777777" w:rsidR="00D9267D" w:rsidRPr="0064264A" w:rsidRDefault="00D9267D" w:rsidP="00A40AE3">
      <w:pPr>
        <w:numPr>
          <w:ilvl w:val="0"/>
          <w:numId w:val="35"/>
        </w:numPr>
        <w:spacing w:line="360" w:lineRule="auto"/>
        <w:jc w:val="both"/>
        <w:rPr>
          <w:rFonts w:eastAsia="Calibri"/>
          <w:lang w:val="es-DO"/>
        </w:rPr>
      </w:pPr>
      <w:r w:rsidRPr="0064264A">
        <w:rPr>
          <w:rFonts w:eastAsia="Calibri"/>
          <w:lang w:val="es-DO"/>
        </w:rPr>
        <w:t>Condiciones de precios en euros y dólares</w:t>
      </w:r>
    </w:p>
    <w:p w14:paraId="50F32AF0" w14:textId="77777777" w:rsidR="00D9267D" w:rsidRPr="0064264A" w:rsidRDefault="00D9267D" w:rsidP="00D9267D">
      <w:pPr>
        <w:spacing w:line="360" w:lineRule="auto"/>
        <w:jc w:val="both"/>
        <w:rPr>
          <w:rFonts w:eastAsia="Calibri"/>
          <w:b/>
          <w:bCs/>
          <w:lang w:val="es-DO"/>
        </w:rPr>
      </w:pPr>
      <w:proofErr w:type="spellStart"/>
      <w:r w:rsidRPr="0064264A">
        <w:rPr>
          <w:rFonts w:eastAsia="Calibri"/>
          <w:b/>
          <w:bCs/>
          <w:lang w:val="es-DO"/>
        </w:rPr>
        <w:t>Agence</w:t>
      </w:r>
      <w:proofErr w:type="spellEnd"/>
      <w:r w:rsidRPr="0064264A">
        <w:rPr>
          <w:rFonts w:eastAsia="Calibri"/>
          <w:b/>
          <w:bCs/>
          <w:lang w:val="es-DO"/>
        </w:rPr>
        <w:t xml:space="preserve"> </w:t>
      </w:r>
      <w:proofErr w:type="spellStart"/>
      <w:r w:rsidRPr="0064264A">
        <w:rPr>
          <w:rFonts w:eastAsia="Calibri"/>
          <w:b/>
          <w:bCs/>
          <w:lang w:val="es-DO"/>
        </w:rPr>
        <w:t>Française</w:t>
      </w:r>
      <w:proofErr w:type="spellEnd"/>
      <w:r w:rsidRPr="0064264A">
        <w:rPr>
          <w:rFonts w:eastAsia="Calibri"/>
          <w:b/>
          <w:bCs/>
          <w:lang w:val="es-DO"/>
        </w:rPr>
        <w:t xml:space="preserve"> de </w:t>
      </w:r>
      <w:proofErr w:type="spellStart"/>
      <w:r w:rsidRPr="0064264A">
        <w:rPr>
          <w:rFonts w:eastAsia="Calibri"/>
          <w:b/>
          <w:bCs/>
          <w:lang w:val="es-DO"/>
        </w:rPr>
        <w:t>Développement</w:t>
      </w:r>
      <w:proofErr w:type="spellEnd"/>
      <w:r w:rsidRPr="0064264A">
        <w:rPr>
          <w:rFonts w:eastAsia="Calibri"/>
          <w:b/>
          <w:bCs/>
          <w:lang w:val="es-DO"/>
        </w:rPr>
        <w:t xml:space="preserve"> – AFD</w:t>
      </w:r>
    </w:p>
    <w:p w14:paraId="18FB2709" w14:textId="05DDCE6C" w:rsidR="00D9267D" w:rsidRPr="0064264A" w:rsidRDefault="00D9267D" w:rsidP="00A40AE3">
      <w:pPr>
        <w:numPr>
          <w:ilvl w:val="0"/>
          <w:numId w:val="36"/>
        </w:numPr>
        <w:spacing w:line="360" w:lineRule="auto"/>
        <w:jc w:val="both"/>
        <w:rPr>
          <w:rFonts w:eastAsia="Calibri"/>
          <w:lang w:val="es-DO"/>
        </w:rPr>
      </w:pPr>
      <w:r w:rsidRPr="0064264A">
        <w:rPr>
          <w:rFonts w:eastAsia="Calibri"/>
          <w:lang w:val="es-DO"/>
        </w:rPr>
        <w:t>Primera ronda de revisión del documento de Solicitud de Propuestas del proyecto “</w:t>
      </w:r>
      <w:proofErr w:type="spellStart"/>
      <w:r w:rsidRPr="0064264A">
        <w:rPr>
          <w:rFonts w:eastAsia="Calibri"/>
          <w:lang w:val="es-DO"/>
        </w:rPr>
        <w:t>Greening</w:t>
      </w:r>
      <w:proofErr w:type="spellEnd"/>
      <w:r w:rsidRPr="0064264A">
        <w:rPr>
          <w:rFonts w:eastAsia="Calibri"/>
          <w:lang w:val="es-DO"/>
        </w:rPr>
        <w:t xml:space="preserve"> </w:t>
      </w:r>
      <w:proofErr w:type="spellStart"/>
      <w:r w:rsidRPr="0064264A">
        <w:rPr>
          <w:rFonts w:eastAsia="Calibri"/>
          <w:lang w:val="es-DO"/>
        </w:rPr>
        <w:t>the</w:t>
      </w:r>
      <w:proofErr w:type="spellEnd"/>
      <w:r w:rsidRPr="0064264A">
        <w:rPr>
          <w:rFonts w:eastAsia="Calibri"/>
          <w:lang w:val="es-DO"/>
        </w:rPr>
        <w:t xml:space="preserve"> </w:t>
      </w:r>
      <w:proofErr w:type="spellStart"/>
      <w:r w:rsidRPr="0064264A">
        <w:rPr>
          <w:rFonts w:eastAsia="Calibri"/>
          <w:lang w:val="es-DO"/>
        </w:rPr>
        <w:t>Caribbean</w:t>
      </w:r>
      <w:proofErr w:type="spellEnd"/>
      <w:r w:rsidRPr="0064264A">
        <w:rPr>
          <w:rFonts w:eastAsia="Calibri"/>
          <w:lang w:val="es-DO"/>
        </w:rPr>
        <w:t xml:space="preserve"> </w:t>
      </w:r>
      <w:proofErr w:type="spellStart"/>
      <w:r w:rsidRPr="0064264A">
        <w:rPr>
          <w:rFonts w:eastAsia="Calibri"/>
          <w:lang w:val="es-DO"/>
        </w:rPr>
        <w:t>Financial</w:t>
      </w:r>
      <w:proofErr w:type="spellEnd"/>
      <w:r w:rsidRPr="0064264A">
        <w:rPr>
          <w:rFonts w:eastAsia="Calibri"/>
          <w:lang w:val="es-DO"/>
        </w:rPr>
        <w:t xml:space="preserve"> </w:t>
      </w:r>
      <w:proofErr w:type="spellStart"/>
      <w:r w:rsidRPr="0064264A">
        <w:rPr>
          <w:rFonts w:eastAsia="Calibri"/>
          <w:lang w:val="es-DO"/>
        </w:rPr>
        <w:t>System</w:t>
      </w:r>
      <w:proofErr w:type="spellEnd"/>
      <w:r w:rsidRPr="0064264A">
        <w:rPr>
          <w:rFonts w:eastAsia="Calibri"/>
          <w:lang w:val="es-DO"/>
        </w:rPr>
        <w:t>”.</w:t>
      </w:r>
    </w:p>
    <w:p w14:paraId="76153F76"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Revisión de operaciones financieras derivadas (Non-</w:t>
      </w:r>
      <w:proofErr w:type="spellStart"/>
      <w:r w:rsidRPr="0064264A">
        <w:rPr>
          <w:rFonts w:eastAsia="Calibri"/>
          <w:b/>
          <w:bCs/>
          <w:lang w:val="es-DO"/>
        </w:rPr>
        <w:t>Delivery</w:t>
      </w:r>
      <w:proofErr w:type="spellEnd"/>
      <w:r w:rsidRPr="0064264A">
        <w:rPr>
          <w:rFonts w:eastAsia="Calibri"/>
          <w:b/>
          <w:bCs/>
          <w:lang w:val="es-DO"/>
        </w:rPr>
        <w:t xml:space="preserve"> Forward – NDF)</w:t>
      </w:r>
    </w:p>
    <w:p w14:paraId="28307EBD" w14:textId="77777777" w:rsidR="00D9267D" w:rsidRPr="0064264A" w:rsidRDefault="00D9267D" w:rsidP="00D9267D">
      <w:pPr>
        <w:spacing w:line="360" w:lineRule="auto"/>
        <w:jc w:val="both"/>
        <w:rPr>
          <w:rFonts w:eastAsia="Calibri"/>
          <w:lang w:val="es-DO"/>
        </w:rPr>
      </w:pPr>
      <w:r w:rsidRPr="0064264A">
        <w:rPr>
          <w:rFonts w:eastAsia="Calibri"/>
          <w:lang w:val="es-DO"/>
        </w:rPr>
        <w:t>Se verificaron los términos legales de confirmaciones emitidas para operaciones de NDF realizadas con diversas contrapartes internacionales, bajo acuerdos marco ISDA suscritos en períodos anteriores:</w:t>
      </w:r>
    </w:p>
    <w:p w14:paraId="677AEFA6" w14:textId="77777777" w:rsidR="00D9267D" w:rsidRPr="0064264A" w:rsidRDefault="00D9267D" w:rsidP="00A40AE3">
      <w:pPr>
        <w:numPr>
          <w:ilvl w:val="0"/>
          <w:numId w:val="37"/>
        </w:numPr>
        <w:spacing w:line="360" w:lineRule="auto"/>
        <w:jc w:val="both"/>
        <w:rPr>
          <w:rFonts w:eastAsia="Calibri"/>
          <w:lang w:val="es-DO"/>
        </w:rPr>
      </w:pPr>
      <w:r w:rsidRPr="0064264A">
        <w:rPr>
          <w:rFonts w:eastAsia="Calibri"/>
          <w:lang w:val="es-DO"/>
        </w:rPr>
        <w:t>J.P. Morgan Chase Bank, N.A.: 22 confirmaciones NDF</w:t>
      </w:r>
    </w:p>
    <w:p w14:paraId="7248AF15" w14:textId="77777777" w:rsidR="00D9267D" w:rsidRPr="0064264A" w:rsidRDefault="00D9267D" w:rsidP="00A40AE3">
      <w:pPr>
        <w:numPr>
          <w:ilvl w:val="0"/>
          <w:numId w:val="37"/>
        </w:numPr>
        <w:spacing w:line="360" w:lineRule="auto"/>
        <w:jc w:val="both"/>
        <w:rPr>
          <w:rFonts w:eastAsia="Calibri"/>
          <w:lang w:val="es-DO"/>
        </w:rPr>
      </w:pPr>
      <w:r w:rsidRPr="0064264A">
        <w:rPr>
          <w:rFonts w:eastAsia="Calibri"/>
          <w:lang w:val="es-DO"/>
        </w:rPr>
        <w:t>Goldman Sachs Bank USA: 60 confirmaciones largas NDF vinculadas a cobertura cambiaria para PIMCO</w:t>
      </w:r>
    </w:p>
    <w:p w14:paraId="7A819DE2" w14:textId="232AECF4" w:rsidR="004967BF" w:rsidRPr="0064264A" w:rsidRDefault="00D9267D" w:rsidP="00D9267D">
      <w:pPr>
        <w:numPr>
          <w:ilvl w:val="0"/>
          <w:numId w:val="37"/>
        </w:numPr>
        <w:spacing w:line="360" w:lineRule="auto"/>
        <w:jc w:val="both"/>
        <w:rPr>
          <w:rFonts w:eastAsia="Calibri"/>
          <w:lang w:val="es-DO"/>
        </w:rPr>
      </w:pPr>
      <w:r w:rsidRPr="0064264A">
        <w:rPr>
          <w:rFonts w:eastAsia="Calibri"/>
          <w:lang w:val="es-DO"/>
        </w:rPr>
        <w:t xml:space="preserve">Bank </w:t>
      </w:r>
      <w:proofErr w:type="spellStart"/>
      <w:r w:rsidRPr="0064264A">
        <w:rPr>
          <w:rFonts w:eastAsia="Calibri"/>
          <w:lang w:val="es-DO"/>
        </w:rPr>
        <w:t>of</w:t>
      </w:r>
      <w:proofErr w:type="spellEnd"/>
      <w:r w:rsidRPr="0064264A">
        <w:rPr>
          <w:rFonts w:eastAsia="Calibri"/>
          <w:lang w:val="es-DO"/>
        </w:rPr>
        <w:t xml:space="preserve"> America, N.A.: 37 confirmaciones NDF revisadas bajo contrato marco ISDA vigente</w:t>
      </w:r>
    </w:p>
    <w:p w14:paraId="2768B10C" w14:textId="77777777" w:rsidR="00D9267D" w:rsidRPr="0064264A" w:rsidRDefault="00D9267D" w:rsidP="00D9267D">
      <w:pPr>
        <w:spacing w:line="360" w:lineRule="auto"/>
        <w:jc w:val="both"/>
        <w:rPr>
          <w:rFonts w:eastAsia="Calibri"/>
          <w:b/>
          <w:lang w:val="es-DO"/>
        </w:rPr>
      </w:pPr>
      <w:bookmarkStart w:id="30" w:name="_Toc89962703"/>
      <w:r w:rsidRPr="0064264A">
        <w:rPr>
          <w:rFonts w:eastAsia="Calibri"/>
          <w:b/>
          <w:lang w:val="es-DO"/>
        </w:rPr>
        <w:t>Opiniones legales</w:t>
      </w:r>
      <w:bookmarkEnd w:id="30"/>
    </w:p>
    <w:p w14:paraId="66948114" w14:textId="2944A741" w:rsidR="00D9267D" w:rsidRPr="0064264A" w:rsidRDefault="00D9267D" w:rsidP="00D9267D">
      <w:pPr>
        <w:spacing w:line="360" w:lineRule="auto"/>
        <w:jc w:val="both"/>
        <w:rPr>
          <w:rFonts w:eastAsia="Calibri"/>
          <w:lang w:val="es-DO"/>
        </w:rPr>
      </w:pPr>
      <w:r w:rsidRPr="0064264A">
        <w:rPr>
          <w:rFonts w:eastAsia="Calibri"/>
          <w:lang w:val="es-DO"/>
        </w:rPr>
        <w:t xml:space="preserve">En este período, la Consultoría Jurídica realizó las labores de asistencia legal, a lo interno y externo del Banco Central, a fin de tomar las acciones previsoras para evitar contingencias legales a la institución. </w:t>
      </w:r>
    </w:p>
    <w:p w14:paraId="38156D84" w14:textId="49D12DEC" w:rsidR="00D9267D" w:rsidRPr="0064264A" w:rsidRDefault="00D9267D" w:rsidP="00D9267D">
      <w:pPr>
        <w:spacing w:line="360" w:lineRule="auto"/>
        <w:jc w:val="both"/>
        <w:rPr>
          <w:rFonts w:eastAsia="Calibri"/>
          <w:lang w:val="es-DO"/>
        </w:rPr>
      </w:pPr>
      <w:r w:rsidRPr="0064264A">
        <w:rPr>
          <w:rFonts w:eastAsia="Calibri"/>
          <w:lang w:val="es-DO"/>
        </w:rPr>
        <w:lastRenderedPageBreak/>
        <w:t xml:space="preserve">En ese sentido, fueron elaboradas sesenta y ocho (68) opiniones legales y comunicaciones, dirigidas a distintas dependencias de este Banco Central, relativas a convenios, acuerdos y contratos, proyectos de leyes, inversionistas fallecidos y determinación de herederos, así como las relativas a operaciones y actividades propias de las entidades de intermediación financiera. </w:t>
      </w:r>
    </w:p>
    <w:p w14:paraId="77B0B806" w14:textId="78DB913F" w:rsidR="00D9267D" w:rsidRPr="0064264A" w:rsidRDefault="00D9267D" w:rsidP="00D9267D">
      <w:pPr>
        <w:spacing w:line="360" w:lineRule="auto"/>
        <w:jc w:val="both"/>
        <w:rPr>
          <w:rFonts w:eastAsia="Calibri"/>
          <w:lang w:val="es-DO"/>
        </w:rPr>
      </w:pPr>
      <w:r w:rsidRPr="0064264A">
        <w:rPr>
          <w:rFonts w:eastAsia="Calibri"/>
          <w:lang w:val="es-DO"/>
        </w:rPr>
        <w:t>Entre estas podemos citar, las solicitudes de desistimiento o autorización de liquidación y salida voluntaria del mercado cambiario y del sistema financiero nacional; la revocación de autorización para operar; la autorización de traspaso y venta de acciones; el traspaso de activos y pasivos; la autorización para operar como agente de cambio en el mercado cambiario nacional y como administrador de un sistema de pago o de liquidación de valores; entre otras.</w:t>
      </w:r>
    </w:p>
    <w:p w14:paraId="374699F9" w14:textId="1A6007EA" w:rsidR="00D9267D" w:rsidRPr="0064264A" w:rsidRDefault="00D9267D" w:rsidP="008B3000">
      <w:pPr>
        <w:pStyle w:val="Heading1"/>
        <w:jc w:val="left"/>
        <w:rPr>
          <w:rFonts w:eastAsia="Calibri"/>
          <w:color w:val="767171"/>
          <w:lang w:val="es-DO"/>
        </w:rPr>
      </w:pPr>
      <w:bookmarkStart w:id="31" w:name="_Toc217386294"/>
      <w:r w:rsidRPr="0064264A">
        <w:rPr>
          <w:rFonts w:eastAsia="Calibri"/>
          <w:color w:val="767171"/>
          <w:lang w:val="es-DO"/>
        </w:rPr>
        <w:t>4.4 Desempeño de la Tecnología</w:t>
      </w:r>
      <w:bookmarkEnd w:id="31"/>
    </w:p>
    <w:p w14:paraId="2A8DB170" w14:textId="77777777" w:rsidR="00D9267D" w:rsidRPr="0064264A" w:rsidRDefault="00D9267D" w:rsidP="00D9267D">
      <w:pPr>
        <w:spacing w:line="360" w:lineRule="auto"/>
        <w:jc w:val="both"/>
        <w:rPr>
          <w:rFonts w:eastAsia="Calibri"/>
          <w:b/>
          <w:lang w:val="es-DO"/>
        </w:rPr>
      </w:pPr>
      <w:r w:rsidRPr="0064264A">
        <w:rPr>
          <w:rFonts w:eastAsia="Calibri"/>
          <w:b/>
          <w:lang w:val="es-DO"/>
        </w:rPr>
        <w:t>Innovaciones e implementaciones</w:t>
      </w:r>
    </w:p>
    <w:p w14:paraId="18DCD036" w14:textId="77777777" w:rsidR="00D9267D" w:rsidRPr="0064264A" w:rsidRDefault="00D9267D" w:rsidP="00D9267D">
      <w:pPr>
        <w:spacing w:line="360" w:lineRule="auto"/>
        <w:jc w:val="both"/>
        <w:rPr>
          <w:rFonts w:eastAsia="Calibri"/>
          <w:lang w:val="es-DO"/>
        </w:rPr>
      </w:pPr>
      <w:r w:rsidRPr="0064264A">
        <w:rPr>
          <w:rFonts w:eastAsia="Calibri"/>
          <w:lang w:val="es-DO"/>
        </w:rPr>
        <w:t>En el ámbito de la tecnología, se trabajó en el desarrollo de iniciativas con miras a modernizar y eficientizar los procesos que se llevan a cabo desde diferentes áreas de la institución, alcanzando los siguientes avances en materia de tecnología, innovaciones e implementaciones.</w:t>
      </w:r>
    </w:p>
    <w:p w14:paraId="6A2C55C5"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Como parte de las funciones concernientes al análisis y la documentación de los procesos relacionados con las operaciones del Banco Central de la República Dominicana (BCRD), se elaboraron y actualizaron </w:t>
      </w:r>
      <w:r w:rsidRPr="0064264A">
        <w:rPr>
          <w:rFonts w:eastAsia="Calibri"/>
          <w:bCs/>
          <w:lang w:val="es-DO"/>
        </w:rPr>
        <w:t>81</w:t>
      </w:r>
      <w:r w:rsidRPr="0064264A">
        <w:rPr>
          <w:rFonts w:eastAsia="Calibri"/>
          <w:lang w:val="es-DO"/>
        </w:rPr>
        <w:t xml:space="preserve"> documentos, según se indica: </w:t>
      </w:r>
      <w:r w:rsidRPr="0064264A">
        <w:rPr>
          <w:rFonts w:eastAsia="Calibri"/>
          <w:bCs/>
          <w:lang w:val="es-DO"/>
        </w:rPr>
        <w:t>30</w:t>
      </w:r>
      <w:r w:rsidRPr="0064264A">
        <w:rPr>
          <w:rFonts w:eastAsia="Calibri"/>
          <w:lang w:val="es-DO"/>
        </w:rPr>
        <w:t xml:space="preserve"> procedimientos, </w:t>
      </w:r>
      <w:r w:rsidRPr="0064264A">
        <w:rPr>
          <w:rFonts w:eastAsia="Calibri"/>
          <w:bCs/>
          <w:lang w:val="es-DO"/>
        </w:rPr>
        <w:t>3</w:t>
      </w:r>
      <w:r w:rsidRPr="0064264A">
        <w:rPr>
          <w:rFonts w:eastAsia="Calibri"/>
          <w:lang w:val="es-DO"/>
        </w:rPr>
        <w:t xml:space="preserve"> normativas, </w:t>
      </w:r>
      <w:r w:rsidRPr="0064264A">
        <w:rPr>
          <w:rFonts w:eastAsia="Calibri"/>
          <w:bCs/>
          <w:lang w:val="es-DO"/>
        </w:rPr>
        <w:t>4</w:t>
      </w:r>
      <w:r w:rsidRPr="0064264A">
        <w:rPr>
          <w:rFonts w:eastAsia="Calibri"/>
          <w:lang w:val="es-DO"/>
        </w:rPr>
        <w:t xml:space="preserve"> guías, </w:t>
      </w:r>
      <w:r w:rsidRPr="0064264A">
        <w:rPr>
          <w:rFonts w:eastAsia="Calibri"/>
          <w:bCs/>
          <w:lang w:val="es-DO"/>
        </w:rPr>
        <w:t>5</w:t>
      </w:r>
      <w:r w:rsidRPr="0064264A">
        <w:rPr>
          <w:rFonts w:eastAsia="Calibri"/>
          <w:lang w:val="es-DO"/>
        </w:rPr>
        <w:t xml:space="preserve"> planes de continuidad del negocio, </w:t>
      </w:r>
      <w:r w:rsidRPr="0064264A">
        <w:rPr>
          <w:rFonts w:eastAsia="Calibri"/>
          <w:bCs/>
          <w:lang w:val="es-DO"/>
        </w:rPr>
        <w:t>2</w:t>
      </w:r>
      <w:r w:rsidRPr="0064264A">
        <w:rPr>
          <w:rFonts w:eastAsia="Calibri"/>
          <w:lang w:val="es-DO"/>
        </w:rPr>
        <w:t xml:space="preserve"> planes, </w:t>
      </w:r>
      <w:r w:rsidRPr="0064264A">
        <w:rPr>
          <w:rFonts w:eastAsia="Calibri"/>
          <w:bCs/>
          <w:lang w:val="es-DO"/>
        </w:rPr>
        <w:t>2</w:t>
      </w:r>
      <w:r w:rsidRPr="0064264A">
        <w:rPr>
          <w:rFonts w:eastAsia="Calibri"/>
          <w:lang w:val="es-DO"/>
        </w:rPr>
        <w:t xml:space="preserve"> instrucciones de trabajo,</w:t>
      </w:r>
      <w:r w:rsidRPr="0064264A">
        <w:rPr>
          <w:rFonts w:eastAsia="Calibri"/>
          <w:bCs/>
          <w:lang w:val="es-DO"/>
        </w:rPr>
        <w:t xml:space="preserve"> 2</w:t>
      </w:r>
      <w:r w:rsidRPr="0064264A">
        <w:rPr>
          <w:rFonts w:eastAsia="Calibri"/>
          <w:lang w:val="es-DO"/>
        </w:rPr>
        <w:t xml:space="preserve"> manuales de usuario, </w:t>
      </w:r>
      <w:r w:rsidRPr="0064264A">
        <w:rPr>
          <w:rFonts w:eastAsia="Calibri"/>
          <w:bCs/>
          <w:lang w:val="es-DO"/>
        </w:rPr>
        <w:t>2</w:t>
      </w:r>
      <w:r w:rsidRPr="0064264A">
        <w:rPr>
          <w:rFonts w:eastAsia="Calibri"/>
          <w:lang w:val="es-DO"/>
        </w:rPr>
        <w:t xml:space="preserve"> manuales de gestión, </w:t>
      </w:r>
      <w:r w:rsidRPr="0064264A">
        <w:rPr>
          <w:rFonts w:eastAsia="Calibri"/>
          <w:bCs/>
          <w:lang w:val="es-DO"/>
        </w:rPr>
        <w:t>23</w:t>
      </w:r>
      <w:r w:rsidRPr="0064264A">
        <w:rPr>
          <w:rFonts w:eastAsia="Calibri"/>
          <w:lang w:val="es-DO"/>
        </w:rPr>
        <w:t xml:space="preserve"> formularios, </w:t>
      </w:r>
      <w:r w:rsidRPr="0064264A">
        <w:rPr>
          <w:rFonts w:eastAsia="Calibri"/>
          <w:bCs/>
          <w:lang w:val="es-DO"/>
        </w:rPr>
        <w:t>6</w:t>
      </w:r>
      <w:r w:rsidRPr="0064264A">
        <w:rPr>
          <w:rFonts w:eastAsia="Calibri"/>
          <w:lang w:val="es-DO"/>
        </w:rPr>
        <w:t xml:space="preserve"> formatos, entre otros documentos.</w:t>
      </w:r>
    </w:p>
    <w:p w14:paraId="41E36293" w14:textId="77777777" w:rsidR="00D9267D" w:rsidRPr="0064264A" w:rsidRDefault="00D9267D" w:rsidP="00D9267D">
      <w:pPr>
        <w:spacing w:line="360" w:lineRule="auto"/>
        <w:jc w:val="both"/>
        <w:rPr>
          <w:rFonts w:eastAsia="Calibri"/>
          <w:lang w:val="es-DO"/>
        </w:rPr>
      </w:pPr>
      <w:r w:rsidRPr="0064264A">
        <w:rPr>
          <w:rFonts w:eastAsia="Calibri"/>
          <w:lang w:val="es-DO"/>
        </w:rPr>
        <w:lastRenderedPageBreak/>
        <w:t xml:space="preserve">Del mismo modo, se implementaron </w:t>
      </w:r>
      <w:r w:rsidRPr="0064264A">
        <w:rPr>
          <w:rFonts w:eastAsia="Calibri"/>
          <w:bCs/>
          <w:lang w:val="es-DO"/>
        </w:rPr>
        <w:t xml:space="preserve">152 </w:t>
      </w:r>
      <w:r w:rsidRPr="0064264A">
        <w:rPr>
          <w:rFonts w:eastAsia="Calibri"/>
          <w:lang w:val="es-DO"/>
        </w:rPr>
        <w:t xml:space="preserve">solicitudes de mejoras y correcciones a 48 sistemas y módulos en producción. A continuación, destacamos algunos de los logros más significativos: </w:t>
      </w:r>
    </w:p>
    <w:p w14:paraId="4B496C7B"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Plataforma de Gestión de Reservas Internacionales (</w:t>
      </w:r>
      <w:proofErr w:type="spellStart"/>
      <w:r w:rsidRPr="0064264A">
        <w:rPr>
          <w:rFonts w:eastAsia="Calibri"/>
          <w:b/>
          <w:bCs/>
          <w:lang w:val="es-DO"/>
        </w:rPr>
        <w:t>Calypso</w:t>
      </w:r>
      <w:proofErr w:type="spellEnd"/>
      <w:r w:rsidRPr="0064264A">
        <w:rPr>
          <w:rFonts w:eastAsia="Calibri"/>
          <w:b/>
          <w:bCs/>
          <w:lang w:val="es-DO"/>
        </w:rPr>
        <w:t xml:space="preserve">): </w:t>
      </w:r>
      <w:r w:rsidRPr="0064264A">
        <w:rPr>
          <w:rFonts w:eastAsia="Calibri"/>
          <w:lang w:val="es-DO"/>
        </w:rPr>
        <w:t xml:space="preserve">Se avanzó en la integración de la plataforma </w:t>
      </w:r>
      <w:proofErr w:type="spellStart"/>
      <w:r w:rsidRPr="0064264A">
        <w:rPr>
          <w:rFonts w:eastAsia="Calibri"/>
          <w:lang w:val="es-DO"/>
        </w:rPr>
        <w:t>Calypso</w:t>
      </w:r>
      <w:proofErr w:type="spellEnd"/>
      <w:r w:rsidRPr="0064264A">
        <w:rPr>
          <w:rFonts w:eastAsia="Calibri"/>
          <w:lang w:val="es-DO"/>
        </w:rPr>
        <w:t xml:space="preserve"> con los sistemas del banco, habilitando una conexión segura mediante SFTP para el intercambio de información. Este mecanismo fortalece la seguridad y la confiabilidad en el flujo de datos críticos. Adicionalmente, se inició la integración para el intercambio de mensajería de pagos a través de la red SWIFT, facilitando la conectividad con servicios internacionales de transferencia y liquidación.</w:t>
      </w:r>
    </w:p>
    <w:p w14:paraId="5F8DD4FA" w14:textId="18AECF2C" w:rsidR="004967BF" w:rsidRPr="0064264A" w:rsidRDefault="00D9267D" w:rsidP="00580C8E">
      <w:pPr>
        <w:numPr>
          <w:ilvl w:val="0"/>
          <w:numId w:val="15"/>
        </w:numPr>
        <w:spacing w:line="360" w:lineRule="auto"/>
        <w:jc w:val="both"/>
        <w:rPr>
          <w:rFonts w:eastAsia="Calibri"/>
          <w:lang w:val="es-DO"/>
        </w:rPr>
      </w:pPr>
      <w:r w:rsidRPr="0064264A">
        <w:rPr>
          <w:rFonts w:eastAsia="Calibri"/>
          <w:b/>
          <w:bCs/>
          <w:lang w:val="es-DO"/>
        </w:rPr>
        <w:t xml:space="preserve">Migración SWIFT: </w:t>
      </w:r>
      <w:r w:rsidRPr="0064264A">
        <w:rPr>
          <w:rFonts w:eastAsia="Calibri"/>
          <w:lang w:val="es-DO"/>
        </w:rPr>
        <w:t xml:space="preserve">Se completó la migración de Swift Alliance Access y Swift Alliance Web </w:t>
      </w:r>
      <w:proofErr w:type="spellStart"/>
      <w:r w:rsidRPr="0064264A">
        <w:rPr>
          <w:rFonts w:eastAsia="Calibri"/>
          <w:lang w:val="es-DO"/>
        </w:rPr>
        <w:t>Platform</w:t>
      </w:r>
      <w:proofErr w:type="spellEnd"/>
      <w:r w:rsidRPr="0064264A">
        <w:rPr>
          <w:rFonts w:eastAsia="Calibri"/>
          <w:lang w:val="es-DO"/>
        </w:rPr>
        <w:t xml:space="preserve"> de la versión 7.6 a la 7.7, aplicando mejoras en rendimiento, funcionalidades y seguridad cibernética. Esta actualización solventó problemas detectados en la versión anterior, reduciendo retrasos operativos y aumentando la estabilidad general del sistema.</w:t>
      </w:r>
    </w:p>
    <w:p w14:paraId="7F959A17"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Migración Sistema de Liquidación Bruta en Tiempo Real (LBTR) - CAS/CSS: </w:t>
      </w:r>
      <w:r w:rsidRPr="0064264A">
        <w:rPr>
          <w:rFonts w:eastAsia="Calibri"/>
          <w:lang w:val="es-DO"/>
        </w:rPr>
        <w:t>Se migró el sistema CAS/CSS de la versión 3.9 a la versión 4, modernizando la infraestructura tecnológica y actualizando componentes de terceros. Esta implementación optimiza el rendimiento, la seguridad y habilita el uso del estándar ISO 20022, mejorando la interoperabilidad en las transacciones financieras y alineando la plataforma con las prácticas internacionales vigentes.</w:t>
      </w:r>
    </w:p>
    <w:p w14:paraId="29455BDE"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Migración Sistema de Compensación de Cheques (BCS/X): </w:t>
      </w:r>
      <w:r w:rsidRPr="0064264A">
        <w:rPr>
          <w:rFonts w:eastAsia="Calibri"/>
          <w:lang w:val="es-DO"/>
        </w:rPr>
        <w:t xml:space="preserve">Se completó la migración del sistema de Cámara de Compensación Electrónica de Cheques (BCS/X) hacia un </w:t>
      </w:r>
      <w:r w:rsidRPr="0064264A">
        <w:rPr>
          <w:rFonts w:eastAsia="Calibri"/>
          <w:lang w:val="es-DO"/>
        </w:rPr>
        <w:lastRenderedPageBreak/>
        <w:t xml:space="preserve">entorno basado en Linux, actualizando la aplicación </w:t>
      </w:r>
      <w:proofErr w:type="spellStart"/>
      <w:r w:rsidRPr="0064264A">
        <w:rPr>
          <w:rFonts w:eastAsia="Calibri"/>
          <w:lang w:val="es-DO"/>
        </w:rPr>
        <w:t>core</w:t>
      </w:r>
      <w:proofErr w:type="spellEnd"/>
      <w:r w:rsidRPr="0064264A">
        <w:rPr>
          <w:rFonts w:eastAsia="Calibri"/>
          <w:lang w:val="es-DO"/>
        </w:rPr>
        <w:t xml:space="preserve"> y fortaleciendo su resiliencia. Este cambio incrementa la flexibilidad y la capacidad de recuperación ante fallos, mejorando la eficiencia en el procesamiento de transacciones y garantizando la continuidad operativa bajo condiciones exigentes.</w:t>
      </w:r>
    </w:p>
    <w:p w14:paraId="64E222B2"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Actualización de IBM AS400 de 7.3 a 7.5 y </w:t>
      </w:r>
      <w:proofErr w:type="spellStart"/>
      <w:r w:rsidRPr="0064264A">
        <w:rPr>
          <w:rFonts w:eastAsia="Calibri"/>
          <w:b/>
          <w:bCs/>
          <w:lang w:val="es-DO"/>
        </w:rPr>
        <w:t>PowerHA</w:t>
      </w:r>
      <w:proofErr w:type="spellEnd"/>
      <w:r w:rsidRPr="0064264A">
        <w:rPr>
          <w:rFonts w:eastAsia="Calibri"/>
          <w:b/>
          <w:bCs/>
          <w:lang w:val="es-DO"/>
        </w:rPr>
        <w:t xml:space="preserve">: </w:t>
      </w:r>
      <w:r w:rsidRPr="0064264A">
        <w:rPr>
          <w:rFonts w:eastAsia="Calibri"/>
          <w:lang w:val="es-DO"/>
        </w:rPr>
        <w:t xml:space="preserve">Se actualizó el sistema operativo AS400 de la versión 7.3 a la 7.5 y se aplicó la nueva versión de </w:t>
      </w:r>
      <w:proofErr w:type="spellStart"/>
      <w:r w:rsidRPr="0064264A">
        <w:rPr>
          <w:rFonts w:eastAsia="Calibri"/>
          <w:lang w:val="es-DO"/>
        </w:rPr>
        <w:t>PowerHA</w:t>
      </w:r>
      <w:proofErr w:type="spellEnd"/>
      <w:r w:rsidRPr="0064264A">
        <w:rPr>
          <w:rFonts w:eastAsia="Calibri"/>
          <w:lang w:val="es-DO"/>
        </w:rPr>
        <w:t>. Estos cambios proporcionan mejoras en seguridad, rendimiento, disponibilidad y funcionalidad, cumpliendo con las últimas recomendaciones técnicas y facilitando la continuidad operativa mediante replicación y recuperación ante fallos.</w:t>
      </w:r>
    </w:p>
    <w:p w14:paraId="5259F8B4"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Líneas base de seguridad para servidores, bases de datos y equipos de comunicaciones:</w:t>
      </w:r>
      <w:r w:rsidRPr="0064264A">
        <w:rPr>
          <w:rFonts w:eastAsia="Calibri"/>
          <w:lang w:val="es-DO"/>
        </w:rPr>
        <w:t xml:space="preserve"> Se completaron líneas base de seguridad en sistemas operativos Linux, AS400, HPUX, así como en bases de datos, switches y firewalls. Esto incluyó la aplicación de configuraciones estándar y ajustes específicos para cada componente, mejorando la integridad, confidencialidad y disponibilidad. Estas medidas refuerzan el monitoreo, la gestión de vulnerabilidades y la respuesta a incidentes.</w:t>
      </w:r>
    </w:p>
    <w:p w14:paraId="60A6FCC3"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Reestructuración de la red de administración física de servidores:  </w:t>
      </w:r>
      <w:r w:rsidRPr="0064264A">
        <w:rPr>
          <w:rFonts w:eastAsia="Calibri"/>
          <w:lang w:val="es-DO"/>
        </w:rPr>
        <w:t xml:space="preserve">Se reestructuró la red dedicada a la administración física de servidores, creando un entorno aislado que centraliza el acceso a sistemas ILO (HPE), </w:t>
      </w:r>
      <w:proofErr w:type="spellStart"/>
      <w:r w:rsidRPr="0064264A">
        <w:rPr>
          <w:rFonts w:eastAsia="Calibri"/>
          <w:lang w:val="es-DO"/>
        </w:rPr>
        <w:t>XClarity</w:t>
      </w:r>
      <w:proofErr w:type="spellEnd"/>
      <w:r w:rsidRPr="0064264A">
        <w:rPr>
          <w:rFonts w:eastAsia="Calibri"/>
          <w:lang w:val="es-DO"/>
        </w:rPr>
        <w:t xml:space="preserve"> (Lenovo) e </w:t>
      </w:r>
      <w:proofErr w:type="spellStart"/>
      <w:r w:rsidRPr="0064264A">
        <w:rPr>
          <w:rFonts w:eastAsia="Calibri"/>
          <w:lang w:val="es-DO"/>
        </w:rPr>
        <w:t>iDRAC</w:t>
      </w:r>
      <w:proofErr w:type="spellEnd"/>
      <w:r w:rsidRPr="0064264A">
        <w:rPr>
          <w:rFonts w:eastAsia="Calibri"/>
          <w:lang w:val="es-DO"/>
        </w:rPr>
        <w:t xml:space="preserve"> (Dell). Esta separación mejora la seguridad al aislar el tráfico de gestión y facilita la supervisión, configuración, diagnóstico y solución de problemas, incluso sin la operatividad del </w:t>
      </w:r>
      <w:r w:rsidRPr="0064264A">
        <w:rPr>
          <w:rFonts w:eastAsia="Calibri"/>
          <w:lang w:val="es-DO"/>
        </w:rPr>
        <w:lastRenderedPageBreak/>
        <w:t>sistema principal.</w:t>
      </w:r>
    </w:p>
    <w:p w14:paraId="013BA9D9"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Instalación de nuevos SBCE (Avaya </w:t>
      </w:r>
      <w:proofErr w:type="spellStart"/>
      <w:r w:rsidRPr="0064264A">
        <w:rPr>
          <w:rFonts w:eastAsia="Calibri"/>
          <w:b/>
          <w:bCs/>
          <w:lang w:val="es-DO"/>
        </w:rPr>
        <w:t>Session</w:t>
      </w:r>
      <w:proofErr w:type="spellEnd"/>
      <w:r w:rsidRPr="0064264A">
        <w:rPr>
          <w:rFonts w:eastAsia="Calibri"/>
          <w:b/>
          <w:bCs/>
          <w:lang w:val="es-DO"/>
        </w:rPr>
        <w:t xml:space="preserve"> </w:t>
      </w:r>
      <w:proofErr w:type="spellStart"/>
      <w:r w:rsidRPr="0064264A">
        <w:rPr>
          <w:rFonts w:eastAsia="Calibri"/>
          <w:b/>
          <w:bCs/>
          <w:lang w:val="es-DO"/>
        </w:rPr>
        <w:t>Border</w:t>
      </w:r>
      <w:proofErr w:type="spellEnd"/>
      <w:r w:rsidRPr="0064264A">
        <w:rPr>
          <w:rFonts w:eastAsia="Calibri"/>
          <w:b/>
          <w:bCs/>
          <w:lang w:val="es-DO"/>
        </w:rPr>
        <w:t xml:space="preserve"> </w:t>
      </w:r>
      <w:proofErr w:type="spellStart"/>
      <w:r w:rsidRPr="0064264A">
        <w:rPr>
          <w:rFonts w:eastAsia="Calibri"/>
          <w:b/>
          <w:bCs/>
          <w:lang w:val="es-DO"/>
        </w:rPr>
        <w:t>Controller</w:t>
      </w:r>
      <w:proofErr w:type="spellEnd"/>
      <w:r w:rsidRPr="0064264A">
        <w:rPr>
          <w:rFonts w:eastAsia="Calibri"/>
          <w:b/>
          <w:bCs/>
          <w:lang w:val="es-DO"/>
        </w:rPr>
        <w:t xml:space="preserve"> Enterprise): </w:t>
      </w:r>
      <w:r w:rsidRPr="0064264A">
        <w:rPr>
          <w:rFonts w:eastAsia="Calibri"/>
          <w:lang w:val="es-DO"/>
        </w:rPr>
        <w:t>Se instalaron Avaya SBCE en las centrales telefónicas de la Oficina Regional, el Centro de Documentación y el Club de Empleados del Banco Central. Esta incorporación mejora la seguridad y el control del tráfico de voz sobre IP, facilita la interoperabilidad y protege las comunicaciones frente a amenazas externas.</w:t>
      </w:r>
    </w:p>
    <w:p w14:paraId="68EF979C"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Despliegues automatizados de aplicaciones </w:t>
      </w:r>
      <w:proofErr w:type="spellStart"/>
      <w:r w:rsidRPr="0064264A">
        <w:rPr>
          <w:rFonts w:eastAsia="Calibri"/>
          <w:b/>
          <w:bCs/>
          <w:lang w:val="es-DO"/>
        </w:rPr>
        <w:t>on</w:t>
      </w:r>
      <w:proofErr w:type="spellEnd"/>
      <w:r w:rsidRPr="0064264A">
        <w:rPr>
          <w:rFonts w:eastAsia="Calibri"/>
          <w:b/>
          <w:bCs/>
          <w:lang w:val="es-DO"/>
        </w:rPr>
        <w:t xml:space="preserve">-premise y en la nube (DevOps): </w:t>
      </w:r>
      <w:r w:rsidRPr="0064264A">
        <w:rPr>
          <w:rFonts w:eastAsia="Calibri"/>
          <w:lang w:val="es-DO"/>
        </w:rPr>
        <w:t xml:space="preserve">Se automatizaron los despliegues de aplicaciones en entornos </w:t>
      </w:r>
      <w:proofErr w:type="spellStart"/>
      <w:r w:rsidRPr="0064264A">
        <w:rPr>
          <w:rFonts w:eastAsia="Calibri"/>
          <w:lang w:val="es-DO"/>
        </w:rPr>
        <w:t>on</w:t>
      </w:r>
      <w:proofErr w:type="spellEnd"/>
      <w:r w:rsidRPr="0064264A">
        <w:rPr>
          <w:rFonts w:eastAsia="Calibri"/>
          <w:lang w:val="es-DO"/>
        </w:rPr>
        <w:t>-premise y nubes públicas, incluyendo 17 sistemas del banco, como PAMF, ARS Banco Central, Encuestas de Turismo y Gestor de Firmas Digitales. Con estas automatizaciones se reducen tiempos de implementación, se minimizan errores y se agiliza la entrega continua, mejorando la eficiencia en múltiples plataformas.</w:t>
      </w:r>
    </w:p>
    <w:p w14:paraId="4A983B33"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Infraestructura en la nube para la Biblioteca Juan Pablo Duarte: </w:t>
      </w:r>
      <w:r w:rsidRPr="0064264A">
        <w:rPr>
          <w:rFonts w:eastAsia="Calibri"/>
          <w:lang w:val="es-DO"/>
        </w:rPr>
        <w:t>Se puso en producción una infraestructura en la nube (Microsoft Azure) para alojar servicios de automatización en la Biblioteca Juan Pablo Duarte. Esto incluye la implementación de aplicaciones y controles de seguridad y disponibilidad, asegurando un entorno fiable y accesible para la gestión bibliotecaria.</w:t>
      </w:r>
    </w:p>
    <w:p w14:paraId="4D23FEAD"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Consultoría para certificación TIA-942 en el Centro de Procesamiento de Datos (CPD): </w:t>
      </w:r>
      <w:r w:rsidRPr="0064264A">
        <w:rPr>
          <w:rFonts w:eastAsia="Calibri"/>
          <w:lang w:val="es-DO"/>
        </w:rPr>
        <w:t xml:space="preserve">Se realizó una consultoría con el objetivo de preparar el Centro de Procesamiento de Datos (CPD) para la certificación TIA-942. Se analizó la infraestructura existente, identificando mejoras y estableciendo planes de acción enfocados en eficiencia, </w:t>
      </w:r>
      <w:r w:rsidRPr="0064264A">
        <w:rPr>
          <w:rFonts w:eastAsia="Calibri"/>
          <w:lang w:val="es-DO"/>
        </w:rPr>
        <w:lastRenderedPageBreak/>
        <w:t>redundancia y seguridad, alineados con estándares internacionales.</w:t>
      </w:r>
    </w:p>
    <w:p w14:paraId="78EE02F1"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Implementación de </w:t>
      </w:r>
      <w:proofErr w:type="spellStart"/>
      <w:r w:rsidRPr="0064264A">
        <w:rPr>
          <w:rFonts w:eastAsia="Calibri"/>
          <w:b/>
          <w:bCs/>
          <w:lang w:val="es-DO"/>
        </w:rPr>
        <w:t>Gateways</w:t>
      </w:r>
      <w:proofErr w:type="spellEnd"/>
      <w:r w:rsidRPr="0064264A">
        <w:rPr>
          <w:rFonts w:eastAsia="Calibri"/>
          <w:b/>
          <w:bCs/>
          <w:lang w:val="es-DO"/>
        </w:rPr>
        <w:t xml:space="preserve"> </w:t>
      </w:r>
      <w:proofErr w:type="spellStart"/>
      <w:r w:rsidRPr="0064264A">
        <w:rPr>
          <w:rFonts w:eastAsia="Calibri"/>
          <w:b/>
          <w:bCs/>
          <w:lang w:val="es-DO"/>
        </w:rPr>
        <w:t>Checkpoint</w:t>
      </w:r>
      <w:proofErr w:type="spellEnd"/>
      <w:r w:rsidRPr="0064264A">
        <w:rPr>
          <w:rFonts w:eastAsia="Calibri"/>
          <w:b/>
          <w:bCs/>
          <w:lang w:val="es-DO"/>
        </w:rPr>
        <w:t xml:space="preserve"> en Azure: </w:t>
      </w:r>
      <w:r w:rsidRPr="0064264A">
        <w:rPr>
          <w:rFonts w:eastAsia="Calibri"/>
          <w:lang w:val="es-DO"/>
        </w:rPr>
        <w:t xml:space="preserve">Se implementaron </w:t>
      </w:r>
      <w:proofErr w:type="spellStart"/>
      <w:r w:rsidRPr="0064264A">
        <w:rPr>
          <w:rFonts w:eastAsia="Calibri"/>
          <w:lang w:val="es-DO"/>
        </w:rPr>
        <w:t>Gateways</w:t>
      </w:r>
      <w:proofErr w:type="spellEnd"/>
      <w:r w:rsidRPr="0064264A">
        <w:rPr>
          <w:rFonts w:eastAsia="Calibri"/>
          <w:lang w:val="es-DO"/>
        </w:rPr>
        <w:t xml:space="preserve"> </w:t>
      </w:r>
      <w:proofErr w:type="spellStart"/>
      <w:r w:rsidRPr="0064264A">
        <w:rPr>
          <w:rFonts w:eastAsia="Calibri"/>
          <w:lang w:val="es-DO"/>
        </w:rPr>
        <w:t>Checkpoint</w:t>
      </w:r>
      <w:proofErr w:type="spellEnd"/>
      <w:r w:rsidRPr="0064264A">
        <w:rPr>
          <w:rFonts w:eastAsia="Calibri"/>
          <w:lang w:val="es-DO"/>
        </w:rPr>
        <w:t xml:space="preserve"> para establecer VPN seguras entre la nube de Azure y las instalaciones del Banco Central de la República Dominicana, en los entornos de producción y desarrollo del sistema PAMF. Esta solución asegura conexiones cifradas y fiables, garantizando la integridad y disponibilidad de los datos durante la transmisión.</w:t>
      </w:r>
    </w:p>
    <w:p w14:paraId="5DF3DE6C"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Revisión y mejoras en la arquitectura WebLogic 12c: </w:t>
      </w:r>
      <w:r w:rsidRPr="0064264A">
        <w:rPr>
          <w:rFonts w:eastAsia="Calibri"/>
          <w:lang w:val="es-DO"/>
        </w:rPr>
        <w:t>Se evaluó la arquitectura de la aplicación WebLogic 12c, aplicando ajustes en la configuración de servidores, recursos y seguridad. Estas mejoras optimizan el rendimiento, la escalabilidad y la protección de datos, asegurando una operación continua y eficiente ante mayores volúmenes de transacciones.</w:t>
      </w:r>
    </w:p>
    <w:p w14:paraId="6FA8AD46" w14:textId="77777777" w:rsidR="00D9267D" w:rsidRPr="0064264A" w:rsidRDefault="00D9267D" w:rsidP="00A40AE3">
      <w:pPr>
        <w:numPr>
          <w:ilvl w:val="0"/>
          <w:numId w:val="15"/>
        </w:numPr>
        <w:spacing w:line="360" w:lineRule="auto"/>
        <w:jc w:val="both"/>
        <w:rPr>
          <w:rFonts w:eastAsia="Calibri"/>
          <w:lang w:val="es-DO"/>
        </w:rPr>
      </w:pPr>
      <w:proofErr w:type="spellStart"/>
      <w:r w:rsidRPr="0064264A">
        <w:rPr>
          <w:rFonts w:eastAsia="Calibri"/>
          <w:b/>
          <w:bCs/>
          <w:lang w:val="es-DO"/>
        </w:rPr>
        <w:t>DataSunrise</w:t>
      </w:r>
      <w:proofErr w:type="spellEnd"/>
      <w:r w:rsidRPr="0064264A">
        <w:rPr>
          <w:rFonts w:eastAsia="Calibri"/>
          <w:b/>
          <w:bCs/>
          <w:lang w:val="es-DO"/>
        </w:rPr>
        <w:t xml:space="preserve">: </w:t>
      </w:r>
      <w:r w:rsidRPr="0064264A">
        <w:rPr>
          <w:rFonts w:eastAsia="Calibri"/>
          <w:lang w:val="es-DO"/>
        </w:rPr>
        <w:t xml:space="preserve">Se implementó </w:t>
      </w:r>
      <w:proofErr w:type="spellStart"/>
      <w:r w:rsidRPr="0064264A">
        <w:rPr>
          <w:rFonts w:eastAsia="Calibri"/>
          <w:lang w:val="es-DO"/>
        </w:rPr>
        <w:t>DataSunrise</w:t>
      </w:r>
      <w:proofErr w:type="spellEnd"/>
      <w:r w:rsidRPr="0064264A">
        <w:rPr>
          <w:rFonts w:eastAsia="Calibri"/>
          <w:lang w:val="es-DO"/>
        </w:rPr>
        <w:t xml:space="preserve"> en modo proxy para las conexiones de administradores a las bases de datos del Banco Central de la República Dominicana, tanto en la infraestructura local como en las nubes públicas. Esta medida aumenta la visibilidad de las acciones del usuario y contribuye al cumplimiento de requisitos de auditoría y seguridad.</w:t>
      </w:r>
    </w:p>
    <w:p w14:paraId="350C40AE"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Módulo de Aplicaciones Personalizadas en Oracle EBS: </w:t>
      </w:r>
      <w:r w:rsidRPr="0064264A">
        <w:rPr>
          <w:rFonts w:eastAsia="Calibri"/>
          <w:lang w:val="es-DO"/>
        </w:rPr>
        <w:t xml:space="preserve">Continúa el desarrollo de la interfaz de pagos con SWIFT para monedas extranjeras y se completó el módulo de provisiones de fin de año para solicitudes de pago. Además, en colaboración con el Fondo de Jubilaciones y Pensiones del Banco Central (FJP), se avanza en la implementación del </w:t>
      </w:r>
      <w:r w:rsidRPr="0064264A">
        <w:rPr>
          <w:rFonts w:eastAsia="Calibri"/>
          <w:lang w:val="es-DO"/>
        </w:rPr>
        <w:lastRenderedPageBreak/>
        <w:t xml:space="preserve">Módulo de Mayor General (General </w:t>
      </w:r>
      <w:proofErr w:type="spellStart"/>
      <w:r w:rsidRPr="0064264A">
        <w:rPr>
          <w:rFonts w:eastAsia="Calibri"/>
          <w:lang w:val="es-DO"/>
        </w:rPr>
        <w:t>Ledger</w:t>
      </w:r>
      <w:proofErr w:type="spellEnd"/>
      <w:r w:rsidRPr="0064264A">
        <w:rPr>
          <w:rFonts w:eastAsia="Calibri"/>
          <w:lang w:val="es-DO"/>
        </w:rPr>
        <w:t xml:space="preserve">) del Oracle </w:t>
      </w:r>
      <w:proofErr w:type="spellStart"/>
      <w:r w:rsidRPr="0064264A">
        <w:rPr>
          <w:rFonts w:eastAsia="Calibri"/>
          <w:lang w:val="es-DO"/>
        </w:rPr>
        <w:t>eBusiness</w:t>
      </w:r>
      <w:proofErr w:type="spellEnd"/>
      <w:r w:rsidRPr="0064264A">
        <w:rPr>
          <w:rFonts w:eastAsia="Calibri"/>
          <w:lang w:val="es-DO"/>
        </w:rPr>
        <w:t xml:space="preserve"> Suite. Esto incluye:</w:t>
      </w:r>
    </w:p>
    <w:p w14:paraId="321A1C91" w14:textId="77777777" w:rsidR="00D9267D" w:rsidRPr="0064264A" w:rsidRDefault="00D9267D" w:rsidP="00A40AE3">
      <w:pPr>
        <w:numPr>
          <w:ilvl w:val="1"/>
          <w:numId w:val="20"/>
        </w:numPr>
        <w:spacing w:line="360" w:lineRule="auto"/>
        <w:jc w:val="both"/>
        <w:rPr>
          <w:rFonts w:eastAsia="Calibri"/>
          <w:lang w:val="es-DO"/>
        </w:rPr>
      </w:pPr>
      <w:r w:rsidRPr="0064264A">
        <w:rPr>
          <w:rFonts w:eastAsia="Calibri"/>
          <w:lang w:val="es-DO"/>
        </w:rPr>
        <w:t>Configuración de tres libros contables.</w:t>
      </w:r>
    </w:p>
    <w:p w14:paraId="2EC6B9D9" w14:textId="77777777" w:rsidR="00D9267D" w:rsidRPr="0064264A" w:rsidRDefault="00D9267D" w:rsidP="00A40AE3">
      <w:pPr>
        <w:numPr>
          <w:ilvl w:val="1"/>
          <w:numId w:val="20"/>
        </w:numPr>
        <w:spacing w:line="360" w:lineRule="auto"/>
        <w:jc w:val="both"/>
        <w:rPr>
          <w:rFonts w:eastAsia="Calibri"/>
          <w:lang w:val="es-DO"/>
        </w:rPr>
      </w:pPr>
      <w:r w:rsidRPr="0064264A">
        <w:rPr>
          <w:rFonts w:eastAsia="Calibri"/>
          <w:lang w:val="es-DO"/>
        </w:rPr>
        <w:t>Desarrollo del módulo de interfaces entre las aplicaciones del FJP y GL.</w:t>
      </w:r>
    </w:p>
    <w:p w14:paraId="18D48523" w14:textId="77777777" w:rsidR="00D9267D" w:rsidRPr="0064264A" w:rsidRDefault="00D9267D" w:rsidP="00A40AE3">
      <w:pPr>
        <w:numPr>
          <w:ilvl w:val="1"/>
          <w:numId w:val="20"/>
        </w:numPr>
        <w:spacing w:line="360" w:lineRule="auto"/>
        <w:jc w:val="both"/>
        <w:rPr>
          <w:rFonts w:eastAsia="Calibri"/>
          <w:lang w:val="es-DO"/>
        </w:rPr>
      </w:pPr>
      <w:r w:rsidRPr="0064264A">
        <w:rPr>
          <w:rFonts w:eastAsia="Calibri"/>
          <w:lang w:val="es-DO"/>
        </w:rPr>
        <w:t>Configuración de estados financieros.</w:t>
      </w:r>
    </w:p>
    <w:p w14:paraId="2C04583F" w14:textId="77777777" w:rsidR="00D9267D" w:rsidRPr="0064264A" w:rsidRDefault="00D9267D" w:rsidP="00A40AE3">
      <w:pPr>
        <w:numPr>
          <w:ilvl w:val="1"/>
          <w:numId w:val="20"/>
        </w:numPr>
        <w:spacing w:line="360" w:lineRule="auto"/>
        <w:jc w:val="both"/>
        <w:rPr>
          <w:rFonts w:eastAsia="Calibri"/>
          <w:lang w:val="es-DO"/>
        </w:rPr>
      </w:pPr>
      <w:r w:rsidRPr="0064264A">
        <w:rPr>
          <w:rFonts w:eastAsia="Calibri"/>
          <w:lang w:val="es-DO"/>
        </w:rPr>
        <w:t>Desarrollo de programas para la extracción de datos desde las aplicaciones del fondo.</w:t>
      </w:r>
    </w:p>
    <w:p w14:paraId="3DBA3C22" w14:textId="77777777" w:rsidR="00D9267D" w:rsidRPr="0064264A" w:rsidRDefault="00D9267D" w:rsidP="00A40AE3">
      <w:pPr>
        <w:numPr>
          <w:ilvl w:val="1"/>
          <w:numId w:val="20"/>
        </w:numPr>
        <w:spacing w:line="360" w:lineRule="auto"/>
        <w:jc w:val="both"/>
        <w:rPr>
          <w:rFonts w:eastAsia="Calibri"/>
          <w:lang w:val="es-DO"/>
        </w:rPr>
      </w:pPr>
      <w:r w:rsidRPr="0064264A">
        <w:rPr>
          <w:rFonts w:eastAsia="Calibri"/>
          <w:lang w:val="es-DO"/>
        </w:rPr>
        <w:t>Creación de reportes específicos.</w:t>
      </w:r>
    </w:p>
    <w:p w14:paraId="52E7DC89" w14:textId="30B05097" w:rsidR="00D9267D" w:rsidRPr="0064264A" w:rsidRDefault="00D9267D" w:rsidP="00A40AE3">
      <w:pPr>
        <w:numPr>
          <w:ilvl w:val="1"/>
          <w:numId w:val="20"/>
        </w:numPr>
        <w:spacing w:line="360" w:lineRule="auto"/>
        <w:jc w:val="both"/>
        <w:rPr>
          <w:rFonts w:eastAsia="Calibri"/>
          <w:lang w:val="es-DO"/>
        </w:rPr>
      </w:pPr>
      <w:r w:rsidRPr="0064264A">
        <w:rPr>
          <w:rFonts w:eastAsia="Calibri"/>
          <w:lang w:val="es-DO"/>
        </w:rPr>
        <w:t>Capacitación al personal del FJP.</w:t>
      </w:r>
    </w:p>
    <w:p w14:paraId="53339614" w14:textId="771088F8" w:rsidR="00D9267D" w:rsidRPr="0064264A" w:rsidRDefault="00D9267D" w:rsidP="00D9267D">
      <w:pPr>
        <w:spacing w:line="360" w:lineRule="auto"/>
        <w:jc w:val="both"/>
        <w:rPr>
          <w:rFonts w:eastAsia="Calibri"/>
          <w:lang w:val="es-DO"/>
        </w:rPr>
      </w:pPr>
      <w:r w:rsidRPr="0064264A">
        <w:rPr>
          <w:rFonts w:eastAsia="Calibri"/>
          <w:lang w:val="es-DO"/>
        </w:rPr>
        <w:t>Estas tareas mejoran la integración y el control contable, optimizando la gestión financiera y facilitando el cumplimiento de requerimientos internos y externos.</w:t>
      </w:r>
    </w:p>
    <w:p w14:paraId="1CBA9ED2" w14:textId="58E94D68"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Implementación de API, Aplicación Móvil y Portal de Prestadoras de Servicio de la ARS:</w:t>
      </w:r>
      <w:r w:rsidRPr="0064264A">
        <w:rPr>
          <w:rFonts w:eastAsia="Calibri"/>
          <w:lang w:val="es-DO"/>
        </w:rPr>
        <w:t xml:space="preserve"> La nueva arquitectura aplica controles más estrictos sobre el cifrado, autenticación y trazabilidad de los datos, reforzando la integridad, confidencialidad y disponibilidad de la información. Además, se integran medidas de auditoría continua y monitoreo del tráfico, minimizando las exposiciones a vulnerabilidades y asegurando un cumplimiento de las políticas internas y estándares de protección de datos. Estos ajustes técnicos incrementan la fiabilidad del servicio, reduciendo el riesgo de accesos no autorizados y garantizando la seguridad de las transacciones relacionadas con la entrega de medicamentos a los afiliados. </w:t>
      </w:r>
    </w:p>
    <w:p w14:paraId="41398D10" w14:textId="0D67AE25"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lastRenderedPageBreak/>
        <w:t>Sistema de Gestión de Comprobantes Fiscales (GCF):</w:t>
      </w:r>
      <w:r w:rsidRPr="0064264A">
        <w:rPr>
          <w:rFonts w:eastAsia="Calibri"/>
          <w:lang w:val="es-DO"/>
        </w:rPr>
        <w:t xml:space="preserve"> Se completó y puso en producción el Sistema de Gestión de Comprobantes Fiscales, certificado por la Dirección General de Impuestos Internos (DGII), habilitando la emisión electrónica de comprobantes (</w:t>
      </w:r>
      <w:proofErr w:type="spellStart"/>
      <w:r w:rsidRPr="0064264A">
        <w:rPr>
          <w:rFonts w:eastAsia="Calibri"/>
          <w:lang w:val="es-DO"/>
        </w:rPr>
        <w:t>NCFs</w:t>
      </w:r>
      <w:proofErr w:type="spellEnd"/>
      <w:r w:rsidRPr="0064264A">
        <w:rPr>
          <w:rFonts w:eastAsia="Calibri"/>
          <w:lang w:val="es-DO"/>
        </w:rPr>
        <w:t xml:space="preserve"> o e-</w:t>
      </w:r>
      <w:proofErr w:type="spellStart"/>
      <w:r w:rsidRPr="0064264A">
        <w:rPr>
          <w:rFonts w:eastAsia="Calibri"/>
          <w:lang w:val="es-DO"/>
        </w:rPr>
        <w:t>CFs</w:t>
      </w:r>
      <w:proofErr w:type="spellEnd"/>
      <w:r w:rsidRPr="0064264A">
        <w:rPr>
          <w:rFonts w:eastAsia="Calibri"/>
          <w:lang w:val="es-DO"/>
        </w:rPr>
        <w:t xml:space="preserve">). Este sistema centraliza la recepción, control, asignación y anulación de </w:t>
      </w:r>
      <w:proofErr w:type="spellStart"/>
      <w:r w:rsidRPr="0064264A">
        <w:rPr>
          <w:rFonts w:eastAsia="Calibri"/>
          <w:lang w:val="es-DO"/>
        </w:rPr>
        <w:t>NCFs</w:t>
      </w:r>
      <w:proofErr w:type="spellEnd"/>
      <w:r w:rsidRPr="0064264A">
        <w:rPr>
          <w:rFonts w:eastAsia="Calibri"/>
          <w:lang w:val="es-DO"/>
        </w:rPr>
        <w:t>, ofreciendo componentes API-Web y API local que permiten la integración automática con otros sistemas internos. Adicionalmente, el Departamento de Tesorería puede asignar comprobantes a las solicitudes institucionales según el modelo operativo vigente. La solución proporciona una interfaz gráfica para el análisis, la exportación de información y la visualización de las solicitudes, así como el seguimiento de las secuencias autorizadas por la DGII.</w:t>
      </w:r>
    </w:p>
    <w:p w14:paraId="42D05C6C" w14:textId="1FED7014" w:rsidR="004967BF" w:rsidRPr="0064264A" w:rsidRDefault="00D9267D" w:rsidP="00A448C8">
      <w:pPr>
        <w:numPr>
          <w:ilvl w:val="0"/>
          <w:numId w:val="15"/>
        </w:numPr>
        <w:spacing w:line="360" w:lineRule="auto"/>
        <w:jc w:val="both"/>
        <w:rPr>
          <w:rFonts w:eastAsia="Calibri"/>
          <w:b/>
          <w:bCs/>
          <w:lang w:val="es-DO"/>
        </w:rPr>
      </w:pPr>
      <w:r w:rsidRPr="0064264A">
        <w:rPr>
          <w:rFonts w:eastAsia="Calibri"/>
          <w:b/>
          <w:bCs/>
          <w:lang w:val="es-DO"/>
        </w:rPr>
        <w:t>Sistema de Gestión de Efectivo (SGE):</w:t>
      </w:r>
      <w:r w:rsidRPr="0064264A">
        <w:rPr>
          <w:rFonts w:eastAsia="Calibri"/>
          <w:lang w:val="es-DO"/>
        </w:rPr>
        <w:t xml:space="preserve"> Se realizaron mejoras en el SGE enfocadas en la reportería operativa y contable, así como en el fortalecimiento de controles internos para mitigar errores de captura por parte de los usuarios finales. Estas acciones aseguran la calidad de los datos y en la gestión del efectivo.</w:t>
      </w:r>
      <w:r w:rsidRPr="0064264A">
        <w:rPr>
          <w:rFonts w:eastAsia="Calibri"/>
          <w:b/>
          <w:bCs/>
          <w:lang w:val="es-DO"/>
        </w:rPr>
        <w:t xml:space="preserve"> </w:t>
      </w:r>
    </w:p>
    <w:p w14:paraId="3AFF8269" w14:textId="089026F3" w:rsidR="00D9267D" w:rsidRPr="0064264A" w:rsidRDefault="00D9267D" w:rsidP="00A40AE3">
      <w:pPr>
        <w:numPr>
          <w:ilvl w:val="0"/>
          <w:numId w:val="15"/>
        </w:numPr>
        <w:spacing w:line="360" w:lineRule="auto"/>
        <w:jc w:val="both"/>
        <w:rPr>
          <w:rFonts w:eastAsia="Calibri"/>
          <w:b/>
          <w:bCs/>
          <w:lang w:val="es-DO"/>
        </w:rPr>
      </w:pPr>
      <w:r w:rsidRPr="0064264A">
        <w:rPr>
          <w:rFonts w:eastAsia="Calibri"/>
          <w:b/>
          <w:bCs/>
          <w:lang w:val="es-DO"/>
        </w:rPr>
        <w:t>Sistema Repositorio de Informaciones Financieras (SRIF):</w:t>
      </w:r>
      <w:r w:rsidRPr="0064264A">
        <w:rPr>
          <w:rFonts w:eastAsia="Calibri"/>
          <w:lang w:val="es-DO"/>
        </w:rPr>
        <w:t xml:space="preserve"> En respuesta a las necesidades de los participantes del Sistema de Pagos y Liquidación de Valores de la República Dominicana (SIPARD), se han implementado múltiples mejoras en el SRIF. Estas mejoras se han enfocado particularmente en la versión de uso externo del sistema (SRIF Externo), con el objetivo de optimizar su funcionalidad y satisfacer las demandas específicas de los usuarios externos.</w:t>
      </w:r>
    </w:p>
    <w:p w14:paraId="22925307" w14:textId="4DC4818F"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lastRenderedPageBreak/>
        <w:t>Oracle PeopleSoft:</w:t>
      </w:r>
      <w:r w:rsidRPr="0064264A">
        <w:rPr>
          <w:rFonts w:eastAsia="Calibri"/>
          <w:lang w:val="es-DO"/>
        </w:rPr>
        <w:t xml:space="preserve">  Se optimizaron procesos en múltiples módulos del sistema:</w:t>
      </w:r>
    </w:p>
    <w:p w14:paraId="6287FBFF" w14:textId="77777777" w:rsidR="00D9267D" w:rsidRPr="0064264A" w:rsidRDefault="00D9267D" w:rsidP="00A40AE3">
      <w:pPr>
        <w:numPr>
          <w:ilvl w:val="1"/>
          <w:numId w:val="17"/>
        </w:numPr>
        <w:spacing w:line="360" w:lineRule="auto"/>
        <w:jc w:val="both"/>
        <w:rPr>
          <w:rFonts w:eastAsia="Calibri"/>
          <w:lang w:val="es-DO"/>
        </w:rPr>
      </w:pPr>
      <w:r w:rsidRPr="0064264A">
        <w:rPr>
          <w:rFonts w:eastAsia="Calibri"/>
          <w:lang w:val="es-DO"/>
        </w:rPr>
        <w:t>Mejora en el proceso de desestimación de casos de capacitación.</w:t>
      </w:r>
    </w:p>
    <w:p w14:paraId="15DB5848" w14:textId="77777777" w:rsidR="00D9267D" w:rsidRPr="0064264A" w:rsidRDefault="00D9267D" w:rsidP="00A40AE3">
      <w:pPr>
        <w:numPr>
          <w:ilvl w:val="1"/>
          <w:numId w:val="17"/>
        </w:numPr>
        <w:spacing w:line="360" w:lineRule="auto"/>
        <w:jc w:val="both"/>
        <w:rPr>
          <w:rFonts w:eastAsia="Calibri"/>
          <w:lang w:val="es-DO"/>
        </w:rPr>
      </w:pPr>
      <w:r w:rsidRPr="0064264A">
        <w:rPr>
          <w:rFonts w:eastAsia="Calibri"/>
          <w:lang w:val="es-DO"/>
        </w:rPr>
        <w:t>Integración de la asignación de comprobantes fiscales con el nuevo Módulo de Gestión de Comprobantes Fiscales en la administración de estacionamientos.</w:t>
      </w:r>
    </w:p>
    <w:p w14:paraId="1AD67230" w14:textId="77777777" w:rsidR="00D9267D" w:rsidRPr="0064264A" w:rsidRDefault="00D9267D" w:rsidP="00A40AE3">
      <w:pPr>
        <w:numPr>
          <w:ilvl w:val="1"/>
          <w:numId w:val="17"/>
        </w:numPr>
        <w:spacing w:line="360" w:lineRule="auto"/>
        <w:jc w:val="both"/>
        <w:rPr>
          <w:rFonts w:eastAsia="Calibri"/>
          <w:lang w:val="es-DO"/>
        </w:rPr>
      </w:pPr>
      <w:r w:rsidRPr="0064264A">
        <w:rPr>
          <w:rFonts w:eastAsia="Calibri"/>
          <w:lang w:val="es-DO"/>
        </w:rPr>
        <w:t>Despliegue de la segunda etapa del mencionado módulo con diversas mejoras.</w:t>
      </w:r>
    </w:p>
    <w:p w14:paraId="2FE75F79" w14:textId="77777777" w:rsidR="00D9267D" w:rsidRPr="0064264A" w:rsidRDefault="00D9267D" w:rsidP="00A40AE3">
      <w:pPr>
        <w:numPr>
          <w:ilvl w:val="1"/>
          <w:numId w:val="17"/>
        </w:numPr>
        <w:spacing w:line="360" w:lineRule="auto"/>
        <w:jc w:val="both"/>
        <w:rPr>
          <w:rFonts w:eastAsia="Calibri"/>
          <w:lang w:val="es-DO"/>
        </w:rPr>
      </w:pPr>
      <w:r w:rsidRPr="0064264A">
        <w:rPr>
          <w:rFonts w:eastAsia="Calibri"/>
          <w:lang w:val="es-DO"/>
        </w:rPr>
        <w:t>Creación de una nueva consulta para detectar datos personales coincidentes entre el personal entrante, el personal existente y sus dependientes.</w:t>
      </w:r>
    </w:p>
    <w:p w14:paraId="5D13AE6F" w14:textId="06072FF0" w:rsidR="00D9267D" w:rsidRPr="0064264A" w:rsidRDefault="00D9267D" w:rsidP="00A40AE3">
      <w:pPr>
        <w:numPr>
          <w:ilvl w:val="1"/>
          <w:numId w:val="17"/>
        </w:numPr>
        <w:spacing w:line="360" w:lineRule="auto"/>
        <w:jc w:val="both"/>
        <w:rPr>
          <w:rFonts w:eastAsia="Calibri"/>
          <w:lang w:val="es-DO"/>
        </w:rPr>
      </w:pPr>
      <w:r w:rsidRPr="0064264A">
        <w:rPr>
          <w:rFonts w:eastAsia="Calibri"/>
          <w:lang w:val="es-DO"/>
        </w:rPr>
        <w:t>Habilitación del Plan de Préstamo para desembolsos en dólares.</w:t>
      </w:r>
    </w:p>
    <w:p w14:paraId="4805CE49" w14:textId="6257B640" w:rsidR="00D9267D" w:rsidRPr="0064264A" w:rsidRDefault="00D9267D" w:rsidP="00D9267D">
      <w:pPr>
        <w:spacing w:line="360" w:lineRule="auto"/>
        <w:jc w:val="both"/>
        <w:rPr>
          <w:rFonts w:eastAsia="Calibri"/>
          <w:lang w:val="es-DO"/>
        </w:rPr>
      </w:pPr>
      <w:r w:rsidRPr="0064264A">
        <w:rPr>
          <w:rFonts w:eastAsia="Calibri"/>
          <w:lang w:val="es-DO"/>
        </w:rPr>
        <w:t>Estas actualizaciones consolidan la trazabilidad de las operaciones, mejoran la calidad de la información y ofrecen mayor flexibilidad en la administración de recursos y beneficios dentro de la institución.</w:t>
      </w:r>
    </w:p>
    <w:p w14:paraId="0203BF3C" w14:textId="6DD0E78A"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Migración a APEX - Aplicaciones Oracle </w:t>
      </w:r>
      <w:proofErr w:type="spellStart"/>
      <w:r w:rsidRPr="0064264A">
        <w:rPr>
          <w:rFonts w:eastAsia="Calibri"/>
          <w:b/>
          <w:bCs/>
          <w:lang w:val="es-DO"/>
        </w:rPr>
        <w:t>Developer</w:t>
      </w:r>
      <w:proofErr w:type="spellEnd"/>
      <w:r w:rsidRPr="0064264A">
        <w:rPr>
          <w:rFonts w:eastAsia="Calibri"/>
          <w:b/>
          <w:bCs/>
          <w:lang w:val="es-DO"/>
        </w:rPr>
        <w:t xml:space="preserve">: </w:t>
      </w:r>
      <w:r w:rsidRPr="0064264A">
        <w:rPr>
          <w:rFonts w:eastAsia="Calibri"/>
          <w:lang w:val="es-DO"/>
        </w:rPr>
        <w:t xml:space="preserve">Actualmente, se han migrado y se encuentran en proceso de pruebas de calidad las siguientes aplicaciones desarrolladas en Oracle </w:t>
      </w:r>
      <w:proofErr w:type="spellStart"/>
      <w:r w:rsidRPr="0064264A">
        <w:rPr>
          <w:rFonts w:eastAsia="Calibri"/>
          <w:lang w:val="es-DO"/>
        </w:rPr>
        <w:t>Developer</w:t>
      </w:r>
      <w:proofErr w:type="spellEnd"/>
      <w:r w:rsidRPr="0064264A">
        <w:rPr>
          <w:rFonts w:eastAsia="Calibri"/>
          <w:lang w:val="es-DO"/>
        </w:rPr>
        <w:t>:</w:t>
      </w:r>
    </w:p>
    <w:p w14:paraId="64CC249B" w14:textId="77777777" w:rsidR="00D9267D" w:rsidRPr="0064264A" w:rsidRDefault="00D9267D" w:rsidP="00A40AE3">
      <w:pPr>
        <w:numPr>
          <w:ilvl w:val="1"/>
          <w:numId w:val="16"/>
        </w:numPr>
        <w:spacing w:line="360" w:lineRule="auto"/>
        <w:jc w:val="both"/>
        <w:rPr>
          <w:rFonts w:eastAsia="Calibri"/>
          <w:lang w:val="es-DO"/>
        </w:rPr>
      </w:pPr>
      <w:r w:rsidRPr="0064264A">
        <w:rPr>
          <w:rFonts w:eastAsia="Calibri"/>
          <w:lang w:val="es-DO"/>
        </w:rPr>
        <w:t>CDC: Conciliación de Cuentas del Departamento de Contraloría.</w:t>
      </w:r>
    </w:p>
    <w:p w14:paraId="06A536EA" w14:textId="77777777" w:rsidR="00D9267D" w:rsidRPr="0064264A" w:rsidRDefault="00D9267D" w:rsidP="00A40AE3">
      <w:pPr>
        <w:numPr>
          <w:ilvl w:val="1"/>
          <w:numId w:val="16"/>
        </w:numPr>
        <w:spacing w:line="360" w:lineRule="auto"/>
        <w:jc w:val="both"/>
        <w:rPr>
          <w:rFonts w:eastAsia="Calibri"/>
          <w:lang w:val="es-DO"/>
        </w:rPr>
      </w:pPr>
      <w:r w:rsidRPr="0064264A">
        <w:rPr>
          <w:rFonts w:eastAsia="Calibri"/>
          <w:lang w:val="es-DO"/>
        </w:rPr>
        <w:t>ZFI: Zonas Francas Industriales.</w:t>
      </w:r>
    </w:p>
    <w:p w14:paraId="0B386902" w14:textId="77777777" w:rsidR="00D9267D" w:rsidRPr="0064264A" w:rsidRDefault="00D9267D" w:rsidP="00A40AE3">
      <w:pPr>
        <w:numPr>
          <w:ilvl w:val="1"/>
          <w:numId w:val="16"/>
        </w:numPr>
        <w:spacing w:line="360" w:lineRule="auto"/>
        <w:jc w:val="both"/>
        <w:rPr>
          <w:rFonts w:eastAsia="Calibri"/>
          <w:lang w:val="es-DO"/>
        </w:rPr>
      </w:pPr>
      <w:r w:rsidRPr="0064264A">
        <w:rPr>
          <w:rFonts w:eastAsia="Calibri"/>
          <w:lang w:val="es-DO"/>
        </w:rPr>
        <w:t>TRC: Remesas Familiares del Departamento Internacional.</w:t>
      </w:r>
    </w:p>
    <w:p w14:paraId="0E211579" w14:textId="77777777" w:rsidR="00D9267D" w:rsidRPr="0064264A" w:rsidRDefault="00D9267D" w:rsidP="00A40AE3">
      <w:pPr>
        <w:numPr>
          <w:ilvl w:val="1"/>
          <w:numId w:val="16"/>
        </w:numPr>
        <w:spacing w:line="360" w:lineRule="auto"/>
        <w:jc w:val="both"/>
        <w:rPr>
          <w:rFonts w:eastAsia="Calibri"/>
          <w:lang w:val="es-DO"/>
        </w:rPr>
      </w:pPr>
      <w:r w:rsidRPr="0064264A">
        <w:rPr>
          <w:rFonts w:eastAsia="Calibri"/>
          <w:lang w:val="es-DO"/>
        </w:rPr>
        <w:lastRenderedPageBreak/>
        <w:t>CSC: Conozca Su Cliente de los Departamentos de Tesorería y Contraloría.</w:t>
      </w:r>
    </w:p>
    <w:p w14:paraId="365B49AA" w14:textId="6E096955" w:rsidR="00D9267D" w:rsidRPr="0064264A" w:rsidRDefault="00D9267D" w:rsidP="00A40AE3">
      <w:pPr>
        <w:numPr>
          <w:ilvl w:val="1"/>
          <w:numId w:val="16"/>
        </w:numPr>
        <w:spacing w:line="360" w:lineRule="auto"/>
        <w:jc w:val="both"/>
        <w:rPr>
          <w:rFonts w:eastAsia="Calibri"/>
          <w:lang w:val="es-DO"/>
        </w:rPr>
      </w:pPr>
      <w:r w:rsidRPr="0064264A">
        <w:rPr>
          <w:rFonts w:eastAsia="Calibri"/>
          <w:lang w:val="es-DO"/>
        </w:rPr>
        <w:t>SIT: Indicadores Turísticos del Departamento de Cuentas Nacionales.</w:t>
      </w:r>
    </w:p>
    <w:p w14:paraId="2FEAEEAA" w14:textId="7A1AE2D4" w:rsidR="00D9267D" w:rsidRPr="0064264A" w:rsidRDefault="00D9267D" w:rsidP="00D9267D">
      <w:pPr>
        <w:spacing w:line="360" w:lineRule="auto"/>
        <w:jc w:val="both"/>
        <w:rPr>
          <w:rFonts w:eastAsia="Calibri"/>
          <w:lang w:val="es-DO"/>
        </w:rPr>
      </w:pPr>
      <w:r w:rsidRPr="0064264A">
        <w:rPr>
          <w:rFonts w:eastAsia="Calibri"/>
          <w:lang w:val="es-DO"/>
        </w:rPr>
        <w:t>Estas migraciones buscan actualizar las aplicaciones a entornos más modernos, mejorar su desempeño y garantizar la compatibilidad con las plataformas actuales.</w:t>
      </w:r>
    </w:p>
    <w:p w14:paraId="62D2B3CA" w14:textId="77777777"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Plataforma de Intercambio de Mensajes (PIM): </w:t>
      </w:r>
      <w:r w:rsidRPr="0064264A">
        <w:rPr>
          <w:rFonts w:eastAsia="Calibri"/>
          <w:lang w:val="es-DO"/>
        </w:rPr>
        <w:t>Tras el anuncio de Swift Corporation de excluir la interfaz IPLA de su suite de soluciones para interactuar con su aplicación Swift Alliance Access, y siguiendo las instrucciones de las autoridades, se continúan con los avances de la Plataforma de Intercambio de Mensajes (PIM). Actualmente, la primera fase de esta plataforma se encuentra lista para pruebas integrales en ambientes de desarrollo. Este avance es fundamental, ya que la PIM está destinada a mejorar significativamente los procesos de intercambio de mensajes financieros.</w:t>
      </w:r>
    </w:p>
    <w:p w14:paraId="07268896" w14:textId="747CD014" w:rsidR="00D9267D" w:rsidRPr="0064264A" w:rsidRDefault="00D9267D" w:rsidP="00D9267D">
      <w:pPr>
        <w:spacing w:line="360" w:lineRule="auto"/>
        <w:jc w:val="both"/>
        <w:rPr>
          <w:rFonts w:eastAsia="Calibri"/>
          <w:lang w:val="es-DO"/>
        </w:rPr>
      </w:pPr>
      <w:r w:rsidRPr="0064264A">
        <w:rPr>
          <w:rFonts w:eastAsia="Calibri"/>
          <w:lang w:val="es-DO"/>
        </w:rPr>
        <w:t>La plataforma sustituye la interfaz anterior, brindando una solución más moderna y eficiente para la comunicación a través de mensajería SWIFT. Las pruebas integrales permitirán validar su funcionalidad y rendimiento, asegurando que cumpla con los requisitos necesarios antes de su implementación definitiva. Esto garantiza que, una vez en producción, los usuarios experimentarán mayor efectividad y agilidad en los procesos de pago y mensajería financiera.</w:t>
      </w:r>
      <w:r w:rsidRPr="0064264A" w:rsidDel="000B444D">
        <w:rPr>
          <w:rFonts w:eastAsia="Calibri"/>
          <w:lang w:val="es-DO"/>
        </w:rPr>
        <w:t xml:space="preserve"> </w:t>
      </w:r>
    </w:p>
    <w:p w14:paraId="394CE5E0" w14:textId="5C61FC21"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Portal de la Administración Monetaria y Financiera (PAMF) </w:t>
      </w:r>
      <w:r w:rsidRPr="0064264A">
        <w:rPr>
          <w:rFonts w:eastAsia="Calibri"/>
          <w:lang w:val="es-DO"/>
        </w:rPr>
        <w:t xml:space="preserve">Se llevaron a cabo múltiples mejoras en los componentes de desarrollo e infraestructura del PAMF, con el objetivo de incrementar el desempeño y optimizar los tiempos de respuesta </w:t>
      </w:r>
      <w:r w:rsidRPr="0064264A">
        <w:rPr>
          <w:rFonts w:eastAsia="Calibri"/>
          <w:lang w:val="es-DO"/>
        </w:rPr>
        <w:lastRenderedPageBreak/>
        <w:t>de la herramienta. Además, esta solución obtuvo el segundo lugar en el Premio Nacional de la Innovación Pública 2024, auspiciado por la Presidencia de la República Dominicana.</w:t>
      </w:r>
    </w:p>
    <w:p w14:paraId="7C223D33" w14:textId="5A1C4F2D"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Sustitución de Oracle </w:t>
      </w:r>
      <w:proofErr w:type="spellStart"/>
      <w:r w:rsidRPr="0064264A">
        <w:rPr>
          <w:rFonts w:eastAsia="Calibri"/>
          <w:b/>
          <w:bCs/>
          <w:lang w:val="es-DO"/>
        </w:rPr>
        <w:t>Discoverer</w:t>
      </w:r>
      <w:proofErr w:type="spellEnd"/>
      <w:r w:rsidRPr="0064264A">
        <w:rPr>
          <w:rFonts w:eastAsia="Calibri"/>
          <w:b/>
          <w:bCs/>
          <w:lang w:val="es-DO"/>
        </w:rPr>
        <w:t xml:space="preserve"> por OBIEE:</w:t>
      </w:r>
      <w:r w:rsidRPr="0064264A">
        <w:rPr>
          <w:rFonts w:eastAsia="Calibri"/>
          <w:lang w:val="es-DO"/>
        </w:rPr>
        <w:t xml:space="preserve"> El primer conjunto de consultas, perteneciente al Departamento de Regulación y Estabilidad Financiera, fue completado y puesto en producción. Actualmente, se está desarrollando los modelos de consulta y reportes para el equipo del Departamento de Cuentas Nacionales, lo que permitirá una mejora significativa en el análisis y presentación de datos financieros.</w:t>
      </w:r>
    </w:p>
    <w:p w14:paraId="44837E51" w14:textId="451A32C8" w:rsidR="00D9267D" w:rsidRPr="0064264A" w:rsidRDefault="00D9267D" w:rsidP="00A40AE3">
      <w:pPr>
        <w:numPr>
          <w:ilvl w:val="0"/>
          <w:numId w:val="15"/>
        </w:numPr>
        <w:spacing w:line="360" w:lineRule="auto"/>
        <w:jc w:val="both"/>
        <w:rPr>
          <w:rFonts w:eastAsia="Calibri"/>
          <w:lang w:val="es-DO"/>
        </w:rPr>
      </w:pPr>
      <w:r w:rsidRPr="0064264A">
        <w:rPr>
          <w:rFonts w:eastAsia="Calibri"/>
          <w:b/>
          <w:bCs/>
          <w:lang w:val="es-DO"/>
        </w:rPr>
        <w:t xml:space="preserve">Mesa de Dinero </w:t>
      </w:r>
      <w:proofErr w:type="spellStart"/>
      <w:r w:rsidRPr="0064264A">
        <w:rPr>
          <w:rFonts w:eastAsia="Calibri"/>
          <w:b/>
          <w:bCs/>
          <w:lang w:val="es-DO"/>
        </w:rPr>
        <w:t>Multimonedas</w:t>
      </w:r>
      <w:proofErr w:type="spellEnd"/>
      <w:r w:rsidRPr="0064264A">
        <w:rPr>
          <w:rFonts w:eastAsia="Calibri"/>
          <w:b/>
          <w:bCs/>
          <w:lang w:val="es-DO"/>
        </w:rPr>
        <w:t>:</w:t>
      </w:r>
      <w:r w:rsidRPr="0064264A">
        <w:rPr>
          <w:rFonts w:eastAsia="Calibri"/>
          <w:lang w:val="es-DO"/>
        </w:rPr>
        <w:t xml:space="preserve"> Se implementaron múltiples mejoras en esta aplicación, relacionadas con las interfaces y la conciliación contable, según las solicitudes recibidas de los Departamentos de Tesorería y Contabilidad. Estas mejoras optimizan la gestión de transacciones en diferentes monedas y agilizan los procesos contables internos.</w:t>
      </w:r>
    </w:p>
    <w:p w14:paraId="6D3E91D7" w14:textId="3CF01B65" w:rsidR="003A5879" w:rsidRPr="0064264A" w:rsidRDefault="00D9267D" w:rsidP="003A5879">
      <w:pPr>
        <w:numPr>
          <w:ilvl w:val="0"/>
          <w:numId w:val="15"/>
        </w:numPr>
        <w:spacing w:line="360" w:lineRule="auto"/>
        <w:jc w:val="both"/>
        <w:rPr>
          <w:rFonts w:eastAsia="Calibri"/>
          <w:lang w:val="es-DO"/>
        </w:rPr>
      </w:pPr>
      <w:r w:rsidRPr="0064264A">
        <w:rPr>
          <w:rFonts w:eastAsia="Calibri"/>
          <w:b/>
          <w:bCs/>
          <w:lang w:val="es-DO"/>
        </w:rPr>
        <w:t>Monitor Plus:</w:t>
      </w:r>
      <w:r w:rsidRPr="0064264A">
        <w:rPr>
          <w:rFonts w:eastAsia="Calibri"/>
          <w:lang w:val="es-DO"/>
        </w:rPr>
        <w:t xml:space="preserve"> Actualmente, está en curso una nueva consultoría contratada por el equipo de la Oficina de Cumplimiento de la Contraloría. Esta iniciativa tiene como objetivo eficientizar el seguimiento de las operaciones de caja mediante el nuevo Sistema de Gestión de Efectivo, mejorando así la transparencia y el control financiero dentro de la institución.</w:t>
      </w:r>
    </w:p>
    <w:p w14:paraId="3E5847F7" w14:textId="77777777" w:rsidR="00D9267D" w:rsidRPr="0064264A" w:rsidRDefault="00D9267D" w:rsidP="00D9267D">
      <w:pPr>
        <w:spacing w:line="360" w:lineRule="auto"/>
        <w:jc w:val="both"/>
        <w:rPr>
          <w:rFonts w:eastAsia="Calibri"/>
          <w:b/>
          <w:lang w:val="es-DO"/>
        </w:rPr>
      </w:pPr>
      <w:r w:rsidRPr="0064264A">
        <w:rPr>
          <w:rFonts w:eastAsia="Calibri"/>
          <w:b/>
          <w:lang w:val="es-DO"/>
        </w:rPr>
        <w:t>Uso de TIC para simplificación de trámites y mejorar procesos</w:t>
      </w:r>
    </w:p>
    <w:p w14:paraId="31AF0B83" w14:textId="77777777" w:rsidR="00580C8E" w:rsidRPr="0064264A" w:rsidRDefault="00D9267D" w:rsidP="00D9267D">
      <w:pPr>
        <w:spacing w:line="360" w:lineRule="auto"/>
        <w:jc w:val="both"/>
        <w:rPr>
          <w:rFonts w:eastAsia="Calibri"/>
          <w:lang w:val="es-DO"/>
        </w:rPr>
      </w:pPr>
      <w:r w:rsidRPr="0064264A">
        <w:rPr>
          <w:rFonts w:eastAsia="Calibri"/>
          <w:b/>
          <w:bCs/>
          <w:lang w:val="es-DO"/>
        </w:rPr>
        <w:t>Recertificación y Ampliación del Alcance SGSI:</w:t>
      </w:r>
      <w:r w:rsidRPr="0064264A">
        <w:rPr>
          <w:rFonts w:eastAsia="Calibri"/>
          <w:lang w:val="es-DO"/>
        </w:rPr>
        <w:t xml:space="preserve"> Se llevó a cabo una revisión integral de los 34 controles tecnológicos establecidos en nuestro Sistema de Gestión de Seguridad de la Información (SGSI), con el objetivo de ampliar el alcance conforme a la norma ISO/IEC 27001:2022. </w:t>
      </w:r>
    </w:p>
    <w:p w14:paraId="38115E49" w14:textId="77777777" w:rsidR="00580C8E" w:rsidRPr="0064264A" w:rsidRDefault="00580C8E" w:rsidP="00D9267D">
      <w:pPr>
        <w:spacing w:line="360" w:lineRule="auto"/>
        <w:jc w:val="both"/>
        <w:rPr>
          <w:rFonts w:eastAsia="Calibri"/>
          <w:lang w:val="es-DO"/>
        </w:rPr>
      </w:pPr>
    </w:p>
    <w:p w14:paraId="5BCDB335" w14:textId="235968AC" w:rsidR="00D9267D" w:rsidRPr="0064264A" w:rsidRDefault="00D9267D" w:rsidP="00D9267D">
      <w:pPr>
        <w:spacing w:line="360" w:lineRule="auto"/>
        <w:jc w:val="both"/>
        <w:rPr>
          <w:rFonts w:eastAsia="Calibri"/>
          <w:lang w:val="es-DO"/>
        </w:rPr>
      </w:pPr>
      <w:r w:rsidRPr="0064264A">
        <w:rPr>
          <w:rFonts w:eastAsia="Calibri"/>
          <w:lang w:val="es-DO"/>
        </w:rPr>
        <w:t>Esta norma internacional especifica los requisitos para establecer, implementar, mantener y mejorar continuamente un sistema de gestión de seguridad de la información en el contexto de la organización.</w:t>
      </w:r>
    </w:p>
    <w:p w14:paraId="7D60E858" w14:textId="77777777" w:rsidR="00D9267D" w:rsidRPr="0064264A" w:rsidRDefault="00D9267D" w:rsidP="00D9267D">
      <w:pPr>
        <w:spacing w:line="360" w:lineRule="auto"/>
        <w:jc w:val="both"/>
        <w:rPr>
          <w:rFonts w:eastAsia="Calibri"/>
          <w:lang w:val="es-DO"/>
        </w:rPr>
      </w:pPr>
      <w:r w:rsidRPr="0064264A">
        <w:rPr>
          <w:rFonts w:eastAsia="Calibri"/>
          <w:lang w:val="es-DO"/>
        </w:rPr>
        <w:t>Como parte de este proceso, se realizaron sesiones de concientización y capacitación dirigidas al personal responsable de dichos controles. Estas sesiones aseguraron la incorporación de los nuevos conceptos y elementos de control exigidos por la versión actualizada de la norma, fomentando una mejor comprensión y aplicación de las prácticas de seguridad de la información.</w:t>
      </w:r>
    </w:p>
    <w:p w14:paraId="070DF5F6" w14:textId="0D5ADB28" w:rsidR="00A448C8" w:rsidRPr="0064264A" w:rsidRDefault="00D9267D" w:rsidP="00D9267D">
      <w:pPr>
        <w:spacing w:line="360" w:lineRule="auto"/>
        <w:jc w:val="both"/>
        <w:rPr>
          <w:rFonts w:eastAsia="Calibri"/>
          <w:lang w:val="es-DO"/>
        </w:rPr>
      </w:pPr>
      <w:r w:rsidRPr="0064264A">
        <w:rPr>
          <w:rFonts w:eastAsia="Calibri"/>
          <w:lang w:val="es-DO"/>
        </w:rPr>
        <w:t xml:space="preserve">Adicionalmente, completamos satisfactoriamente la auditoría de recertificación y logramos la certificación de la ampliación del alcance, lo que garantiza que tanto nuestros colaboradores como la infraestructura tecnológica están alineados con los requerimientos organizacionales y cumplen con los estándares internacionales de seguridad de la información. </w:t>
      </w:r>
    </w:p>
    <w:p w14:paraId="09BE6DFC" w14:textId="2D5DEB05" w:rsidR="00D9267D" w:rsidRPr="0064264A" w:rsidRDefault="00D9267D" w:rsidP="00D9267D">
      <w:pPr>
        <w:spacing w:line="360" w:lineRule="auto"/>
        <w:jc w:val="both"/>
        <w:rPr>
          <w:rFonts w:eastAsia="Calibri"/>
          <w:b/>
          <w:bCs/>
          <w:lang w:val="es-DO"/>
        </w:rPr>
      </w:pPr>
      <w:r w:rsidRPr="0064264A">
        <w:rPr>
          <w:rFonts w:eastAsia="Calibri"/>
          <w:lang w:val="es-DO"/>
        </w:rPr>
        <w:t>Este logro refuerza nuestro compromiso con la protección de los datos y la continuidad del negocio, asegurando que implementamos las mejores prácticas reconocidas globalmente en materia de seguridad de la información.</w:t>
      </w:r>
    </w:p>
    <w:p w14:paraId="698E1351"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 xml:space="preserve">CA </w:t>
      </w:r>
      <w:proofErr w:type="spellStart"/>
      <w:r w:rsidRPr="0064264A">
        <w:rPr>
          <w:rFonts w:eastAsia="Calibri"/>
          <w:b/>
          <w:bCs/>
          <w:lang w:val="es-DO"/>
        </w:rPr>
        <w:t>Service</w:t>
      </w:r>
      <w:proofErr w:type="spellEnd"/>
      <w:r w:rsidRPr="0064264A">
        <w:rPr>
          <w:rFonts w:eastAsia="Calibri"/>
          <w:b/>
          <w:bCs/>
          <w:lang w:val="es-DO"/>
        </w:rPr>
        <w:t xml:space="preserve"> </w:t>
      </w:r>
      <w:proofErr w:type="spellStart"/>
      <w:r w:rsidRPr="0064264A">
        <w:rPr>
          <w:rFonts w:eastAsia="Calibri"/>
          <w:b/>
          <w:bCs/>
          <w:lang w:val="es-DO"/>
        </w:rPr>
        <w:t>Desk</w:t>
      </w:r>
      <w:proofErr w:type="spellEnd"/>
      <w:r w:rsidRPr="0064264A">
        <w:rPr>
          <w:rFonts w:eastAsia="Calibri"/>
          <w:b/>
          <w:bCs/>
          <w:lang w:val="es-DO"/>
        </w:rPr>
        <w:t xml:space="preserve"> Manager: </w:t>
      </w:r>
      <w:r w:rsidRPr="0064264A">
        <w:rPr>
          <w:rFonts w:eastAsia="Calibri"/>
          <w:bCs/>
          <w:lang w:val="es-DO"/>
        </w:rPr>
        <w:t>Siguiendo con el compromiso institucional de optimizar los procesos, se realizaron ajustes en la herramienta para que los Analistas de la Mesa de Servicios SIPARD puedan brindar soporte e identificar y relacionar a los usuarios de las diversas entidades en las siguientes plataformas:</w:t>
      </w:r>
    </w:p>
    <w:p w14:paraId="0A88022A" w14:textId="77777777" w:rsidR="00D9267D" w:rsidRPr="0064264A" w:rsidRDefault="00D9267D" w:rsidP="00A40AE3">
      <w:pPr>
        <w:numPr>
          <w:ilvl w:val="0"/>
          <w:numId w:val="18"/>
        </w:numPr>
        <w:spacing w:line="360" w:lineRule="auto"/>
        <w:jc w:val="both"/>
        <w:rPr>
          <w:rFonts w:eastAsia="Calibri"/>
          <w:lang w:val="es-DO"/>
        </w:rPr>
      </w:pPr>
      <w:r w:rsidRPr="0064264A">
        <w:rPr>
          <w:rFonts w:eastAsia="Calibri"/>
          <w:lang w:val="es-DO"/>
        </w:rPr>
        <w:t xml:space="preserve">(HEC) Herramienta de Evaluación del Cumplimiento </w:t>
      </w:r>
    </w:p>
    <w:p w14:paraId="1EC7C2C7" w14:textId="77777777" w:rsidR="00D9267D" w:rsidRPr="0064264A" w:rsidRDefault="00D9267D" w:rsidP="00A40AE3">
      <w:pPr>
        <w:numPr>
          <w:ilvl w:val="0"/>
          <w:numId w:val="18"/>
        </w:numPr>
        <w:spacing w:line="360" w:lineRule="auto"/>
        <w:jc w:val="both"/>
        <w:rPr>
          <w:rFonts w:eastAsia="Calibri"/>
        </w:rPr>
      </w:pPr>
      <w:r w:rsidRPr="0064264A">
        <w:rPr>
          <w:rFonts w:eastAsia="Calibri"/>
        </w:rPr>
        <w:t>(CAS/CSS) Central Accounting System (LBTR)</w:t>
      </w:r>
    </w:p>
    <w:p w14:paraId="708804A3" w14:textId="77777777" w:rsidR="00D9267D" w:rsidRPr="0064264A" w:rsidRDefault="00D9267D" w:rsidP="00A40AE3">
      <w:pPr>
        <w:numPr>
          <w:ilvl w:val="0"/>
          <w:numId w:val="18"/>
        </w:numPr>
        <w:spacing w:line="360" w:lineRule="auto"/>
        <w:jc w:val="both"/>
        <w:rPr>
          <w:rFonts w:eastAsia="Calibri"/>
          <w:lang w:val="es-DO"/>
        </w:rPr>
      </w:pPr>
      <w:r w:rsidRPr="0064264A">
        <w:rPr>
          <w:rFonts w:eastAsia="Calibri"/>
          <w:lang w:val="es-DO"/>
        </w:rPr>
        <w:lastRenderedPageBreak/>
        <w:t>(SRIF) Repositorio de Informaciones Financieras</w:t>
      </w:r>
    </w:p>
    <w:p w14:paraId="2D26D1D5" w14:textId="77777777" w:rsidR="00D9267D" w:rsidRPr="0064264A" w:rsidRDefault="00D9267D" w:rsidP="00A40AE3">
      <w:pPr>
        <w:numPr>
          <w:ilvl w:val="0"/>
          <w:numId w:val="18"/>
        </w:numPr>
        <w:spacing w:line="360" w:lineRule="auto"/>
        <w:jc w:val="both"/>
        <w:rPr>
          <w:rFonts w:eastAsia="Calibri"/>
          <w:lang w:val="es-DO"/>
        </w:rPr>
      </w:pPr>
      <w:r w:rsidRPr="0064264A">
        <w:rPr>
          <w:rFonts w:eastAsia="Calibri"/>
          <w:lang w:val="es-DO"/>
        </w:rPr>
        <w:t>(MAE-SIOPEL) Plataforma Electrónica de Intercambio de Divisas</w:t>
      </w:r>
    </w:p>
    <w:p w14:paraId="2A695F80" w14:textId="5AA1AB6D" w:rsidR="00D9267D" w:rsidRPr="0064264A" w:rsidRDefault="00D9267D" w:rsidP="00A40AE3">
      <w:pPr>
        <w:numPr>
          <w:ilvl w:val="0"/>
          <w:numId w:val="18"/>
        </w:numPr>
        <w:spacing w:line="360" w:lineRule="auto"/>
        <w:jc w:val="both"/>
        <w:rPr>
          <w:rFonts w:eastAsia="Calibri"/>
          <w:lang w:val="es-DO"/>
        </w:rPr>
      </w:pPr>
      <w:r w:rsidRPr="0064264A">
        <w:rPr>
          <w:rFonts w:eastAsia="Calibri"/>
          <w:lang w:val="es-DO"/>
        </w:rPr>
        <w:t>(BCS/X) Sistema de Compensación de Cheques</w:t>
      </w:r>
    </w:p>
    <w:p w14:paraId="27817A68" w14:textId="77777777" w:rsidR="00D9267D" w:rsidRPr="0064264A" w:rsidRDefault="00D9267D" w:rsidP="00D9267D">
      <w:pPr>
        <w:spacing w:line="360" w:lineRule="auto"/>
        <w:jc w:val="both"/>
        <w:rPr>
          <w:rFonts w:eastAsia="Calibri"/>
          <w:lang w:val="es-DO"/>
        </w:rPr>
      </w:pPr>
      <w:r w:rsidRPr="0064264A">
        <w:rPr>
          <w:rFonts w:eastAsia="Calibri"/>
          <w:b/>
          <w:bCs/>
          <w:lang w:val="es-DO"/>
        </w:rPr>
        <w:t>Implementación del Sistema de Medición de Indicadores de Cumplimiento</w:t>
      </w:r>
      <w:r w:rsidRPr="0064264A">
        <w:rPr>
          <w:rFonts w:eastAsia="Calibri"/>
          <w:lang w:val="es-DO"/>
        </w:rPr>
        <w:t>: Se implementó un sistema de medición de indicadores de cumplimiento en las áreas que conforman la Subdirección de Infraestructura y Operaciones. Este sistema permite evaluar y optimizar el uso del personal y los recursos disponibles, garantizando una gestión más eficiente y alineada con las necesidades institucionales. Los indicadores proporcionan datos clave para la toma de decisiones, fortalecen la planificación estratégica y aseguran un aprovechamiento óptimo de los recursos. Esto contribuye a una mayor productividad y eficacia en la gestión de infraestructura, respaldando el cumplimiento de los objetivos organizacionales.</w:t>
      </w:r>
    </w:p>
    <w:p w14:paraId="65B44FC4" w14:textId="77777777" w:rsidR="00667F26" w:rsidRPr="0064264A" w:rsidRDefault="00D9267D" w:rsidP="00D9267D">
      <w:pPr>
        <w:spacing w:line="360" w:lineRule="auto"/>
        <w:jc w:val="both"/>
        <w:rPr>
          <w:rFonts w:eastAsia="Calibri"/>
          <w:lang w:val="es-DO"/>
        </w:rPr>
      </w:pPr>
      <w:r w:rsidRPr="0064264A">
        <w:rPr>
          <w:rFonts w:eastAsia="Calibri"/>
          <w:b/>
          <w:bCs/>
          <w:lang w:val="es-DO"/>
        </w:rPr>
        <w:t>Levantamientos de Riesgos Tecnológicos 2024:</w:t>
      </w:r>
      <w:r w:rsidRPr="0064264A">
        <w:rPr>
          <w:rFonts w:eastAsia="Calibri"/>
          <w:lang w:val="es-DO"/>
        </w:rPr>
        <w:t xml:space="preserve"> Durante este período, se llevó a cabo la identificación y evaluación de los riesgos asociados a los servicios de Gestión de Conectividad de Redes.</w:t>
      </w:r>
    </w:p>
    <w:p w14:paraId="2D41B782" w14:textId="51650F42" w:rsidR="00D9267D" w:rsidRPr="0064264A" w:rsidRDefault="00D9267D" w:rsidP="00D9267D">
      <w:pPr>
        <w:spacing w:line="360" w:lineRule="auto"/>
        <w:jc w:val="both"/>
        <w:rPr>
          <w:rFonts w:eastAsia="Calibri"/>
          <w:lang w:val="es-DO"/>
        </w:rPr>
      </w:pPr>
      <w:r w:rsidRPr="0064264A">
        <w:rPr>
          <w:rFonts w:eastAsia="Calibri"/>
          <w:lang w:val="es-DO"/>
        </w:rPr>
        <w:t>El proceso incluyó la identificación, valoración y análisis de amenazas, así como la definición de controles y la elaboración de matrices resultantes, en conformidad con los estándares establecidos. Estos levantamientos fortalecen la capacidad de la Oficina de Gestión de Riesgo para la prevención y mitigación de riesgos tecnológicos, asegurando la continuidad y seguridad de los servicios críticos para la institución. Al anticipar y gestionar proactivamente estos riesgos, se garantiza un entorno tecnológico más seguro y resiliente.</w:t>
      </w:r>
    </w:p>
    <w:p w14:paraId="4D29B3E4" w14:textId="77777777" w:rsidR="00D9267D" w:rsidRPr="0064264A" w:rsidRDefault="00D9267D" w:rsidP="00D9267D">
      <w:pPr>
        <w:spacing w:line="360" w:lineRule="auto"/>
        <w:jc w:val="both"/>
        <w:rPr>
          <w:rFonts w:eastAsia="Calibri"/>
          <w:lang w:val="es-DO"/>
        </w:rPr>
      </w:pPr>
      <w:r w:rsidRPr="0064264A">
        <w:rPr>
          <w:rFonts w:eastAsia="Calibri"/>
          <w:b/>
          <w:lang w:val="es-DO"/>
        </w:rPr>
        <w:t>Recepción de Correspondencias Externas (CORR)</w:t>
      </w:r>
      <w:r w:rsidRPr="0064264A">
        <w:rPr>
          <w:rFonts w:eastAsia="Calibri"/>
          <w:lang w:val="es-DO"/>
        </w:rPr>
        <w:t xml:space="preserve">: Se realizó una migración completa de la aplicación a </w:t>
      </w:r>
      <w:proofErr w:type="spellStart"/>
      <w:r w:rsidRPr="0064264A">
        <w:rPr>
          <w:rFonts w:eastAsia="Calibri"/>
          <w:lang w:val="es-DO"/>
        </w:rPr>
        <w:t>Blazor</w:t>
      </w:r>
      <w:proofErr w:type="spellEnd"/>
      <w:r w:rsidRPr="0064264A">
        <w:rPr>
          <w:rFonts w:eastAsia="Calibri"/>
          <w:lang w:val="es-DO"/>
        </w:rPr>
        <w:t xml:space="preserve">, implementando nuevas </w:t>
      </w:r>
      <w:r w:rsidRPr="0064264A">
        <w:rPr>
          <w:rFonts w:eastAsia="Calibri"/>
          <w:lang w:val="es-DO"/>
        </w:rPr>
        <w:lastRenderedPageBreak/>
        <w:t xml:space="preserve">mejoras para alinearla con las tecnologías actuales y las mejores prácticas de desarrollo. Esta actualización moderniza la herramienta, mejorando su rendimiento, seguridad y usabilidad. La adopción de </w:t>
      </w:r>
      <w:proofErr w:type="spellStart"/>
      <w:r w:rsidRPr="0064264A">
        <w:rPr>
          <w:rFonts w:eastAsia="Calibri"/>
          <w:lang w:val="es-DO"/>
        </w:rPr>
        <w:t>Blazor</w:t>
      </w:r>
      <w:proofErr w:type="spellEnd"/>
      <w:r w:rsidRPr="0064264A">
        <w:rPr>
          <w:rFonts w:eastAsia="Calibri"/>
          <w:lang w:val="es-DO"/>
        </w:rPr>
        <w:t xml:space="preserve"> permite una experiencia de usuario más fluida y facilidades en el mantenimiento y escalabilidad de la aplicación, adaptándola a las necesidades contemporáneas de comunicación y gestión documental.</w:t>
      </w:r>
    </w:p>
    <w:p w14:paraId="53E71E79" w14:textId="77777777" w:rsidR="00D9267D" w:rsidRPr="0064264A" w:rsidRDefault="00D9267D" w:rsidP="00D9267D">
      <w:pPr>
        <w:spacing w:line="360" w:lineRule="auto"/>
        <w:jc w:val="both"/>
        <w:rPr>
          <w:rFonts w:eastAsia="Calibri"/>
          <w:lang w:val="es-DO"/>
        </w:rPr>
      </w:pPr>
      <w:r w:rsidRPr="0064264A">
        <w:rPr>
          <w:rFonts w:eastAsia="Calibri"/>
          <w:b/>
          <w:lang w:val="es-DO"/>
        </w:rPr>
        <w:t>Gestión de Usuarios Aplicaciones (BPMADMIN)</w:t>
      </w:r>
      <w:r w:rsidRPr="0064264A">
        <w:rPr>
          <w:rFonts w:eastAsia="Calibri"/>
          <w:lang w:val="es-DO"/>
        </w:rPr>
        <w:t xml:space="preserve">: Se llevó a cabo una migración integral de la aplicación a </w:t>
      </w:r>
      <w:proofErr w:type="spellStart"/>
      <w:r w:rsidRPr="0064264A">
        <w:rPr>
          <w:rFonts w:eastAsia="Calibri"/>
          <w:lang w:val="es-DO"/>
        </w:rPr>
        <w:t>Blazor</w:t>
      </w:r>
      <w:proofErr w:type="spellEnd"/>
      <w:r w:rsidRPr="0064264A">
        <w:rPr>
          <w:rFonts w:eastAsia="Calibri"/>
          <w:lang w:val="es-DO"/>
        </w:rPr>
        <w:t>, incorporando mejoras significativas para estar acorde con los avances tecnológicos y las mejores prácticas de la industria. Además de las actualizaciones en la interfaz y funcionalidad, se realizaron nuevas integraciones con aplicaciones internas y se optimizó la gestión de permisos. Estas mejoras permiten una administración más eficiente y segura de los usuarios y sus accesos, facilitando el control y la asignación de roles dentro de las diferentes aplicaciones de la institución.</w:t>
      </w:r>
    </w:p>
    <w:p w14:paraId="6488F055" w14:textId="77777777" w:rsidR="00D9267D" w:rsidRPr="0064264A" w:rsidRDefault="00D9267D" w:rsidP="00D9267D">
      <w:pPr>
        <w:spacing w:line="360" w:lineRule="auto"/>
        <w:jc w:val="both"/>
        <w:rPr>
          <w:rFonts w:eastAsia="Calibri"/>
          <w:b/>
          <w:lang w:val="es-DO"/>
        </w:rPr>
      </w:pPr>
      <w:r w:rsidRPr="0064264A">
        <w:rPr>
          <w:rFonts w:eastAsia="Calibri"/>
          <w:b/>
          <w:lang w:val="es-DO"/>
        </w:rPr>
        <w:t>Mesa De Servicio</w:t>
      </w:r>
    </w:p>
    <w:p w14:paraId="7478C7B0"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Durante este periodo, el personal de la mesa de servicio atendió </w:t>
      </w:r>
      <w:r w:rsidRPr="0064264A">
        <w:rPr>
          <w:rFonts w:eastAsia="Calibri"/>
          <w:bCs/>
          <w:lang w:val="es-DO"/>
        </w:rPr>
        <w:t>23,744</w:t>
      </w:r>
      <w:r w:rsidRPr="0064264A">
        <w:rPr>
          <w:rFonts w:eastAsia="Calibri"/>
          <w:lang w:val="es-DO"/>
        </w:rPr>
        <w:t xml:space="preserve"> llamadas de soporte, registrando un total de </w:t>
      </w:r>
      <w:r w:rsidRPr="0064264A">
        <w:rPr>
          <w:rFonts w:eastAsia="Calibri"/>
          <w:bCs/>
          <w:lang w:val="es-DO"/>
        </w:rPr>
        <w:t>31,449</w:t>
      </w:r>
      <w:r w:rsidRPr="0064264A">
        <w:rPr>
          <w:rFonts w:eastAsia="Calibri"/>
          <w:lang w:val="es-DO"/>
        </w:rPr>
        <w:t xml:space="preserve"> casos, incluidos aquellos recibidos por otras vías. Estos casos fueron escalados a los departamentos y áreas correspondientes para su resolución.</w:t>
      </w:r>
    </w:p>
    <w:p w14:paraId="5891B0D5"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En cuanto a la optimización y seguridad de las estaciones de trabajo, se realizaron </w:t>
      </w:r>
      <w:r w:rsidRPr="0064264A">
        <w:rPr>
          <w:rFonts w:eastAsia="Calibri"/>
          <w:bCs/>
          <w:lang w:val="es-DO"/>
        </w:rPr>
        <w:t xml:space="preserve">81,351 </w:t>
      </w:r>
      <w:r w:rsidRPr="0064264A">
        <w:rPr>
          <w:rFonts w:eastAsia="Calibri"/>
          <w:lang w:val="es-DO"/>
        </w:rPr>
        <w:t xml:space="preserve">actualizaciones de sistemas operativos, software y medidas de seguridad. Asimismo, se remediaron </w:t>
      </w:r>
      <w:r w:rsidRPr="0064264A">
        <w:rPr>
          <w:rFonts w:eastAsia="Calibri"/>
          <w:bCs/>
          <w:lang w:val="es-DO"/>
        </w:rPr>
        <w:t>20,512</w:t>
      </w:r>
      <w:r w:rsidRPr="0064264A">
        <w:rPr>
          <w:rFonts w:eastAsia="Calibri"/>
          <w:lang w:val="es-DO"/>
        </w:rPr>
        <w:t xml:space="preserve"> vulnerabilidades identificadas en la infraestructura de servidores, reforzando la protección y estabilidad del entorno tecnológico.</w:t>
      </w:r>
    </w:p>
    <w:p w14:paraId="6839CBFE" w14:textId="77777777" w:rsidR="00D9267D" w:rsidRPr="0064264A" w:rsidRDefault="00D9267D" w:rsidP="00D9267D">
      <w:pPr>
        <w:spacing w:line="360" w:lineRule="auto"/>
        <w:jc w:val="both"/>
        <w:rPr>
          <w:rFonts w:eastAsia="Calibri"/>
          <w:lang w:val="es-DO"/>
        </w:rPr>
      </w:pPr>
      <w:r w:rsidRPr="0064264A">
        <w:rPr>
          <w:rFonts w:eastAsia="Calibri"/>
          <w:lang w:val="es-DO"/>
        </w:rPr>
        <w:lastRenderedPageBreak/>
        <w:t xml:space="preserve">Por otro lado, se procesaron </w:t>
      </w:r>
      <w:r w:rsidRPr="0064264A">
        <w:rPr>
          <w:rFonts w:eastAsia="Calibri"/>
          <w:bCs/>
          <w:lang w:val="es-DO"/>
        </w:rPr>
        <w:t>561</w:t>
      </w:r>
      <w:r w:rsidRPr="0064264A">
        <w:rPr>
          <w:rFonts w:eastAsia="Calibri"/>
          <w:lang w:val="es-DO"/>
        </w:rPr>
        <w:t xml:space="preserve"> solicitudes de cambio (RFC) en la infraestructura de TI del BCRD, conforme al procedimiento de Gestión de Cambios. De estas, </w:t>
      </w:r>
      <w:r w:rsidRPr="0064264A">
        <w:rPr>
          <w:rFonts w:eastAsia="Calibri"/>
          <w:bCs/>
          <w:lang w:val="es-DO"/>
        </w:rPr>
        <w:t>519</w:t>
      </w:r>
      <w:r w:rsidRPr="0064264A">
        <w:rPr>
          <w:rFonts w:eastAsia="Calibri"/>
          <w:lang w:val="es-DO"/>
        </w:rPr>
        <w:t xml:space="preserve"> RFC se gestionaron como cambios estándar, mientras que </w:t>
      </w:r>
      <w:r w:rsidRPr="0064264A">
        <w:rPr>
          <w:rFonts w:eastAsia="Calibri"/>
          <w:bCs/>
          <w:lang w:val="es-DO"/>
        </w:rPr>
        <w:t xml:space="preserve">42 </w:t>
      </w:r>
      <w:r w:rsidRPr="0064264A">
        <w:rPr>
          <w:rFonts w:eastAsia="Calibri"/>
          <w:lang w:val="es-DO"/>
        </w:rPr>
        <w:t xml:space="preserve">RFC fueron sometidas a revisión y aprobación del Equipo Asesor de Cambios (CAB, por sus siglas en inglés Change </w:t>
      </w:r>
      <w:proofErr w:type="spellStart"/>
      <w:r w:rsidRPr="0064264A">
        <w:rPr>
          <w:rFonts w:eastAsia="Calibri"/>
          <w:lang w:val="es-DO"/>
        </w:rPr>
        <w:t>Advisory</w:t>
      </w:r>
      <w:proofErr w:type="spellEnd"/>
      <w:r w:rsidRPr="0064264A">
        <w:rPr>
          <w:rFonts w:eastAsia="Calibri"/>
          <w:lang w:val="es-DO"/>
        </w:rPr>
        <w:t xml:space="preserve"> </w:t>
      </w:r>
      <w:proofErr w:type="spellStart"/>
      <w:r w:rsidRPr="0064264A">
        <w:rPr>
          <w:rFonts w:eastAsia="Calibri"/>
          <w:lang w:val="es-DO"/>
        </w:rPr>
        <w:t>Board</w:t>
      </w:r>
      <w:proofErr w:type="spellEnd"/>
      <w:r w:rsidRPr="0064264A">
        <w:rPr>
          <w:rFonts w:eastAsia="Calibri"/>
          <w:lang w:val="es-DO"/>
        </w:rPr>
        <w:t>).</w:t>
      </w:r>
    </w:p>
    <w:p w14:paraId="0C53CFB4" w14:textId="77777777" w:rsidR="00D9267D" w:rsidRPr="0064264A" w:rsidRDefault="00D9267D" w:rsidP="00D9267D">
      <w:pPr>
        <w:spacing w:line="360" w:lineRule="auto"/>
        <w:jc w:val="both"/>
        <w:rPr>
          <w:rFonts w:eastAsia="Calibri"/>
          <w:lang w:val="es-DO"/>
        </w:rPr>
      </w:pPr>
      <w:r w:rsidRPr="0064264A">
        <w:rPr>
          <w:rFonts w:eastAsia="Calibri"/>
          <w:lang w:val="es-DO"/>
        </w:rPr>
        <w:t>Esta labor refleja el compromiso continuo con la eficiencia operativa, la seguridad tecnológica y la mejora en los procesos de gestión de la infraestructura de TI.</w:t>
      </w:r>
    </w:p>
    <w:p w14:paraId="0653EC9C" w14:textId="77777777" w:rsidR="00D9267D" w:rsidRPr="0064264A" w:rsidRDefault="00D9267D" w:rsidP="00D9267D">
      <w:pPr>
        <w:spacing w:line="360" w:lineRule="auto"/>
        <w:jc w:val="both"/>
        <w:rPr>
          <w:rFonts w:eastAsia="Calibri"/>
          <w:lang w:val="es-DO"/>
        </w:rPr>
      </w:pPr>
      <w:r w:rsidRPr="0064264A">
        <w:rPr>
          <w:rFonts w:eastAsia="Calibri"/>
          <w:b/>
          <w:bCs/>
          <w:lang w:val="es-DO"/>
        </w:rPr>
        <w:t>Iniciativas para optimizar la infraestructura de TI</w:t>
      </w:r>
    </w:p>
    <w:p w14:paraId="515A8997" w14:textId="146DC7B7" w:rsidR="00D9267D" w:rsidRPr="0064264A" w:rsidRDefault="00D9267D" w:rsidP="00D9267D">
      <w:pPr>
        <w:spacing w:line="360" w:lineRule="auto"/>
        <w:jc w:val="both"/>
        <w:rPr>
          <w:rFonts w:eastAsia="Calibri"/>
          <w:bCs/>
          <w:lang w:val="es-DO"/>
        </w:rPr>
      </w:pPr>
      <w:r w:rsidRPr="0064264A">
        <w:rPr>
          <w:rFonts w:eastAsia="Calibri"/>
          <w:b/>
          <w:bCs/>
          <w:lang w:val="es-DO"/>
        </w:rPr>
        <w:t>Movilidad Interna de Equipos Móviles</w:t>
      </w:r>
      <w:r w:rsidRPr="0064264A">
        <w:rPr>
          <w:rFonts w:eastAsia="Calibri"/>
          <w:b/>
          <w:lang w:val="es-DO"/>
        </w:rPr>
        <w:t xml:space="preserve">: </w:t>
      </w:r>
      <w:r w:rsidRPr="0064264A">
        <w:rPr>
          <w:rFonts w:eastAsia="Calibri"/>
          <w:bCs/>
          <w:lang w:val="es-DO"/>
        </w:rPr>
        <w:t>Se han implementado nuevas funcionalidades para mejorar la movilidad interna de los equipos móviles en nuestra institución, optimizando la experiencia del usuario tanto en conexiones remotas como en la red institucional. Estas iniciativas abordan aspectos clave como movilidad, ciberseguridad y control, asegurando que los usuarios tengan una experiencia uniforme al acceder a sus aplicaciones, sin importar su ubicación. Ahora pueden conectarse a la red institucional desde cualquier lugar dentro del BCRD, manteniendo su segmento de red, lo que facilita el acceso a todas sus aplicaciones, incluso desde la Oficina Regional.</w:t>
      </w:r>
    </w:p>
    <w:p w14:paraId="2B6F69AC" w14:textId="68DCD81B" w:rsidR="00D9267D" w:rsidRPr="0064264A" w:rsidRDefault="00D9267D" w:rsidP="00D9267D">
      <w:pPr>
        <w:spacing w:line="360" w:lineRule="auto"/>
        <w:jc w:val="both"/>
        <w:rPr>
          <w:rFonts w:eastAsia="Calibri"/>
          <w:lang w:val="es-DO"/>
        </w:rPr>
      </w:pPr>
      <w:r w:rsidRPr="0064264A">
        <w:rPr>
          <w:rFonts w:eastAsia="Calibri"/>
          <w:b/>
          <w:bCs/>
          <w:lang w:val="es-DO"/>
        </w:rPr>
        <w:t>Adopción de Windows 11 en la Infraestructura Tecnológica</w:t>
      </w:r>
      <w:r w:rsidRPr="0064264A">
        <w:rPr>
          <w:rFonts w:eastAsia="Calibri"/>
          <w:lang w:val="es-DO"/>
        </w:rPr>
        <w:t xml:space="preserve">: Se completó la implementación de Windows 11 en las estaciones de trabajo de la institución que cumplen con los requerimientos técnicos para su instalación. Este nuevo sistema operativo representa un progreso significativo en términos de seguridad, rendimiento y experiencia del usuario. La actualización fortalece la plataforma tecnológica institucional, proporcionando a los colaboradores </w:t>
      </w:r>
      <w:r w:rsidRPr="0064264A">
        <w:rPr>
          <w:rFonts w:eastAsia="Calibri"/>
          <w:lang w:val="es-DO"/>
        </w:rPr>
        <w:lastRenderedPageBreak/>
        <w:t>herramientas más modernas y eficientes para el desempeño de sus funciones.</w:t>
      </w:r>
    </w:p>
    <w:p w14:paraId="6205DF2E" w14:textId="7B5B6536" w:rsidR="00D9267D" w:rsidRPr="0064264A" w:rsidRDefault="00D9267D" w:rsidP="00D9267D">
      <w:pPr>
        <w:spacing w:line="360" w:lineRule="auto"/>
        <w:jc w:val="both"/>
        <w:rPr>
          <w:rFonts w:eastAsia="Calibri"/>
          <w:lang w:val="es-DO"/>
        </w:rPr>
      </w:pPr>
      <w:r w:rsidRPr="0064264A">
        <w:rPr>
          <w:rFonts w:eastAsia="Calibri"/>
          <w:b/>
          <w:bCs/>
          <w:lang w:val="es-DO"/>
        </w:rPr>
        <w:t xml:space="preserve">Reemplazo de Equipos Desktop por Laptops: </w:t>
      </w:r>
      <w:r w:rsidRPr="0064264A">
        <w:rPr>
          <w:rFonts w:eastAsia="Calibri"/>
          <w:lang w:val="es-DO"/>
        </w:rPr>
        <w:t xml:space="preserve">Como parte de las acciones para fomentar la movilidad operativa y fortalecer el Plan de Continuidad del Negocio (PCN), se llevó a cabo el reemplazo de 60 equipos de escritorio por laptops. Esta iniciativa permite a los colaboradores disponer de herramientas más flexibles y eficientes, facilitando la movilidad operativa para el trabajo remoto y asegurando la continuidad de las operaciones en escenarios imprevistos. Con esta mejora, se optimiza la productividad y se refuerza la capacidad de respuesta institucional ante diversas circunstancias. </w:t>
      </w:r>
    </w:p>
    <w:p w14:paraId="3C17CF40" w14:textId="77777777" w:rsidR="00667F26" w:rsidRPr="0064264A" w:rsidRDefault="00D9267D" w:rsidP="00D9267D">
      <w:pPr>
        <w:spacing w:line="360" w:lineRule="auto"/>
        <w:jc w:val="both"/>
        <w:rPr>
          <w:rFonts w:eastAsia="Calibri"/>
          <w:lang w:val="es-DO"/>
        </w:rPr>
      </w:pPr>
      <w:r w:rsidRPr="0064264A">
        <w:rPr>
          <w:rFonts w:eastAsia="Calibri"/>
          <w:b/>
          <w:bCs/>
          <w:lang w:val="es-DO"/>
        </w:rPr>
        <w:t>Reemplazo de equipos Desktop por obsolescencia:</w:t>
      </w:r>
      <w:r w:rsidRPr="0064264A">
        <w:rPr>
          <w:rFonts w:eastAsia="Calibri"/>
          <w:lang w:val="es-DO"/>
        </w:rPr>
        <w:t xml:space="preserve"> En el marco de la estrategia para mantener un parque tecnológico actualizado y eficiente, se efectuó la sustitución de 81 equipos que habían alcanzado el fin de su vida útil. Esta renovación garantiza que los colaboradores cuenten con herramientas más modernas y funcionales, mejorando el desempeño de las actividades operativas y minimizando los riesgos asociados al uso de dispositivos obsoletos. </w:t>
      </w:r>
    </w:p>
    <w:p w14:paraId="4A1C2FBB" w14:textId="77777777" w:rsidR="00A448C8" w:rsidRPr="0064264A" w:rsidRDefault="00D9267D" w:rsidP="00D9267D">
      <w:pPr>
        <w:spacing w:line="360" w:lineRule="auto"/>
        <w:jc w:val="both"/>
        <w:rPr>
          <w:rFonts w:eastAsia="Calibri"/>
          <w:lang w:val="es-DO"/>
        </w:rPr>
      </w:pPr>
      <w:r w:rsidRPr="0064264A">
        <w:rPr>
          <w:rFonts w:eastAsia="Calibri"/>
          <w:lang w:val="es-DO"/>
        </w:rPr>
        <w:t xml:space="preserve">Además, permite que los equipos estén en capacidad de recibir las últimas actualizaciones de seguridad, fortaleciendo la protección de los datos y la infraestructura tecnológica institucional. </w:t>
      </w:r>
    </w:p>
    <w:p w14:paraId="4356693E" w14:textId="1C537E2C" w:rsidR="00667F26" w:rsidRPr="0064264A" w:rsidRDefault="00D9267D" w:rsidP="00D9267D">
      <w:pPr>
        <w:spacing w:line="360" w:lineRule="auto"/>
        <w:jc w:val="both"/>
        <w:rPr>
          <w:rFonts w:eastAsia="Calibri"/>
          <w:lang w:val="es-DO"/>
        </w:rPr>
      </w:pPr>
      <w:r w:rsidRPr="0064264A">
        <w:rPr>
          <w:rFonts w:eastAsia="Calibri"/>
          <w:lang w:val="es-DO"/>
        </w:rPr>
        <w:t>Con esta acción, se refuerza el compromiso con la innovación tecnológica y la optimización de recursos.</w:t>
      </w:r>
    </w:p>
    <w:p w14:paraId="118F588C" w14:textId="77777777" w:rsidR="00D9267D" w:rsidRPr="0064264A" w:rsidRDefault="00D9267D" w:rsidP="008B3000">
      <w:pPr>
        <w:pStyle w:val="Heading2"/>
        <w:rPr>
          <w:rFonts w:eastAsia="Calibri"/>
          <w:b/>
          <w:color w:val="767171"/>
          <w:lang w:val="es-DO"/>
        </w:rPr>
      </w:pPr>
      <w:bookmarkStart w:id="32" w:name="_Toc217386295"/>
      <w:r w:rsidRPr="0064264A">
        <w:rPr>
          <w:rFonts w:eastAsia="Calibri"/>
          <w:b/>
          <w:color w:val="767171"/>
          <w:lang w:val="es-DO"/>
        </w:rPr>
        <w:t>4.4.1 Seguridad Cibernética y de la Información</w:t>
      </w:r>
      <w:bookmarkEnd w:id="32"/>
    </w:p>
    <w:p w14:paraId="2E7C220D" w14:textId="77777777" w:rsidR="00580C8E" w:rsidRPr="0064264A" w:rsidRDefault="00580C8E" w:rsidP="00D9267D">
      <w:pPr>
        <w:spacing w:line="360" w:lineRule="auto"/>
        <w:jc w:val="both"/>
        <w:rPr>
          <w:rFonts w:eastAsia="Calibri"/>
          <w:lang w:val="es-DO"/>
        </w:rPr>
      </w:pPr>
    </w:p>
    <w:p w14:paraId="3BBF4223" w14:textId="71964FB1" w:rsidR="00D9267D" w:rsidRPr="0064264A" w:rsidRDefault="00D9267D" w:rsidP="00D9267D">
      <w:pPr>
        <w:spacing w:line="360" w:lineRule="auto"/>
        <w:jc w:val="both"/>
        <w:rPr>
          <w:rFonts w:eastAsia="Calibri"/>
          <w:lang w:val="es-DO"/>
        </w:rPr>
      </w:pPr>
      <w:r w:rsidRPr="0064264A">
        <w:rPr>
          <w:rFonts w:eastAsia="Calibri"/>
          <w:lang w:val="es-DO"/>
        </w:rPr>
        <w:t xml:space="preserve">En el año 2025, el Banco Central de la República Dominicana (BCRD) mantuvo su compromiso con el fortalecimiento continuo de la seguridad cibernética </w:t>
      </w:r>
      <w:r w:rsidRPr="0064264A">
        <w:rPr>
          <w:rFonts w:eastAsia="Calibri"/>
          <w:lang w:val="es-DO"/>
        </w:rPr>
        <w:lastRenderedPageBreak/>
        <w:t>y la protección de la infraestructura tecnológica, conservando la alineación con las mejores prácticas internacionales y los estándares de ciberseguridad más exigentes. En este contexto, el BCRD retuvo su certificación internacional ISO 27001:2022 para la Gestión de Seguridad de la Información, al tiempo que ejecutó las iniciativas planificadas para el año, las cuales tuvieron como foco central robustecer los lineamientos y procesos ejecutados, con el fin de elevar el grado de madurez y optimización de las operaciones.</w:t>
      </w:r>
    </w:p>
    <w:p w14:paraId="7D238C7E" w14:textId="7F8B6987" w:rsidR="00D9267D" w:rsidRPr="0064264A" w:rsidRDefault="00D9267D" w:rsidP="00D9267D">
      <w:pPr>
        <w:spacing w:line="360" w:lineRule="auto"/>
        <w:jc w:val="both"/>
        <w:rPr>
          <w:rFonts w:eastAsia="Calibri"/>
          <w:lang w:val="es-DO"/>
        </w:rPr>
      </w:pPr>
      <w:r w:rsidRPr="0064264A">
        <w:rPr>
          <w:rFonts w:eastAsia="Calibri"/>
          <w:lang w:val="es-DO"/>
        </w:rPr>
        <w:t>En ese sentido, se trabajó en la ejecución de diversas estrategias para optimizar la gestión de identidades y accesos, enfocadas en el estableciendo políticas y mecanismos de control claros e implementando herramientas tecnológicas para optimizar los tiempos y reducir los errores en las operaciones, logrando con esto una gobernanza más sólida y mayor resiliencia operativa.</w:t>
      </w:r>
    </w:p>
    <w:p w14:paraId="24EAAC23" w14:textId="52936C74" w:rsidR="00D9267D" w:rsidRPr="0064264A" w:rsidRDefault="00D9267D" w:rsidP="00D9267D">
      <w:pPr>
        <w:spacing w:line="360" w:lineRule="auto"/>
        <w:jc w:val="both"/>
        <w:rPr>
          <w:rFonts w:eastAsia="Calibri"/>
          <w:lang w:val="es-DO"/>
        </w:rPr>
      </w:pPr>
      <w:r w:rsidRPr="0064264A">
        <w:rPr>
          <w:rFonts w:eastAsia="Calibri"/>
          <w:lang w:val="es-DO"/>
        </w:rPr>
        <w:t>El fortalecimiento de la capacidad de monitoreo y respuesta ante incidentes fue otro pilar clave, trabajándose en el robustecimiento de la gestión de eventos, así como en la estandarización de los procedimientos ejecutados. Adicionalmente, se ejecutaron talleres junto al personal técnico para alinear la coordinación ante incidentes reales.</w:t>
      </w:r>
    </w:p>
    <w:p w14:paraId="2F8AD3E4" w14:textId="225C668B" w:rsidR="00D9267D" w:rsidRPr="0064264A" w:rsidRDefault="00D9267D" w:rsidP="00D9267D">
      <w:pPr>
        <w:spacing w:line="360" w:lineRule="auto"/>
        <w:jc w:val="both"/>
        <w:rPr>
          <w:rFonts w:eastAsia="Calibri"/>
          <w:lang w:val="es-DO"/>
        </w:rPr>
      </w:pPr>
      <w:r w:rsidRPr="0064264A">
        <w:rPr>
          <w:rFonts w:eastAsia="Calibri"/>
          <w:lang w:val="es-DO"/>
        </w:rPr>
        <w:t>En el ámbito institucional, se promovió una cultura de ciberseguridad mediante un programa de concienciación dirigido a todo el personal, con el objetivo de involucrar a cada colaborador en la protección de los activos de información del Banco y actualizándolos en temas relevantes como la Inteligencia Artificial. Adicionalmente, el BCRD ha fortalecido su papel en el sector financiero, a través del SPRICS (Sistemas de Pagos - Respuesta a Incidentes de Ciberseguridad), ampliando sus capacidades y contribuyendo a la mejora de la postura de ciberseguridad de las entidades del sistema financiero y de pagos.</w:t>
      </w:r>
    </w:p>
    <w:p w14:paraId="33603EE4" w14:textId="4DD697C5" w:rsidR="00D9267D" w:rsidRPr="0064264A" w:rsidRDefault="00D9267D" w:rsidP="00D9267D">
      <w:pPr>
        <w:spacing w:line="360" w:lineRule="auto"/>
        <w:jc w:val="both"/>
        <w:rPr>
          <w:rFonts w:eastAsia="Calibri"/>
          <w:lang w:val="es-DO"/>
        </w:rPr>
      </w:pPr>
      <w:r w:rsidRPr="0064264A">
        <w:rPr>
          <w:rFonts w:eastAsia="Calibri"/>
          <w:lang w:val="es-DO"/>
        </w:rPr>
        <w:lastRenderedPageBreak/>
        <w:t>Esta memoria anual destaca los avances y logros alcanzados en materia de ciberseguridad durante el 2025, reflejando el continuo esfuerzo por mejorar la resiliencia de la institución ante los desafíos cibernéticos y mantener la seguridad de los activos de información en un entorno cada vez más complejo y dinámico.</w:t>
      </w:r>
    </w:p>
    <w:p w14:paraId="1A6EE7B6" w14:textId="3C894007" w:rsidR="00D9267D" w:rsidRPr="0064264A" w:rsidRDefault="00D9267D" w:rsidP="00D9267D">
      <w:pPr>
        <w:spacing w:line="360" w:lineRule="auto"/>
        <w:jc w:val="both"/>
        <w:rPr>
          <w:rFonts w:eastAsia="Calibri"/>
          <w:b/>
          <w:bCs/>
          <w:lang w:val="es-ES"/>
        </w:rPr>
      </w:pPr>
      <w:r w:rsidRPr="0064264A">
        <w:rPr>
          <w:rFonts w:eastAsia="Calibri"/>
          <w:b/>
          <w:bCs/>
          <w:lang w:val="es-ES"/>
        </w:rPr>
        <w:t>Iniciativas de fortalecimiento de gobernanza</w:t>
      </w:r>
    </w:p>
    <w:p w14:paraId="654B49B6" w14:textId="786A0FC0" w:rsidR="00D9267D" w:rsidRPr="0064264A" w:rsidRDefault="00D9267D" w:rsidP="00D9267D">
      <w:pPr>
        <w:spacing w:line="360" w:lineRule="auto"/>
        <w:jc w:val="both"/>
        <w:rPr>
          <w:rFonts w:eastAsia="Calibri"/>
          <w:lang w:val="es-DO"/>
        </w:rPr>
      </w:pPr>
      <w:r w:rsidRPr="0064264A">
        <w:rPr>
          <w:rFonts w:eastAsia="Calibri"/>
          <w:lang w:val="es-DO"/>
        </w:rPr>
        <w:t xml:space="preserve">Las principales iniciativas fueron focalizadas en elevar el grado de madurez de las actividades y procesos de ciberseguridad, para los fines, en 2025 se completó la primera fase de un proceso coordinación e implementación integral de procesos y métricas a lo interno del Departamento de Seguridad Cibernética y de la Información. </w:t>
      </w:r>
    </w:p>
    <w:p w14:paraId="1457C27B" w14:textId="77777777" w:rsidR="00D9267D" w:rsidRPr="0064264A" w:rsidRDefault="00D9267D" w:rsidP="00D9267D">
      <w:pPr>
        <w:spacing w:line="360" w:lineRule="auto"/>
        <w:jc w:val="both"/>
        <w:rPr>
          <w:rFonts w:eastAsia="Calibri"/>
          <w:lang w:val="es-DO"/>
        </w:rPr>
      </w:pPr>
      <w:r w:rsidRPr="0064264A">
        <w:rPr>
          <w:rFonts w:eastAsia="Calibri"/>
          <w:lang w:val="es-DO"/>
        </w:rPr>
        <w:t>Enfoques relativos al fortalecimiento:</w:t>
      </w:r>
    </w:p>
    <w:p w14:paraId="05CCA9BA" w14:textId="77777777" w:rsidR="00D9267D" w:rsidRPr="0064264A" w:rsidRDefault="00D9267D" w:rsidP="00A40AE3">
      <w:pPr>
        <w:numPr>
          <w:ilvl w:val="0"/>
          <w:numId w:val="19"/>
        </w:numPr>
        <w:spacing w:line="360" w:lineRule="auto"/>
        <w:jc w:val="both"/>
        <w:rPr>
          <w:rFonts w:eastAsia="Calibri"/>
          <w:lang w:val="es-DO"/>
        </w:rPr>
      </w:pPr>
      <w:r w:rsidRPr="0064264A">
        <w:rPr>
          <w:rFonts w:eastAsia="Calibri"/>
          <w:lang w:val="es-DO"/>
        </w:rPr>
        <w:t xml:space="preserve">Optimización de la superficie de ataque digital.  </w:t>
      </w:r>
    </w:p>
    <w:p w14:paraId="1797EB29" w14:textId="77777777" w:rsidR="00D9267D" w:rsidRPr="0064264A" w:rsidRDefault="00D9267D" w:rsidP="00A40AE3">
      <w:pPr>
        <w:numPr>
          <w:ilvl w:val="0"/>
          <w:numId w:val="19"/>
        </w:numPr>
        <w:spacing w:line="360" w:lineRule="auto"/>
        <w:jc w:val="both"/>
        <w:rPr>
          <w:rFonts w:eastAsia="Calibri"/>
          <w:lang w:val="es-DO"/>
        </w:rPr>
      </w:pPr>
      <w:r w:rsidRPr="0064264A">
        <w:rPr>
          <w:rFonts w:eastAsia="Calibri"/>
          <w:lang w:val="es-DO"/>
        </w:rPr>
        <w:t xml:space="preserve">Robustecimiento de los lineamientos y herramientas para la gestión de las identidades y accesos. </w:t>
      </w:r>
    </w:p>
    <w:p w14:paraId="43EC051A" w14:textId="379F311E" w:rsidR="00D9267D" w:rsidRPr="0064264A" w:rsidRDefault="00D9267D" w:rsidP="00A40AE3">
      <w:pPr>
        <w:numPr>
          <w:ilvl w:val="0"/>
          <w:numId w:val="19"/>
        </w:numPr>
        <w:spacing w:line="360" w:lineRule="auto"/>
        <w:jc w:val="both"/>
        <w:rPr>
          <w:rFonts w:eastAsia="Calibri"/>
          <w:lang w:val="es-DO"/>
        </w:rPr>
      </w:pPr>
      <w:r w:rsidRPr="0064264A">
        <w:rPr>
          <w:rFonts w:eastAsia="Calibri"/>
          <w:lang w:val="es-DO"/>
        </w:rPr>
        <w:t xml:space="preserve">Implementación de procesos y métricas. </w:t>
      </w:r>
    </w:p>
    <w:p w14:paraId="508C90F5" w14:textId="77777777" w:rsidR="00D9267D" w:rsidRPr="0064264A" w:rsidRDefault="00D9267D" w:rsidP="00A40AE3">
      <w:pPr>
        <w:numPr>
          <w:ilvl w:val="0"/>
          <w:numId w:val="19"/>
        </w:numPr>
        <w:spacing w:line="360" w:lineRule="auto"/>
        <w:jc w:val="both"/>
        <w:rPr>
          <w:rFonts w:eastAsia="Calibri"/>
          <w:lang w:val="es-DO"/>
        </w:rPr>
      </w:pPr>
      <w:r w:rsidRPr="0064264A">
        <w:rPr>
          <w:rFonts w:eastAsia="Calibri"/>
          <w:lang w:val="es-DO"/>
        </w:rPr>
        <w:t>Robustecimiento de la gestión de eventos y monitoreo de ciberseguridad.</w:t>
      </w:r>
    </w:p>
    <w:p w14:paraId="3BA1F107" w14:textId="77777777" w:rsidR="00D9267D" w:rsidRPr="0064264A" w:rsidRDefault="00D9267D" w:rsidP="00A40AE3">
      <w:pPr>
        <w:numPr>
          <w:ilvl w:val="0"/>
          <w:numId w:val="19"/>
        </w:numPr>
        <w:spacing w:line="360" w:lineRule="auto"/>
        <w:jc w:val="both"/>
        <w:rPr>
          <w:rFonts w:eastAsia="Calibri"/>
          <w:lang w:val="es-DO"/>
        </w:rPr>
      </w:pPr>
      <w:r w:rsidRPr="0064264A">
        <w:rPr>
          <w:rFonts w:eastAsia="Calibri"/>
          <w:lang w:val="es-DO"/>
        </w:rPr>
        <w:t>Nivel de las competencias y perfil del puesto de los colaboradores.</w:t>
      </w:r>
    </w:p>
    <w:p w14:paraId="2F7EE6DA" w14:textId="6B402973" w:rsidR="00D9267D" w:rsidRPr="0064264A" w:rsidRDefault="00D9267D" w:rsidP="00A40AE3">
      <w:pPr>
        <w:numPr>
          <w:ilvl w:val="0"/>
          <w:numId w:val="19"/>
        </w:numPr>
        <w:spacing w:line="360" w:lineRule="auto"/>
        <w:jc w:val="both"/>
        <w:rPr>
          <w:rFonts w:eastAsia="Calibri"/>
          <w:lang w:val="es-DO"/>
        </w:rPr>
      </w:pPr>
      <w:r w:rsidRPr="0064264A">
        <w:rPr>
          <w:rFonts w:eastAsia="Calibri"/>
          <w:lang w:val="es-DO"/>
        </w:rPr>
        <w:t>Fortalecimiento de capacidades de respuesta ante desastres.</w:t>
      </w:r>
    </w:p>
    <w:p w14:paraId="4FA97EBE" w14:textId="17831AD7" w:rsidR="00D9267D" w:rsidRPr="0064264A" w:rsidRDefault="00D9267D" w:rsidP="00D9267D">
      <w:pPr>
        <w:spacing w:line="360" w:lineRule="auto"/>
        <w:jc w:val="both"/>
        <w:rPr>
          <w:rFonts w:eastAsia="Calibri"/>
          <w:lang w:val="es-DO"/>
        </w:rPr>
      </w:pPr>
      <w:r w:rsidRPr="0064264A">
        <w:rPr>
          <w:rFonts w:eastAsia="Calibri"/>
          <w:lang w:val="es-DO"/>
        </w:rPr>
        <w:t xml:space="preserve">El Departamento de Seguridad Cibernética y de la Información ofreció su colaboración en actividades interdepartamentales para la actualización de las normativas aplicables a seguridad de la información, entre las que se destacan: la Política de Seguridad de la Información y la Normativa sobre Uso Aceptable del Correo Electrónico </w:t>
      </w:r>
      <w:r w:rsidRPr="0064264A">
        <w:rPr>
          <w:rFonts w:eastAsia="Calibri"/>
          <w:lang w:val="es-DO"/>
        </w:rPr>
        <w:lastRenderedPageBreak/>
        <w:t>Institucional, del Internet y de las Tecnologías de Inteligencia Artificial.</w:t>
      </w:r>
    </w:p>
    <w:p w14:paraId="347030C4"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Gestión de identidad y accesos</w:t>
      </w:r>
    </w:p>
    <w:p w14:paraId="4F0B9EB4" w14:textId="77777777" w:rsidR="00D9267D" w:rsidRPr="0064264A" w:rsidRDefault="00D9267D" w:rsidP="00D9267D">
      <w:pPr>
        <w:spacing w:line="360" w:lineRule="auto"/>
        <w:jc w:val="both"/>
        <w:rPr>
          <w:rFonts w:eastAsia="Calibri"/>
          <w:bCs/>
          <w:lang w:val="es-DO"/>
        </w:rPr>
      </w:pPr>
      <w:r w:rsidRPr="0064264A">
        <w:rPr>
          <w:rFonts w:eastAsia="Calibri"/>
          <w:bCs/>
          <w:lang w:val="es-DO"/>
        </w:rPr>
        <w:t>El cierre de 2025 refleja una Subdirección de Gestión de Identidades fortalecida, con procesos maduros y resilientes que se han consolidado como un verdadero pilar institucional. La gestión de identidad y acceso ha evolucionado hacia un modelo integral, capaz de garantizar seguridad, eficiencia y cumplimiento normativo, respondiendo con firmeza a los retos tecnológicos y regulatorios del entorno actual.</w:t>
      </w:r>
    </w:p>
    <w:p w14:paraId="0BD42E85" w14:textId="77777777" w:rsidR="00D9267D" w:rsidRPr="0064264A" w:rsidRDefault="00D9267D" w:rsidP="00D9267D">
      <w:pPr>
        <w:spacing w:line="360" w:lineRule="auto"/>
        <w:jc w:val="both"/>
        <w:rPr>
          <w:rFonts w:eastAsia="Calibri"/>
          <w:bCs/>
          <w:lang w:val="es-DO"/>
        </w:rPr>
      </w:pPr>
      <w:r w:rsidRPr="0064264A">
        <w:rPr>
          <w:rFonts w:eastAsia="Calibri"/>
          <w:bCs/>
          <w:lang w:val="es-DO"/>
        </w:rPr>
        <w:t>Este avance se traduce en logros concretos:</w:t>
      </w:r>
    </w:p>
    <w:p w14:paraId="66095099" w14:textId="77777777" w:rsidR="00D9267D" w:rsidRPr="0064264A" w:rsidRDefault="00D9267D" w:rsidP="00A40AE3">
      <w:pPr>
        <w:numPr>
          <w:ilvl w:val="0"/>
          <w:numId w:val="38"/>
        </w:numPr>
        <w:spacing w:line="360" w:lineRule="auto"/>
        <w:jc w:val="both"/>
        <w:rPr>
          <w:rFonts w:eastAsia="Calibri"/>
          <w:bCs/>
          <w:lang w:val="es-DO"/>
        </w:rPr>
      </w:pPr>
      <w:r w:rsidRPr="0064264A">
        <w:rPr>
          <w:rFonts w:eastAsia="Calibri"/>
          <w:b/>
          <w:bCs/>
          <w:lang w:val="es-DO"/>
        </w:rPr>
        <w:t>Gobernanza sólida</w:t>
      </w:r>
      <w:r w:rsidRPr="0064264A">
        <w:rPr>
          <w:rFonts w:eastAsia="Calibri"/>
          <w:bCs/>
          <w:lang w:val="es-DO"/>
        </w:rPr>
        <w:t>: se han establecido políticas claras y mecanismos de control que aseguran la trazabilidad y transparencia en cada proceso.</w:t>
      </w:r>
    </w:p>
    <w:p w14:paraId="0E65E4D6" w14:textId="77777777" w:rsidR="00D9267D" w:rsidRPr="0064264A" w:rsidRDefault="00D9267D" w:rsidP="00A40AE3">
      <w:pPr>
        <w:numPr>
          <w:ilvl w:val="0"/>
          <w:numId w:val="38"/>
        </w:numPr>
        <w:spacing w:line="360" w:lineRule="auto"/>
        <w:jc w:val="both"/>
        <w:rPr>
          <w:rFonts w:eastAsia="Calibri"/>
          <w:bCs/>
          <w:lang w:val="es-DO"/>
        </w:rPr>
      </w:pPr>
      <w:r w:rsidRPr="0064264A">
        <w:rPr>
          <w:rFonts w:eastAsia="Calibri"/>
          <w:b/>
          <w:bCs/>
          <w:lang w:val="es-DO"/>
        </w:rPr>
        <w:t>Automatización inteligente</w:t>
      </w:r>
      <w:r w:rsidRPr="0064264A">
        <w:rPr>
          <w:rFonts w:eastAsia="Calibri"/>
          <w:bCs/>
          <w:lang w:val="es-DO"/>
        </w:rPr>
        <w:t>: la incorporación de herramientas tecnológicas ha permitido optimizar tiempos, reducir errores y elevar la calidad del servicio.</w:t>
      </w:r>
    </w:p>
    <w:p w14:paraId="7608A4C1" w14:textId="77777777" w:rsidR="00D9267D" w:rsidRPr="0064264A" w:rsidRDefault="00D9267D" w:rsidP="00A40AE3">
      <w:pPr>
        <w:numPr>
          <w:ilvl w:val="0"/>
          <w:numId w:val="38"/>
        </w:numPr>
        <w:spacing w:line="360" w:lineRule="auto"/>
        <w:jc w:val="both"/>
        <w:rPr>
          <w:rFonts w:eastAsia="Calibri"/>
          <w:bCs/>
          <w:lang w:val="es-DO"/>
        </w:rPr>
      </w:pPr>
      <w:r w:rsidRPr="0064264A">
        <w:rPr>
          <w:rFonts w:eastAsia="Calibri"/>
          <w:b/>
          <w:bCs/>
          <w:lang w:val="es-DO"/>
        </w:rPr>
        <w:t>Resiliencia operativa</w:t>
      </w:r>
      <w:r w:rsidRPr="0064264A">
        <w:rPr>
          <w:rFonts w:eastAsia="Calibri"/>
          <w:bCs/>
          <w:lang w:val="es-DO"/>
        </w:rPr>
        <w:t>: la Subdirección ha demostrado capacidad de adaptación frente a cambios regulatorios y tecnológicos, manteniendo la continuidad y confiabilidad de sus operaciones.</w:t>
      </w:r>
    </w:p>
    <w:p w14:paraId="44A57719" w14:textId="77777777" w:rsidR="00D9267D" w:rsidRPr="0064264A" w:rsidRDefault="00D9267D" w:rsidP="00A40AE3">
      <w:pPr>
        <w:numPr>
          <w:ilvl w:val="0"/>
          <w:numId w:val="38"/>
        </w:numPr>
        <w:spacing w:line="360" w:lineRule="auto"/>
        <w:jc w:val="both"/>
        <w:rPr>
          <w:rFonts w:eastAsia="Calibri"/>
          <w:bCs/>
          <w:lang w:val="es-DO"/>
        </w:rPr>
      </w:pPr>
      <w:r w:rsidRPr="0064264A">
        <w:rPr>
          <w:rFonts w:eastAsia="Calibri"/>
          <w:b/>
          <w:bCs/>
          <w:lang w:val="es-DO"/>
        </w:rPr>
        <w:t>Orientación al usuario</w:t>
      </w:r>
      <w:r w:rsidRPr="0064264A">
        <w:rPr>
          <w:rFonts w:eastAsia="Calibri"/>
          <w:bCs/>
          <w:lang w:val="es-DO"/>
        </w:rPr>
        <w:t>: se ha mejorado la experiencia de quienes interactúan con los sistemas de identidad y acceso, garantizando procesos ágiles y seguros.</w:t>
      </w:r>
    </w:p>
    <w:p w14:paraId="1AD6E502" w14:textId="102B89D8" w:rsidR="00D9267D" w:rsidRPr="0064264A" w:rsidRDefault="00D9267D" w:rsidP="00D9267D">
      <w:pPr>
        <w:spacing w:line="360" w:lineRule="auto"/>
        <w:jc w:val="both"/>
        <w:rPr>
          <w:rFonts w:eastAsia="Calibri"/>
          <w:bCs/>
          <w:lang w:val="es-DO"/>
        </w:rPr>
      </w:pPr>
      <w:r w:rsidRPr="0064264A">
        <w:rPr>
          <w:rFonts w:eastAsia="Calibri"/>
          <w:bCs/>
          <w:lang w:val="es-DO"/>
        </w:rPr>
        <w:t>Más allá de los resultados inmediatos, este cierre de año proyecta una visión clara hacia el futuro: consolidar a la Subdirección como referente en la gestión</w:t>
      </w:r>
      <w:r w:rsidR="003A5879" w:rsidRPr="0064264A">
        <w:rPr>
          <w:rFonts w:eastAsia="Calibri"/>
          <w:bCs/>
          <w:lang w:val="es-DO"/>
        </w:rPr>
        <w:t xml:space="preserve"> </w:t>
      </w:r>
      <w:r w:rsidRPr="0064264A">
        <w:rPr>
          <w:rFonts w:eastAsia="Calibri"/>
          <w:bCs/>
          <w:lang w:val="es-DO"/>
        </w:rPr>
        <w:t xml:space="preserve">de identidad digital, anticipando riesgos, innovando en </w:t>
      </w:r>
      <w:r w:rsidRPr="0064264A">
        <w:rPr>
          <w:rFonts w:eastAsia="Calibri"/>
          <w:bCs/>
          <w:lang w:val="es-DO"/>
        </w:rPr>
        <w:lastRenderedPageBreak/>
        <w:t>soluciones y contribuyendo al fortalecimiento de la seguridad institucional.</w:t>
      </w:r>
    </w:p>
    <w:p w14:paraId="411C38EC" w14:textId="77777777" w:rsidR="00D9267D" w:rsidRPr="0064264A" w:rsidRDefault="00D9267D" w:rsidP="00D9267D">
      <w:pPr>
        <w:spacing w:line="360" w:lineRule="auto"/>
        <w:jc w:val="both"/>
        <w:rPr>
          <w:rFonts w:eastAsia="Calibri"/>
          <w:bCs/>
          <w:lang w:val="es-DO"/>
        </w:rPr>
      </w:pPr>
      <w:r w:rsidRPr="0064264A">
        <w:rPr>
          <w:rFonts w:eastAsia="Calibri"/>
          <w:bCs/>
          <w:lang w:val="es-DO"/>
        </w:rPr>
        <w:t>En definitiva, 2025 marca un punto de inflexión: la Subdirección no solo ha alcanzado madurez en sus procesos, sino que ha sentado las bases para un crecimiento sostenible, resiliente y alineado con las mejores prácticas internacionales.</w:t>
      </w:r>
    </w:p>
    <w:p w14:paraId="72C07C3D" w14:textId="77777777" w:rsidR="00D9267D" w:rsidRPr="0064264A" w:rsidRDefault="00D9267D" w:rsidP="00D9267D">
      <w:pPr>
        <w:spacing w:line="360" w:lineRule="auto"/>
        <w:jc w:val="both"/>
        <w:rPr>
          <w:rFonts w:eastAsia="Calibri"/>
          <w:bCs/>
          <w:lang w:val="es-DO"/>
        </w:rPr>
      </w:pPr>
      <w:r w:rsidRPr="0064264A">
        <w:rPr>
          <w:rFonts w:eastAsia="Calibri"/>
          <w:b/>
          <w:bCs/>
          <w:lang w:val="es-DO"/>
        </w:rPr>
        <w:t>Gestión de monitoreo de ciberseguridad (SOC)</w:t>
      </w:r>
    </w:p>
    <w:p w14:paraId="5D6B2D70"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Durante el 2025, el departamento continuó su enfoque en fortalecer las capacidades de respuesta a incidentes de ciberseguridad. Para este período, la atención fue puesta en la estandarización de las actividades desarrolladas por el equipo de monitoreo. </w:t>
      </w:r>
    </w:p>
    <w:p w14:paraId="73BB167F" w14:textId="77777777" w:rsidR="00D9267D" w:rsidRPr="0064264A" w:rsidRDefault="00D9267D" w:rsidP="00D9267D">
      <w:pPr>
        <w:spacing w:line="360" w:lineRule="auto"/>
        <w:jc w:val="both"/>
        <w:rPr>
          <w:rFonts w:eastAsia="Calibri"/>
          <w:bCs/>
          <w:lang w:val="es-DO"/>
        </w:rPr>
      </w:pPr>
      <w:r w:rsidRPr="0064264A">
        <w:rPr>
          <w:rFonts w:eastAsia="Calibri"/>
          <w:bCs/>
          <w:lang w:val="es-DO"/>
        </w:rPr>
        <w:t>Las siguientes fueron las principales iniciativas desarrolladas por dicho equipo:</w:t>
      </w:r>
    </w:p>
    <w:p w14:paraId="6B5B0D28"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Ejercicio de Respuesta a Incidente:</w:t>
      </w:r>
    </w:p>
    <w:p w14:paraId="1F149DA9" w14:textId="77777777" w:rsidR="00D9267D" w:rsidRPr="0064264A" w:rsidRDefault="00D9267D" w:rsidP="00D9267D">
      <w:pPr>
        <w:spacing w:line="360" w:lineRule="auto"/>
        <w:jc w:val="both"/>
        <w:rPr>
          <w:rFonts w:eastAsia="Calibri"/>
          <w:lang w:val="es-DO"/>
        </w:rPr>
      </w:pPr>
      <w:r w:rsidRPr="0064264A">
        <w:rPr>
          <w:rFonts w:eastAsia="Calibri"/>
          <w:lang w:val="es-DO"/>
        </w:rPr>
        <w:t>Talleres al personal técnico para alinear la coordinación ante incidentes reales, simulación de un evento crítico y la presentación de un informe con las recomendaciones y planes de acción.</w:t>
      </w:r>
    </w:p>
    <w:p w14:paraId="74F1260C" w14:textId="77777777" w:rsidR="00D9267D" w:rsidRPr="0064264A" w:rsidRDefault="00D9267D" w:rsidP="00D9267D">
      <w:pPr>
        <w:spacing w:line="360" w:lineRule="auto"/>
        <w:jc w:val="both"/>
        <w:rPr>
          <w:rFonts w:eastAsia="Calibri"/>
          <w:lang w:val="es-DO"/>
        </w:rPr>
      </w:pPr>
      <w:r w:rsidRPr="0064264A">
        <w:rPr>
          <w:rFonts w:eastAsia="Calibri"/>
          <w:b/>
          <w:bCs/>
          <w:lang w:val="es-DO"/>
        </w:rPr>
        <w:t>Estandarización de Procesos</w:t>
      </w:r>
      <w:r w:rsidRPr="0064264A">
        <w:rPr>
          <w:rFonts w:eastAsia="Calibri"/>
          <w:lang w:val="es-DO"/>
        </w:rPr>
        <w:t>:</w:t>
      </w:r>
    </w:p>
    <w:p w14:paraId="7C587442" w14:textId="6B332429" w:rsidR="00A448C8" w:rsidRPr="0064264A" w:rsidRDefault="00D9267D" w:rsidP="00D9267D">
      <w:pPr>
        <w:spacing w:line="360" w:lineRule="auto"/>
        <w:jc w:val="both"/>
        <w:rPr>
          <w:rFonts w:eastAsia="Calibri"/>
          <w:lang w:val="es-DO"/>
        </w:rPr>
      </w:pPr>
      <w:r w:rsidRPr="0064264A">
        <w:rPr>
          <w:rFonts w:eastAsia="Calibri"/>
          <w:lang w:val="es-DO"/>
        </w:rPr>
        <w:t>Mejora en la definición y documentación de los procesos de Gestión de casos de Ciberseguridad y de Creación de Casos y Documentos de Conocimientos.</w:t>
      </w:r>
    </w:p>
    <w:p w14:paraId="4C583EB7" w14:textId="29B41363" w:rsidR="00D9267D" w:rsidRPr="0064264A" w:rsidRDefault="00D9267D" w:rsidP="00D9267D">
      <w:pPr>
        <w:spacing w:line="360" w:lineRule="auto"/>
        <w:jc w:val="both"/>
        <w:rPr>
          <w:rFonts w:eastAsia="Calibri"/>
          <w:b/>
          <w:bCs/>
          <w:lang w:val="es-DO"/>
        </w:rPr>
      </w:pPr>
      <w:r w:rsidRPr="0064264A">
        <w:rPr>
          <w:rFonts w:eastAsia="Calibri"/>
          <w:b/>
          <w:bCs/>
          <w:lang w:val="es-DO"/>
        </w:rPr>
        <w:t>Optimización Gestión de Eventos:</w:t>
      </w:r>
    </w:p>
    <w:p w14:paraId="3963E856" w14:textId="0118A665" w:rsidR="003A5879" w:rsidRPr="0064264A" w:rsidRDefault="00D9267D" w:rsidP="00D9267D">
      <w:pPr>
        <w:spacing w:line="360" w:lineRule="auto"/>
        <w:jc w:val="both"/>
        <w:rPr>
          <w:rFonts w:eastAsia="Calibri"/>
          <w:lang w:val="es-DO"/>
        </w:rPr>
      </w:pPr>
      <w:r w:rsidRPr="0064264A">
        <w:rPr>
          <w:rFonts w:eastAsia="Calibri"/>
          <w:lang w:val="es-DO"/>
        </w:rPr>
        <w:t>Afinación, depuración y fortalecimiento en el proceso de atención a las alertas de ciberseguridad con enfoque en los sistemas críticos de la institución.</w:t>
      </w:r>
    </w:p>
    <w:p w14:paraId="1118E797" w14:textId="77777777" w:rsidR="00580C8E" w:rsidRPr="0064264A" w:rsidRDefault="00580C8E" w:rsidP="00D9267D">
      <w:pPr>
        <w:spacing w:line="360" w:lineRule="auto"/>
        <w:jc w:val="both"/>
        <w:rPr>
          <w:rFonts w:eastAsia="Calibri"/>
          <w:lang w:val="es-DO"/>
        </w:rPr>
      </w:pPr>
    </w:p>
    <w:p w14:paraId="4D97672A"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lastRenderedPageBreak/>
        <w:t>Gestión de las operaciones de ciberseguridad</w:t>
      </w:r>
    </w:p>
    <w:p w14:paraId="445DA17B"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A inicios del 2025, la Subdirección de Gestión de Seguridad de Infraestructuras y Continuidad de TI se planteó la meta de elevar los niveles de madurez de sus procesos y, para ello, aunó esfuerzos en el levantamiento y documentación de los insumos necesarios para alcanzar una mayor visibilidad de los riesgos de la institución, a la vez que se trabajó la base normativa que regirá los procesos relacionados. </w:t>
      </w:r>
    </w:p>
    <w:p w14:paraId="5708C2C0"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Superficie de Ataque Digital:</w:t>
      </w:r>
    </w:p>
    <w:p w14:paraId="06241C24" w14:textId="77777777" w:rsidR="00D9267D" w:rsidRPr="0064264A" w:rsidRDefault="00D9267D" w:rsidP="00D9267D">
      <w:pPr>
        <w:spacing w:line="360" w:lineRule="auto"/>
        <w:jc w:val="both"/>
        <w:rPr>
          <w:rFonts w:eastAsia="Calibri"/>
          <w:lang w:val="es-DO"/>
        </w:rPr>
      </w:pPr>
      <w:r w:rsidRPr="0064264A">
        <w:rPr>
          <w:rFonts w:eastAsia="Calibri"/>
          <w:lang w:val="es-DO"/>
        </w:rPr>
        <w:t>Ampliación de la visibilidad mediante la Identificación y documentación de los elementos del perímetro de la infraestructura tecnológica del BCRD.</w:t>
      </w:r>
    </w:p>
    <w:p w14:paraId="32584322"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Documentación de Procesos:</w:t>
      </w:r>
    </w:p>
    <w:p w14:paraId="1036B1C5" w14:textId="48D4F772" w:rsidR="00667F26" w:rsidRPr="0064264A" w:rsidRDefault="00D9267D" w:rsidP="00D9267D">
      <w:pPr>
        <w:spacing w:line="360" w:lineRule="auto"/>
        <w:jc w:val="both"/>
        <w:rPr>
          <w:rFonts w:eastAsia="Calibri"/>
          <w:lang w:val="es-DO"/>
        </w:rPr>
      </w:pPr>
      <w:r w:rsidRPr="0064264A">
        <w:rPr>
          <w:rFonts w:eastAsia="Calibri"/>
          <w:lang w:val="es-DO"/>
        </w:rPr>
        <w:t>Elaboración de propuestas para dos documentos esenciales para el departamento: Normativas de Operaciones de Ciberseguridad y Normativa de Arquitectura de Ciberseguridad, las cuales establecen los lineamientos, roles y responsabilidades de los entes involucrados en ambas gestiones.</w:t>
      </w:r>
    </w:p>
    <w:p w14:paraId="44775A72"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Sistema de gestión de seguridad de la información (SGSI)</w:t>
      </w:r>
    </w:p>
    <w:p w14:paraId="68CF2C5B" w14:textId="1D4E8C90" w:rsidR="00D9267D" w:rsidRPr="0064264A" w:rsidRDefault="00D9267D" w:rsidP="00D9267D">
      <w:pPr>
        <w:spacing w:line="360" w:lineRule="auto"/>
        <w:jc w:val="both"/>
        <w:rPr>
          <w:rFonts w:eastAsia="Calibri"/>
          <w:lang w:val="es-DO"/>
        </w:rPr>
      </w:pPr>
      <w:r w:rsidRPr="0064264A">
        <w:rPr>
          <w:rFonts w:eastAsia="Calibri"/>
          <w:lang w:val="es-DO"/>
        </w:rPr>
        <w:t>Durante el año 2025, fueron coordinadas y ejecutadas las actividades clave que permitieron mantener la certificación internacional bajo la norma ISO 27001:2022 para los procesos de Certificados de Inversión y de Administración del Sistema de Liquidación Bruta en Tiempo Real (LBTR).</w:t>
      </w:r>
    </w:p>
    <w:p w14:paraId="6EE59106"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Adicionalmente, fue ejecutado el Programa Concienciación en Seguridad Cibernética y de la información aprobado, diseñado para ofrecer una cobertura 360° de todo el personal del Banco, </w:t>
      </w:r>
      <w:r w:rsidRPr="0064264A">
        <w:rPr>
          <w:rFonts w:eastAsia="Calibri"/>
          <w:lang w:val="es-DO"/>
        </w:rPr>
        <w:lastRenderedPageBreak/>
        <w:t xml:space="preserve">promoviendo una cultura de ciberseguridad y protección de los activos de información mediante la transmisión efectiva de contenidos clave, a través de diversas actividades y la herramienta de concienciación, la cual fue robustecida para aumentar su efectividad en conjunto con dicho programa. </w:t>
      </w:r>
    </w:p>
    <w:p w14:paraId="77F97795"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En ese sentido, enunciamos a continuación las actividades formativas correspondientes al año 2025 que han apoyado esta iniciativa: </w:t>
      </w:r>
    </w:p>
    <w:p w14:paraId="386D7841" w14:textId="77777777" w:rsidR="00D9267D" w:rsidRPr="0064264A" w:rsidRDefault="00D9267D" w:rsidP="00A40AE3">
      <w:pPr>
        <w:numPr>
          <w:ilvl w:val="0"/>
          <w:numId w:val="19"/>
        </w:numPr>
        <w:spacing w:line="360" w:lineRule="auto"/>
        <w:jc w:val="both"/>
        <w:rPr>
          <w:rFonts w:eastAsia="Calibri"/>
          <w:b/>
          <w:lang w:val="es-DO"/>
        </w:rPr>
      </w:pPr>
      <w:r w:rsidRPr="0064264A">
        <w:rPr>
          <w:rFonts w:eastAsia="Calibri"/>
          <w:b/>
          <w:lang w:val="es-DO"/>
        </w:rPr>
        <w:t>Charlas, cursos y talleres:</w:t>
      </w:r>
    </w:p>
    <w:p w14:paraId="5AAB2975" w14:textId="77777777" w:rsidR="00D9267D" w:rsidRPr="0064264A" w:rsidRDefault="00D9267D" w:rsidP="00A40AE3">
      <w:pPr>
        <w:numPr>
          <w:ilvl w:val="1"/>
          <w:numId w:val="19"/>
        </w:numPr>
        <w:spacing w:line="360" w:lineRule="auto"/>
        <w:jc w:val="both"/>
        <w:rPr>
          <w:rFonts w:eastAsia="Calibri"/>
          <w:lang w:val="es-DO"/>
        </w:rPr>
      </w:pPr>
      <w:r w:rsidRPr="0064264A">
        <w:rPr>
          <w:rFonts w:eastAsia="Calibri"/>
          <w:lang w:val="es-DO"/>
        </w:rPr>
        <w:t>Inducción sobre ciberseguridad, dirigido al personal de nuevo ingreso.</w:t>
      </w:r>
    </w:p>
    <w:p w14:paraId="73625128" w14:textId="77777777" w:rsidR="00D9267D" w:rsidRPr="0064264A" w:rsidRDefault="00D9267D" w:rsidP="00A40AE3">
      <w:pPr>
        <w:numPr>
          <w:ilvl w:val="1"/>
          <w:numId w:val="19"/>
        </w:numPr>
        <w:spacing w:line="360" w:lineRule="auto"/>
        <w:jc w:val="both"/>
        <w:rPr>
          <w:rFonts w:eastAsia="Calibri"/>
          <w:lang w:val="es-DO"/>
        </w:rPr>
      </w:pPr>
      <w:proofErr w:type="spellStart"/>
      <w:r w:rsidRPr="0064264A">
        <w:rPr>
          <w:rFonts w:eastAsia="Calibri"/>
          <w:lang w:val="es-DO"/>
        </w:rPr>
        <w:t>Bootcamps</w:t>
      </w:r>
      <w:proofErr w:type="spellEnd"/>
      <w:r w:rsidRPr="0064264A">
        <w:rPr>
          <w:rFonts w:eastAsia="Calibri"/>
          <w:lang w:val="es-DO"/>
        </w:rPr>
        <w:t xml:space="preserve"> de Ciberseguridad.</w:t>
      </w:r>
    </w:p>
    <w:p w14:paraId="1DD05BB4" w14:textId="77777777" w:rsidR="00D9267D" w:rsidRPr="0064264A" w:rsidRDefault="00D9267D" w:rsidP="00A40AE3">
      <w:pPr>
        <w:numPr>
          <w:ilvl w:val="1"/>
          <w:numId w:val="19"/>
        </w:numPr>
        <w:spacing w:line="360" w:lineRule="auto"/>
        <w:jc w:val="both"/>
        <w:rPr>
          <w:rFonts w:eastAsia="Calibri"/>
          <w:lang w:val="es-DO"/>
        </w:rPr>
      </w:pPr>
      <w:proofErr w:type="spellStart"/>
      <w:r w:rsidRPr="0064264A">
        <w:rPr>
          <w:rFonts w:eastAsia="Calibri"/>
          <w:lang w:val="es-DO"/>
        </w:rPr>
        <w:t>CyberTech</w:t>
      </w:r>
      <w:proofErr w:type="spellEnd"/>
      <w:r w:rsidRPr="0064264A">
        <w:rPr>
          <w:rFonts w:eastAsia="Calibri"/>
          <w:lang w:val="es-DO"/>
        </w:rPr>
        <w:t xml:space="preserve"> Summit para funcionarios del BCRD.</w:t>
      </w:r>
    </w:p>
    <w:p w14:paraId="5D5AB8B8" w14:textId="77777777" w:rsidR="00D9267D" w:rsidRPr="0064264A" w:rsidRDefault="00D9267D" w:rsidP="00A40AE3">
      <w:pPr>
        <w:numPr>
          <w:ilvl w:val="1"/>
          <w:numId w:val="19"/>
        </w:numPr>
        <w:spacing w:line="360" w:lineRule="auto"/>
        <w:jc w:val="both"/>
        <w:rPr>
          <w:rFonts w:eastAsia="Calibri"/>
          <w:lang w:val="es-DO"/>
        </w:rPr>
      </w:pPr>
      <w:r w:rsidRPr="0064264A">
        <w:rPr>
          <w:rFonts w:eastAsia="Calibri"/>
          <w:lang w:val="es-DO"/>
        </w:rPr>
        <w:t>Taller “Tren de la Ciberseguridad”, dirigido a hijos de empleados activos en el marco del campamento de verano.</w:t>
      </w:r>
    </w:p>
    <w:p w14:paraId="7C6D4AC0" w14:textId="77777777" w:rsidR="00D9267D" w:rsidRPr="0064264A" w:rsidRDefault="00D9267D" w:rsidP="00A40AE3">
      <w:pPr>
        <w:numPr>
          <w:ilvl w:val="1"/>
          <w:numId w:val="19"/>
        </w:numPr>
        <w:spacing w:line="360" w:lineRule="auto"/>
        <w:jc w:val="both"/>
        <w:rPr>
          <w:rFonts w:eastAsia="Calibri"/>
          <w:lang w:val="es-DO"/>
        </w:rPr>
      </w:pPr>
      <w:r w:rsidRPr="0064264A">
        <w:rPr>
          <w:rFonts w:eastAsia="Calibri"/>
          <w:lang w:val="es-DO"/>
        </w:rPr>
        <w:t>Charla “Control Parental”, dirigido a los padres y madres colaboradores del Banco.</w:t>
      </w:r>
    </w:p>
    <w:p w14:paraId="07D994C6" w14:textId="77777777" w:rsidR="00D9267D" w:rsidRPr="0064264A" w:rsidRDefault="00D9267D" w:rsidP="00A40AE3">
      <w:pPr>
        <w:numPr>
          <w:ilvl w:val="0"/>
          <w:numId w:val="19"/>
        </w:numPr>
        <w:spacing w:line="360" w:lineRule="auto"/>
        <w:jc w:val="both"/>
        <w:rPr>
          <w:rFonts w:eastAsia="Calibri"/>
          <w:b/>
          <w:lang w:val="es-DO"/>
        </w:rPr>
      </w:pPr>
      <w:r w:rsidRPr="0064264A">
        <w:rPr>
          <w:rFonts w:eastAsia="Calibri"/>
          <w:b/>
          <w:lang w:val="es-DO"/>
        </w:rPr>
        <w:t xml:space="preserve">Campañas de concienciación: </w:t>
      </w:r>
    </w:p>
    <w:p w14:paraId="412D2E7F" w14:textId="77777777" w:rsidR="00D9267D" w:rsidRPr="0064264A" w:rsidRDefault="00D9267D" w:rsidP="00A40AE3">
      <w:pPr>
        <w:numPr>
          <w:ilvl w:val="1"/>
          <w:numId w:val="19"/>
        </w:numPr>
        <w:spacing w:line="360" w:lineRule="auto"/>
        <w:jc w:val="both"/>
        <w:rPr>
          <w:rFonts w:eastAsia="Calibri"/>
          <w:lang w:val="es-DO"/>
        </w:rPr>
      </w:pPr>
      <w:r w:rsidRPr="0064264A">
        <w:rPr>
          <w:rFonts w:eastAsia="Calibri"/>
          <w:lang w:val="es-DO"/>
        </w:rPr>
        <w:t>Módulos de entrenamiento (Cápsulas), mediante la herramienta tecnológica de concienciación.</w:t>
      </w:r>
    </w:p>
    <w:p w14:paraId="7D5D8B4F" w14:textId="77777777" w:rsidR="00D9267D" w:rsidRPr="0064264A" w:rsidRDefault="00D9267D" w:rsidP="00A40AE3">
      <w:pPr>
        <w:numPr>
          <w:ilvl w:val="1"/>
          <w:numId w:val="19"/>
        </w:numPr>
        <w:spacing w:line="360" w:lineRule="auto"/>
        <w:jc w:val="both"/>
        <w:rPr>
          <w:rFonts w:eastAsia="Calibri"/>
          <w:lang w:val="es-DO"/>
        </w:rPr>
      </w:pPr>
      <w:r w:rsidRPr="0064264A">
        <w:rPr>
          <w:rFonts w:eastAsia="Calibri"/>
          <w:lang w:val="es-DO"/>
        </w:rPr>
        <w:t>Simulaciones de correos maliciosos (Phishing).</w:t>
      </w:r>
    </w:p>
    <w:p w14:paraId="08B6595A" w14:textId="77777777" w:rsidR="00D9267D" w:rsidRPr="0064264A" w:rsidRDefault="00D9267D" w:rsidP="00A40AE3">
      <w:pPr>
        <w:numPr>
          <w:ilvl w:val="1"/>
          <w:numId w:val="19"/>
        </w:numPr>
        <w:spacing w:line="360" w:lineRule="auto"/>
        <w:jc w:val="both"/>
        <w:rPr>
          <w:rFonts w:eastAsia="Calibri"/>
          <w:lang w:val="es-DO"/>
        </w:rPr>
      </w:pPr>
      <w:r w:rsidRPr="0064264A">
        <w:rPr>
          <w:rFonts w:eastAsia="Calibri"/>
          <w:lang w:val="es-DO"/>
        </w:rPr>
        <w:t xml:space="preserve">Visitas departamentales para fomentar la </w:t>
      </w:r>
      <w:proofErr w:type="spellStart"/>
      <w:r w:rsidRPr="0064264A">
        <w:rPr>
          <w:rFonts w:eastAsia="Calibri"/>
          <w:lang w:val="es-DO"/>
        </w:rPr>
        <w:t>ciberhigiene</w:t>
      </w:r>
      <w:proofErr w:type="spellEnd"/>
      <w:r w:rsidRPr="0064264A">
        <w:rPr>
          <w:rFonts w:eastAsia="Calibri"/>
          <w:lang w:val="es-DO"/>
        </w:rPr>
        <w:t xml:space="preserve"> y el escritorio limpio.</w:t>
      </w:r>
    </w:p>
    <w:p w14:paraId="568E8AB7" w14:textId="77777777" w:rsidR="00D9267D" w:rsidRPr="0064264A" w:rsidRDefault="00D9267D" w:rsidP="00A40AE3">
      <w:pPr>
        <w:numPr>
          <w:ilvl w:val="1"/>
          <w:numId w:val="19"/>
        </w:numPr>
        <w:spacing w:line="360" w:lineRule="auto"/>
        <w:jc w:val="both"/>
        <w:rPr>
          <w:rFonts w:eastAsia="Calibri"/>
          <w:lang w:val="es-DO"/>
        </w:rPr>
      </w:pPr>
      <w:r w:rsidRPr="0064264A">
        <w:rPr>
          <w:rFonts w:eastAsia="Calibri"/>
          <w:lang w:val="es-DO"/>
        </w:rPr>
        <w:t>Contenidos de concienciación estratégicos para las altas autoridades del Banco.</w:t>
      </w:r>
    </w:p>
    <w:p w14:paraId="356C7116" w14:textId="77777777" w:rsidR="00D9267D" w:rsidRPr="0064264A" w:rsidRDefault="00D9267D" w:rsidP="00A40AE3">
      <w:pPr>
        <w:numPr>
          <w:ilvl w:val="1"/>
          <w:numId w:val="19"/>
        </w:numPr>
        <w:spacing w:line="360" w:lineRule="auto"/>
        <w:jc w:val="both"/>
        <w:rPr>
          <w:rFonts w:eastAsia="Calibri"/>
          <w:lang w:val="es-DO"/>
        </w:rPr>
      </w:pPr>
      <w:r w:rsidRPr="0064264A">
        <w:rPr>
          <w:rFonts w:eastAsia="Calibri"/>
          <w:lang w:val="es-DO"/>
        </w:rPr>
        <w:lastRenderedPageBreak/>
        <w:t xml:space="preserve">Emisiones de alertas y boletines sobre suplantación de identidad, compras seguras y </w:t>
      </w:r>
      <w:proofErr w:type="spellStart"/>
      <w:r w:rsidRPr="0064264A">
        <w:rPr>
          <w:rFonts w:eastAsia="Calibri"/>
          <w:lang w:val="es-DO"/>
        </w:rPr>
        <w:t>Smishing</w:t>
      </w:r>
      <w:proofErr w:type="spellEnd"/>
      <w:r w:rsidRPr="0064264A">
        <w:rPr>
          <w:rFonts w:eastAsia="Calibri"/>
          <w:lang w:val="es-DO"/>
        </w:rPr>
        <w:t>.</w:t>
      </w:r>
    </w:p>
    <w:p w14:paraId="1C3B3455" w14:textId="77777777" w:rsidR="00D9267D" w:rsidRPr="0064264A" w:rsidRDefault="00D9267D" w:rsidP="00A40AE3">
      <w:pPr>
        <w:numPr>
          <w:ilvl w:val="0"/>
          <w:numId w:val="19"/>
        </w:numPr>
        <w:spacing w:line="360" w:lineRule="auto"/>
        <w:jc w:val="both"/>
        <w:rPr>
          <w:rFonts w:eastAsia="Calibri"/>
          <w:b/>
          <w:lang w:val="es-DO"/>
        </w:rPr>
      </w:pPr>
      <w:r w:rsidRPr="0064264A">
        <w:rPr>
          <w:rFonts w:eastAsia="Calibri"/>
          <w:b/>
          <w:lang w:val="es-DO"/>
        </w:rPr>
        <w:t>Eventos y colaboraciones:</w:t>
      </w:r>
    </w:p>
    <w:p w14:paraId="26536477" w14:textId="77777777" w:rsidR="00D9267D" w:rsidRPr="0064264A" w:rsidRDefault="00D9267D" w:rsidP="00A40AE3">
      <w:pPr>
        <w:numPr>
          <w:ilvl w:val="1"/>
          <w:numId w:val="19"/>
        </w:numPr>
        <w:spacing w:line="360" w:lineRule="auto"/>
        <w:jc w:val="both"/>
        <w:rPr>
          <w:rFonts w:eastAsia="Calibri"/>
          <w:lang w:val="es-DO"/>
        </w:rPr>
      </w:pPr>
      <w:r w:rsidRPr="0064264A">
        <w:rPr>
          <w:rFonts w:eastAsia="Calibri"/>
          <w:lang w:val="es-DO"/>
        </w:rPr>
        <w:t>Celebración del mes de la ciberseguridad.</w:t>
      </w:r>
    </w:p>
    <w:p w14:paraId="6841FCEC" w14:textId="77777777" w:rsidR="00D9267D" w:rsidRPr="0064264A" w:rsidRDefault="00D9267D" w:rsidP="00A40AE3">
      <w:pPr>
        <w:numPr>
          <w:ilvl w:val="1"/>
          <w:numId w:val="19"/>
        </w:numPr>
        <w:spacing w:line="360" w:lineRule="auto"/>
        <w:jc w:val="both"/>
        <w:rPr>
          <w:rFonts w:eastAsia="Calibri"/>
          <w:lang w:val="es-DO"/>
        </w:rPr>
      </w:pPr>
      <w:r w:rsidRPr="0064264A">
        <w:rPr>
          <w:rFonts w:eastAsia="Calibri"/>
          <w:lang w:val="es-DO"/>
        </w:rPr>
        <w:t>Charla “</w:t>
      </w:r>
      <w:proofErr w:type="spellStart"/>
      <w:r w:rsidRPr="0064264A">
        <w:rPr>
          <w:rFonts w:eastAsia="Calibri"/>
          <w:lang w:val="es-DO"/>
        </w:rPr>
        <w:t>Ciberhigiene</w:t>
      </w:r>
      <w:proofErr w:type="spellEnd"/>
      <w:r w:rsidRPr="0064264A">
        <w:rPr>
          <w:rFonts w:eastAsia="Calibri"/>
          <w:lang w:val="es-DO"/>
        </w:rPr>
        <w:t>”, como colaboración en la Semana Económica y Financiera, del 2025.</w:t>
      </w:r>
    </w:p>
    <w:p w14:paraId="4690E5D1" w14:textId="77777777" w:rsidR="00D9267D" w:rsidRPr="0064264A" w:rsidRDefault="00D9267D" w:rsidP="00A40AE3">
      <w:pPr>
        <w:numPr>
          <w:ilvl w:val="1"/>
          <w:numId w:val="19"/>
        </w:numPr>
        <w:spacing w:line="360" w:lineRule="auto"/>
        <w:jc w:val="both"/>
        <w:rPr>
          <w:rFonts w:eastAsia="Calibri"/>
          <w:lang w:val="es-DO"/>
        </w:rPr>
      </w:pPr>
      <w:r w:rsidRPr="0064264A">
        <w:rPr>
          <w:rFonts w:eastAsia="Calibri"/>
          <w:lang w:val="es-DO"/>
        </w:rPr>
        <w:t>Charla “Cómo protegernos y prevenir extorsiones cibernéticas”, como colaboración con el Programa de Bienestar Social de los Jubilados del BCRD.</w:t>
      </w:r>
    </w:p>
    <w:p w14:paraId="34E75BC8" w14:textId="2D259FD7" w:rsidR="00667F26" w:rsidRPr="0064264A" w:rsidRDefault="00D9267D" w:rsidP="00D9267D">
      <w:pPr>
        <w:spacing w:line="360" w:lineRule="auto"/>
        <w:jc w:val="both"/>
        <w:rPr>
          <w:rFonts w:eastAsia="Calibri"/>
          <w:lang w:val="es-DO"/>
        </w:rPr>
      </w:pPr>
      <w:r w:rsidRPr="0064264A">
        <w:rPr>
          <w:rFonts w:eastAsia="Calibri"/>
          <w:lang w:val="es-DO"/>
        </w:rPr>
        <w:t>Adicionalmente, la ejecución del programa de concienciación incluyó el tema de inteligencia artificial, incorporando la emisión de un folleto de consumo interno, como una edición especial para las Altas Autoridades del Banco, que recoge cómo la IA impulsa la eficiencia, la innovación y el liderazgo institucional, potenciando el factor humano.</w:t>
      </w:r>
    </w:p>
    <w:p w14:paraId="4341AA53" w14:textId="77777777" w:rsidR="00D9267D" w:rsidRPr="0064264A" w:rsidRDefault="00D9267D" w:rsidP="00D9267D">
      <w:pPr>
        <w:spacing w:line="360" w:lineRule="auto"/>
        <w:jc w:val="both"/>
        <w:rPr>
          <w:rFonts w:eastAsia="Calibri"/>
          <w:b/>
          <w:bCs/>
          <w:lang w:val="es-ES"/>
        </w:rPr>
      </w:pPr>
      <w:r w:rsidRPr="0064264A">
        <w:rPr>
          <w:rFonts w:eastAsia="Calibri"/>
          <w:b/>
          <w:bCs/>
          <w:lang w:val="es-ES"/>
        </w:rPr>
        <w:t>Centro de respuesta a incidentes de ciberseguridad para el sector financiero (SPRICS).</w:t>
      </w:r>
    </w:p>
    <w:p w14:paraId="49301223"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Con la finalidad de elevar el nivel de madurez de la ciber postura para hacer frente a los riesgos cibernéticos de las entidades que conforman el Sistema Financiero y de Pagos, el Centro de Respuesta a Incidentes de Seguridad Cibernética del Sector Financiero (SPRICS) realizó avances significativos en los procesos de recuperación ante desastres, certificación de organismo internacional para centros de respuesta a incidentes, expansión de las funciones de inteligencia de amenazas, y se concluyó con la programación de la segunda fase del programa de capacitación rediseñado para el 2025, con el propósito principal de elevar la madurez y resiliencia en </w:t>
      </w:r>
      <w:r w:rsidRPr="0064264A">
        <w:rPr>
          <w:rFonts w:eastAsia="Calibri"/>
          <w:lang w:val="es-DO"/>
        </w:rPr>
        <w:lastRenderedPageBreak/>
        <w:t>materia de ciberseguridad y frente a riesgos cibernéticos de las entidades de su comunidad atendida.</w:t>
      </w:r>
    </w:p>
    <w:p w14:paraId="54349657"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Entre los objetivos alcanzados y las iniciativas planteadas, se destacaron las siguientes: </w:t>
      </w:r>
    </w:p>
    <w:p w14:paraId="00786858" w14:textId="77777777" w:rsidR="00D9267D" w:rsidRPr="0064264A" w:rsidRDefault="00D9267D" w:rsidP="00A40AE3">
      <w:pPr>
        <w:numPr>
          <w:ilvl w:val="0"/>
          <w:numId w:val="39"/>
        </w:numPr>
        <w:spacing w:line="360" w:lineRule="auto"/>
        <w:jc w:val="both"/>
        <w:rPr>
          <w:rFonts w:eastAsia="Calibri"/>
          <w:lang w:val="es-DO"/>
        </w:rPr>
      </w:pPr>
      <w:r w:rsidRPr="0064264A">
        <w:rPr>
          <w:rFonts w:eastAsia="Calibri"/>
          <w:lang w:val="es-DO"/>
        </w:rPr>
        <w:t>Creación y actualización de los procesos y políticas destinadas a elevar el nivel de madurez.</w:t>
      </w:r>
    </w:p>
    <w:p w14:paraId="26479831" w14:textId="77777777" w:rsidR="00D9267D" w:rsidRPr="0064264A" w:rsidRDefault="00D9267D" w:rsidP="00A40AE3">
      <w:pPr>
        <w:numPr>
          <w:ilvl w:val="0"/>
          <w:numId w:val="39"/>
        </w:numPr>
        <w:spacing w:line="360" w:lineRule="auto"/>
        <w:jc w:val="both"/>
        <w:rPr>
          <w:rFonts w:eastAsia="Calibri"/>
          <w:lang w:val="es-DO"/>
        </w:rPr>
      </w:pPr>
      <w:r w:rsidRPr="0064264A">
        <w:rPr>
          <w:rFonts w:eastAsia="Calibri"/>
          <w:lang w:val="es-DO"/>
        </w:rPr>
        <w:t>Implementación de la segunda fase del proyecto de recuperación ante desastres del SPRICS.</w:t>
      </w:r>
    </w:p>
    <w:p w14:paraId="23A64753" w14:textId="77777777" w:rsidR="00D9267D" w:rsidRPr="0064264A" w:rsidRDefault="00D9267D" w:rsidP="00A40AE3">
      <w:pPr>
        <w:numPr>
          <w:ilvl w:val="0"/>
          <w:numId w:val="39"/>
        </w:numPr>
        <w:spacing w:line="360" w:lineRule="auto"/>
        <w:jc w:val="both"/>
        <w:rPr>
          <w:rFonts w:eastAsia="Calibri"/>
          <w:lang w:val="es-DO"/>
        </w:rPr>
      </w:pPr>
      <w:r w:rsidRPr="0064264A">
        <w:rPr>
          <w:rFonts w:eastAsia="Calibri"/>
          <w:lang w:val="es-DO"/>
        </w:rPr>
        <w:t>Conclusión satisfactoria del proceso de auditoría para la certificación del SPRICS como centro de respuesta a incidentes avalado por los organismos internacionales, como FIRST.</w:t>
      </w:r>
    </w:p>
    <w:p w14:paraId="3D0B10FC" w14:textId="77777777" w:rsidR="00D9267D" w:rsidRPr="0064264A" w:rsidRDefault="00D9267D" w:rsidP="00A40AE3">
      <w:pPr>
        <w:numPr>
          <w:ilvl w:val="0"/>
          <w:numId w:val="39"/>
        </w:numPr>
        <w:spacing w:line="360" w:lineRule="auto"/>
        <w:jc w:val="both"/>
        <w:rPr>
          <w:rFonts w:eastAsia="Calibri"/>
          <w:lang w:val="es-DO"/>
        </w:rPr>
      </w:pPr>
      <w:r w:rsidRPr="0064264A">
        <w:rPr>
          <w:rFonts w:eastAsia="Calibri"/>
          <w:lang w:val="es-DO"/>
        </w:rPr>
        <w:t>Expansión de las funciones de cacerías de amenazas y monitoreo preventivo destinadas a disminuir el tiempo de detección de amenazas que afectan al Sistema Financiero y de Pagos.</w:t>
      </w:r>
    </w:p>
    <w:p w14:paraId="6C975CDD" w14:textId="77777777" w:rsidR="00D9267D" w:rsidRPr="0064264A" w:rsidRDefault="00D9267D" w:rsidP="00A40AE3">
      <w:pPr>
        <w:numPr>
          <w:ilvl w:val="0"/>
          <w:numId w:val="39"/>
        </w:numPr>
        <w:spacing w:line="360" w:lineRule="auto"/>
        <w:jc w:val="both"/>
        <w:rPr>
          <w:rFonts w:eastAsia="Calibri"/>
          <w:lang w:val="es-DO"/>
        </w:rPr>
      </w:pPr>
      <w:r w:rsidRPr="0064264A">
        <w:rPr>
          <w:rFonts w:eastAsia="Calibri"/>
          <w:lang w:val="es-DO"/>
        </w:rPr>
        <w:t>Ejecución de la segunda parte del programa de capacitación 2025 dirigido a la comunidad atendida, con la realización de talleres, simulacros y ejercicios prácticos que permitieron a las entidades reforzar sus competencias en ciberseguridad y gestión de riesgos.</w:t>
      </w:r>
    </w:p>
    <w:p w14:paraId="05D26D32" w14:textId="77777777" w:rsidR="00D9267D" w:rsidRPr="0064264A" w:rsidRDefault="00D9267D" w:rsidP="00D9267D">
      <w:pPr>
        <w:spacing w:line="360" w:lineRule="auto"/>
        <w:jc w:val="both"/>
        <w:rPr>
          <w:rFonts w:eastAsia="Calibri"/>
          <w:lang w:val="es-DO"/>
        </w:rPr>
      </w:pPr>
      <w:r w:rsidRPr="0064264A">
        <w:rPr>
          <w:rFonts w:eastAsia="Calibri"/>
          <w:lang w:val="es-DO"/>
        </w:rPr>
        <w:t>En ese mismo sentido, el sector ha recibido la asistencia en la respuesta y contención de los casos de incidentes cibernéticos que tuvieron lugar durante el transcurso del presente año 2025.</w:t>
      </w:r>
    </w:p>
    <w:p w14:paraId="74B3C1A5" w14:textId="7F637444" w:rsidR="00D9267D" w:rsidRPr="0064264A" w:rsidRDefault="00D9267D" w:rsidP="00D9267D">
      <w:pPr>
        <w:spacing w:line="360" w:lineRule="auto"/>
        <w:jc w:val="both"/>
        <w:rPr>
          <w:rFonts w:eastAsia="Calibri"/>
          <w:lang w:val="es-DO"/>
        </w:rPr>
      </w:pPr>
      <w:r w:rsidRPr="0064264A">
        <w:rPr>
          <w:rFonts w:eastAsia="Calibri"/>
          <w:lang w:val="es-DO"/>
        </w:rPr>
        <w:t>El SPRICS, durante el año 2025 al corte del 30 de</w:t>
      </w:r>
      <w:r w:rsidR="00D07CD9" w:rsidRPr="0064264A">
        <w:rPr>
          <w:rFonts w:eastAsia="Calibri"/>
          <w:lang w:val="es-DO"/>
        </w:rPr>
        <w:t xml:space="preserve"> diciembre</w:t>
      </w:r>
      <w:r w:rsidRPr="0064264A">
        <w:rPr>
          <w:rFonts w:eastAsia="Calibri"/>
          <w:lang w:val="es-DO"/>
        </w:rPr>
        <w:t xml:space="preserve">, recibió un total de trescientos sesenta y cinco mil ochocientos setenta y siete (365,877) eventos de ciberseguridad de parte de las entidades participantes del Sistema Financiero y de Pagos, generando un total de </w:t>
      </w:r>
      <w:r w:rsidRPr="0064264A">
        <w:rPr>
          <w:rFonts w:eastAsia="Calibri"/>
          <w:lang w:val="es-DO"/>
        </w:rPr>
        <w:lastRenderedPageBreak/>
        <w:t xml:space="preserve">ochocientas cuarenta (840) alertas.  El equipo de respuesta a incidentes clasificó un total de noventa y cinco (95) como incidentes de ciberseguridad, de los cuales 93 son del tipo seguridad de datos, 2 de fraude y 2 casos de </w:t>
      </w:r>
      <w:proofErr w:type="spellStart"/>
      <w:r w:rsidRPr="0064264A">
        <w:rPr>
          <w:rFonts w:eastAsia="Calibri"/>
          <w:lang w:val="es-DO"/>
        </w:rPr>
        <w:t>ransomware</w:t>
      </w:r>
      <w:proofErr w:type="spellEnd"/>
      <w:r w:rsidRPr="0064264A">
        <w:rPr>
          <w:rFonts w:eastAsia="Calibri"/>
          <w:lang w:val="es-DO"/>
        </w:rPr>
        <w:t>.</w:t>
      </w:r>
    </w:p>
    <w:p w14:paraId="7841116E" w14:textId="23E38430" w:rsidR="003A5879" w:rsidRPr="0064264A" w:rsidRDefault="00D9267D" w:rsidP="00D9267D">
      <w:pPr>
        <w:spacing w:line="360" w:lineRule="auto"/>
        <w:jc w:val="both"/>
        <w:rPr>
          <w:rFonts w:eastAsia="Calibri"/>
          <w:lang w:val="es-DO"/>
        </w:rPr>
      </w:pPr>
      <w:r w:rsidRPr="0064264A">
        <w:rPr>
          <w:rFonts w:eastAsia="Calibri"/>
          <w:lang w:val="es-DO"/>
        </w:rPr>
        <w:t>Desde el SPRICS se generaron un total de dieciséis (16) boletines de alertas/informativos, cuarenta y ocho (48) boletines de las diez (10) amenazas más reportadas, y siete mil quinientos veinte (7,520) Indicadores de Compromisos (</w:t>
      </w:r>
      <w:proofErr w:type="spellStart"/>
      <w:r w:rsidRPr="0064264A">
        <w:rPr>
          <w:rFonts w:eastAsia="Calibri"/>
          <w:lang w:val="es-DO"/>
        </w:rPr>
        <w:t>IoCs</w:t>
      </w:r>
      <w:proofErr w:type="spellEnd"/>
      <w:r w:rsidRPr="0064264A">
        <w:rPr>
          <w:rFonts w:eastAsia="Calibri"/>
          <w:lang w:val="es-DO"/>
        </w:rPr>
        <w:t>) que fueron compartidos con las entidades participantes para el establecimiento de sus medidas preventivas y la mitigación de sus riesgos cibernéticos.</w:t>
      </w:r>
    </w:p>
    <w:p w14:paraId="3D6C7837" w14:textId="04D788F4" w:rsidR="00D9267D" w:rsidRPr="0064264A" w:rsidRDefault="00D9267D" w:rsidP="008B3000">
      <w:pPr>
        <w:pStyle w:val="Heading1"/>
        <w:jc w:val="both"/>
        <w:rPr>
          <w:rFonts w:eastAsia="Calibri"/>
          <w:color w:val="767171"/>
          <w:lang w:val="es-DO"/>
        </w:rPr>
      </w:pPr>
      <w:bookmarkStart w:id="33" w:name="_Toc217386296"/>
      <w:r w:rsidRPr="0064264A">
        <w:rPr>
          <w:rFonts w:eastAsia="Calibri"/>
          <w:color w:val="767171"/>
          <w:lang w:val="es-DO"/>
        </w:rPr>
        <w:t>4.5 Desempeño del Sistema de Planificación y Desarrollo Institucional</w:t>
      </w:r>
      <w:bookmarkEnd w:id="33"/>
    </w:p>
    <w:p w14:paraId="054C9A18" w14:textId="77777777" w:rsidR="00D9267D" w:rsidRPr="0064264A" w:rsidRDefault="00D9267D" w:rsidP="00D9267D">
      <w:pPr>
        <w:spacing w:line="360" w:lineRule="auto"/>
        <w:jc w:val="both"/>
        <w:rPr>
          <w:rFonts w:eastAsia="Calibri"/>
          <w:lang w:val="es-DO"/>
        </w:rPr>
      </w:pPr>
      <w:r w:rsidRPr="0064264A">
        <w:rPr>
          <w:rFonts w:eastAsia="Calibri"/>
          <w:lang w:val="es-DO"/>
        </w:rPr>
        <w:t>La ejecución del Plan Estratégico Institucional (PEI) 2022-2025, a diciembre del 2025, culminó cerca de la meta final proyectada</w:t>
      </w:r>
      <w:r w:rsidRPr="0064264A">
        <w:rPr>
          <w:rFonts w:eastAsia="Calibri"/>
          <w:lang w:val="es-DO"/>
        </w:rPr>
        <w:footnoteReference w:id="1"/>
      </w:r>
      <w:r w:rsidRPr="0064264A">
        <w:rPr>
          <w:rFonts w:eastAsia="Calibri"/>
          <w:lang w:val="es-DO"/>
        </w:rPr>
        <w:t>. Al cierre de dicho período, el Banco Central de la República Dominicana mostró un Nivel de Logro (</w:t>
      </w:r>
      <w:proofErr w:type="spellStart"/>
      <w:r w:rsidRPr="0064264A">
        <w:rPr>
          <w:rFonts w:eastAsia="Calibri"/>
          <w:lang w:val="es-DO"/>
        </w:rPr>
        <w:t>NdL</w:t>
      </w:r>
      <w:proofErr w:type="spellEnd"/>
      <w:r w:rsidRPr="0064264A">
        <w:rPr>
          <w:rFonts w:eastAsia="Calibri"/>
          <w:lang w:val="es-DO"/>
        </w:rPr>
        <w:t>) del 89.10 por ciento.</w:t>
      </w:r>
    </w:p>
    <w:p w14:paraId="5FB95E48" w14:textId="7E11BC2E" w:rsidR="00D9267D" w:rsidRPr="0064264A" w:rsidRDefault="00D9267D" w:rsidP="00D9267D">
      <w:pPr>
        <w:spacing w:line="360" w:lineRule="auto"/>
        <w:jc w:val="both"/>
        <w:rPr>
          <w:rFonts w:eastAsia="Calibri"/>
          <w:lang w:val="es-DO"/>
        </w:rPr>
      </w:pPr>
      <w:r w:rsidRPr="0064264A">
        <w:rPr>
          <w:rFonts w:eastAsia="Calibri"/>
          <w:lang w:val="es-DO"/>
        </w:rPr>
        <w:t>El Nivel de Logro (</w:t>
      </w:r>
      <w:proofErr w:type="spellStart"/>
      <w:r w:rsidRPr="0064264A">
        <w:rPr>
          <w:rFonts w:eastAsia="Calibri"/>
          <w:lang w:val="es-DO"/>
        </w:rPr>
        <w:t>NdL</w:t>
      </w:r>
      <w:proofErr w:type="spellEnd"/>
      <w:r w:rsidRPr="0064264A">
        <w:rPr>
          <w:rFonts w:eastAsia="Calibri"/>
          <w:lang w:val="es-DO"/>
        </w:rPr>
        <w:t>) del PEI hasta la referida fecha es desagregado por Objetivos Estratégicos, tal y como se muestra en el siguiente detalle:</w:t>
      </w:r>
    </w:p>
    <w:tbl>
      <w:tblPr>
        <w:tblStyle w:val="TableGridLight"/>
        <w:tblW w:w="0" w:type="auto"/>
        <w:tblInd w:w="822" w:type="dxa"/>
        <w:shd w:val="clear" w:color="auto" w:fill="142F62"/>
        <w:tblLook w:val="04A0" w:firstRow="1" w:lastRow="0" w:firstColumn="1" w:lastColumn="0" w:noHBand="0" w:noVBand="1"/>
      </w:tblPr>
      <w:tblGrid>
        <w:gridCol w:w="5040"/>
        <w:gridCol w:w="1219"/>
      </w:tblGrid>
      <w:tr w:rsidR="0064264A" w:rsidRPr="0064264A" w14:paraId="7D532456" w14:textId="77777777" w:rsidTr="00580C8E">
        <w:trPr>
          <w:trHeight w:val="209"/>
          <w:tblHeader/>
        </w:trPr>
        <w:tc>
          <w:tcPr>
            <w:tcW w:w="5040" w:type="dxa"/>
            <w:shd w:val="clear" w:color="auto" w:fill="011C50"/>
            <w:vAlign w:val="center"/>
          </w:tcPr>
          <w:p w14:paraId="6562E74A" w14:textId="77777777" w:rsidR="00D9267D" w:rsidRPr="00A84C7F" w:rsidRDefault="00D9267D" w:rsidP="00CE7EC9">
            <w:pPr>
              <w:spacing w:after="160" w:line="360" w:lineRule="auto"/>
              <w:jc w:val="center"/>
              <w:rPr>
                <w:rFonts w:ascii="Times New Roman" w:eastAsia="Calibri" w:hAnsi="Times New Roman" w:cs="Times New Roman"/>
                <w:color w:val="FFFFFF" w:themeColor="background1"/>
                <w:spacing w:val="20"/>
                <w:sz w:val="24"/>
                <w:szCs w:val="24"/>
                <w:lang w:val="es-ES"/>
              </w:rPr>
            </w:pPr>
            <w:bookmarkStart w:id="34" w:name="_Hlk217377376"/>
            <w:r w:rsidRPr="00A84C7F">
              <w:rPr>
                <w:rFonts w:ascii="Times New Roman" w:eastAsia="Calibri" w:hAnsi="Times New Roman" w:cs="Times New Roman"/>
                <w:color w:val="FFFFFF" w:themeColor="background1"/>
                <w:spacing w:val="20"/>
                <w:sz w:val="24"/>
                <w:szCs w:val="24"/>
                <w:lang w:val="es-ES"/>
              </w:rPr>
              <w:lastRenderedPageBreak/>
              <w:t>Objetivos Estratégicos</w:t>
            </w:r>
          </w:p>
        </w:tc>
        <w:tc>
          <w:tcPr>
            <w:tcW w:w="1219" w:type="dxa"/>
            <w:shd w:val="clear" w:color="auto" w:fill="142F62"/>
            <w:vAlign w:val="center"/>
          </w:tcPr>
          <w:p w14:paraId="1E4FFABF" w14:textId="77777777" w:rsidR="00D9267D" w:rsidRPr="00A84C7F" w:rsidRDefault="00D9267D" w:rsidP="00CE7EC9">
            <w:pPr>
              <w:spacing w:after="160" w:line="360" w:lineRule="auto"/>
              <w:jc w:val="center"/>
              <w:rPr>
                <w:rFonts w:ascii="Times New Roman" w:eastAsia="Calibri" w:hAnsi="Times New Roman" w:cs="Times New Roman"/>
                <w:color w:val="FFFFFF" w:themeColor="background1"/>
                <w:spacing w:val="20"/>
                <w:sz w:val="24"/>
                <w:szCs w:val="24"/>
                <w:lang w:val="es-ES"/>
              </w:rPr>
            </w:pPr>
            <w:proofErr w:type="spellStart"/>
            <w:r w:rsidRPr="00A84C7F">
              <w:rPr>
                <w:rFonts w:ascii="Times New Roman" w:eastAsia="Calibri" w:hAnsi="Times New Roman" w:cs="Times New Roman"/>
                <w:color w:val="FFFFFF" w:themeColor="background1"/>
                <w:spacing w:val="20"/>
                <w:sz w:val="24"/>
                <w:szCs w:val="24"/>
                <w:lang w:val="es-ES"/>
              </w:rPr>
              <w:t>NdL</w:t>
            </w:r>
            <w:proofErr w:type="spellEnd"/>
          </w:p>
        </w:tc>
      </w:tr>
      <w:tr w:rsidR="0064264A" w:rsidRPr="0064264A" w14:paraId="64AD4A71" w14:textId="77777777" w:rsidTr="00580C8E">
        <w:trPr>
          <w:trHeight w:val="397"/>
          <w:tblHeader/>
        </w:trPr>
        <w:tc>
          <w:tcPr>
            <w:tcW w:w="5040" w:type="dxa"/>
            <w:shd w:val="clear" w:color="auto" w:fill="011C50"/>
            <w:vAlign w:val="center"/>
          </w:tcPr>
          <w:p w14:paraId="79A5E4DC" w14:textId="77777777" w:rsidR="00D9267D" w:rsidRPr="00A84C7F" w:rsidRDefault="00D9267D" w:rsidP="00A40AE3">
            <w:pPr>
              <w:numPr>
                <w:ilvl w:val="0"/>
                <w:numId w:val="11"/>
              </w:numPr>
              <w:spacing w:after="160" w:line="276" w:lineRule="auto"/>
              <w:jc w:val="center"/>
              <w:rPr>
                <w:rFonts w:ascii="Times New Roman" w:eastAsia="Calibri" w:hAnsi="Times New Roman" w:cs="Times New Roman"/>
                <w:color w:val="FFFFFF" w:themeColor="background1"/>
                <w:spacing w:val="20"/>
                <w:sz w:val="24"/>
                <w:szCs w:val="24"/>
                <w:lang w:val="es-ES"/>
              </w:rPr>
            </w:pPr>
            <w:r w:rsidRPr="00A84C7F">
              <w:rPr>
                <w:rFonts w:ascii="Times New Roman" w:eastAsia="Calibri" w:hAnsi="Times New Roman" w:cs="Times New Roman"/>
                <w:color w:val="FFFFFF" w:themeColor="background1"/>
                <w:spacing w:val="20"/>
                <w:sz w:val="24"/>
                <w:szCs w:val="24"/>
                <w:lang w:val="es-ES"/>
              </w:rPr>
              <w:t>Mantener la estabilidad de precios.</w:t>
            </w:r>
          </w:p>
        </w:tc>
        <w:tc>
          <w:tcPr>
            <w:tcW w:w="1219" w:type="dxa"/>
            <w:shd w:val="clear" w:color="auto" w:fill="011C50"/>
            <w:vAlign w:val="center"/>
          </w:tcPr>
          <w:p w14:paraId="6C49C23B" w14:textId="77777777" w:rsidR="00D9267D" w:rsidRPr="00A84C7F" w:rsidRDefault="00D9267D" w:rsidP="00CE7EC9">
            <w:pPr>
              <w:spacing w:after="160" w:line="276" w:lineRule="auto"/>
              <w:jc w:val="center"/>
              <w:rPr>
                <w:rFonts w:ascii="Times New Roman" w:eastAsia="Calibri" w:hAnsi="Times New Roman" w:cs="Times New Roman"/>
                <w:b/>
                <w:color w:val="FFFFFF" w:themeColor="background1"/>
                <w:spacing w:val="20"/>
                <w:sz w:val="24"/>
                <w:szCs w:val="24"/>
                <w:lang w:val="es-ES"/>
              </w:rPr>
            </w:pPr>
            <w:r w:rsidRPr="00A84C7F">
              <w:rPr>
                <w:rFonts w:ascii="Times New Roman" w:eastAsia="Calibri" w:hAnsi="Times New Roman" w:cs="Times New Roman"/>
                <w:b/>
                <w:color w:val="FFFFFF" w:themeColor="background1"/>
                <w:spacing w:val="20"/>
                <w:sz w:val="24"/>
                <w:szCs w:val="24"/>
                <w:lang w:val="es-ES"/>
              </w:rPr>
              <w:t>95.17 %</w:t>
            </w:r>
          </w:p>
        </w:tc>
      </w:tr>
      <w:tr w:rsidR="0064264A" w:rsidRPr="0064264A" w14:paraId="54588235" w14:textId="77777777" w:rsidTr="00580C8E">
        <w:trPr>
          <w:trHeight w:val="1022"/>
          <w:tblHeader/>
        </w:trPr>
        <w:tc>
          <w:tcPr>
            <w:tcW w:w="5040" w:type="dxa"/>
            <w:shd w:val="clear" w:color="auto" w:fill="011C50"/>
            <w:vAlign w:val="center"/>
          </w:tcPr>
          <w:p w14:paraId="670DB860" w14:textId="77777777" w:rsidR="00D9267D" w:rsidRPr="00A84C7F" w:rsidRDefault="00D9267D" w:rsidP="00A40AE3">
            <w:pPr>
              <w:numPr>
                <w:ilvl w:val="0"/>
                <w:numId w:val="11"/>
              </w:numPr>
              <w:spacing w:after="160" w:line="276" w:lineRule="auto"/>
              <w:jc w:val="center"/>
              <w:rPr>
                <w:rFonts w:ascii="Times New Roman" w:eastAsia="Calibri" w:hAnsi="Times New Roman" w:cs="Times New Roman"/>
                <w:color w:val="FFFFFF" w:themeColor="background1"/>
                <w:spacing w:val="20"/>
                <w:sz w:val="24"/>
                <w:szCs w:val="24"/>
                <w:lang w:val="es-ES"/>
              </w:rPr>
            </w:pPr>
            <w:r w:rsidRPr="00A84C7F">
              <w:rPr>
                <w:rFonts w:ascii="Times New Roman" w:eastAsia="Calibri" w:hAnsi="Times New Roman" w:cs="Times New Roman"/>
                <w:color w:val="FFFFFF" w:themeColor="background1"/>
                <w:spacing w:val="20"/>
                <w:sz w:val="24"/>
                <w:szCs w:val="24"/>
                <w:lang w:val="es-ES"/>
              </w:rPr>
              <w:t>Procurar la estabilidad y fortalecimiento del Sistema Financiero y la eficiencia y seguridad del Sistema de Pagos.</w:t>
            </w:r>
          </w:p>
        </w:tc>
        <w:tc>
          <w:tcPr>
            <w:tcW w:w="1219" w:type="dxa"/>
            <w:shd w:val="clear" w:color="auto" w:fill="011C50"/>
            <w:vAlign w:val="center"/>
          </w:tcPr>
          <w:p w14:paraId="14672739" w14:textId="77777777" w:rsidR="00D9267D" w:rsidRPr="00A84C7F" w:rsidRDefault="00D9267D" w:rsidP="00CE7EC9">
            <w:pPr>
              <w:spacing w:after="160" w:line="276" w:lineRule="auto"/>
              <w:jc w:val="center"/>
              <w:rPr>
                <w:rFonts w:ascii="Times New Roman" w:eastAsia="Calibri" w:hAnsi="Times New Roman" w:cs="Times New Roman"/>
                <w:b/>
                <w:color w:val="FFFFFF" w:themeColor="background1"/>
                <w:spacing w:val="20"/>
                <w:sz w:val="24"/>
                <w:szCs w:val="24"/>
                <w:lang w:val="es-ES"/>
              </w:rPr>
            </w:pPr>
            <w:r w:rsidRPr="00A84C7F">
              <w:rPr>
                <w:rFonts w:ascii="Times New Roman" w:eastAsia="Calibri" w:hAnsi="Times New Roman" w:cs="Times New Roman"/>
                <w:b/>
                <w:color w:val="FFFFFF" w:themeColor="background1"/>
                <w:spacing w:val="20"/>
                <w:sz w:val="24"/>
                <w:szCs w:val="24"/>
                <w:lang w:val="es-ES"/>
              </w:rPr>
              <w:t>90.92 %</w:t>
            </w:r>
          </w:p>
        </w:tc>
      </w:tr>
      <w:tr w:rsidR="0064264A" w:rsidRPr="0064264A" w14:paraId="4161A53E" w14:textId="77777777" w:rsidTr="00580C8E">
        <w:trPr>
          <w:trHeight w:val="1326"/>
          <w:tblHeader/>
        </w:trPr>
        <w:tc>
          <w:tcPr>
            <w:tcW w:w="5040" w:type="dxa"/>
            <w:shd w:val="clear" w:color="auto" w:fill="011C50"/>
            <w:vAlign w:val="center"/>
          </w:tcPr>
          <w:p w14:paraId="6288168D" w14:textId="77777777" w:rsidR="00D9267D" w:rsidRPr="00A84C7F" w:rsidRDefault="00D9267D" w:rsidP="00A40AE3">
            <w:pPr>
              <w:numPr>
                <w:ilvl w:val="0"/>
                <w:numId w:val="11"/>
              </w:numPr>
              <w:spacing w:after="160" w:line="276" w:lineRule="auto"/>
              <w:jc w:val="center"/>
              <w:rPr>
                <w:rFonts w:ascii="Times New Roman" w:eastAsia="Calibri" w:hAnsi="Times New Roman" w:cs="Times New Roman"/>
                <w:color w:val="FFFFFF" w:themeColor="background1"/>
                <w:spacing w:val="20"/>
                <w:sz w:val="24"/>
                <w:szCs w:val="24"/>
                <w:lang w:val="es-ES"/>
              </w:rPr>
            </w:pPr>
            <w:r w:rsidRPr="00A84C7F">
              <w:rPr>
                <w:rFonts w:ascii="Times New Roman" w:eastAsia="Calibri" w:hAnsi="Times New Roman" w:cs="Times New Roman"/>
                <w:color w:val="FFFFFF" w:themeColor="background1"/>
                <w:spacing w:val="20"/>
                <w:sz w:val="24"/>
                <w:szCs w:val="24"/>
                <w:lang w:val="es-ES"/>
              </w:rPr>
              <w:t>Robustecer la toma de decisiones y la ejecución de las operaciones monetarias, cambiarias y de la administración de las reservas internacionales.</w:t>
            </w:r>
          </w:p>
        </w:tc>
        <w:tc>
          <w:tcPr>
            <w:tcW w:w="1219" w:type="dxa"/>
            <w:shd w:val="clear" w:color="auto" w:fill="011C50"/>
            <w:vAlign w:val="center"/>
          </w:tcPr>
          <w:p w14:paraId="19D5FD43" w14:textId="77777777" w:rsidR="00D9267D" w:rsidRPr="00A84C7F" w:rsidRDefault="00D9267D" w:rsidP="00CE7EC9">
            <w:pPr>
              <w:spacing w:after="160" w:line="276" w:lineRule="auto"/>
              <w:jc w:val="center"/>
              <w:rPr>
                <w:rFonts w:ascii="Times New Roman" w:eastAsia="Calibri" w:hAnsi="Times New Roman" w:cs="Times New Roman"/>
                <w:b/>
                <w:color w:val="FFFFFF" w:themeColor="background1"/>
                <w:spacing w:val="20"/>
                <w:sz w:val="24"/>
                <w:szCs w:val="24"/>
                <w:lang w:val="es-ES"/>
              </w:rPr>
            </w:pPr>
            <w:r w:rsidRPr="00A84C7F">
              <w:rPr>
                <w:rFonts w:ascii="Times New Roman" w:eastAsia="Calibri" w:hAnsi="Times New Roman" w:cs="Times New Roman"/>
                <w:b/>
                <w:color w:val="FFFFFF" w:themeColor="background1"/>
                <w:spacing w:val="20"/>
                <w:sz w:val="24"/>
                <w:szCs w:val="24"/>
                <w:lang w:val="es-ES"/>
              </w:rPr>
              <w:t>79.42 %</w:t>
            </w:r>
          </w:p>
        </w:tc>
      </w:tr>
      <w:tr w:rsidR="0064264A" w:rsidRPr="0064264A" w14:paraId="6C69316C" w14:textId="77777777" w:rsidTr="00580C8E">
        <w:trPr>
          <w:trHeight w:val="727"/>
          <w:tblHeader/>
        </w:trPr>
        <w:tc>
          <w:tcPr>
            <w:tcW w:w="5040" w:type="dxa"/>
            <w:shd w:val="clear" w:color="auto" w:fill="011C50"/>
            <w:vAlign w:val="center"/>
          </w:tcPr>
          <w:p w14:paraId="5A0D1450" w14:textId="77777777" w:rsidR="00D9267D" w:rsidRPr="00A84C7F" w:rsidRDefault="00D9267D" w:rsidP="00A40AE3">
            <w:pPr>
              <w:numPr>
                <w:ilvl w:val="0"/>
                <w:numId w:val="11"/>
              </w:numPr>
              <w:spacing w:after="160" w:line="276" w:lineRule="auto"/>
              <w:jc w:val="center"/>
              <w:rPr>
                <w:rFonts w:ascii="Times New Roman" w:eastAsia="Calibri" w:hAnsi="Times New Roman" w:cs="Times New Roman"/>
                <w:color w:val="FFFFFF" w:themeColor="background1"/>
                <w:spacing w:val="20"/>
                <w:sz w:val="24"/>
                <w:szCs w:val="24"/>
                <w:lang w:val="es-ES"/>
              </w:rPr>
            </w:pPr>
            <w:r w:rsidRPr="00A84C7F">
              <w:rPr>
                <w:rFonts w:ascii="Times New Roman" w:eastAsia="Calibri" w:hAnsi="Times New Roman" w:cs="Times New Roman"/>
                <w:color w:val="FFFFFF" w:themeColor="background1"/>
                <w:spacing w:val="20"/>
                <w:sz w:val="24"/>
                <w:szCs w:val="24"/>
                <w:lang w:val="es-ES"/>
              </w:rPr>
              <w:t>Mantener niveles efectivos de comunicación, transparencia y gobernanza institucional.</w:t>
            </w:r>
          </w:p>
        </w:tc>
        <w:tc>
          <w:tcPr>
            <w:tcW w:w="1219" w:type="dxa"/>
            <w:shd w:val="clear" w:color="auto" w:fill="011C50"/>
            <w:vAlign w:val="center"/>
          </w:tcPr>
          <w:p w14:paraId="42D12445" w14:textId="77777777" w:rsidR="00D9267D" w:rsidRPr="00A84C7F" w:rsidRDefault="00D9267D" w:rsidP="00CE7EC9">
            <w:pPr>
              <w:spacing w:after="160" w:line="276" w:lineRule="auto"/>
              <w:jc w:val="center"/>
              <w:rPr>
                <w:rFonts w:ascii="Times New Roman" w:eastAsia="Calibri" w:hAnsi="Times New Roman" w:cs="Times New Roman"/>
                <w:b/>
                <w:color w:val="FFFFFF" w:themeColor="background1"/>
                <w:spacing w:val="20"/>
                <w:sz w:val="24"/>
                <w:szCs w:val="24"/>
                <w:lang w:val="es-ES"/>
              </w:rPr>
            </w:pPr>
            <w:r w:rsidRPr="00A84C7F">
              <w:rPr>
                <w:rFonts w:ascii="Times New Roman" w:eastAsia="Calibri" w:hAnsi="Times New Roman" w:cs="Times New Roman"/>
                <w:b/>
                <w:color w:val="FFFFFF" w:themeColor="background1"/>
                <w:spacing w:val="20"/>
                <w:sz w:val="24"/>
                <w:szCs w:val="24"/>
                <w:lang w:val="es-ES"/>
              </w:rPr>
              <w:t>92.51 %</w:t>
            </w:r>
          </w:p>
        </w:tc>
      </w:tr>
      <w:tr w:rsidR="0064264A" w:rsidRPr="0064264A" w14:paraId="03CD1F28" w14:textId="77777777" w:rsidTr="00580C8E">
        <w:trPr>
          <w:trHeight w:val="602"/>
          <w:tblHeader/>
        </w:trPr>
        <w:tc>
          <w:tcPr>
            <w:tcW w:w="5040" w:type="dxa"/>
            <w:shd w:val="clear" w:color="auto" w:fill="011C50"/>
            <w:vAlign w:val="center"/>
          </w:tcPr>
          <w:p w14:paraId="1A99EB95" w14:textId="77777777" w:rsidR="00D9267D" w:rsidRPr="00A84C7F" w:rsidRDefault="00D9267D" w:rsidP="00A40AE3">
            <w:pPr>
              <w:numPr>
                <w:ilvl w:val="0"/>
                <w:numId w:val="11"/>
              </w:numPr>
              <w:spacing w:after="160" w:line="276" w:lineRule="auto"/>
              <w:jc w:val="center"/>
              <w:rPr>
                <w:rFonts w:ascii="Times New Roman" w:eastAsia="Calibri" w:hAnsi="Times New Roman" w:cs="Times New Roman"/>
                <w:color w:val="FFFFFF" w:themeColor="background1"/>
                <w:spacing w:val="20"/>
                <w:sz w:val="24"/>
                <w:szCs w:val="24"/>
                <w:lang w:val="es-ES"/>
              </w:rPr>
            </w:pPr>
            <w:r w:rsidRPr="00A84C7F">
              <w:rPr>
                <w:rFonts w:ascii="Times New Roman" w:eastAsia="Calibri" w:hAnsi="Times New Roman" w:cs="Times New Roman"/>
                <w:color w:val="FFFFFF" w:themeColor="background1"/>
                <w:spacing w:val="20"/>
                <w:sz w:val="24"/>
                <w:szCs w:val="24"/>
                <w:lang w:val="es-ES"/>
              </w:rPr>
              <w:t>Fortalecer la gestión operativa.</w:t>
            </w:r>
          </w:p>
        </w:tc>
        <w:tc>
          <w:tcPr>
            <w:tcW w:w="1219" w:type="dxa"/>
            <w:shd w:val="clear" w:color="auto" w:fill="011C50"/>
            <w:vAlign w:val="center"/>
          </w:tcPr>
          <w:p w14:paraId="1DEF639C" w14:textId="77777777" w:rsidR="00D9267D" w:rsidRPr="00A84C7F" w:rsidRDefault="00D9267D" w:rsidP="00CE7EC9">
            <w:pPr>
              <w:spacing w:after="160" w:line="276" w:lineRule="auto"/>
              <w:jc w:val="center"/>
              <w:rPr>
                <w:rFonts w:ascii="Times New Roman" w:eastAsia="Calibri" w:hAnsi="Times New Roman" w:cs="Times New Roman"/>
                <w:b/>
                <w:color w:val="FFFFFF" w:themeColor="background1"/>
                <w:spacing w:val="20"/>
                <w:sz w:val="24"/>
                <w:szCs w:val="24"/>
                <w:lang w:val="es-ES"/>
              </w:rPr>
            </w:pPr>
            <w:r w:rsidRPr="00A84C7F">
              <w:rPr>
                <w:rFonts w:ascii="Times New Roman" w:eastAsia="Calibri" w:hAnsi="Times New Roman" w:cs="Times New Roman"/>
                <w:b/>
                <w:color w:val="FFFFFF" w:themeColor="background1"/>
                <w:spacing w:val="20"/>
                <w:sz w:val="24"/>
                <w:szCs w:val="24"/>
                <w:lang w:val="es-ES"/>
              </w:rPr>
              <w:t>78.12 %</w:t>
            </w:r>
          </w:p>
        </w:tc>
      </w:tr>
      <w:tr w:rsidR="0064264A" w:rsidRPr="0064264A" w14:paraId="02CDC97C" w14:textId="77777777" w:rsidTr="00580C8E">
        <w:trPr>
          <w:trHeight w:val="602"/>
          <w:tblHeader/>
        </w:trPr>
        <w:tc>
          <w:tcPr>
            <w:tcW w:w="5040" w:type="dxa"/>
            <w:shd w:val="clear" w:color="auto" w:fill="011C50"/>
            <w:vAlign w:val="center"/>
          </w:tcPr>
          <w:p w14:paraId="6F30FFF2" w14:textId="77777777" w:rsidR="00D9267D" w:rsidRPr="00A84C7F" w:rsidRDefault="00D9267D" w:rsidP="00A40AE3">
            <w:pPr>
              <w:numPr>
                <w:ilvl w:val="0"/>
                <w:numId w:val="11"/>
              </w:numPr>
              <w:spacing w:after="160" w:line="276" w:lineRule="auto"/>
              <w:jc w:val="center"/>
              <w:rPr>
                <w:rFonts w:ascii="Times New Roman" w:eastAsia="Calibri" w:hAnsi="Times New Roman" w:cs="Times New Roman"/>
                <w:color w:val="FFFFFF" w:themeColor="background1"/>
                <w:spacing w:val="20"/>
                <w:sz w:val="24"/>
                <w:szCs w:val="24"/>
                <w:lang w:val="es-ES"/>
              </w:rPr>
            </w:pPr>
            <w:r w:rsidRPr="00A84C7F">
              <w:rPr>
                <w:rFonts w:ascii="Times New Roman" w:eastAsia="Calibri" w:hAnsi="Times New Roman" w:cs="Times New Roman"/>
                <w:color w:val="FFFFFF" w:themeColor="background1"/>
                <w:spacing w:val="20"/>
                <w:sz w:val="24"/>
                <w:szCs w:val="24"/>
                <w:lang w:val="es-ES"/>
              </w:rPr>
              <w:t>Optimizar la gestión financiera interna.</w:t>
            </w:r>
          </w:p>
        </w:tc>
        <w:tc>
          <w:tcPr>
            <w:tcW w:w="1219" w:type="dxa"/>
            <w:shd w:val="clear" w:color="auto" w:fill="011C50"/>
            <w:vAlign w:val="center"/>
          </w:tcPr>
          <w:p w14:paraId="45D7CC84" w14:textId="77777777" w:rsidR="00D9267D" w:rsidRPr="00A84C7F" w:rsidRDefault="00D9267D" w:rsidP="00CE7EC9">
            <w:pPr>
              <w:spacing w:after="160" w:line="276" w:lineRule="auto"/>
              <w:jc w:val="center"/>
              <w:rPr>
                <w:rFonts w:ascii="Times New Roman" w:eastAsia="Calibri" w:hAnsi="Times New Roman" w:cs="Times New Roman"/>
                <w:b/>
                <w:color w:val="FFFFFF" w:themeColor="background1"/>
                <w:spacing w:val="20"/>
                <w:sz w:val="24"/>
                <w:szCs w:val="24"/>
                <w:lang w:val="es-ES"/>
              </w:rPr>
            </w:pPr>
            <w:r w:rsidRPr="00A84C7F">
              <w:rPr>
                <w:rFonts w:ascii="Times New Roman" w:eastAsia="Calibri" w:hAnsi="Times New Roman" w:cs="Times New Roman"/>
                <w:b/>
                <w:color w:val="FFFFFF" w:themeColor="background1"/>
                <w:spacing w:val="20"/>
                <w:sz w:val="24"/>
                <w:szCs w:val="24"/>
                <w:lang w:val="es-ES"/>
              </w:rPr>
              <w:t>98.47%</w:t>
            </w:r>
          </w:p>
        </w:tc>
      </w:tr>
    </w:tbl>
    <w:bookmarkEnd w:id="34"/>
    <w:p w14:paraId="2BB7523F" w14:textId="527AFFE4" w:rsidR="00D9267D" w:rsidRPr="0064264A" w:rsidRDefault="00D9267D" w:rsidP="00D9267D">
      <w:pPr>
        <w:spacing w:line="360" w:lineRule="auto"/>
        <w:jc w:val="both"/>
        <w:rPr>
          <w:rFonts w:eastAsia="Calibri"/>
          <w:b/>
          <w:sz w:val="22"/>
          <w:szCs w:val="22"/>
          <w:lang w:val="es-ES"/>
        </w:rPr>
      </w:pPr>
      <w:r w:rsidRPr="0064264A">
        <w:rPr>
          <w:rFonts w:eastAsia="Calibri"/>
          <w:b/>
          <w:lang w:val="es-ES"/>
        </w:rPr>
        <w:t xml:space="preserve">                </w:t>
      </w:r>
      <w:r w:rsidR="00CE7EC9" w:rsidRPr="0064264A">
        <w:rPr>
          <w:rFonts w:eastAsia="Calibri"/>
          <w:b/>
          <w:lang w:val="es-ES"/>
        </w:rPr>
        <w:t xml:space="preserve"> </w:t>
      </w:r>
      <w:r w:rsidRPr="0064264A">
        <w:rPr>
          <w:rFonts w:eastAsia="Calibri"/>
          <w:b/>
          <w:sz w:val="22"/>
          <w:szCs w:val="22"/>
          <w:lang w:val="es-ES"/>
        </w:rPr>
        <w:t>Fuente: Depto. De Planificacion y Presupuesto</w:t>
      </w:r>
    </w:p>
    <w:p w14:paraId="0CCA7BF6" w14:textId="142AEF44" w:rsidR="003A5879" w:rsidRPr="0064264A" w:rsidRDefault="00D9267D" w:rsidP="00D9267D">
      <w:pPr>
        <w:spacing w:line="360" w:lineRule="auto"/>
        <w:jc w:val="both"/>
        <w:rPr>
          <w:rFonts w:eastAsia="Calibri"/>
          <w:b/>
          <w:lang w:val="es-ES"/>
        </w:rPr>
      </w:pPr>
      <w:r w:rsidRPr="0064264A">
        <w:rPr>
          <w:rFonts w:eastAsia="Calibri"/>
          <w:b/>
          <w:lang w:val="es-ES"/>
        </w:rPr>
        <w:t xml:space="preserve">                              </w:t>
      </w:r>
    </w:p>
    <w:p w14:paraId="23B43A84" w14:textId="77777777" w:rsidR="003A5879" w:rsidRPr="0064264A" w:rsidRDefault="003A5879" w:rsidP="00D9267D">
      <w:pPr>
        <w:spacing w:line="360" w:lineRule="auto"/>
        <w:jc w:val="both"/>
        <w:rPr>
          <w:rFonts w:eastAsia="Calibri"/>
          <w:b/>
          <w:lang w:val="es-ES"/>
        </w:rPr>
      </w:pPr>
    </w:p>
    <w:p w14:paraId="26235F43" w14:textId="77777777" w:rsidR="003A5879" w:rsidRPr="0064264A" w:rsidRDefault="003A5879" w:rsidP="00D9267D">
      <w:pPr>
        <w:spacing w:line="360" w:lineRule="auto"/>
        <w:jc w:val="both"/>
        <w:rPr>
          <w:rFonts w:eastAsia="Calibri"/>
          <w:b/>
          <w:lang w:val="es-ES"/>
        </w:rPr>
      </w:pPr>
    </w:p>
    <w:p w14:paraId="475ECA4E" w14:textId="77777777" w:rsidR="003A5879" w:rsidRPr="0064264A" w:rsidRDefault="003A5879" w:rsidP="00D9267D">
      <w:pPr>
        <w:spacing w:line="360" w:lineRule="auto"/>
        <w:jc w:val="both"/>
        <w:rPr>
          <w:rFonts w:eastAsia="Calibri"/>
          <w:b/>
          <w:lang w:val="es-ES"/>
        </w:rPr>
      </w:pPr>
    </w:p>
    <w:p w14:paraId="54559182" w14:textId="77777777" w:rsidR="003A5879" w:rsidRPr="0064264A" w:rsidRDefault="003A5879" w:rsidP="00D9267D">
      <w:pPr>
        <w:spacing w:line="360" w:lineRule="auto"/>
        <w:jc w:val="both"/>
        <w:rPr>
          <w:rFonts w:eastAsia="Calibri"/>
          <w:b/>
          <w:lang w:val="es-ES"/>
        </w:rPr>
      </w:pPr>
    </w:p>
    <w:p w14:paraId="54773A0C" w14:textId="77777777" w:rsidR="003A5879" w:rsidRPr="0064264A" w:rsidRDefault="003A5879" w:rsidP="00D9267D">
      <w:pPr>
        <w:spacing w:line="360" w:lineRule="auto"/>
        <w:jc w:val="both"/>
        <w:rPr>
          <w:rFonts w:eastAsia="Calibri"/>
          <w:b/>
          <w:lang w:val="es-ES"/>
        </w:rPr>
      </w:pPr>
    </w:p>
    <w:p w14:paraId="386B1A5B" w14:textId="77777777" w:rsidR="003A5879" w:rsidRPr="0064264A" w:rsidRDefault="003A5879" w:rsidP="00D9267D">
      <w:pPr>
        <w:spacing w:line="360" w:lineRule="auto"/>
        <w:jc w:val="both"/>
        <w:rPr>
          <w:rFonts w:eastAsia="Calibri"/>
          <w:b/>
          <w:lang w:val="es-ES"/>
        </w:rPr>
      </w:pPr>
    </w:p>
    <w:p w14:paraId="26FE398A" w14:textId="77777777" w:rsidR="003A5879" w:rsidRPr="0064264A" w:rsidRDefault="003A5879" w:rsidP="00D9267D">
      <w:pPr>
        <w:spacing w:line="360" w:lineRule="auto"/>
        <w:jc w:val="both"/>
        <w:rPr>
          <w:rFonts w:eastAsia="Calibri"/>
          <w:b/>
          <w:lang w:val="es-ES"/>
        </w:rPr>
      </w:pPr>
    </w:p>
    <w:p w14:paraId="40E11EC1" w14:textId="77777777" w:rsidR="003A5879" w:rsidRPr="0064264A" w:rsidRDefault="003A5879" w:rsidP="00D9267D">
      <w:pPr>
        <w:spacing w:line="360" w:lineRule="auto"/>
        <w:jc w:val="both"/>
        <w:rPr>
          <w:rFonts w:eastAsia="Calibri"/>
          <w:b/>
          <w:lang w:val="es-ES"/>
        </w:rPr>
      </w:pPr>
    </w:p>
    <w:p w14:paraId="34B03F3A" w14:textId="77777777" w:rsidR="003A5879" w:rsidRPr="0064264A" w:rsidRDefault="003A5879" w:rsidP="00D9267D">
      <w:pPr>
        <w:spacing w:line="360" w:lineRule="auto"/>
        <w:jc w:val="both"/>
        <w:rPr>
          <w:rFonts w:eastAsia="Calibri"/>
          <w:b/>
          <w:lang w:val="es-ES"/>
        </w:rPr>
      </w:pPr>
    </w:p>
    <w:p w14:paraId="21E1FB23" w14:textId="77777777" w:rsidR="003A5879" w:rsidRPr="0064264A" w:rsidRDefault="003A5879" w:rsidP="00D9267D">
      <w:pPr>
        <w:spacing w:line="360" w:lineRule="auto"/>
        <w:jc w:val="both"/>
        <w:rPr>
          <w:rFonts w:eastAsia="Calibri"/>
          <w:b/>
          <w:lang w:val="es-ES"/>
        </w:rPr>
      </w:pPr>
    </w:p>
    <w:p w14:paraId="54FC5007" w14:textId="77777777" w:rsidR="003A5879" w:rsidRPr="0064264A" w:rsidRDefault="003A5879" w:rsidP="00D9267D">
      <w:pPr>
        <w:spacing w:line="360" w:lineRule="auto"/>
        <w:jc w:val="both"/>
        <w:rPr>
          <w:rFonts w:eastAsia="Calibri"/>
          <w:b/>
          <w:lang w:val="es-ES"/>
        </w:rPr>
      </w:pPr>
    </w:p>
    <w:p w14:paraId="32DAF735" w14:textId="4E29C1BE" w:rsidR="00D9267D" w:rsidRPr="0064264A" w:rsidRDefault="00D9267D" w:rsidP="008B3000">
      <w:pPr>
        <w:pStyle w:val="Heading2"/>
        <w:jc w:val="center"/>
        <w:rPr>
          <w:rFonts w:eastAsia="Calibri"/>
          <w:b/>
          <w:color w:val="767171"/>
          <w:lang w:val="es-ES"/>
        </w:rPr>
      </w:pPr>
      <w:bookmarkStart w:id="35" w:name="_Toc217386297"/>
      <w:r w:rsidRPr="0064264A">
        <w:rPr>
          <w:rFonts w:eastAsia="Calibri"/>
          <w:b/>
          <w:color w:val="767171"/>
          <w:lang w:val="es-ES"/>
        </w:rPr>
        <w:t>Iniciativas POA 2025</w:t>
      </w:r>
      <w:bookmarkEnd w:id="35"/>
    </w:p>
    <w:p w14:paraId="154A7F34" w14:textId="6F85A47C" w:rsidR="00D9267D" w:rsidRPr="0064264A" w:rsidRDefault="003A5879" w:rsidP="00D9267D">
      <w:pPr>
        <w:spacing w:line="360" w:lineRule="auto"/>
        <w:jc w:val="both"/>
        <w:rPr>
          <w:rFonts w:eastAsia="Calibri"/>
          <w:lang w:val="es-ES"/>
        </w:rPr>
      </w:pPr>
      <w:r w:rsidRPr="0064264A">
        <w:rPr>
          <w:rFonts w:eastAsia="Calibri"/>
          <w:noProof/>
          <w:lang w:val="es-DO"/>
        </w:rPr>
        <mc:AlternateContent>
          <mc:Choice Requires="wps">
            <w:drawing>
              <wp:anchor distT="0" distB="0" distL="114300" distR="114300" simplePos="0" relativeHeight="251768832" behindDoc="0" locked="0" layoutInCell="1" allowOverlap="1" wp14:anchorId="75041996" wp14:editId="1C6FF4D3">
                <wp:simplePos x="0" y="0"/>
                <wp:positionH relativeFrom="margin">
                  <wp:posOffset>2157653</wp:posOffset>
                </wp:positionH>
                <wp:positionV relativeFrom="paragraph">
                  <wp:posOffset>24765</wp:posOffset>
                </wp:positionV>
                <wp:extent cx="539750" cy="0"/>
                <wp:effectExtent l="0" t="19050" r="31750" b="19050"/>
                <wp:wrapThrough wrapText="bothSides">
                  <wp:wrapPolygon edited="0">
                    <wp:start x="0" y="-1"/>
                    <wp:lineTo x="0" y="-1"/>
                    <wp:lineTo x="22108" y="-1"/>
                    <wp:lineTo x="22108" y="-1"/>
                    <wp:lineTo x="0" y="-1"/>
                  </wp:wrapPolygon>
                </wp:wrapThrough>
                <wp:docPr id="523633647"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688903" id="Conector recto 9" o:spid="_x0000_s1026" style="position:absolute;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9.9pt,1.95pt" to="212.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" strokecolor="red" strokeweight="2.5pt">
                <v:stroke joinstyle="miter"/>
                <w10:wrap type="through" anchorx="margin"/>
              </v:line>
            </w:pict>
          </mc:Fallback>
        </mc:AlternateContent>
      </w:r>
    </w:p>
    <w:p w14:paraId="65FEA449" w14:textId="77777777" w:rsidR="00D9267D" w:rsidRPr="0064264A" w:rsidRDefault="00D9267D" w:rsidP="00D9267D">
      <w:pPr>
        <w:spacing w:line="360" w:lineRule="auto"/>
        <w:jc w:val="both"/>
        <w:rPr>
          <w:rFonts w:eastAsia="Calibri"/>
          <w:lang w:val="es-ES"/>
        </w:rPr>
      </w:pPr>
      <w:r w:rsidRPr="0064264A">
        <w:rPr>
          <w:rFonts w:eastAsia="Calibri"/>
          <w:lang w:val="es-ES"/>
        </w:rPr>
        <w:t xml:space="preserve">Al cierre del año, el Plan Operativo Anual (POA) 2025 del Banco Central de la República Dominicana muestra un </w:t>
      </w:r>
      <w:r w:rsidRPr="0064264A">
        <w:rPr>
          <w:rFonts w:eastAsia="Calibri"/>
          <w:bCs/>
          <w:lang w:val="es-ES"/>
        </w:rPr>
        <w:t>Nivel de Cumplimiento (</w:t>
      </w:r>
      <w:proofErr w:type="spellStart"/>
      <w:r w:rsidRPr="0064264A">
        <w:rPr>
          <w:rFonts w:eastAsia="Calibri"/>
          <w:bCs/>
          <w:lang w:val="es-ES"/>
        </w:rPr>
        <w:t>NdC</w:t>
      </w:r>
      <w:proofErr w:type="spellEnd"/>
      <w:r w:rsidRPr="0064264A">
        <w:rPr>
          <w:rFonts w:eastAsia="Calibri"/>
          <w:bCs/>
          <w:lang w:val="es-ES"/>
        </w:rPr>
        <w:t>) estimado de un 80 por ciento. Los</w:t>
      </w:r>
      <w:r w:rsidRPr="0064264A">
        <w:rPr>
          <w:rFonts w:eastAsia="Calibri"/>
          <w:lang w:val="es-ES"/>
        </w:rPr>
        <w:t xml:space="preserve"> veintisiete (27) proyectos que compusieron el POA 2025 son los siguientes: </w:t>
      </w:r>
    </w:p>
    <w:tbl>
      <w:tblPr>
        <w:tblStyle w:val="TableGrid"/>
        <w:tblW w:w="0" w:type="auto"/>
        <w:tblLook w:val="04A0" w:firstRow="1" w:lastRow="0" w:firstColumn="1" w:lastColumn="0" w:noHBand="0" w:noVBand="1"/>
      </w:tblPr>
      <w:tblGrid>
        <w:gridCol w:w="701"/>
        <w:gridCol w:w="2753"/>
        <w:gridCol w:w="2296"/>
        <w:gridCol w:w="2160"/>
      </w:tblGrid>
      <w:tr w:rsidR="0064264A" w:rsidRPr="0064264A" w14:paraId="5C137240" w14:textId="77777777" w:rsidTr="00953742">
        <w:trPr>
          <w:trHeight w:val="720"/>
          <w:tblHeader/>
        </w:trPr>
        <w:tc>
          <w:tcPr>
            <w:tcW w:w="701" w:type="dxa"/>
            <w:shd w:val="clear" w:color="auto" w:fill="011C50"/>
            <w:noWrap/>
            <w:hideMark/>
          </w:tcPr>
          <w:p w14:paraId="74F17FC6" w14:textId="77777777" w:rsidR="00D9267D" w:rsidRPr="00A84C7F" w:rsidRDefault="00D9267D" w:rsidP="00CE7EC9">
            <w:pPr>
              <w:spacing w:line="360" w:lineRule="auto"/>
              <w:jc w:val="center"/>
              <w:rPr>
                <w:rFonts w:ascii="Times New Roman" w:eastAsia="Calibri" w:hAnsi="Times New Roman" w:cs="Times New Roman"/>
                <w:b/>
                <w:bCs/>
                <w:color w:val="FFFFFF" w:themeColor="background1"/>
                <w:sz w:val="24"/>
                <w:szCs w:val="24"/>
              </w:rPr>
            </w:pPr>
            <w:r w:rsidRPr="00A84C7F">
              <w:rPr>
                <w:rFonts w:ascii="Times New Roman" w:eastAsia="Calibri" w:hAnsi="Times New Roman" w:cs="Times New Roman"/>
                <w:b/>
                <w:bCs/>
                <w:color w:val="FFFFFF" w:themeColor="background1"/>
                <w:sz w:val="24"/>
                <w:szCs w:val="24"/>
              </w:rPr>
              <w:t>No.</w:t>
            </w:r>
          </w:p>
        </w:tc>
        <w:tc>
          <w:tcPr>
            <w:tcW w:w="2753" w:type="dxa"/>
            <w:shd w:val="clear" w:color="auto" w:fill="011C50"/>
            <w:hideMark/>
          </w:tcPr>
          <w:p w14:paraId="6FBFC769" w14:textId="77777777" w:rsidR="00D9267D" w:rsidRPr="00A84C7F" w:rsidRDefault="00D9267D" w:rsidP="00CE7EC9">
            <w:pPr>
              <w:spacing w:line="360" w:lineRule="auto"/>
              <w:jc w:val="center"/>
              <w:rPr>
                <w:rFonts w:ascii="Times New Roman" w:eastAsia="Calibri" w:hAnsi="Times New Roman" w:cs="Times New Roman"/>
                <w:b/>
                <w:bCs/>
                <w:color w:val="FFFFFF" w:themeColor="background1"/>
                <w:sz w:val="24"/>
                <w:szCs w:val="24"/>
              </w:rPr>
            </w:pPr>
            <w:r w:rsidRPr="00A84C7F">
              <w:rPr>
                <w:rFonts w:ascii="Times New Roman" w:eastAsia="Calibri" w:hAnsi="Times New Roman" w:cs="Times New Roman"/>
                <w:b/>
                <w:bCs/>
                <w:color w:val="FFFFFF" w:themeColor="background1"/>
                <w:sz w:val="24"/>
                <w:szCs w:val="24"/>
              </w:rPr>
              <w:t xml:space="preserve">Proyecto o </w:t>
            </w:r>
            <w:proofErr w:type="spellStart"/>
            <w:r w:rsidRPr="00A84C7F">
              <w:rPr>
                <w:rFonts w:ascii="Times New Roman" w:eastAsia="Calibri" w:hAnsi="Times New Roman" w:cs="Times New Roman"/>
                <w:b/>
                <w:bCs/>
                <w:color w:val="FFFFFF" w:themeColor="background1"/>
                <w:sz w:val="24"/>
                <w:szCs w:val="24"/>
              </w:rPr>
              <w:t>Iniciativa</w:t>
            </w:r>
            <w:proofErr w:type="spellEnd"/>
          </w:p>
        </w:tc>
        <w:tc>
          <w:tcPr>
            <w:tcW w:w="2296" w:type="dxa"/>
            <w:shd w:val="clear" w:color="auto" w:fill="011C50"/>
            <w:hideMark/>
          </w:tcPr>
          <w:p w14:paraId="2B520A58" w14:textId="77777777" w:rsidR="00D9267D" w:rsidRPr="00A84C7F" w:rsidRDefault="00D9267D" w:rsidP="00CE7EC9">
            <w:pPr>
              <w:spacing w:line="360" w:lineRule="auto"/>
              <w:jc w:val="center"/>
              <w:rPr>
                <w:rFonts w:ascii="Times New Roman" w:eastAsia="Calibri" w:hAnsi="Times New Roman" w:cs="Times New Roman"/>
                <w:b/>
                <w:bCs/>
                <w:color w:val="FFFFFF" w:themeColor="background1"/>
                <w:sz w:val="24"/>
                <w:szCs w:val="24"/>
              </w:rPr>
            </w:pPr>
            <w:proofErr w:type="spellStart"/>
            <w:r w:rsidRPr="00A84C7F">
              <w:rPr>
                <w:rFonts w:ascii="Times New Roman" w:eastAsia="Calibri" w:hAnsi="Times New Roman" w:cs="Times New Roman"/>
                <w:b/>
                <w:bCs/>
                <w:color w:val="FFFFFF" w:themeColor="background1"/>
                <w:sz w:val="24"/>
                <w:szCs w:val="24"/>
              </w:rPr>
              <w:t>Responsable</w:t>
            </w:r>
            <w:proofErr w:type="spellEnd"/>
          </w:p>
        </w:tc>
        <w:tc>
          <w:tcPr>
            <w:tcW w:w="2160" w:type="dxa"/>
            <w:shd w:val="clear" w:color="auto" w:fill="011C50"/>
            <w:noWrap/>
            <w:hideMark/>
          </w:tcPr>
          <w:p w14:paraId="0563ADE9" w14:textId="77777777" w:rsidR="00D9267D" w:rsidRPr="00A84C7F" w:rsidRDefault="00D9267D" w:rsidP="00CE7EC9">
            <w:pPr>
              <w:spacing w:line="360" w:lineRule="auto"/>
              <w:jc w:val="center"/>
              <w:rPr>
                <w:rFonts w:ascii="Times New Roman" w:eastAsia="Calibri" w:hAnsi="Times New Roman" w:cs="Times New Roman"/>
                <w:b/>
                <w:bCs/>
                <w:color w:val="FFFFFF" w:themeColor="background1"/>
                <w:sz w:val="24"/>
                <w:szCs w:val="24"/>
              </w:rPr>
            </w:pPr>
            <w:proofErr w:type="spellStart"/>
            <w:r w:rsidRPr="00A84C7F">
              <w:rPr>
                <w:rFonts w:ascii="Times New Roman" w:eastAsia="Calibri" w:hAnsi="Times New Roman" w:cs="Times New Roman"/>
                <w:b/>
                <w:bCs/>
                <w:color w:val="FFFFFF" w:themeColor="background1"/>
                <w:sz w:val="24"/>
                <w:szCs w:val="24"/>
              </w:rPr>
              <w:t>Objetivo</w:t>
            </w:r>
            <w:proofErr w:type="spellEnd"/>
            <w:r w:rsidRPr="00A84C7F">
              <w:rPr>
                <w:rFonts w:ascii="Times New Roman" w:eastAsia="Calibri" w:hAnsi="Times New Roman" w:cs="Times New Roman"/>
                <w:b/>
                <w:bCs/>
                <w:color w:val="FFFFFF" w:themeColor="background1"/>
                <w:sz w:val="24"/>
                <w:szCs w:val="24"/>
              </w:rPr>
              <w:t xml:space="preserve"> </w:t>
            </w:r>
            <w:proofErr w:type="spellStart"/>
            <w:r w:rsidRPr="00A84C7F">
              <w:rPr>
                <w:rFonts w:ascii="Times New Roman" w:eastAsia="Calibri" w:hAnsi="Times New Roman" w:cs="Times New Roman"/>
                <w:b/>
                <w:bCs/>
                <w:color w:val="FFFFFF" w:themeColor="background1"/>
                <w:sz w:val="24"/>
                <w:szCs w:val="24"/>
              </w:rPr>
              <w:t>Estratégico</w:t>
            </w:r>
            <w:proofErr w:type="spellEnd"/>
          </w:p>
        </w:tc>
      </w:tr>
      <w:tr w:rsidR="0064264A" w:rsidRPr="0064264A" w14:paraId="5AF9E3A8" w14:textId="77777777" w:rsidTr="00953742">
        <w:trPr>
          <w:trHeight w:val="600"/>
        </w:trPr>
        <w:tc>
          <w:tcPr>
            <w:tcW w:w="701" w:type="dxa"/>
            <w:noWrap/>
          </w:tcPr>
          <w:p w14:paraId="7112DA56"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1</w:t>
            </w:r>
          </w:p>
        </w:tc>
        <w:tc>
          <w:tcPr>
            <w:tcW w:w="2753" w:type="dxa"/>
          </w:tcPr>
          <w:p w14:paraId="7B4F1451"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ES"/>
              </w:rPr>
              <w:t>Instalación de sistema de supresión contra incendios 2do nivel Centro de Conservación Documentos (CCD) (2025).</w:t>
            </w:r>
          </w:p>
        </w:tc>
        <w:tc>
          <w:tcPr>
            <w:tcW w:w="2296" w:type="dxa"/>
          </w:tcPr>
          <w:p w14:paraId="23CB6A07" w14:textId="77777777" w:rsidR="00D9267D" w:rsidRPr="0064264A" w:rsidRDefault="00D9267D" w:rsidP="00D9267D">
            <w:pPr>
              <w:spacing w:after="160"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ES"/>
              </w:rPr>
              <w:t>1901-SEGURIDAD</w:t>
            </w:r>
          </w:p>
        </w:tc>
        <w:tc>
          <w:tcPr>
            <w:tcW w:w="2160" w:type="dxa"/>
            <w:noWrap/>
          </w:tcPr>
          <w:p w14:paraId="4DAF5919"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ES"/>
              </w:rPr>
              <w:t>Funciones</w:t>
            </w:r>
          </w:p>
        </w:tc>
      </w:tr>
      <w:tr w:rsidR="0064264A" w:rsidRPr="0064264A" w14:paraId="0524BA4F" w14:textId="77777777" w:rsidTr="00953742">
        <w:trPr>
          <w:trHeight w:val="600"/>
        </w:trPr>
        <w:tc>
          <w:tcPr>
            <w:tcW w:w="701" w:type="dxa"/>
            <w:noWrap/>
            <w:hideMark/>
          </w:tcPr>
          <w:p w14:paraId="3F9F7A20"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w:t>
            </w:r>
          </w:p>
        </w:tc>
        <w:tc>
          <w:tcPr>
            <w:tcW w:w="2753" w:type="dxa"/>
            <w:hideMark/>
          </w:tcPr>
          <w:p w14:paraId="641CEC26"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Programa de Remodelación del Club de Empleados (2019-2025).</w:t>
            </w:r>
          </w:p>
        </w:tc>
        <w:tc>
          <w:tcPr>
            <w:tcW w:w="2296" w:type="dxa"/>
            <w:hideMark/>
          </w:tcPr>
          <w:p w14:paraId="449C556E"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0801-ADMINISTRATIVO</w:t>
            </w:r>
          </w:p>
        </w:tc>
        <w:tc>
          <w:tcPr>
            <w:tcW w:w="2160" w:type="dxa"/>
            <w:noWrap/>
            <w:hideMark/>
          </w:tcPr>
          <w:p w14:paraId="3C863ED1"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Funciones</w:t>
            </w:r>
          </w:p>
        </w:tc>
      </w:tr>
      <w:tr w:rsidR="0064264A" w:rsidRPr="0064264A" w14:paraId="55E8ACAF" w14:textId="77777777" w:rsidTr="00953742">
        <w:trPr>
          <w:trHeight w:val="600"/>
        </w:trPr>
        <w:tc>
          <w:tcPr>
            <w:tcW w:w="701" w:type="dxa"/>
            <w:noWrap/>
          </w:tcPr>
          <w:p w14:paraId="6D0C2F21"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3</w:t>
            </w:r>
          </w:p>
        </w:tc>
        <w:tc>
          <w:tcPr>
            <w:tcW w:w="2753" w:type="dxa"/>
          </w:tcPr>
          <w:p w14:paraId="0778FB4E"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Programa Adecuación Casas Calle Leopoldo Navarro (2022-2026).</w:t>
            </w:r>
          </w:p>
        </w:tc>
        <w:tc>
          <w:tcPr>
            <w:tcW w:w="2296" w:type="dxa"/>
          </w:tcPr>
          <w:p w14:paraId="474D8B9E"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0801-ADMINISTRATIVO</w:t>
            </w:r>
          </w:p>
        </w:tc>
        <w:tc>
          <w:tcPr>
            <w:tcW w:w="2160" w:type="dxa"/>
            <w:noWrap/>
          </w:tcPr>
          <w:p w14:paraId="04F213A7"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Funciones</w:t>
            </w:r>
          </w:p>
        </w:tc>
      </w:tr>
      <w:tr w:rsidR="0064264A" w:rsidRPr="0064264A" w14:paraId="35BA8FDA" w14:textId="77777777" w:rsidTr="00953742">
        <w:trPr>
          <w:trHeight w:val="600"/>
        </w:trPr>
        <w:tc>
          <w:tcPr>
            <w:tcW w:w="701" w:type="dxa"/>
            <w:noWrap/>
          </w:tcPr>
          <w:p w14:paraId="5A358632"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4</w:t>
            </w:r>
          </w:p>
        </w:tc>
        <w:tc>
          <w:tcPr>
            <w:tcW w:w="2753" w:type="dxa"/>
          </w:tcPr>
          <w:p w14:paraId="526A1716"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Programa de remozamiento del Edificio de Estacionamiento del Banco Central (EEBC) (2025-2026).</w:t>
            </w:r>
          </w:p>
        </w:tc>
        <w:tc>
          <w:tcPr>
            <w:tcW w:w="2296" w:type="dxa"/>
          </w:tcPr>
          <w:p w14:paraId="4B04888C"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0801-ADMINISTRATIVO</w:t>
            </w:r>
          </w:p>
        </w:tc>
        <w:tc>
          <w:tcPr>
            <w:tcW w:w="2160" w:type="dxa"/>
            <w:noWrap/>
          </w:tcPr>
          <w:p w14:paraId="07F74FBC"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Funciones</w:t>
            </w:r>
          </w:p>
        </w:tc>
      </w:tr>
      <w:tr w:rsidR="0064264A" w:rsidRPr="0064264A" w14:paraId="1FDF0CF6" w14:textId="77777777" w:rsidTr="00953742">
        <w:trPr>
          <w:trHeight w:val="600"/>
        </w:trPr>
        <w:tc>
          <w:tcPr>
            <w:tcW w:w="701" w:type="dxa"/>
            <w:noWrap/>
          </w:tcPr>
          <w:p w14:paraId="512D6CA5"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5</w:t>
            </w:r>
          </w:p>
        </w:tc>
        <w:tc>
          <w:tcPr>
            <w:tcW w:w="2753" w:type="dxa"/>
          </w:tcPr>
          <w:p w14:paraId="56ADD699"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Sustitución de unidades UC-1 y UC-2 de los pisos del 2 al 11 de la Torre de Oficinas (2025-2026).</w:t>
            </w:r>
          </w:p>
        </w:tc>
        <w:tc>
          <w:tcPr>
            <w:tcW w:w="2296" w:type="dxa"/>
          </w:tcPr>
          <w:p w14:paraId="660E918F"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0801-ADMINISTRATIVO</w:t>
            </w:r>
          </w:p>
        </w:tc>
        <w:tc>
          <w:tcPr>
            <w:tcW w:w="2160" w:type="dxa"/>
            <w:noWrap/>
          </w:tcPr>
          <w:p w14:paraId="57F2FCF4" w14:textId="77777777" w:rsidR="00D9267D" w:rsidRPr="0064264A" w:rsidRDefault="00D9267D" w:rsidP="00D9267D">
            <w:pPr>
              <w:spacing w:line="360" w:lineRule="auto"/>
              <w:jc w:val="both"/>
              <w:rPr>
                <w:rFonts w:ascii="Times New Roman" w:eastAsia="Calibri" w:hAnsi="Times New Roman" w:cs="Times New Roman"/>
                <w:b/>
                <w:bCs/>
                <w:color w:val="767171"/>
                <w:lang w:val="es-DO"/>
              </w:rPr>
            </w:pPr>
            <w:r w:rsidRPr="0064264A">
              <w:rPr>
                <w:rFonts w:ascii="Times New Roman" w:eastAsia="Calibri" w:hAnsi="Times New Roman" w:cs="Times New Roman"/>
                <w:color w:val="767171"/>
                <w:lang w:val="es-DO"/>
              </w:rPr>
              <w:t>Funciones</w:t>
            </w:r>
          </w:p>
        </w:tc>
      </w:tr>
      <w:tr w:rsidR="0064264A" w:rsidRPr="0064264A" w14:paraId="3638E0E2" w14:textId="77777777" w:rsidTr="00953742">
        <w:trPr>
          <w:trHeight w:val="64"/>
        </w:trPr>
        <w:tc>
          <w:tcPr>
            <w:tcW w:w="701" w:type="dxa"/>
            <w:noWrap/>
          </w:tcPr>
          <w:p w14:paraId="4B00F78F"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lastRenderedPageBreak/>
              <w:t>6</w:t>
            </w:r>
          </w:p>
        </w:tc>
        <w:tc>
          <w:tcPr>
            <w:tcW w:w="2753" w:type="dxa"/>
          </w:tcPr>
          <w:p w14:paraId="7F25F9A5"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Estudio de Moneda Digital del Banco Central (2022-2025).</w:t>
            </w:r>
          </w:p>
        </w:tc>
        <w:tc>
          <w:tcPr>
            <w:tcW w:w="2296" w:type="dxa"/>
          </w:tcPr>
          <w:p w14:paraId="6EE720D4"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1001- PROGRAMACION MONETARIA Y ESTUDIOS ECONOMICOS</w:t>
            </w:r>
          </w:p>
        </w:tc>
        <w:tc>
          <w:tcPr>
            <w:tcW w:w="2160" w:type="dxa"/>
            <w:noWrap/>
          </w:tcPr>
          <w:p w14:paraId="33E368D1" w14:textId="77777777" w:rsidR="00D9267D" w:rsidRPr="0064264A" w:rsidRDefault="00D9267D" w:rsidP="00D9267D">
            <w:pPr>
              <w:spacing w:line="360" w:lineRule="auto"/>
              <w:jc w:val="both"/>
              <w:rPr>
                <w:rFonts w:eastAsia="Calibri"/>
                <w:color w:val="767171"/>
                <w:lang w:val="es-DO"/>
              </w:rPr>
            </w:pPr>
            <w:r w:rsidRPr="0064264A">
              <w:rPr>
                <w:rFonts w:eastAsia="Calibri"/>
                <w:color w:val="767171"/>
                <w:lang w:val="es-DO"/>
              </w:rPr>
              <w:t>OE.1</w:t>
            </w:r>
          </w:p>
        </w:tc>
      </w:tr>
      <w:tr w:rsidR="0064264A" w:rsidRPr="0064264A" w14:paraId="11A7B50A" w14:textId="77777777" w:rsidTr="00953742">
        <w:trPr>
          <w:trHeight w:val="1200"/>
        </w:trPr>
        <w:tc>
          <w:tcPr>
            <w:tcW w:w="701" w:type="dxa"/>
            <w:noWrap/>
            <w:hideMark/>
          </w:tcPr>
          <w:p w14:paraId="3F181877"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7</w:t>
            </w:r>
          </w:p>
        </w:tc>
        <w:tc>
          <w:tcPr>
            <w:tcW w:w="2753" w:type="dxa"/>
            <w:hideMark/>
          </w:tcPr>
          <w:p w14:paraId="1A6F6952"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Digitalización del proceso de levantamiento de información básica para las estadísticas económicas: Encuesta Nacional de Precios al Consumidor (2024-2025).</w:t>
            </w:r>
          </w:p>
        </w:tc>
        <w:tc>
          <w:tcPr>
            <w:tcW w:w="2296" w:type="dxa"/>
            <w:hideMark/>
          </w:tcPr>
          <w:p w14:paraId="3F282B55"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1401- CUENTAS NACIONALES Y ESTADISTICAS ECONOMICAS</w:t>
            </w:r>
          </w:p>
        </w:tc>
        <w:tc>
          <w:tcPr>
            <w:tcW w:w="2160" w:type="dxa"/>
            <w:noWrap/>
            <w:hideMark/>
          </w:tcPr>
          <w:p w14:paraId="03132CBB"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OE.1</w:t>
            </w:r>
          </w:p>
        </w:tc>
      </w:tr>
      <w:tr w:rsidR="0064264A" w:rsidRPr="0064264A" w14:paraId="5FBAE2ED" w14:textId="77777777" w:rsidTr="00953742">
        <w:trPr>
          <w:trHeight w:val="1200"/>
        </w:trPr>
        <w:tc>
          <w:tcPr>
            <w:tcW w:w="701" w:type="dxa"/>
            <w:noWrap/>
          </w:tcPr>
          <w:p w14:paraId="69D8EF77"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8</w:t>
            </w:r>
          </w:p>
        </w:tc>
        <w:tc>
          <w:tcPr>
            <w:tcW w:w="2753" w:type="dxa"/>
          </w:tcPr>
          <w:p w14:paraId="426786DD"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Levantamiento de la Encuesta Nacional de Gastos e Ingresos de los Hogares (ENGIH) (2025-2027).</w:t>
            </w:r>
          </w:p>
        </w:tc>
        <w:tc>
          <w:tcPr>
            <w:tcW w:w="2296" w:type="dxa"/>
          </w:tcPr>
          <w:p w14:paraId="18ADB5F0"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1401- CUENTAS NACIONALES Y ESTADISTICAS ECONOMICAS</w:t>
            </w:r>
          </w:p>
        </w:tc>
        <w:tc>
          <w:tcPr>
            <w:tcW w:w="2160" w:type="dxa"/>
            <w:noWrap/>
          </w:tcPr>
          <w:p w14:paraId="5B297002" w14:textId="77777777" w:rsidR="00D9267D" w:rsidRPr="0064264A" w:rsidRDefault="00D9267D" w:rsidP="00D9267D">
            <w:pPr>
              <w:spacing w:line="360" w:lineRule="auto"/>
              <w:jc w:val="both"/>
              <w:rPr>
                <w:rFonts w:eastAsia="Calibri"/>
                <w:color w:val="767171"/>
                <w:lang w:val="es-DO"/>
              </w:rPr>
            </w:pPr>
            <w:r w:rsidRPr="0064264A">
              <w:rPr>
                <w:rFonts w:eastAsia="Calibri"/>
                <w:color w:val="767171"/>
                <w:lang w:val="es-DO"/>
              </w:rPr>
              <w:t>OE.1</w:t>
            </w:r>
          </w:p>
        </w:tc>
      </w:tr>
      <w:tr w:rsidR="0064264A" w:rsidRPr="0064264A" w14:paraId="046114C1" w14:textId="77777777" w:rsidTr="00953742">
        <w:trPr>
          <w:trHeight w:val="1200"/>
        </w:trPr>
        <w:tc>
          <w:tcPr>
            <w:tcW w:w="701" w:type="dxa"/>
            <w:noWrap/>
            <w:hideMark/>
          </w:tcPr>
          <w:p w14:paraId="1FA09503"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9</w:t>
            </w:r>
          </w:p>
        </w:tc>
        <w:tc>
          <w:tcPr>
            <w:tcW w:w="2753" w:type="dxa"/>
            <w:hideMark/>
          </w:tcPr>
          <w:p w14:paraId="6E8151AE"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Diseño y actualización del marco muestral para la encuesta nacional de gastos e ingresos de los hogares (2025).</w:t>
            </w:r>
          </w:p>
        </w:tc>
        <w:tc>
          <w:tcPr>
            <w:tcW w:w="2296" w:type="dxa"/>
            <w:hideMark/>
          </w:tcPr>
          <w:p w14:paraId="722765E3"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1401- CUENTAS NACIONALES Y ESTADISTICAS ECONOMICAS</w:t>
            </w:r>
          </w:p>
        </w:tc>
        <w:tc>
          <w:tcPr>
            <w:tcW w:w="2160" w:type="dxa"/>
            <w:noWrap/>
            <w:hideMark/>
          </w:tcPr>
          <w:p w14:paraId="6C7CA209"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OE.1</w:t>
            </w:r>
          </w:p>
        </w:tc>
      </w:tr>
      <w:tr w:rsidR="0064264A" w:rsidRPr="0064264A" w14:paraId="153D27C1" w14:textId="77777777" w:rsidTr="00953742">
        <w:trPr>
          <w:trHeight w:val="1200"/>
        </w:trPr>
        <w:tc>
          <w:tcPr>
            <w:tcW w:w="701" w:type="dxa"/>
            <w:noWrap/>
          </w:tcPr>
          <w:p w14:paraId="1B65EFBB"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10</w:t>
            </w:r>
          </w:p>
        </w:tc>
        <w:tc>
          <w:tcPr>
            <w:tcW w:w="2753" w:type="dxa"/>
          </w:tcPr>
          <w:p w14:paraId="30AA9494"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Adquisición e Implementación del Sistema de Gestión de Pagos Instantáneos BCRD (2024-2027).</w:t>
            </w:r>
          </w:p>
        </w:tc>
        <w:tc>
          <w:tcPr>
            <w:tcW w:w="2296" w:type="dxa"/>
          </w:tcPr>
          <w:p w14:paraId="1B12BBB9"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3601-SISTEMAS DE PAGOS</w:t>
            </w:r>
          </w:p>
        </w:tc>
        <w:tc>
          <w:tcPr>
            <w:tcW w:w="2160" w:type="dxa"/>
            <w:noWrap/>
          </w:tcPr>
          <w:p w14:paraId="38B86666" w14:textId="77777777" w:rsidR="00D9267D" w:rsidRPr="0064264A" w:rsidRDefault="00D9267D" w:rsidP="00D9267D">
            <w:pPr>
              <w:spacing w:line="360" w:lineRule="auto"/>
              <w:jc w:val="both"/>
              <w:rPr>
                <w:rFonts w:eastAsia="Calibri"/>
                <w:color w:val="767171"/>
                <w:lang w:val="es-DO"/>
              </w:rPr>
            </w:pPr>
            <w:r w:rsidRPr="0064264A">
              <w:rPr>
                <w:rFonts w:eastAsia="Calibri"/>
                <w:color w:val="767171"/>
                <w:lang w:val="es-DO"/>
              </w:rPr>
              <w:t>OE.2</w:t>
            </w:r>
          </w:p>
        </w:tc>
      </w:tr>
      <w:tr w:rsidR="0064264A" w:rsidRPr="0064264A" w14:paraId="56D4826C" w14:textId="77777777" w:rsidTr="00953742">
        <w:trPr>
          <w:trHeight w:val="1200"/>
        </w:trPr>
        <w:tc>
          <w:tcPr>
            <w:tcW w:w="701" w:type="dxa"/>
            <w:noWrap/>
          </w:tcPr>
          <w:p w14:paraId="662AE2A4"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11</w:t>
            </w:r>
          </w:p>
        </w:tc>
        <w:tc>
          <w:tcPr>
            <w:tcW w:w="2753" w:type="dxa"/>
          </w:tcPr>
          <w:p w14:paraId="16458B04"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Implementación del Centro de Recuperación Ante Desastres (Sitio Frío) (2023-2025).</w:t>
            </w:r>
          </w:p>
        </w:tc>
        <w:tc>
          <w:tcPr>
            <w:tcW w:w="2296" w:type="dxa"/>
          </w:tcPr>
          <w:p w14:paraId="04F2DF57"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3801-</w:t>
            </w:r>
            <w:r w:rsidRPr="0064264A">
              <w:rPr>
                <w:rFonts w:ascii="Times New Roman" w:eastAsia="Calibri" w:hAnsi="Times New Roman" w:cs="Times New Roman"/>
                <w:color w:val="767171"/>
                <w:lang w:val="es-AR"/>
              </w:rPr>
              <w:t>SEGURIDAD CIBERNÉTICA Y DE LA INFORMACIÓN</w:t>
            </w:r>
          </w:p>
        </w:tc>
        <w:tc>
          <w:tcPr>
            <w:tcW w:w="2160" w:type="dxa"/>
            <w:noWrap/>
          </w:tcPr>
          <w:p w14:paraId="746EB9A2" w14:textId="77777777" w:rsidR="00D9267D" w:rsidRPr="0064264A" w:rsidRDefault="00D9267D" w:rsidP="00D9267D">
            <w:pPr>
              <w:spacing w:line="360" w:lineRule="auto"/>
              <w:jc w:val="both"/>
              <w:rPr>
                <w:rFonts w:eastAsia="Calibri"/>
                <w:color w:val="767171"/>
                <w:lang w:val="es-DO"/>
              </w:rPr>
            </w:pPr>
            <w:r w:rsidRPr="0064264A">
              <w:rPr>
                <w:rFonts w:eastAsia="Calibri"/>
                <w:color w:val="767171"/>
                <w:lang w:val="es-DO"/>
              </w:rPr>
              <w:t>OE.2</w:t>
            </w:r>
          </w:p>
        </w:tc>
      </w:tr>
      <w:tr w:rsidR="0064264A" w:rsidRPr="0064264A" w14:paraId="34A54D04" w14:textId="77777777" w:rsidTr="00953742">
        <w:trPr>
          <w:trHeight w:val="600"/>
        </w:trPr>
        <w:tc>
          <w:tcPr>
            <w:tcW w:w="701" w:type="dxa"/>
            <w:noWrap/>
          </w:tcPr>
          <w:p w14:paraId="319C4BC4"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lastRenderedPageBreak/>
              <w:t>12</w:t>
            </w:r>
          </w:p>
        </w:tc>
        <w:tc>
          <w:tcPr>
            <w:tcW w:w="2753" w:type="dxa"/>
          </w:tcPr>
          <w:p w14:paraId="54137292"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 xml:space="preserve">Plataforma Electrónica de Negociación de Divisas (2016-2025). </w:t>
            </w:r>
          </w:p>
        </w:tc>
        <w:tc>
          <w:tcPr>
            <w:tcW w:w="2296" w:type="dxa"/>
          </w:tcPr>
          <w:p w14:paraId="091F391D"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3101- TESORERIA</w:t>
            </w:r>
          </w:p>
        </w:tc>
        <w:tc>
          <w:tcPr>
            <w:tcW w:w="2160" w:type="dxa"/>
            <w:noWrap/>
          </w:tcPr>
          <w:p w14:paraId="0DDEBA7F"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OE.3</w:t>
            </w:r>
          </w:p>
        </w:tc>
      </w:tr>
      <w:tr w:rsidR="0064264A" w:rsidRPr="0064264A" w14:paraId="34F22B58" w14:textId="77777777" w:rsidTr="00953742">
        <w:trPr>
          <w:trHeight w:val="600"/>
        </w:trPr>
        <w:tc>
          <w:tcPr>
            <w:tcW w:w="701" w:type="dxa"/>
            <w:noWrap/>
          </w:tcPr>
          <w:p w14:paraId="448852BE"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13</w:t>
            </w:r>
          </w:p>
        </w:tc>
        <w:tc>
          <w:tcPr>
            <w:tcW w:w="2753" w:type="dxa"/>
          </w:tcPr>
          <w:p w14:paraId="3CDB1705" w14:textId="77777777" w:rsidR="00D9267D" w:rsidRPr="0064264A" w:rsidRDefault="00D9267D" w:rsidP="00D9267D">
            <w:pPr>
              <w:spacing w:after="160"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Adquisición e Implementación de una Plataforma de Gestión de Portafolio de Reservas (2019- 2025).</w:t>
            </w:r>
          </w:p>
          <w:p w14:paraId="3C0EE60C" w14:textId="77777777" w:rsidR="00D9267D" w:rsidRPr="0064264A" w:rsidRDefault="00D9267D" w:rsidP="00D9267D">
            <w:pPr>
              <w:spacing w:line="360" w:lineRule="auto"/>
              <w:jc w:val="both"/>
              <w:rPr>
                <w:rFonts w:ascii="Times New Roman" w:eastAsia="Calibri" w:hAnsi="Times New Roman" w:cs="Times New Roman"/>
                <w:color w:val="767171"/>
                <w:lang w:val="es-DO"/>
              </w:rPr>
            </w:pPr>
          </w:p>
        </w:tc>
        <w:tc>
          <w:tcPr>
            <w:tcW w:w="2296" w:type="dxa"/>
          </w:tcPr>
          <w:p w14:paraId="229C1BEC"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3101- TESORERIA</w:t>
            </w:r>
          </w:p>
        </w:tc>
        <w:tc>
          <w:tcPr>
            <w:tcW w:w="2160" w:type="dxa"/>
            <w:noWrap/>
          </w:tcPr>
          <w:p w14:paraId="59E80419"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OE.3</w:t>
            </w:r>
          </w:p>
        </w:tc>
      </w:tr>
      <w:tr w:rsidR="0064264A" w:rsidRPr="0064264A" w14:paraId="29855781" w14:textId="77777777" w:rsidTr="00953742">
        <w:trPr>
          <w:trHeight w:val="600"/>
        </w:trPr>
        <w:tc>
          <w:tcPr>
            <w:tcW w:w="701" w:type="dxa"/>
            <w:noWrap/>
          </w:tcPr>
          <w:p w14:paraId="497596E6"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14</w:t>
            </w:r>
          </w:p>
        </w:tc>
        <w:tc>
          <w:tcPr>
            <w:tcW w:w="2753" w:type="dxa"/>
          </w:tcPr>
          <w:p w14:paraId="3F2ADDC8"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Adecuación de la Gestión Documental del Banco Central a las disposiciones reglamentarias vigentes (2022-2025).</w:t>
            </w:r>
          </w:p>
        </w:tc>
        <w:tc>
          <w:tcPr>
            <w:tcW w:w="2296" w:type="dxa"/>
          </w:tcPr>
          <w:p w14:paraId="6A8B0E88"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0301-SECRETARIA</w:t>
            </w:r>
          </w:p>
        </w:tc>
        <w:tc>
          <w:tcPr>
            <w:tcW w:w="2160" w:type="dxa"/>
            <w:noWrap/>
          </w:tcPr>
          <w:p w14:paraId="73B95F2E" w14:textId="77777777" w:rsidR="00D9267D" w:rsidRPr="0064264A" w:rsidRDefault="00D9267D" w:rsidP="00D9267D">
            <w:pPr>
              <w:spacing w:line="360" w:lineRule="auto"/>
              <w:jc w:val="both"/>
              <w:rPr>
                <w:rFonts w:eastAsia="Calibri"/>
                <w:color w:val="767171"/>
                <w:lang w:val="es-DO"/>
              </w:rPr>
            </w:pPr>
            <w:r w:rsidRPr="0064264A">
              <w:rPr>
                <w:rFonts w:eastAsia="Calibri"/>
                <w:color w:val="767171"/>
                <w:lang w:val="es-DO"/>
              </w:rPr>
              <w:t>OE.4</w:t>
            </w:r>
          </w:p>
        </w:tc>
      </w:tr>
      <w:tr w:rsidR="0064264A" w:rsidRPr="0064264A" w14:paraId="3E4A97E9" w14:textId="77777777" w:rsidTr="00953742">
        <w:trPr>
          <w:trHeight w:val="600"/>
        </w:trPr>
        <w:tc>
          <w:tcPr>
            <w:tcW w:w="701" w:type="dxa"/>
            <w:noWrap/>
            <w:hideMark/>
          </w:tcPr>
          <w:p w14:paraId="7B7ACA00"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15</w:t>
            </w:r>
          </w:p>
        </w:tc>
        <w:tc>
          <w:tcPr>
            <w:tcW w:w="2753" w:type="dxa"/>
            <w:hideMark/>
          </w:tcPr>
          <w:p w14:paraId="30A44F8C"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Modernización de los Sistemas de Climatización de la Torre de Oficinas, Auditorio y Antigua Sede (2018-2025)</w:t>
            </w:r>
          </w:p>
        </w:tc>
        <w:tc>
          <w:tcPr>
            <w:tcW w:w="2296" w:type="dxa"/>
            <w:hideMark/>
          </w:tcPr>
          <w:p w14:paraId="2A8C76EB"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0801-ADMINISTRATIVO</w:t>
            </w:r>
          </w:p>
        </w:tc>
        <w:tc>
          <w:tcPr>
            <w:tcW w:w="2160" w:type="dxa"/>
            <w:noWrap/>
            <w:hideMark/>
          </w:tcPr>
          <w:p w14:paraId="69BACCAA"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OE.4</w:t>
            </w:r>
          </w:p>
        </w:tc>
      </w:tr>
      <w:tr w:rsidR="0064264A" w:rsidRPr="0064264A" w14:paraId="0C203D51" w14:textId="77777777" w:rsidTr="00953742">
        <w:trPr>
          <w:trHeight w:val="600"/>
        </w:trPr>
        <w:tc>
          <w:tcPr>
            <w:tcW w:w="701" w:type="dxa"/>
            <w:noWrap/>
            <w:hideMark/>
          </w:tcPr>
          <w:p w14:paraId="4EB28CAD"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16</w:t>
            </w:r>
          </w:p>
        </w:tc>
        <w:tc>
          <w:tcPr>
            <w:tcW w:w="2753" w:type="dxa"/>
            <w:hideMark/>
          </w:tcPr>
          <w:p w14:paraId="32CBAA2E" w14:textId="77777777" w:rsidR="00D9267D" w:rsidRPr="0064264A" w:rsidRDefault="00D9267D" w:rsidP="00D9267D">
            <w:pPr>
              <w:spacing w:after="160"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Sustitución del Sistema de Climatización de la Gobernación, piso 12 de la Torre de Oficinas (2024-2025).</w:t>
            </w:r>
          </w:p>
        </w:tc>
        <w:tc>
          <w:tcPr>
            <w:tcW w:w="2296" w:type="dxa"/>
            <w:hideMark/>
          </w:tcPr>
          <w:p w14:paraId="4A4C7EAD"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0801-ADMINISTRATIVO</w:t>
            </w:r>
          </w:p>
        </w:tc>
        <w:tc>
          <w:tcPr>
            <w:tcW w:w="2160" w:type="dxa"/>
            <w:noWrap/>
            <w:hideMark/>
          </w:tcPr>
          <w:p w14:paraId="73A49620"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OE.4</w:t>
            </w:r>
          </w:p>
        </w:tc>
      </w:tr>
      <w:tr w:rsidR="0064264A" w:rsidRPr="0064264A" w14:paraId="14DD38D8" w14:textId="77777777" w:rsidTr="00953742">
        <w:trPr>
          <w:trHeight w:val="600"/>
        </w:trPr>
        <w:tc>
          <w:tcPr>
            <w:tcW w:w="701" w:type="dxa"/>
            <w:noWrap/>
          </w:tcPr>
          <w:p w14:paraId="4BDD1149"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17</w:t>
            </w:r>
          </w:p>
        </w:tc>
        <w:tc>
          <w:tcPr>
            <w:tcW w:w="2753" w:type="dxa"/>
          </w:tcPr>
          <w:p w14:paraId="7AECF495"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Completar generación de electricidad con paneles solares fotovoltaicos en las instalaciones de la Oficina Regional de Santiago (ORS) (2025)</w:t>
            </w:r>
          </w:p>
        </w:tc>
        <w:tc>
          <w:tcPr>
            <w:tcW w:w="2296" w:type="dxa"/>
          </w:tcPr>
          <w:p w14:paraId="6F6FFAE0"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0801-ADMINISTRATIVO</w:t>
            </w:r>
          </w:p>
        </w:tc>
        <w:tc>
          <w:tcPr>
            <w:tcW w:w="2160" w:type="dxa"/>
            <w:noWrap/>
          </w:tcPr>
          <w:p w14:paraId="35F8623B"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OE.4</w:t>
            </w:r>
          </w:p>
        </w:tc>
      </w:tr>
      <w:tr w:rsidR="0064264A" w:rsidRPr="0064264A" w14:paraId="0ED1C1D4" w14:textId="77777777" w:rsidTr="00953742">
        <w:trPr>
          <w:trHeight w:val="600"/>
        </w:trPr>
        <w:tc>
          <w:tcPr>
            <w:tcW w:w="701" w:type="dxa"/>
            <w:noWrap/>
          </w:tcPr>
          <w:p w14:paraId="05DA6DEB"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lastRenderedPageBreak/>
              <w:t>18</w:t>
            </w:r>
          </w:p>
        </w:tc>
        <w:tc>
          <w:tcPr>
            <w:tcW w:w="2753" w:type="dxa"/>
          </w:tcPr>
          <w:p w14:paraId="27B793BC"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Remozamiento de la Sala Numismática de exposición permanente y las Áreas Administrativas del Museo Numismático y Filatélico del Banco Central (2025-2026)</w:t>
            </w:r>
          </w:p>
        </w:tc>
        <w:tc>
          <w:tcPr>
            <w:tcW w:w="2296" w:type="dxa"/>
          </w:tcPr>
          <w:p w14:paraId="48AB5216"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2301-CULTURAL</w:t>
            </w:r>
          </w:p>
        </w:tc>
        <w:tc>
          <w:tcPr>
            <w:tcW w:w="2160" w:type="dxa"/>
            <w:noWrap/>
          </w:tcPr>
          <w:p w14:paraId="6F78F812"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OE.4</w:t>
            </w:r>
          </w:p>
        </w:tc>
      </w:tr>
      <w:tr w:rsidR="0064264A" w:rsidRPr="0064264A" w14:paraId="0A13150B" w14:textId="77777777" w:rsidTr="00953742">
        <w:trPr>
          <w:trHeight w:val="600"/>
        </w:trPr>
        <w:tc>
          <w:tcPr>
            <w:tcW w:w="701" w:type="dxa"/>
            <w:noWrap/>
          </w:tcPr>
          <w:p w14:paraId="20059C16"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19</w:t>
            </w:r>
          </w:p>
        </w:tc>
        <w:tc>
          <w:tcPr>
            <w:tcW w:w="2753" w:type="dxa"/>
          </w:tcPr>
          <w:p w14:paraId="1241C911"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Adecuación y Sustitución de Estaciones Modulares en la Torre de Oficinas del Banco Central, Piso 5 (2014-2025).</w:t>
            </w:r>
          </w:p>
        </w:tc>
        <w:tc>
          <w:tcPr>
            <w:tcW w:w="2296" w:type="dxa"/>
          </w:tcPr>
          <w:p w14:paraId="00CB5930"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0801-ADMINISTRATIVO</w:t>
            </w:r>
          </w:p>
        </w:tc>
        <w:tc>
          <w:tcPr>
            <w:tcW w:w="2160" w:type="dxa"/>
            <w:noWrap/>
          </w:tcPr>
          <w:p w14:paraId="142928E8"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OE.5</w:t>
            </w:r>
          </w:p>
        </w:tc>
      </w:tr>
      <w:tr w:rsidR="0064264A" w:rsidRPr="0064264A" w14:paraId="0783203F" w14:textId="77777777" w:rsidTr="00953742">
        <w:trPr>
          <w:trHeight w:val="600"/>
        </w:trPr>
        <w:tc>
          <w:tcPr>
            <w:tcW w:w="701" w:type="dxa"/>
            <w:noWrap/>
          </w:tcPr>
          <w:p w14:paraId="191AEDED"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20</w:t>
            </w:r>
          </w:p>
        </w:tc>
        <w:tc>
          <w:tcPr>
            <w:tcW w:w="2753" w:type="dxa"/>
          </w:tcPr>
          <w:p w14:paraId="39264B4B"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Sustitución Transformadores de la Torre de Oficinas del Banco Central (2015-2025).</w:t>
            </w:r>
          </w:p>
        </w:tc>
        <w:tc>
          <w:tcPr>
            <w:tcW w:w="2296" w:type="dxa"/>
          </w:tcPr>
          <w:p w14:paraId="0D234232"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0801-ADMINISTRATIVO</w:t>
            </w:r>
          </w:p>
        </w:tc>
        <w:tc>
          <w:tcPr>
            <w:tcW w:w="2160" w:type="dxa"/>
            <w:noWrap/>
          </w:tcPr>
          <w:p w14:paraId="1CAF2DF7" w14:textId="77777777" w:rsidR="00D9267D" w:rsidRPr="0064264A" w:rsidRDefault="00D9267D" w:rsidP="00D9267D">
            <w:pPr>
              <w:spacing w:line="360" w:lineRule="auto"/>
              <w:jc w:val="both"/>
              <w:rPr>
                <w:rFonts w:eastAsia="Calibri"/>
                <w:color w:val="767171"/>
                <w:lang w:val="es-DO"/>
              </w:rPr>
            </w:pPr>
            <w:r w:rsidRPr="0064264A">
              <w:rPr>
                <w:rFonts w:eastAsia="Calibri"/>
                <w:color w:val="767171"/>
                <w:lang w:val="es-DO"/>
              </w:rPr>
              <w:t>OE.5</w:t>
            </w:r>
          </w:p>
        </w:tc>
      </w:tr>
      <w:tr w:rsidR="0064264A" w:rsidRPr="0064264A" w14:paraId="101AD021" w14:textId="77777777" w:rsidTr="00953742">
        <w:trPr>
          <w:trHeight w:val="600"/>
        </w:trPr>
        <w:tc>
          <w:tcPr>
            <w:tcW w:w="701" w:type="dxa"/>
            <w:noWrap/>
          </w:tcPr>
          <w:p w14:paraId="4C78B740"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21</w:t>
            </w:r>
          </w:p>
        </w:tc>
        <w:tc>
          <w:tcPr>
            <w:tcW w:w="2753" w:type="dxa"/>
          </w:tcPr>
          <w:p w14:paraId="4E1AEC17"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Programa de Remodelación y Redistribución de la Torre de Oficinas (2024-2025).</w:t>
            </w:r>
          </w:p>
        </w:tc>
        <w:tc>
          <w:tcPr>
            <w:tcW w:w="2296" w:type="dxa"/>
          </w:tcPr>
          <w:p w14:paraId="79E00006"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0801-ADMINISTRATIVO</w:t>
            </w:r>
          </w:p>
        </w:tc>
        <w:tc>
          <w:tcPr>
            <w:tcW w:w="2160" w:type="dxa"/>
            <w:noWrap/>
          </w:tcPr>
          <w:p w14:paraId="216DE5EF"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OE.5</w:t>
            </w:r>
          </w:p>
        </w:tc>
      </w:tr>
      <w:tr w:rsidR="0064264A" w:rsidRPr="0064264A" w14:paraId="57D853AF" w14:textId="77777777" w:rsidTr="00953742">
        <w:trPr>
          <w:trHeight w:val="600"/>
        </w:trPr>
        <w:tc>
          <w:tcPr>
            <w:tcW w:w="701" w:type="dxa"/>
            <w:noWrap/>
          </w:tcPr>
          <w:p w14:paraId="6FAF2E58"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22</w:t>
            </w:r>
          </w:p>
        </w:tc>
        <w:tc>
          <w:tcPr>
            <w:tcW w:w="2753" w:type="dxa"/>
          </w:tcPr>
          <w:p w14:paraId="2E91D431"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 xml:space="preserve">Optimizar la gestión y consulta del Concurso Anual de Economía Biblioteca «Juan Pablo Duarte» y del Concurso de Arte y Literatura </w:t>
            </w:r>
            <w:proofErr w:type="spellStart"/>
            <w:r w:rsidRPr="0064264A">
              <w:rPr>
                <w:rFonts w:ascii="Times New Roman" w:eastAsia="Calibri" w:hAnsi="Times New Roman" w:cs="Times New Roman"/>
                <w:color w:val="767171"/>
                <w:lang w:val="es-DO"/>
              </w:rPr>
              <w:t>Bancentral</w:t>
            </w:r>
            <w:proofErr w:type="spellEnd"/>
            <w:r w:rsidRPr="0064264A">
              <w:rPr>
                <w:rFonts w:ascii="Times New Roman" w:eastAsia="Calibri" w:hAnsi="Times New Roman" w:cs="Times New Roman"/>
                <w:color w:val="767171"/>
                <w:lang w:val="es-DO"/>
              </w:rPr>
              <w:t xml:space="preserve"> (2022-2025).</w:t>
            </w:r>
          </w:p>
        </w:tc>
        <w:tc>
          <w:tcPr>
            <w:tcW w:w="2296" w:type="dxa"/>
          </w:tcPr>
          <w:p w14:paraId="2B8616C5"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2301-CULTURAL</w:t>
            </w:r>
          </w:p>
        </w:tc>
        <w:tc>
          <w:tcPr>
            <w:tcW w:w="2160" w:type="dxa"/>
            <w:noWrap/>
          </w:tcPr>
          <w:p w14:paraId="52245B88"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OE.5</w:t>
            </w:r>
          </w:p>
        </w:tc>
      </w:tr>
      <w:tr w:rsidR="0064264A" w:rsidRPr="0064264A" w14:paraId="1F45E38B" w14:textId="77777777" w:rsidTr="00953742">
        <w:trPr>
          <w:trHeight w:val="600"/>
        </w:trPr>
        <w:tc>
          <w:tcPr>
            <w:tcW w:w="701" w:type="dxa"/>
            <w:noWrap/>
          </w:tcPr>
          <w:p w14:paraId="210F5444"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23</w:t>
            </w:r>
          </w:p>
        </w:tc>
        <w:tc>
          <w:tcPr>
            <w:tcW w:w="2753" w:type="dxa"/>
          </w:tcPr>
          <w:p w14:paraId="6420798F"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Formulación y Divulgación del Plan Estratégico Institucional 2026-2029 (2025)</w:t>
            </w:r>
          </w:p>
        </w:tc>
        <w:tc>
          <w:tcPr>
            <w:tcW w:w="2296" w:type="dxa"/>
          </w:tcPr>
          <w:p w14:paraId="4CE46061"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2501-PLANIFICACION Y PRESUPUESTO</w:t>
            </w:r>
          </w:p>
        </w:tc>
        <w:tc>
          <w:tcPr>
            <w:tcW w:w="2160" w:type="dxa"/>
            <w:noWrap/>
          </w:tcPr>
          <w:p w14:paraId="7052459F"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OE.5</w:t>
            </w:r>
          </w:p>
        </w:tc>
      </w:tr>
      <w:tr w:rsidR="0064264A" w:rsidRPr="0064264A" w14:paraId="1C843A53" w14:textId="77777777" w:rsidTr="00953742">
        <w:trPr>
          <w:trHeight w:val="600"/>
        </w:trPr>
        <w:tc>
          <w:tcPr>
            <w:tcW w:w="701" w:type="dxa"/>
            <w:noWrap/>
          </w:tcPr>
          <w:p w14:paraId="57370BDC"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24</w:t>
            </w:r>
          </w:p>
        </w:tc>
        <w:tc>
          <w:tcPr>
            <w:tcW w:w="2753" w:type="dxa"/>
            <w:hideMark/>
          </w:tcPr>
          <w:p w14:paraId="75CED1E2"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 xml:space="preserve">Implementación sistema de control </w:t>
            </w:r>
            <w:proofErr w:type="gramStart"/>
            <w:r w:rsidRPr="0064264A">
              <w:rPr>
                <w:rFonts w:ascii="Times New Roman" w:eastAsia="Calibri" w:hAnsi="Times New Roman" w:cs="Times New Roman"/>
                <w:color w:val="767171"/>
                <w:lang w:val="es-DO"/>
              </w:rPr>
              <w:t>acceso  dispositivos</w:t>
            </w:r>
            <w:proofErr w:type="gramEnd"/>
            <w:r w:rsidRPr="0064264A">
              <w:rPr>
                <w:rFonts w:ascii="Times New Roman" w:eastAsia="Calibri" w:hAnsi="Times New Roman" w:cs="Times New Roman"/>
                <w:color w:val="767171"/>
                <w:lang w:val="es-DO"/>
              </w:rPr>
              <w:t xml:space="preserve"> </w:t>
            </w:r>
            <w:r w:rsidRPr="0064264A">
              <w:rPr>
                <w:rFonts w:ascii="Times New Roman" w:eastAsia="Calibri" w:hAnsi="Times New Roman" w:cs="Times New Roman"/>
                <w:color w:val="767171"/>
                <w:lang w:val="es-DO"/>
              </w:rPr>
              <w:lastRenderedPageBreak/>
              <w:t>a las Redes de datos del BCRD (NAC) (2019-2025)</w:t>
            </w:r>
          </w:p>
        </w:tc>
        <w:tc>
          <w:tcPr>
            <w:tcW w:w="2296" w:type="dxa"/>
            <w:hideMark/>
          </w:tcPr>
          <w:p w14:paraId="1A56B893"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lastRenderedPageBreak/>
              <w:t>1301-SISTEMAS Y TECNOLOGIA</w:t>
            </w:r>
          </w:p>
        </w:tc>
        <w:tc>
          <w:tcPr>
            <w:tcW w:w="2160" w:type="dxa"/>
            <w:noWrap/>
            <w:hideMark/>
          </w:tcPr>
          <w:p w14:paraId="0BF3A16B"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OE.5</w:t>
            </w:r>
          </w:p>
        </w:tc>
      </w:tr>
      <w:tr w:rsidR="0064264A" w:rsidRPr="0064264A" w14:paraId="1E94AE0E" w14:textId="77777777" w:rsidTr="00953742">
        <w:trPr>
          <w:trHeight w:val="600"/>
        </w:trPr>
        <w:tc>
          <w:tcPr>
            <w:tcW w:w="701" w:type="dxa"/>
            <w:noWrap/>
          </w:tcPr>
          <w:p w14:paraId="17BE3B53"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25</w:t>
            </w:r>
          </w:p>
        </w:tc>
        <w:tc>
          <w:tcPr>
            <w:tcW w:w="2753" w:type="dxa"/>
            <w:hideMark/>
          </w:tcPr>
          <w:p w14:paraId="77F6A954"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Reestructuración Infraestructura de Switches de los Centros de Datos del BCRD (2025)</w:t>
            </w:r>
          </w:p>
        </w:tc>
        <w:tc>
          <w:tcPr>
            <w:tcW w:w="2296" w:type="dxa"/>
            <w:hideMark/>
          </w:tcPr>
          <w:p w14:paraId="4CCAF4F9"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1301-SISTEMAS Y TECNOLOGIA</w:t>
            </w:r>
          </w:p>
        </w:tc>
        <w:tc>
          <w:tcPr>
            <w:tcW w:w="2160" w:type="dxa"/>
            <w:noWrap/>
            <w:hideMark/>
          </w:tcPr>
          <w:p w14:paraId="2124DF3B"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OE.5</w:t>
            </w:r>
          </w:p>
        </w:tc>
      </w:tr>
      <w:tr w:rsidR="0064264A" w:rsidRPr="0064264A" w14:paraId="35D69093" w14:textId="77777777" w:rsidTr="00953742">
        <w:trPr>
          <w:trHeight w:val="600"/>
        </w:trPr>
        <w:tc>
          <w:tcPr>
            <w:tcW w:w="701" w:type="dxa"/>
            <w:noWrap/>
          </w:tcPr>
          <w:p w14:paraId="48E61DD6"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26</w:t>
            </w:r>
          </w:p>
        </w:tc>
        <w:tc>
          <w:tcPr>
            <w:tcW w:w="2753" w:type="dxa"/>
          </w:tcPr>
          <w:p w14:paraId="3F1370E9"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Implementación de Herramientas para el aseguramiento, detección y auditoría del sistema para la seguridad en el AS/400 (2022-2025)</w:t>
            </w:r>
          </w:p>
        </w:tc>
        <w:tc>
          <w:tcPr>
            <w:tcW w:w="2296" w:type="dxa"/>
          </w:tcPr>
          <w:p w14:paraId="67DF7023"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3801-</w:t>
            </w:r>
            <w:r w:rsidRPr="0064264A">
              <w:rPr>
                <w:rFonts w:ascii="Times New Roman" w:eastAsia="Calibri" w:hAnsi="Times New Roman" w:cs="Times New Roman"/>
                <w:color w:val="767171"/>
                <w:lang w:val="es-AR"/>
              </w:rPr>
              <w:t>SEGURIDAD CIBERNÉTICA Y DE LA INFORMACIÓN</w:t>
            </w:r>
          </w:p>
        </w:tc>
        <w:tc>
          <w:tcPr>
            <w:tcW w:w="2160" w:type="dxa"/>
            <w:noWrap/>
          </w:tcPr>
          <w:p w14:paraId="01DDD239" w14:textId="77777777" w:rsidR="00D9267D" w:rsidRPr="0064264A" w:rsidRDefault="00D9267D" w:rsidP="00D9267D">
            <w:pPr>
              <w:spacing w:line="360" w:lineRule="auto"/>
              <w:jc w:val="both"/>
              <w:rPr>
                <w:rFonts w:eastAsia="Calibri"/>
                <w:b/>
                <w:bCs/>
                <w:color w:val="767171"/>
              </w:rPr>
            </w:pPr>
            <w:r w:rsidRPr="0064264A">
              <w:rPr>
                <w:rFonts w:eastAsia="Calibri"/>
                <w:color w:val="767171"/>
                <w:lang w:val="es-DO"/>
              </w:rPr>
              <w:t>OE.5</w:t>
            </w:r>
          </w:p>
        </w:tc>
      </w:tr>
      <w:tr w:rsidR="0064264A" w:rsidRPr="0064264A" w14:paraId="612E0049" w14:textId="77777777" w:rsidTr="00953742">
        <w:trPr>
          <w:trHeight w:val="600"/>
        </w:trPr>
        <w:tc>
          <w:tcPr>
            <w:tcW w:w="701" w:type="dxa"/>
            <w:noWrap/>
          </w:tcPr>
          <w:p w14:paraId="03753645"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27</w:t>
            </w:r>
          </w:p>
        </w:tc>
        <w:tc>
          <w:tcPr>
            <w:tcW w:w="2753" w:type="dxa"/>
          </w:tcPr>
          <w:p w14:paraId="42AF9789" w14:textId="77777777" w:rsidR="00D9267D" w:rsidRPr="0064264A" w:rsidRDefault="00D9267D" w:rsidP="00D9267D">
            <w:pPr>
              <w:spacing w:line="360" w:lineRule="auto"/>
              <w:jc w:val="both"/>
              <w:rPr>
                <w:rFonts w:ascii="Times New Roman" w:eastAsia="Calibri" w:hAnsi="Times New Roman" w:cs="Times New Roman"/>
                <w:color w:val="767171"/>
                <w:lang w:val="es-DO"/>
              </w:rPr>
            </w:pPr>
            <w:r w:rsidRPr="0064264A">
              <w:rPr>
                <w:rFonts w:ascii="Times New Roman" w:eastAsia="Calibri" w:hAnsi="Times New Roman" w:cs="Times New Roman"/>
                <w:color w:val="767171"/>
                <w:lang w:val="es-DO"/>
              </w:rPr>
              <w:t>Herramienta para Proyección, Formulación y Gestión Presupuestaria y Estratégica en el BCRD (2025-2026)</w:t>
            </w:r>
          </w:p>
        </w:tc>
        <w:tc>
          <w:tcPr>
            <w:tcW w:w="2296" w:type="dxa"/>
          </w:tcPr>
          <w:p w14:paraId="65552B86" w14:textId="77777777" w:rsidR="00D9267D" w:rsidRPr="0064264A" w:rsidRDefault="00D9267D" w:rsidP="00D9267D">
            <w:pPr>
              <w:spacing w:line="360" w:lineRule="auto"/>
              <w:jc w:val="both"/>
              <w:rPr>
                <w:rFonts w:ascii="Times New Roman" w:eastAsia="Calibri" w:hAnsi="Times New Roman" w:cs="Times New Roman"/>
                <w:color w:val="767171"/>
              </w:rPr>
            </w:pPr>
            <w:r w:rsidRPr="0064264A">
              <w:rPr>
                <w:rFonts w:ascii="Times New Roman" w:eastAsia="Calibri" w:hAnsi="Times New Roman" w:cs="Times New Roman"/>
                <w:color w:val="767171"/>
                <w:lang w:val="es-DO"/>
              </w:rPr>
              <w:t>2501-PLANIFICACION Y PRESUPUESTO</w:t>
            </w:r>
          </w:p>
        </w:tc>
        <w:tc>
          <w:tcPr>
            <w:tcW w:w="2160" w:type="dxa"/>
            <w:noWrap/>
          </w:tcPr>
          <w:p w14:paraId="0F739BD5" w14:textId="77777777" w:rsidR="00D9267D" w:rsidRPr="0064264A" w:rsidRDefault="00D9267D" w:rsidP="00D9267D">
            <w:pPr>
              <w:spacing w:line="360" w:lineRule="auto"/>
              <w:jc w:val="both"/>
              <w:rPr>
                <w:rFonts w:eastAsia="Calibri"/>
                <w:color w:val="767171"/>
              </w:rPr>
            </w:pPr>
            <w:r w:rsidRPr="0064264A">
              <w:rPr>
                <w:rFonts w:eastAsia="Calibri"/>
                <w:color w:val="767171"/>
                <w:lang w:val="es-DO"/>
              </w:rPr>
              <w:t>OE.6</w:t>
            </w:r>
          </w:p>
        </w:tc>
      </w:tr>
    </w:tbl>
    <w:p w14:paraId="408DBDED" w14:textId="777FF64D" w:rsidR="00D9267D" w:rsidRPr="0064264A" w:rsidRDefault="00D9267D" w:rsidP="00D9267D">
      <w:pPr>
        <w:spacing w:line="360" w:lineRule="auto"/>
        <w:jc w:val="both"/>
        <w:rPr>
          <w:rFonts w:eastAsia="Calibri"/>
          <w:b/>
          <w:sz w:val="22"/>
          <w:szCs w:val="22"/>
          <w:lang w:val="es-DO"/>
        </w:rPr>
      </w:pPr>
      <w:r w:rsidRPr="0064264A">
        <w:rPr>
          <w:rFonts w:eastAsia="Calibri"/>
          <w:lang w:val="es-DO"/>
        </w:rPr>
        <w:t xml:space="preserve">                 </w:t>
      </w:r>
      <w:r w:rsidR="00CE7EC9" w:rsidRPr="0064264A">
        <w:rPr>
          <w:rFonts w:eastAsia="Calibri"/>
          <w:lang w:val="es-DO"/>
        </w:rPr>
        <w:t xml:space="preserve">   </w:t>
      </w:r>
      <w:r w:rsidRPr="0064264A">
        <w:rPr>
          <w:rFonts w:eastAsia="Calibri"/>
          <w:b/>
          <w:sz w:val="22"/>
          <w:szCs w:val="22"/>
          <w:lang w:val="es-DO"/>
        </w:rPr>
        <w:t>Fuente: Depto. Planificación y Presupuesto</w:t>
      </w:r>
    </w:p>
    <w:p w14:paraId="18BC0AC3" w14:textId="77777777" w:rsidR="00D9267D" w:rsidRPr="0064264A" w:rsidRDefault="00D9267D" w:rsidP="008B3000">
      <w:pPr>
        <w:pStyle w:val="Heading1"/>
        <w:jc w:val="left"/>
        <w:rPr>
          <w:rFonts w:eastAsia="Calibri"/>
          <w:color w:val="767171"/>
          <w:lang w:val="es-DO"/>
        </w:rPr>
      </w:pPr>
      <w:bookmarkStart w:id="36" w:name="_Toc217386298"/>
      <w:r w:rsidRPr="0064264A">
        <w:rPr>
          <w:rFonts w:eastAsia="Calibri"/>
          <w:color w:val="767171"/>
          <w:lang w:val="es-DO"/>
        </w:rPr>
        <w:t>Resultados de los Sistemas de Calidad</w:t>
      </w:r>
      <w:bookmarkEnd w:id="36"/>
    </w:p>
    <w:p w14:paraId="67AC47BC" w14:textId="01CEB63E" w:rsidR="00D9267D" w:rsidRPr="0064264A" w:rsidRDefault="00D9267D" w:rsidP="00D9267D">
      <w:pPr>
        <w:spacing w:line="360" w:lineRule="auto"/>
        <w:jc w:val="both"/>
        <w:rPr>
          <w:rFonts w:eastAsia="Calibri"/>
          <w:lang w:val="es-DO"/>
        </w:rPr>
      </w:pPr>
      <w:r w:rsidRPr="0064264A">
        <w:rPr>
          <w:rFonts w:eastAsia="Calibri"/>
          <w:lang w:val="es-DO"/>
        </w:rPr>
        <w:t>Durante el período enero–diciembre de 2025, el Departamento de Auditoría Interna continuó fortaleciendo su marco de actuación mediante la implementación progresiva de las nuevas Normas Globales de Auditoría Interna (NOGAI), emitidas por el Instituto de Auditores Internos Global (IIA) en 2024, y de carácter obligatorio a partir de enero de 2025.</w:t>
      </w:r>
    </w:p>
    <w:p w14:paraId="20AB7BEC" w14:textId="0E101082" w:rsidR="00D9267D" w:rsidRPr="0064264A" w:rsidRDefault="00D9267D" w:rsidP="00D9267D">
      <w:pPr>
        <w:spacing w:line="360" w:lineRule="auto"/>
        <w:jc w:val="both"/>
        <w:rPr>
          <w:rFonts w:eastAsia="Calibri"/>
          <w:lang w:val="es-DO"/>
        </w:rPr>
      </w:pPr>
      <w:r w:rsidRPr="0064264A">
        <w:rPr>
          <w:rFonts w:eastAsia="Calibri"/>
          <w:lang w:val="es-DO"/>
        </w:rPr>
        <w:t xml:space="preserve">Estas Normas constituyen la referencia internacional para la práctica profesional de la auditoría interna, orientando el desempeño, la evaluación y el aseguramiento de la calidad de la función de auditoría. Su implementación contribuye al cumplimiento de los </w:t>
      </w:r>
      <w:r w:rsidRPr="0064264A">
        <w:rPr>
          <w:rFonts w:eastAsia="Calibri"/>
          <w:lang w:val="es-DO"/>
        </w:rPr>
        <w:lastRenderedPageBreak/>
        <w:t>objetivos institucionales del Banco Central, mediante procesos de mejora continua, fortalecimiento de los controles internos y generación de valor hacia la organización.</w:t>
      </w:r>
    </w:p>
    <w:p w14:paraId="6DBDC1A2"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Auditorías a Sistemas de Gestión y Seguridad de la Información</w:t>
      </w:r>
    </w:p>
    <w:p w14:paraId="3C3C3145" w14:textId="72321C25" w:rsidR="00D9267D" w:rsidRPr="0064264A" w:rsidRDefault="00D9267D" w:rsidP="00D9267D">
      <w:pPr>
        <w:spacing w:line="360" w:lineRule="auto"/>
        <w:jc w:val="both"/>
        <w:rPr>
          <w:rFonts w:eastAsia="Calibri"/>
          <w:lang w:val="es-DO"/>
        </w:rPr>
      </w:pPr>
      <w:r w:rsidRPr="0064264A">
        <w:rPr>
          <w:rFonts w:eastAsia="Calibri"/>
          <w:lang w:val="es-DO"/>
        </w:rPr>
        <w:t>Durante el período se ejecutaron auditorías de aseguramiento a sistemas de gestión y al marco de seguridad tecnológica, dentro del alcance permitido por las Normas y lineamientos institucionales.</w:t>
      </w:r>
    </w:p>
    <w:p w14:paraId="6C3B0060"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Auditoría ISO 9001 – Sistema de Gestión de Calidad (SGC)</w:t>
      </w:r>
    </w:p>
    <w:p w14:paraId="2E8A5AB0" w14:textId="77777777" w:rsidR="00D9267D" w:rsidRPr="0064264A" w:rsidRDefault="00D9267D" w:rsidP="00D9267D">
      <w:pPr>
        <w:spacing w:line="360" w:lineRule="auto"/>
        <w:jc w:val="both"/>
        <w:rPr>
          <w:rFonts w:eastAsia="Calibri"/>
          <w:lang w:val="es-DO"/>
        </w:rPr>
      </w:pPr>
      <w:r w:rsidRPr="0064264A">
        <w:rPr>
          <w:rFonts w:eastAsia="Calibri"/>
          <w:lang w:val="es-DO"/>
        </w:rPr>
        <w:t>Se realizó la auditoría interna al Sistema de Gestión de Calidad del Banco Central por el período comprendido del 1 de enero al 31 de diciembre de 2024. El SGC soporta los productos y servicios relacionados con la colocación de instrumentos financieros mediante subastas competitivas y colocación directa de letras, notas y certificados de inversión especial, así como facilidades de contracción y expansión monetaria.</w:t>
      </w:r>
    </w:p>
    <w:p w14:paraId="1CC2A7B2" w14:textId="076EBD6B" w:rsidR="00D9267D" w:rsidRPr="0064264A" w:rsidRDefault="00D9267D" w:rsidP="00D9267D">
      <w:pPr>
        <w:spacing w:line="360" w:lineRule="auto"/>
        <w:jc w:val="both"/>
        <w:rPr>
          <w:rFonts w:eastAsia="Calibri"/>
          <w:lang w:val="es-DO"/>
        </w:rPr>
      </w:pPr>
      <w:r w:rsidRPr="0064264A">
        <w:rPr>
          <w:rFonts w:eastAsia="Calibri"/>
          <w:lang w:val="es-DO"/>
        </w:rPr>
        <w:t>Los resultados evidenciaron cumplimiento satisfactorio con los requisitos aplicables de la Norma ISO 9001:2015, se observó un nivel de madurez creciente del sistema y no fueron identificadas observaciones o no conformidades.</w:t>
      </w:r>
    </w:p>
    <w:p w14:paraId="72A81E2B"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Auditoría ISO 27001 – Sistema de Gestión de Seguridad de la Información (SGSI)</w:t>
      </w:r>
    </w:p>
    <w:p w14:paraId="59B7F05E" w14:textId="3E6573BC" w:rsidR="00D9267D" w:rsidRPr="0064264A" w:rsidRDefault="00D9267D" w:rsidP="00D9267D">
      <w:pPr>
        <w:spacing w:line="360" w:lineRule="auto"/>
        <w:jc w:val="both"/>
        <w:rPr>
          <w:rFonts w:eastAsia="Calibri"/>
          <w:lang w:val="es-DO"/>
        </w:rPr>
      </w:pPr>
      <w:r w:rsidRPr="0064264A">
        <w:rPr>
          <w:rFonts w:eastAsia="Calibri"/>
          <w:lang w:val="es-DO"/>
        </w:rPr>
        <w:t>Se ejecutó la auditoría interna al SGSI correspondiente al período del 1 de enero al 31 de diciembre de 2024, con énfasis en los procesos vinculados a Certificados de Inversión y a la Administración del Sistema de Liquidación Bruta en Tiempo Real (LBTR).</w:t>
      </w:r>
    </w:p>
    <w:p w14:paraId="421692D0" w14:textId="5515C02C" w:rsidR="00D9267D" w:rsidRPr="0064264A" w:rsidRDefault="00D9267D" w:rsidP="00D9267D">
      <w:pPr>
        <w:spacing w:line="360" w:lineRule="auto"/>
        <w:jc w:val="both"/>
        <w:rPr>
          <w:rFonts w:eastAsia="Calibri"/>
          <w:lang w:val="es-DO"/>
        </w:rPr>
      </w:pPr>
      <w:r w:rsidRPr="0064264A">
        <w:rPr>
          <w:rFonts w:eastAsia="Calibri"/>
          <w:lang w:val="es-DO"/>
        </w:rPr>
        <w:t xml:space="preserve">Durante la revisión se verificó el cumplimiento con los requisitos de la Norma ISO/IEC 27001:2022, evaluando controles, políticas y aspectos </w:t>
      </w:r>
      <w:r w:rsidRPr="0064264A">
        <w:rPr>
          <w:rFonts w:eastAsia="Calibri"/>
          <w:lang w:val="es-DO"/>
        </w:rPr>
        <w:lastRenderedPageBreak/>
        <w:t>administrativos aplicados en la gestión de seguridad de la información. Se constató un avance significativo en el nivel de madurez del SGSI, incluso con implementación de controles que exceden el alcance actual de la certificación.</w:t>
      </w:r>
    </w:p>
    <w:p w14:paraId="770B1791"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Auditoría SWIFT – Marco de Controles de Seguridad para el Cliente</w:t>
      </w:r>
    </w:p>
    <w:p w14:paraId="6E6E920A" w14:textId="3E7A3FC3" w:rsidR="00D9267D" w:rsidRPr="0064264A" w:rsidRDefault="00D9267D" w:rsidP="00D9267D">
      <w:pPr>
        <w:spacing w:line="360" w:lineRule="auto"/>
        <w:jc w:val="both"/>
        <w:rPr>
          <w:rFonts w:eastAsia="Calibri"/>
          <w:lang w:val="es-DO"/>
        </w:rPr>
      </w:pPr>
      <w:r w:rsidRPr="0064264A">
        <w:rPr>
          <w:rFonts w:eastAsia="Calibri"/>
          <w:lang w:val="es-DO"/>
        </w:rPr>
        <w:t>Se realizó una evaluación al cumplimiento de la infraestructura tecnológica institucional con la versión 2024 del Marco de Controles de Seguridad para el Cliente de SWIFT (</w:t>
      </w:r>
      <w:proofErr w:type="spellStart"/>
      <w:r w:rsidRPr="0064264A">
        <w:rPr>
          <w:rFonts w:eastAsia="Calibri"/>
          <w:lang w:val="es-DO"/>
        </w:rPr>
        <w:t>Customer</w:t>
      </w:r>
      <w:proofErr w:type="spellEnd"/>
      <w:r w:rsidRPr="0064264A">
        <w:rPr>
          <w:rFonts w:eastAsia="Calibri"/>
          <w:lang w:val="es-DO"/>
        </w:rPr>
        <w:t xml:space="preserve"> Security </w:t>
      </w:r>
      <w:proofErr w:type="spellStart"/>
      <w:r w:rsidRPr="0064264A">
        <w:rPr>
          <w:rFonts w:eastAsia="Calibri"/>
          <w:lang w:val="es-DO"/>
        </w:rPr>
        <w:t>Controls</w:t>
      </w:r>
      <w:proofErr w:type="spellEnd"/>
      <w:r w:rsidRPr="0064264A">
        <w:rPr>
          <w:rFonts w:eastAsia="Calibri"/>
          <w:lang w:val="es-DO"/>
        </w:rPr>
        <w:t xml:space="preserve"> Framework - CSCF).</w:t>
      </w:r>
    </w:p>
    <w:p w14:paraId="22E57010" w14:textId="77777777" w:rsidR="00D9267D" w:rsidRPr="0064264A" w:rsidRDefault="00D9267D" w:rsidP="00D9267D">
      <w:pPr>
        <w:spacing w:line="360" w:lineRule="auto"/>
        <w:jc w:val="both"/>
        <w:rPr>
          <w:rFonts w:eastAsia="Calibri"/>
          <w:lang w:val="es-DO"/>
        </w:rPr>
      </w:pPr>
      <w:r w:rsidRPr="0064264A">
        <w:rPr>
          <w:rFonts w:eastAsia="Calibri"/>
          <w:lang w:val="es-DO"/>
        </w:rPr>
        <w:t>El objetivo de esta evaluación consistió en verificar las prácticas y controles orientados al aseguramiento de la infraestructura tecnológica, la gestión de accesos, la identificación de anomalías y la capacidad de respuesta ante incidentes.</w:t>
      </w:r>
    </w:p>
    <w:p w14:paraId="08DF5962" w14:textId="72ECE544" w:rsidR="00D9267D" w:rsidRPr="0064264A" w:rsidRDefault="00D9267D" w:rsidP="00D9267D">
      <w:pPr>
        <w:spacing w:line="360" w:lineRule="auto"/>
        <w:jc w:val="both"/>
        <w:rPr>
          <w:rFonts w:eastAsia="Calibri"/>
          <w:lang w:val="es-DO"/>
        </w:rPr>
      </w:pPr>
      <w:r w:rsidRPr="0064264A">
        <w:rPr>
          <w:rFonts w:eastAsia="Calibri"/>
          <w:lang w:val="es-DO"/>
        </w:rPr>
        <w:t>Los resultados confirmaron el cumplimiento con los controles obligatorios contemplados en el marco SWIFT.</w:t>
      </w:r>
    </w:p>
    <w:p w14:paraId="7B74C0EA"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Proyección de auditorías para el periodo 2026</w:t>
      </w:r>
    </w:p>
    <w:p w14:paraId="4919D9AD" w14:textId="77777777" w:rsidR="00D9267D" w:rsidRPr="0064264A" w:rsidRDefault="00D9267D" w:rsidP="00D9267D">
      <w:pPr>
        <w:spacing w:line="360" w:lineRule="auto"/>
        <w:jc w:val="both"/>
        <w:rPr>
          <w:rFonts w:eastAsia="Calibri"/>
          <w:lang w:val="es-DO"/>
        </w:rPr>
      </w:pPr>
      <w:r w:rsidRPr="0064264A">
        <w:rPr>
          <w:rFonts w:eastAsia="Calibri"/>
          <w:lang w:val="es-DO"/>
        </w:rPr>
        <w:t>En cumplimiento de la planificación anual basada en riesgos y conforme a las nuevas Normas Globales de Auditoría Interna (NOGAI), se proyecta ejecutar durante el año 2026 las siguientes auditorías:</w:t>
      </w:r>
    </w:p>
    <w:p w14:paraId="7FC0A7AC" w14:textId="77777777" w:rsidR="00D9267D" w:rsidRPr="0064264A" w:rsidRDefault="00D9267D" w:rsidP="00A40AE3">
      <w:pPr>
        <w:numPr>
          <w:ilvl w:val="0"/>
          <w:numId w:val="40"/>
        </w:numPr>
        <w:spacing w:line="360" w:lineRule="auto"/>
        <w:jc w:val="both"/>
        <w:rPr>
          <w:rFonts w:eastAsia="Calibri"/>
          <w:lang w:val="es-DO"/>
        </w:rPr>
      </w:pPr>
      <w:r w:rsidRPr="0064264A">
        <w:rPr>
          <w:rFonts w:eastAsia="Calibri"/>
          <w:lang w:val="es-DO"/>
        </w:rPr>
        <w:t>Auditorías internas a los sistemas de gestión certificados bajo:</w:t>
      </w:r>
    </w:p>
    <w:p w14:paraId="1CED6BEB" w14:textId="77777777" w:rsidR="00D9267D" w:rsidRPr="0064264A" w:rsidRDefault="00D9267D" w:rsidP="00A40AE3">
      <w:pPr>
        <w:numPr>
          <w:ilvl w:val="1"/>
          <w:numId w:val="40"/>
        </w:numPr>
        <w:spacing w:line="360" w:lineRule="auto"/>
        <w:jc w:val="both"/>
        <w:rPr>
          <w:rFonts w:eastAsia="Calibri"/>
          <w:lang w:val="es-DO"/>
        </w:rPr>
      </w:pPr>
      <w:r w:rsidRPr="0064264A">
        <w:rPr>
          <w:rFonts w:eastAsia="Calibri"/>
          <w:lang w:val="es-DO"/>
        </w:rPr>
        <w:t>Norma ISO 27001 (Seguridad de la Información)</w:t>
      </w:r>
    </w:p>
    <w:p w14:paraId="5B51E8B7" w14:textId="77777777" w:rsidR="00D9267D" w:rsidRPr="0064264A" w:rsidRDefault="00D9267D" w:rsidP="00A40AE3">
      <w:pPr>
        <w:numPr>
          <w:ilvl w:val="1"/>
          <w:numId w:val="40"/>
        </w:numPr>
        <w:spacing w:line="360" w:lineRule="auto"/>
        <w:jc w:val="both"/>
        <w:rPr>
          <w:rFonts w:eastAsia="Calibri"/>
          <w:lang w:val="es-DO"/>
        </w:rPr>
      </w:pPr>
      <w:r w:rsidRPr="0064264A">
        <w:rPr>
          <w:rFonts w:eastAsia="Calibri"/>
          <w:lang w:val="es-DO"/>
        </w:rPr>
        <w:t>Norma ISO 9001 (Sistema de Gestión de Calidad)</w:t>
      </w:r>
    </w:p>
    <w:p w14:paraId="7059A638" w14:textId="77777777" w:rsidR="00D9267D" w:rsidRPr="0064264A" w:rsidRDefault="00D9267D" w:rsidP="00A40AE3">
      <w:pPr>
        <w:numPr>
          <w:ilvl w:val="0"/>
          <w:numId w:val="40"/>
        </w:numPr>
        <w:spacing w:line="360" w:lineRule="auto"/>
        <w:jc w:val="both"/>
        <w:rPr>
          <w:rFonts w:eastAsia="Calibri"/>
          <w:lang w:val="es-DO"/>
        </w:rPr>
      </w:pPr>
      <w:r w:rsidRPr="0064264A">
        <w:rPr>
          <w:rFonts w:eastAsia="Calibri"/>
          <w:lang w:val="es-DO"/>
        </w:rPr>
        <w:t>Auditoría interna al Sistema de Gestión de Continuidad del Negocio, basado en la Norma ISO 22301:2019.</w:t>
      </w:r>
    </w:p>
    <w:p w14:paraId="3A4AA835" w14:textId="77777777" w:rsidR="00D9267D" w:rsidRPr="0064264A" w:rsidRDefault="00D9267D" w:rsidP="00A40AE3">
      <w:pPr>
        <w:numPr>
          <w:ilvl w:val="0"/>
          <w:numId w:val="40"/>
        </w:numPr>
        <w:spacing w:line="360" w:lineRule="auto"/>
        <w:jc w:val="both"/>
        <w:rPr>
          <w:rFonts w:eastAsia="Calibri"/>
          <w:lang w:val="es-DO"/>
        </w:rPr>
      </w:pPr>
      <w:r w:rsidRPr="0064264A">
        <w:rPr>
          <w:rFonts w:eastAsia="Calibri"/>
          <w:lang w:val="es-DO"/>
        </w:rPr>
        <w:lastRenderedPageBreak/>
        <w:t>Auditoría de cumplimiento al Marco de Controles de Seguridad para el Cliente de SWIFT (CSCF), versión vigente.</w:t>
      </w:r>
    </w:p>
    <w:p w14:paraId="35A7463F" w14:textId="05246236" w:rsidR="00D9267D" w:rsidRPr="0064264A" w:rsidRDefault="00D9267D" w:rsidP="00D9267D">
      <w:pPr>
        <w:spacing w:line="360" w:lineRule="auto"/>
        <w:jc w:val="both"/>
        <w:rPr>
          <w:rFonts w:eastAsia="Calibri"/>
          <w:lang w:val="es-DO"/>
        </w:rPr>
      </w:pPr>
      <w:r w:rsidRPr="0064264A">
        <w:rPr>
          <w:rFonts w:eastAsia="Calibri"/>
          <w:lang w:val="es-DO"/>
        </w:rPr>
        <w:t>Estas revisiones tienen como finalidad fortalecer el nivel de aseguramiento, contribuir a la mejora continua, y validar el cumplimiento de estándares internacionales aplicables a la gestión institucional y a la protección de la información crítica del Banco.</w:t>
      </w:r>
    </w:p>
    <w:p w14:paraId="164AD6E6" w14:textId="5FD85282" w:rsidR="00D9267D" w:rsidRPr="0064264A" w:rsidRDefault="00D9267D" w:rsidP="008B3000">
      <w:pPr>
        <w:pStyle w:val="Heading1"/>
        <w:jc w:val="left"/>
        <w:rPr>
          <w:rFonts w:eastAsia="Calibri"/>
          <w:color w:val="767171"/>
          <w:lang w:val="es-DO"/>
        </w:rPr>
      </w:pPr>
      <w:bookmarkStart w:id="37" w:name="_Toc217386299"/>
      <w:r w:rsidRPr="0064264A">
        <w:rPr>
          <w:rFonts w:eastAsia="Calibri"/>
          <w:color w:val="767171"/>
          <w:lang w:val="es-DO"/>
        </w:rPr>
        <w:t>4.6 Desempeño del Área Comunicaciones</w:t>
      </w:r>
      <w:bookmarkEnd w:id="37"/>
    </w:p>
    <w:p w14:paraId="5022E595" w14:textId="671BA0CF" w:rsidR="00D9267D" w:rsidRPr="0064264A" w:rsidRDefault="00D9267D" w:rsidP="00D9267D">
      <w:pPr>
        <w:spacing w:line="360" w:lineRule="auto"/>
        <w:jc w:val="both"/>
        <w:rPr>
          <w:rFonts w:eastAsia="Calibri"/>
          <w:lang w:val="es-DO"/>
        </w:rPr>
      </w:pPr>
      <w:r w:rsidRPr="0064264A">
        <w:rPr>
          <w:rFonts w:eastAsia="Calibri"/>
          <w:lang w:val="es-DO"/>
        </w:rPr>
        <w:t xml:space="preserve">En el BCRD a través el Departamento de Comunicación del BCRD continuó Desde el 1 de enero y hasta el </w:t>
      </w:r>
      <w:r w:rsidR="00D07CD9" w:rsidRPr="0064264A">
        <w:rPr>
          <w:rFonts w:eastAsia="Calibri"/>
          <w:lang w:val="es-DO"/>
        </w:rPr>
        <w:t>3</w:t>
      </w:r>
      <w:r w:rsidRPr="0064264A">
        <w:rPr>
          <w:rFonts w:eastAsia="Calibri"/>
          <w:lang w:val="es-DO"/>
        </w:rPr>
        <w:t xml:space="preserve">0 de </w:t>
      </w:r>
      <w:r w:rsidR="00D07CD9" w:rsidRPr="0064264A">
        <w:rPr>
          <w:rFonts w:eastAsia="Calibri"/>
          <w:lang w:val="es-DO"/>
        </w:rPr>
        <w:t>diciembre</w:t>
      </w:r>
      <w:r w:rsidRPr="0064264A">
        <w:rPr>
          <w:rFonts w:eastAsia="Calibri"/>
          <w:lang w:val="es-DO"/>
        </w:rPr>
        <w:t xml:space="preserve"> de 2025, el Banco Central de la República Dominicana (BCRD), a través del Departamento de Comunicaciones, emitió un total de 125 notas de prensa, incluidas aquellas asociadas a campañas publicitarias con información macroeconómica, así como comunicados de carácter cultural y social. Estos contenidos fueron difundidos mediante la página web institucional, la intranet y las redes sociales oficiales.</w:t>
      </w:r>
    </w:p>
    <w:p w14:paraId="65CE6F86" w14:textId="77777777" w:rsidR="00D9267D" w:rsidRPr="0064264A" w:rsidRDefault="00D9267D" w:rsidP="00D9267D">
      <w:pPr>
        <w:spacing w:line="360" w:lineRule="auto"/>
        <w:jc w:val="both"/>
        <w:rPr>
          <w:rFonts w:eastAsia="Calibri"/>
          <w:lang w:val="es-DO"/>
        </w:rPr>
      </w:pPr>
      <w:r w:rsidRPr="0064264A">
        <w:rPr>
          <w:rFonts w:eastAsia="Calibri"/>
          <w:lang w:val="es-DO"/>
        </w:rPr>
        <w:t>Las publicaciones abordaron temas vinculados a la política macroeconómica nacional, tales como evolución de la inflación (IPC), decisiones relativas a la Tasa de Política Monetaria, comportamiento de las remesas, desempeño de la actividad económica, estados financieros, estructura del balance general, entre otros indicadores relevantes.</w:t>
      </w:r>
    </w:p>
    <w:p w14:paraId="3B99652F"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Durante el periodo referido, se registraron </w:t>
      </w:r>
      <w:r w:rsidRPr="0064264A">
        <w:rPr>
          <w:rFonts w:eastAsia="Calibri"/>
          <w:b/>
          <w:bCs/>
          <w:lang w:val="es-DO"/>
        </w:rPr>
        <w:t xml:space="preserve">777 </w:t>
      </w:r>
      <w:r w:rsidRPr="0064264A">
        <w:rPr>
          <w:rFonts w:eastAsia="Calibri"/>
          <w:lang w:val="es-DO"/>
        </w:rPr>
        <w:t>inserciones pagadas en los ocho principales diarios de circulación nacional: Listín Diario, Hoy, El Día, El Nacional, Diario Libre, El Caribe, El Nuevo Diario y La Información. Se proyecta que, al cierre del ejercicio 2025, este volumen se incremente con aproximadamente 70 inserciones adicionales, distribuidas entre los distintos medios.</w:t>
      </w:r>
    </w:p>
    <w:p w14:paraId="1AB35AA1" w14:textId="77777777" w:rsidR="00FE2E92" w:rsidRPr="0064264A" w:rsidRDefault="00FE2E92" w:rsidP="00D9267D">
      <w:pPr>
        <w:spacing w:line="360" w:lineRule="auto"/>
        <w:jc w:val="both"/>
        <w:rPr>
          <w:rFonts w:eastAsia="Calibri"/>
          <w:lang w:val="es-DO"/>
        </w:rPr>
      </w:pPr>
    </w:p>
    <w:p w14:paraId="06CB9F6F" w14:textId="77777777" w:rsidR="00D9267D" w:rsidRPr="0064264A" w:rsidRDefault="00D9267D" w:rsidP="00D9267D">
      <w:pPr>
        <w:spacing w:line="360" w:lineRule="auto"/>
        <w:jc w:val="both"/>
        <w:rPr>
          <w:rFonts w:eastAsia="Calibri"/>
          <w:lang w:val="es-DO"/>
        </w:rPr>
      </w:pPr>
      <w:r w:rsidRPr="0064264A">
        <w:rPr>
          <w:rFonts w:eastAsia="Calibri"/>
          <w:lang w:val="es-DO"/>
        </w:rPr>
        <w:lastRenderedPageBreak/>
        <w:t>La estrategia de difusión incluyó asimismo publicaciones de la serie denominada Página Abierta, documento analítico que desarrolla el equipo técnico institucional sobre coyunturas macroeconómicas y tendencias del entorno económico nacional e internacional.</w:t>
      </w:r>
    </w:p>
    <w:p w14:paraId="4CB01341"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En el marco de la agenda institucional, se divulgó información relacionada con reuniones sostenidas con la Asociación de Bancos Múltiples de la República Dominicana (ABA), la calificadora Standard &amp; </w:t>
      </w:r>
      <w:proofErr w:type="spellStart"/>
      <w:r w:rsidRPr="0064264A">
        <w:rPr>
          <w:rFonts w:eastAsia="Calibri"/>
          <w:lang w:val="es-DO"/>
        </w:rPr>
        <w:t>Poor’s</w:t>
      </w:r>
      <w:proofErr w:type="spellEnd"/>
      <w:r w:rsidRPr="0064264A">
        <w:rPr>
          <w:rFonts w:eastAsia="Calibri"/>
          <w:lang w:val="es-DO"/>
        </w:rPr>
        <w:t xml:space="preserve">, la misión del Artículo IV del Fondo Monetario Internacional (FMI), el Centro Monetario Centroamericano y del Caribe (CMCA), así como reconocimientos otorgados al gobernador por instituciones académicas y organismos especializados, entre estos el Colegio Dominicano de Economistas, la revista Global </w:t>
      </w:r>
      <w:proofErr w:type="spellStart"/>
      <w:r w:rsidRPr="0064264A">
        <w:rPr>
          <w:rFonts w:eastAsia="Calibri"/>
          <w:lang w:val="es-DO"/>
        </w:rPr>
        <w:t>Finance</w:t>
      </w:r>
      <w:proofErr w:type="spellEnd"/>
      <w:r w:rsidRPr="0064264A">
        <w:rPr>
          <w:rFonts w:eastAsia="Calibri"/>
          <w:lang w:val="es-DO"/>
        </w:rPr>
        <w:t xml:space="preserve"> y diversos foros económicos. Igualmente, se difundieron actividades culturales relacionadas con el Concurso Anual de Economía, nuevas publicaciones de la Biblioteca Juan Pablo Duarte y recitales musicales.</w:t>
      </w:r>
    </w:p>
    <w:p w14:paraId="19DF8BB8" w14:textId="77777777" w:rsidR="00D9267D" w:rsidRPr="0064264A" w:rsidRDefault="00D9267D" w:rsidP="00D9267D">
      <w:pPr>
        <w:spacing w:line="360" w:lineRule="auto"/>
        <w:jc w:val="both"/>
        <w:rPr>
          <w:rFonts w:eastAsia="Calibri"/>
          <w:lang w:val="es-DO"/>
        </w:rPr>
      </w:pPr>
      <w:r w:rsidRPr="0064264A">
        <w:rPr>
          <w:rFonts w:eastAsia="Calibri"/>
          <w:lang w:val="es-DO"/>
        </w:rPr>
        <w:t>Durante este período se elaboraron discursos institucionales y comunicaciones oficiales para despacho de la Gobernación, así como contenidos para la revista Contacto, especializada en temas de sostenibilidad corporativa. Adicionalmente, se realizaron maestrías de ceremonia en diversas actividades institucionales, entre ellas seminarios y actos conmemorativos del aniversario institucional.</w:t>
      </w:r>
    </w:p>
    <w:p w14:paraId="2FFFC2EC" w14:textId="77777777" w:rsidR="00D9267D" w:rsidRPr="0064264A" w:rsidRDefault="00D9267D" w:rsidP="00D9267D">
      <w:pPr>
        <w:spacing w:line="360" w:lineRule="auto"/>
        <w:jc w:val="both"/>
        <w:rPr>
          <w:rFonts w:eastAsia="Calibri"/>
          <w:lang w:val="es-DO"/>
        </w:rPr>
      </w:pPr>
      <w:r w:rsidRPr="0064264A">
        <w:rPr>
          <w:rFonts w:eastAsia="Calibri"/>
          <w:lang w:val="es-DO"/>
        </w:rPr>
        <w:t>En materia de publicidad institucional, se ejecutaron tres planes integrales en medios televisivos, radiales y digitales, así como la colocación de artes y publirreportajes en revistas y otros medios especializados, junto con acciones de patrocinio y presencia institucional en eventos académicos y culturales.</w:t>
      </w:r>
    </w:p>
    <w:p w14:paraId="1183C34D" w14:textId="77777777" w:rsidR="003A5879" w:rsidRPr="0064264A" w:rsidRDefault="003A5879" w:rsidP="00D9267D">
      <w:pPr>
        <w:spacing w:line="360" w:lineRule="auto"/>
        <w:jc w:val="both"/>
        <w:rPr>
          <w:rFonts w:eastAsia="Calibri"/>
          <w:lang w:val="es-DO"/>
        </w:rPr>
      </w:pPr>
    </w:p>
    <w:p w14:paraId="112BA887" w14:textId="77777777" w:rsidR="003A5879" w:rsidRPr="0064264A" w:rsidRDefault="003A5879" w:rsidP="00D9267D">
      <w:pPr>
        <w:spacing w:line="360" w:lineRule="auto"/>
        <w:jc w:val="both"/>
        <w:rPr>
          <w:rFonts w:eastAsia="Calibri"/>
          <w:lang w:val="es-DO"/>
        </w:rPr>
      </w:pPr>
    </w:p>
    <w:p w14:paraId="01E5B09A" w14:textId="77777777" w:rsidR="00D9267D" w:rsidRPr="0064264A" w:rsidRDefault="00D9267D" w:rsidP="008B3000">
      <w:pPr>
        <w:pStyle w:val="Heading2"/>
        <w:rPr>
          <w:rFonts w:eastAsia="Calibri"/>
          <w:b/>
          <w:bCs/>
          <w:color w:val="767171"/>
          <w:lang w:val="es-DO"/>
        </w:rPr>
      </w:pPr>
      <w:bookmarkStart w:id="38" w:name="_Toc217386300"/>
      <w:r w:rsidRPr="0064264A">
        <w:rPr>
          <w:rFonts w:eastAsia="Calibri"/>
          <w:b/>
          <w:bCs/>
          <w:color w:val="767171"/>
          <w:lang w:val="es-DO"/>
        </w:rPr>
        <w:lastRenderedPageBreak/>
        <w:t>División de Comunicación Digital</w:t>
      </w:r>
      <w:bookmarkEnd w:id="38"/>
    </w:p>
    <w:p w14:paraId="46F5C502" w14:textId="77777777" w:rsidR="008B3000" w:rsidRPr="0064264A" w:rsidRDefault="008B3000" w:rsidP="008B3000">
      <w:pPr>
        <w:rPr>
          <w:lang w:val="es-DO"/>
        </w:rPr>
      </w:pPr>
    </w:p>
    <w:p w14:paraId="63B4C7C1"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Durante el período evaluado, el BCRD fortaleció de forma sostenida su presencia en redes sociales, consolidándose como un canal oficial y estratégico para la difusión de contenidos institucionales. Se desarrollaron piezas gráficas, audiovisuales y </w:t>
      </w:r>
      <w:proofErr w:type="spellStart"/>
      <w:r w:rsidRPr="0064264A">
        <w:rPr>
          <w:rFonts w:eastAsia="Calibri"/>
          <w:lang w:val="es-DO"/>
        </w:rPr>
        <w:t>reels</w:t>
      </w:r>
      <w:proofErr w:type="spellEnd"/>
      <w:r w:rsidRPr="0064264A">
        <w:rPr>
          <w:rFonts w:eastAsia="Calibri"/>
          <w:lang w:val="es-DO"/>
        </w:rPr>
        <w:t xml:space="preserve"> adaptados a los distintos públicos y plataformas, manteniendo coherencia visual e identidad institucional, con el propósito de informar, educar y generar interacción.</w:t>
      </w:r>
    </w:p>
    <w:p w14:paraId="29601FB8" w14:textId="77777777" w:rsidR="00D9267D" w:rsidRPr="0064264A" w:rsidRDefault="00D9267D" w:rsidP="00D9267D">
      <w:pPr>
        <w:spacing w:line="360" w:lineRule="auto"/>
        <w:jc w:val="both"/>
        <w:rPr>
          <w:rFonts w:eastAsia="Calibri"/>
          <w:lang w:val="es-DO"/>
        </w:rPr>
      </w:pPr>
      <w:r w:rsidRPr="0064264A">
        <w:rPr>
          <w:rFonts w:eastAsia="Calibri"/>
          <w:lang w:val="es-DO"/>
        </w:rPr>
        <w:t>Se impulsó además la promoción segmentada de notas de prensa a través de la plataforma X, ampliando significativamente el alcance del contenido. En total, se realizaron 1,470 publicaciones institucionales, dirigidas tanto a agentes económicos como al público en sentido general, en cumplimiento con el mandato institucional de transparencia, divulgación y educación económica.</w:t>
      </w:r>
    </w:p>
    <w:p w14:paraId="67AD8FD6"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Planes de contenido y campañas institucionales</w:t>
      </w:r>
    </w:p>
    <w:p w14:paraId="0873F537" w14:textId="77777777" w:rsidR="00D9267D" w:rsidRPr="0064264A" w:rsidRDefault="00D9267D" w:rsidP="00D9267D">
      <w:pPr>
        <w:spacing w:line="360" w:lineRule="auto"/>
        <w:jc w:val="both"/>
        <w:rPr>
          <w:rFonts w:eastAsia="Calibri"/>
          <w:lang w:val="es-DO"/>
        </w:rPr>
      </w:pPr>
      <w:r w:rsidRPr="0064264A">
        <w:rPr>
          <w:rFonts w:eastAsia="Calibri"/>
          <w:lang w:val="es-DO"/>
        </w:rPr>
        <w:t>Se ejecutaron once planes de contenido digital, sustentados en análisis de indicadores clave de desempeño (</w:t>
      </w:r>
      <w:proofErr w:type="spellStart"/>
      <w:r w:rsidRPr="0064264A">
        <w:rPr>
          <w:rFonts w:eastAsia="Calibri"/>
          <w:lang w:val="es-DO"/>
        </w:rPr>
        <w:t>KPIs</w:t>
      </w:r>
      <w:proofErr w:type="spellEnd"/>
      <w:r w:rsidRPr="0064264A">
        <w:rPr>
          <w:rFonts w:eastAsia="Calibri"/>
          <w:lang w:val="es-DO"/>
        </w:rPr>
        <w:t>) y reportes sistemáticos de monitoreo sobre informaciones de interés vinculadas a la institución y al entorno económico.</w:t>
      </w:r>
    </w:p>
    <w:p w14:paraId="6392E4BE" w14:textId="77777777" w:rsidR="00D9267D" w:rsidRPr="0064264A" w:rsidRDefault="00D9267D" w:rsidP="00D9267D">
      <w:pPr>
        <w:spacing w:line="360" w:lineRule="auto"/>
        <w:jc w:val="both"/>
        <w:rPr>
          <w:rFonts w:eastAsia="Calibri"/>
          <w:lang w:val="es-DO"/>
        </w:rPr>
      </w:pPr>
      <w:r w:rsidRPr="0064264A">
        <w:rPr>
          <w:rFonts w:eastAsia="Calibri"/>
          <w:lang w:val="es-DO"/>
        </w:rPr>
        <w:t>Asimismo, se desarrollaron campañas para promover la participación en la 11.ª Semana Económica y Financiera, así como en la 12.ª edición del programa Economistas del Futuro.</w:t>
      </w:r>
    </w:p>
    <w:p w14:paraId="155E3BD8" w14:textId="77777777" w:rsidR="00D9267D" w:rsidRPr="0064264A" w:rsidRDefault="00D9267D" w:rsidP="00D9267D">
      <w:pPr>
        <w:spacing w:line="360" w:lineRule="auto"/>
        <w:jc w:val="both"/>
        <w:rPr>
          <w:rFonts w:eastAsia="Calibri"/>
          <w:lang w:val="es-DO"/>
        </w:rPr>
      </w:pPr>
      <w:r w:rsidRPr="0064264A">
        <w:rPr>
          <w:rFonts w:eastAsia="Calibri"/>
          <w:lang w:val="es-DO"/>
        </w:rPr>
        <w:t>Se diseñó y divulgó una campaña informativa sobre la Encuesta Nacional Continua de Fuerza de Trabajo (ENCFT), orientada a sensibilizar a la ciudadanía acerca de los objetivos del levantamiento, la identificación de los encuestadores y la naturaleza de la información recopilada.</w:t>
      </w:r>
    </w:p>
    <w:p w14:paraId="5B2A99BF" w14:textId="77777777" w:rsidR="00D9267D" w:rsidRPr="0064264A" w:rsidRDefault="00D9267D" w:rsidP="00D9267D">
      <w:pPr>
        <w:spacing w:line="360" w:lineRule="auto"/>
        <w:jc w:val="both"/>
        <w:rPr>
          <w:rFonts w:eastAsia="Calibri"/>
          <w:lang w:val="es-DO"/>
        </w:rPr>
      </w:pPr>
      <w:r w:rsidRPr="0064264A">
        <w:rPr>
          <w:rFonts w:eastAsia="Calibri"/>
          <w:lang w:val="es-DO"/>
        </w:rPr>
        <w:lastRenderedPageBreak/>
        <w:t>También se ejecutó una campaña conmemorativa por el 78.º aniversario del Banco Central, destinada a difundir el discurso del gobernador e informar sobre las actividades institucionales asociadas a la celebración.</w:t>
      </w:r>
    </w:p>
    <w:p w14:paraId="0C590AC8" w14:textId="77777777" w:rsidR="00D9267D" w:rsidRPr="0064264A" w:rsidRDefault="00D9267D" w:rsidP="00D9267D">
      <w:pPr>
        <w:spacing w:line="360" w:lineRule="auto"/>
        <w:jc w:val="both"/>
        <w:rPr>
          <w:rFonts w:eastAsia="Calibri"/>
          <w:lang w:val="es-DO"/>
        </w:rPr>
      </w:pPr>
      <w:r w:rsidRPr="0064264A">
        <w:rPr>
          <w:rFonts w:eastAsia="Calibri"/>
          <w:lang w:val="es-DO"/>
        </w:rPr>
        <w:t>Finalmente, se desarrolló una campaña para la difusión del X Seminario Internacional de Comunicación “Rol de la sostenibilidad para el desarrollo”, destacando los principales mensajes pronunciados por el gobernador Héctor Valdez Albizu.</w:t>
      </w:r>
    </w:p>
    <w:p w14:paraId="35E08371" w14:textId="08E23B78" w:rsidR="00D9267D" w:rsidRPr="0064264A" w:rsidRDefault="00D9267D" w:rsidP="00D9267D">
      <w:pPr>
        <w:spacing w:line="360" w:lineRule="auto"/>
        <w:jc w:val="both"/>
        <w:rPr>
          <w:rFonts w:eastAsia="Calibri"/>
          <w:lang w:val="es-DO"/>
        </w:rPr>
      </w:pPr>
      <w:r w:rsidRPr="0064264A">
        <w:rPr>
          <w:rFonts w:eastAsia="Calibri"/>
          <w:lang w:val="es-DO"/>
        </w:rPr>
        <w:t>Durante todo el período, se mantuvieron actualizadas las informaciones alojadas en la página web institucional, en la intranet y en la aplicación móvil institucional, asegurando la oportunidad, confiabilidad y disponibilidad permanente de los contenidos para los distintos públicos de interés.</w:t>
      </w:r>
    </w:p>
    <w:p w14:paraId="56652170" w14:textId="15581692" w:rsidR="003A5879" w:rsidRPr="0064264A" w:rsidRDefault="003A5879" w:rsidP="00D9267D">
      <w:pPr>
        <w:spacing w:line="360" w:lineRule="auto"/>
        <w:jc w:val="both"/>
        <w:rPr>
          <w:rFonts w:eastAsia="Calibri"/>
          <w:b/>
          <w:bCs/>
          <w:lang w:val="es"/>
        </w:rPr>
      </w:pPr>
      <w:r w:rsidRPr="0064264A">
        <w:rPr>
          <w:rFonts w:eastAsia="Calibri"/>
          <w:noProof/>
          <w:lang w:val="es-DO"/>
        </w:rPr>
        <w:drawing>
          <wp:anchor distT="0" distB="0" distL="114300" distR="114300" simplePos="0" relativeHeight="251756544" behindDoc="0" locked="0" layoutInCell="1" allowOverlap="1" wp14:anchorId="76165116" wp14:editId="2652AD36">
            <wp:simplePos x="0" y="0"/>
            <wp:positionH relativeFrom="margin">
              <wp:align>center</wp:align>
            </wp:positionH>
            <wp:positionV relativeFrom="paragraph">
              <wp:posOffset>625539</wp:posOffset>
            </wp:positionV>
            <wp:extent cx="4497705" cy="2981325"/>
            <wp:effectExtent l="0" t="0" r="0" b="9525"/>
            <wp:wrapThrough wrapText="bothSides">
              <wp:wrapPolygon edited="0">
                <wp:start x="0" y="0"/>
                <wp:lineTo x="0" y="21531"/>
                <wp:lineTo x="21499" y="21531"/>
                <wp:lineTo x="21499" y="0"/>
                <wp:lineTo x="0" y="0"/>
              </wp:wrapPolygon>
            </wp:wrapThrough>
            <wp:docPr id="998071895" name="Picture 1" descr="A blue rectangular boxes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71895" name="Picture 1" descr="A blue rectangular boxes with white text"/>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7082"/>
                    <a:stretch>
                      <a:fillRect/>
                    </a:stretch>
                  </pic:blipFill>
                  <pic:spPr bwMode="auto">
                    <a:xfrm>
                      <a:off x="0" y="0"/>
                      <a:ext cx="4497705" cy="298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267D" w:rsidRPr="0064264A">
        <w:rPr>
          <w:rFonts w:eastAsia="Calibri"/>
          <w:b/>
          <w:bCs/>
          <w:lang w:val="es"/>
        </w:rPr>
        <w:t>Desempeño de las redes sociales institucionales y comportamiento de los usuarios</w:t>
      </w:r>
      <w:r w:rsidRPr="0064264A">
        <w:rPr>
          <w:rFonts w:eastAsia="Calibri"/>
          <w:b/>
          <w:bCs/>
          <w:lang w:val="es"/>
        </w:rPr>
        <w:t xml:space="preserve">                                                            </w:t>
      </w:r>
      <w:r w:rsidRPr="0064264A">
        <w:rPr>
          <w:rFonts w:eastAsia="Calibri"/>
          <w:b/>
          <w:bCs/>
          <w:lang w:val="es"/>
        </w:rPr>
        <w:tab/>
      </w:r>
    </w:p>
    <w:p w14:paraId="0F412357" w14:textId="77777777" w:rsidR="003A5879" w:rsidRPr="0064264A" w:rsidRDefault="003A5879" w:rsidP="003A5879">
      <w:pPr>
        <w:spacing w:line="360" w:lineRule="auto"/>
        <w:jc w:val="both"/>
        <w:rPr>
          <w:rFonts w:eastAsia="Calibri"/>
          <w:sz w:val="22"/>
          <w:szCs w:val="22"/>
          <w:lang w:val="es-DO"/>
        </w:rPr>
      </w:pPr>
      <w:r w:rsidRPr="0064264A">
        <w:rPr>
          <w:rFonts w:eastAsia="Calibri"/>
          <w:sz w:val="22"/>
          <w:szCs w:val="22"/>
          <w:lang w:val="es-DO"/>
        </w:rPr>
        <w:t xml:space="preserve">                               </w:t>
      </w:r>
      <w:r w:rsidRPr="0064264A">
        <w:rPr>
          <w:rFonts w:eastAsia="Calibri"/>
          <w:b/>
          <w:sz w:val="22"/>
          <w:szCs w:val="22"/>
          <w:lang w:val="es-DO"/>
        </w:rPr>
        <w:t>Fuente: Depto. Comunicación</w:t>
      </w:r>
    </w:p>
    <w:p w14:paraId="4E65A7AB" w14:textId="77777777" w:rsidR="003A5879" w:rsidRPr="0064264A" w:rsidRDefault="003A5879" w:rsidP="00D9267D">
      <w:pPr>
        <w:spacing w:line="360" w:lineRule="auto"/>
        <w:jc w:val="both"/>
        <w:rPr>
          <w:rFonts w:eastAsia="Calibri"/>
          <w:b/>
          <w:bCs/>
          <w:lang w:val="es"/>
        </w:rPr>
      </w:pPr>
    </w:p>
    <w:p w14:paraId="448A67D9" w14:textId="50F5671E" w:rsidR="00D9267D" w:rsidRPr="0064264A" w:rsidRDefault="00D9267D" w:rsidP="00D9267D">
      <w:pPr>
        <w:spacing w:line="360" w:lineRule="auto"/>
        <w:jc w:val="both"/>
        <w:rPr>
          <w:rFonts w:eastAsia="Calibri"/>
          <w:b/>
          <w:bCs/>
          <w:lang w:val="es"/>
        </w:rPr>
      </w:pPr>
      <w:r w:rsidRPr="0064264A">
        <w:rPr>
          <w:rFonts w:eastAsia="Calibri"/>
          <w:lang w:val="es-DO"/>
        </w:rPr>
        <w:lastRenderedPageBreak/>
        <w:t xml:space="preserve">Como símbolo de confianza, transparencia y eficiencia, se emiten las informaciones rápidas y actualizadas mediante sus plataformas digitales de Instagram, Facebook, y el portal web de la institución. </w:t>
      </w:r>
    </w:p>
    <w:p w14:paraId="10CCA052" w14:textId="48A0534D" w:rsidR="00D9267D" w:rsidRPr="0064264A" w:rsidRDefault="00D9267D" w:rsidP="00D9267D">
      <w:pPr>
        <w:spacing w:line="360" w:lineRule="auto"/>
        <w:jc w:val="both"/>
        <w:rPr>
          <w:rFonts w:eastAsia="Calibri"/>
          <w:lang w:val="es-DO"/>
        </w:rPr>
      </w:pPr>
      <w:r w:rsidRPr="0064264A">
        <w:rPr>
          <w:rFonts w:eastAsia="Calibri"/>
          <w:lang w:val="es-DO"/>
        </w:rPr>
        <w:t xml:space="preserve">Las redes sociales mostraron un comportamiento dinámico. </w:t>
      </w:r>
      <w:r w:rsidRPr="0064264A">
        <w:rPr>
          <w:rFonts w:eastAsia="Calibri"/>
          <w:b/>
          <w:bCs/>
          <w:lang w:val="es-DO"/>
        </w:rPr>
        <w:t>X (Twitter):</w:t>
      </w:r>
      <w:r w:rsidRPr="0064264A">
        <w:rPr>
          <w:rFonts w:eastAsia="Calibri"/>
          <w:lang w:val="es-DO"/>
        </w:rPr>
        <w:t xml:space="preserve"> La cuenta institucional alcanzó 137,262 seguidores, incorporando 2,329 nuevos seguidores, equivalente a un crecimiento aproximado de 1.7 %, mientras que el </w:t>
      </w:r>
      <w:proofErr w:type="spellStart"/>
      <w:r w:rsidRPr="0064264A">
        <w:rPr>
          <w:rFonts w:eastAsia="Calibri"/>
          <w:lang w:val="es-DO"/>
        </w:rPr>
        <w:t>engagement</w:t>
      </w:r>
      <w:proofErr w:type="spellEnd"/>
      <w:r w:rsidRPr="0064264A">
        <w:rPr>
          <w:rFonts w:eastAsia="Calibri"/>
          <w:lang w:val="es-DO"/>
        </w:rPr>
        <w:t xml:space="preserve"> total registrado fue de 5,395 interacciones (3.9 % respecto al total de seguidores), destacándose los “me gusta” con cerca del 93 % del total. </w:t>
      </w:r>
    </w:p>
    <w:p w14:paraId="4BB3692D" w14:textId="49A89CB8" w:rsidR="00D9267D" w:rsidRPr="0064264A" w:rsidRDefault="00D9267D" w:rsidP="00D9267D">
      <w:pPr>
        <w:spacing w:line="360" w:lineRule="auto"/>
        <w:jc w:val="both"/>
        <w:rPr>
          <w:rFonts w:eastAsia="Calibri"/>
          <w:lang w:val="es-DO"/>
        </w:rPr>
      </w:pPr>
      <w:r w:rsidRPr="0064264A">
        <w:rPr>
          <w:rFonts w:eastAsia="Calibri"/>
          <w:lang w:val="es-DO"/>
        </w:rPr>
        <w:t>En paralelo, la cuenta registró además 31 seguidores adicionales en el canal alterno gestionado entre el 25 de marzo y el 24 de noviembre, período en el cual se contabilizaron 14,712 interacciones, si bien no se dispone del detalle de métricas suministrado por la aplicación.</w:t>
      </w:r>
    </w:p>
    <w:p w14:paraId="16134161" w14:textId="64912053" w:rsidR="00D9267D" w:rsidRPr="0064264A" w:rsidRDefault="00D9267D" w:rsidP="00D9267D">
      <w:pPr>
        <w:spacing w:line="360" w:lineRule="auto"/>
        <w:jc w:val="both"/>
        <w:rPr>
          <w:rFonts w:eastAsia="Calibri"/>
          <w:lang w:val="es-DO"/>
        </w:rPr>
      </w:pPr>
      <w:r w:rsidRPr="0064264A">
        <w:rPr>
          <w:rFonts w:eastAsia="Calibri"/>
          <w:b/>
          <w:bCs/>
          <w:lang w:val="es-DO"/>
        </w:rPr>
        <w:t>Facebook:</w:t>
      </w:r>
      <w:r w:rsidRPr="0064264A">
        <w:rPr>
          <w:rFonts w:eastAsia="Calibri"/>
          <w:lang w:val="es-DO"/>
        </w:rPr>
        <w:t xml:space="preserve"> La base de fans alcanzó 60,992, con 884 nuevos seguidores, lo que representa un incremento relativo de 1.45 %, mientras que las publicaciones generaron 8,302 interacciones (equivalentes a un 13.6 % del total de fans) y obtuvieron más de 1.18 millones de visualizaciones, correspondiente a un alcance aproximado de 1,939 %. </w:t>
      </w:r>
    </w:p>
    <w:p w14:paraId="0A7A6E5F" w14:textId="2E91F60E" w:rsidR="00D9267D" w:rsidRPr="0064264A" w:rsidRDefault="00D9267D" w:rsidP="00D9267D">
      <w:pPr>
        <w:spacing w:line="360" w:lineRule="auto"/>
        <w:jc w:val="both"/>
        <w:rPr>
          <w:rFonts w:eastAsia="Calibri"/>
          <w:lang w:val="es-DO"/>
        </w:rPr>
      </w:pPr>
      <w:r w:rsidRPr="0064264A">
        <w:rPr>
          <w:rFonts w:eastAsia="Calibri"/>
          <w:lang w:val="es-DO"/>
        </w:rPr>
        <w:t>Paralelamente, en el canal complementario administrado del 1 de enero al 24 de noviembre se registraron 28 seguidores, con 11 nuevos, equivalentes a una expansión aproximada de 64 %, obteniéndose 2,809 visualizaciones, 14 interacciones, 12 clics en enlaces y 265 visitas, lo que evidencia una tasa de interacción proporcional consistente para dicho universo reducido.</w:t>
      </w:r>
    </w:p>
    <w:p w14:paraId="04F063B4" w14:textId="5D93C0C8" w:rsidR="00CE7EC9" w:rsidRPr="0064264A" w:rsidRDefault="00D9267D" w:rsidP="00D9267D">
      <w:pPr>
        <w:spacing w:line="360" w:lineRule="auto"/>
        <w:jc w:val="both"/>
        <w:rPr>
          <w:rFonts w:eastAsia="Calibri"/>
          <w:lang w:val="es-DO"/>
        </w:rPr>
      </w:pPr>
      <w:r w:rsidRPr="0064264A">
        <w:rPr>
          <w:rFonts w:eastAsia="Calibri"/>
          <w:b/>
          <w:bCs/>
          <w:lang w:val="es-DO"/>
        </w:rPr>
        <w:t>Instagram:</w:t>
      </w:r>
      <w:r w:rsidRPr="0064264A">
        <w:rPr>
          <w:rFonts w:eastAsia="Calibri"/>
          <w:lang w:val="es-DO"/>
        </w:rPr>
        <w:t xml:space="preserve"> La cuenta institucional cerró el periodo con 125,188 seguidores, incorporando 14,949 nuevos seguidores (11.9 % de crecimiento relativo), registrándose 46,058 interacciones (36.8 % respecto al total de </w:t>
      </w:r>
      <w:r w:rsidRPr="0064264A">
        <w:rPr>
          <w:rFonts w:eastAsia="Calibri"/>
          <w:lang w:val="es-DO"/>
        </w:rPr>
        <w:lastRenderedPageBreak/>
        <w:t xml:space="preserve">seguidores) y más de 2.8 millones de visualizaciones, equivalentes a un alcance aproximado de 2,261 %. </w:t>
      </w:r>
    </w:p>
    <w:p w14:paraId="767338A4" w14:textId="152DAE36" w:rsidR="00D9267D" w:rsidRPr="0064264A" w:rsidRDefault="00D9267D" w:rsidP="00D9267D">
      <w:pPr>
        <w:spacing w:line="360" w:lineRule="auto"/>
        <w:jc w:val="both"/>
        <w:rPr>
          <w:rFonts w:eastAsia="Calibri"/>
          <w:lang w:val="es-DO"/>
        </w:rPr>
      </w:pPr>
      <w:r w:rsidRPr="0064264A">
        <w:rPr>
          <w:rFonts w:eastAsia="Calibri"/>
          <w:lang w:val="es-DO"/>
        </w:rPr>
        <w:t xml:space="preserve">En el canal complementario administrado se alcanzaron 754 seguidores durante el período comprendido entre enero y noviembre, con 107 nuevos seguidores, lo que representa un crecimiento del 14.1 %, logrando aproximadamente 18,200 visualizaciones, un alcance de 9,006 usuarios, 438 interacciones (cercanas al 58 % respecto a su base de seguidores), 5 clics en enlaces y 1,115 visitas al perfil. </w:t>
      </w:r>
    </w:p>
    <w:p w14:paraId="63279833" w14:textId="1480FB7A" w:rsidR="00D9267D" w:rsidRPr="0064264A" w:rsidRDefault="00D9267D" w:rsidP="00D9267D">
      <w:pPr>
        <w:spacing w:line="360" w:lineRule="auto"/>
        <w:jc w:val="both"/>
        <w:rPr>
          <w:rFonts w:eastAsia="Calibri"/>
          <w:lang w:val="es-DO"/>
        </w:rPr>
      </w:pPr>
      <w:r w:rsidRPr="0064264A">
        <w:rPr>
          <w:rFonts w:eastAsia="Calibri"/>
          <w:lang w:val="es-DO"/>
        </w:rPr>
        <w:t>Asimismo, el canal de YouTube registró 2,700 vistas, 188 horas de reproducción y 72 nuevos suscriptores durante el período referido. Como parte de la gestión, se entregaron reportes mensuales con métricas de desempeño de redes institucionales y del canal ECOS desde febrero de 2025, además de la producción y difusión de cápsulas educativas sobre temas económicos y sociales como: cronología del dinero, Organización Mundial del Comercio, Economía Circular, Economía Informal, Banca Sostenible y efemérides conmemorativas del Día de las Madres, Día Mundial del Medio Ambiente y Día de los Padres.</w:t>
      </w:r>
    </w:p>
    <w:p w14:paraId="7B860F2F" w14:textId="333C3117" w:rsidR="00D9267D" w:rsidRPr="0064264A" w:rsidRDefault="00D9267D" w:rsidP="00D9267D">
      <w:pPr>
        <w:spacing w:line="360" w:lineRule="auto"/>
        <w:jc w:val="both"/>
        <w:rPr>
          <w:rFonts w:eastAsia="Calibri"/>
          <w:b/>
          <w:bCs/>
          <w:lang w:val="es-DO"/>
        </w:rPr>
      </w:pPr>
      <w:r w:rsidRPr="0064264A">
        <w:rPr>
          <w:rFonts w:eastAsia="Calibri"/>
          <w:b/>
          <w:bCs/>
          <w:lang w:val="es-DO"/>
        </w:rPr>
        <w:t>División Audiovisual</w:t>
      </w:r>
    </w:p>
    <w:p w14:paraId="3FA6A25F" w14:textId="77777777" w:rsidR="008B3000" w:rsidRPr="0064264A" w:rsidRDefault="00D9267D" w:rsidP="00D9267D">
      <w:pPr>
        <w:spacing w:line="360" w:lineRule="auto"/>
        <w:jc w:val="both"/>
        <w:rPr>
          <w:rFonts w:eastAsia="Calibri"/>
          <w:lang w:val="es-DO"/>
        </w:rPr>
      </w:pPr>
      <w:r w:rsidRPr="0064264A">
        <w:rPr>
          <w:rFonts w:eastAsia="Calibri"/>
          <w:lang w:val="es-DO"/>
        </w:rPr>
        <w:t>Durante el año 2025, la División Audiovisual llevó a cabo un conjunto de acciones estratégicas orientadas a fortalecer la difusión institucional, mediante la cobertura integral y la producción de contenidos audiovisuales en video, fotografía y sonido. Estas labores abarcaron actividades internas y externas realizadas en espacios de la institución, tales como el auditorio, la sala de lectura de la Biblioteca Juan Pablo Duarte, la Oficina Regional Santiago (ORS) y la Casa Club de los empleados.</w:t>
      </w:r>
    </w:p>
    <w:p w14:paraId="589B87BC" w14:textId="77777777" w:rsidR="008B3000" w:rsidRPr="0064264A" w:rsidRDefault="008B3000" w:rsidP="00D9267D">
      <w:pPr>
        <w:spacing w:line="360" w:lineRule="auto"/>
        <w:jc w:val="both"/>
        <w:rPr>
          <w:rFonts w:eastAsia="Calibri"/>
          <w:lang w:val="es-DO"/>
        </w:rPr>
      </w:pPr>
    </w:p>
    <w:p w14:paraId="7E9CE918" w14:textId="76AFFD76" w:rsidR="00D9267D" w:rsidRPr="0064264A" w:rsidRDefault="00D9267D" w:rsidP="00D9267D">
      <w:pPr>
        <w:spacing w:line="360" w:lineRule="auto"/>
        <w:jc w:val="both"/>
        <w:rPr>
          <w:rFonts w:eastAsia="Calibri"/>
          <w:b/>
          <w:bCs/>
          <w:lang w:val="es-DO"/>
        </w:rPr>
      </w:pPr>
      <w:r w:rsidRPr="0064264A">
        <w:rPr>
          <w:rFonts w:eastAsia="Calibri"/>
          <w:b/>
          <w:bCs/>
          <w:lang w:val="es-DO"/>
        </w:rPr>
        <w:lastRenderedPageBreak/>
        <w:t>Transmisiones en vivo</w:t>
      </w:r>
    </w:p>
    <w:p w14:paraId="7F94D1C1" w14:textId="7181D1AC" w:rsidR="00D9267D" w:rsidRPr="0064264A" w:rsidRDefault="00D9267D" w:rsidP="00D9267D">
      <w:pPr>
        <w:spacing w:line="360" w:lineRule="auto"/>
        <w:jc w:val="both"/>
        <w:rPr>
          <w:rFonts w:eastAsia="Calibri"/>
          <w:lang w:val="es-DO"/>
        </w:rPr>
      </w:pPr>
      <w:r w:rsidRPr="0064264A">
        <w:rPr>
          <w:rFonts w:eastAsia="Calibri"/>
          <w:lang w:val="es-DO"/>
        </w:rPr>
        <w:t>En el período reportado se realizaron seis transmisiones en vivo de eventos institucionales relevantes, entre los que destacan:</w:t>
      </w:r>
    </w:p>
    <w:p w14:paraId="0B3FC95C" w14:textId="77777777" w:rsidR="00D9267D" w:rsidRPr="0064264A" w:rsidRDefault="00D9267D" w:rsidP="00A40AE3">
      <w:pPr>
        <w:pStyle w:val="ListParagraph"/>
        <w:numPr>
          <w:ilvl w:val="0"/>
          <w:numId w:val="46"/>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1er Foro de Pagos Instantáneos.</w:t>
      </w:r>
    </w:p>
    <w:p w14:paraId="291C85CC" w14:textId="77777777" w:rsidR="00D9267D" w:rsidRPr="0064264A" w:rsidRDefault="00D9267D" w:rsidP="00A40AE3">
      <w:pPr>
        <w:pStyle w:val="ListParagraph"/>
        <w:numPr>
          <w:ilvl w:val="0"/>
          <w:numId w:val="46"/>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Acto de inauguración de la XI Semana Económica y Financiera 2025.</w:t>
      </w:r>
    </w:p>
    <w:p w14:paraId="46459F80" w14:textId="77777777" w:rsidR="00D9267D" w:rsidRPr="0064264A" w:rsidRDefault="00D9267D" w:rsidP="00A40AE3">
      <w:pPr>
        <w:pStyle w:val="ListParagraph"/>
        <w:numPr>
          <w:ilvl w:val="0"/>
          <w:numId w:val="46"/>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Charla conmemorativa del Día Internacional de la Mujer.</w:t>
      </w:r>
    </w:p>
    <w:p w14:paraId="7804DAC5" w14:textId="77777777" w:rsidR="00D9267D" w:rsidRPr="0064264A" w:rsidRDefault="00D9267D" w:rsidP="00A40AE3">
      <w:pPr>
        <w:pStyle w:val="ListParagraph"/>
        <w:numPr>
          <w:ilvl w:val="0"/>
          <w:numId w:val="46"/>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Acto de reconocimiento a colaboradores por tiempo en servicio.</w:t>
      </w:r>
    </w:p>
    <w:p w14:paraId="6D49BFA2" w14:textId="77777777" w:rsidR="00D9267D" w:rsidRPr="0064264A" w:rsidRDefault="00D9267D" w:rsidP="00A40AE3">
      <w:pPr>
        <w:pStyle w:val="ListParagraph"/>
        <w:numPr>
          <w:ilvl w:val="0"/>
          <w:numId w:val="46"/>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Acto eucarístico de conmemoración del 78 aniversario institucional.</w:t>
      </w:r>
    </w:p>
    <w:p w14:paraId="413EB625" w14:textId="14F981DD" w:rsidR="00D9267D" w:rsidRPr="0064264A" w:rsidRDefault="00D9267D" w:rsidP="00A40AE3">
      <w:pPr>
        <w:pStyle w:val="ListParagraph"/>
        <w:numPr>
          <w:ilvl w:val="0"/>
          <w:numId w:val="46"/>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XI Seminario Internacional de Comunicación.</w:t>
      </w:r>
    </w:p>
    <w:p w14:paraId="7BD25929" w14:textId="42F7C29E" w:rsidR="00D9267D" w:rsidRPr="0064264A" w:rsidRDefault="00D9267D" w:rsidP="00D9267D">
      <w:pPr>
        <w:spacing w:line="360" w:lineRule="auto"/>
        <w:jc w:val="both"/>
        <w:rPr>
          <w:rFonts w:eastAsia="Calibri"/>
          <w:lang w:val="es-DO"/>
        </w:rPr>
      </w:pPr>
      <w:r w:rsidRPr="0064264A">
        <w:rPr>
          <w:rFonts w:eastAsia="Calibri"/>
          <w:lang w:val="es-DO"/>
        </w:rPr>
        <w:t>Estas transmisiones fueron difundidas a través de diversos canales y plataformas, incluyendo YouTube, Instagram, X (Twitter), Facebook, ECOS, RNN, RNN2, Canal 4, Canal 17 y CDN, según la naturaleza de cada evento.</w:t>
      </w:r>
    </w:p>
    <w:p w14:paraId="4FB383C3"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Noticiario institucional “Crónica Central”</w:t>
      </w:r>
    </w:p>
    <w:p w14:paraId="34D2B212" w14:textId="77777777" w:rsidR="00D9267D" w:rsidRPr="0064264A" w:rsidRDefault="00D9267D" w:rsidP="00D9267D">
      <w:pPr>
        <w:spacing w:line="360" w:lineRule="auto"/>
        <w:jc w:val="both"/>
        <w:rPr>
          <w:rFonts w:eastAsia="Calibri"/>
          <w:lang w:val="es-DO"/>
        </w:rPr>
      </w:pPr>
      <w:r w:rsidRPr="0064264A">
        <w:rPr>
          <w:rFonts w:eastAsia="Calibri"/>
          <w:lang w:val="es-DO"/>
        </w:rPr>
        <w:t>Durante este periodo se produjeron 11 ediciones del noticiario institucional "Crónica Central", con el propósito de difundir mensualmente información relevante de la entidad y fortalecer la cercanía del Banco Central con la ciudadanía.</w:t>
      </w:r>
    </w:p>
    <w:p w14:paraId="12063B67" w14:textId="77777777" w:rsidR="00D9267D" w:rsidRPr="0064264A" w:rsidRDefault="00D9267D" w:rsidP="00D9267D">
      <w:pPr>
        <w:spacing w:line="360" w:lineRule="auto"/>
        <w:jc w:val="both"/>
        <w:rPr>
          <w:rFonts w:eastAsia="Calibri"/>
          <w:lang w:val="es-DO"/>
        </w:rPr>
      </w:pPr>
      <w:r w:rsidRPr="0064264A">
        <w:rPr>
          <w:rFonts w:eastAsia="Calibri"/>
          <w:lang w:val="es-DO"/>
        </w:rPr>
        <w:t>El noticiario fue difundido a través de la intranet, del canal oficial de YouTube @BancoCentralRD y transmitido por ECOS (Canal 57). En esta edición anual se introdujeron mejoras técnicas y creativas tales como la inclusión de spots institucionales, imágenes externas renovadas y una sección especializada dedicada al repositorio bibliográfico de la Biblioteca Juan Pablo Duarte.</w:t>
      </w:r>
    </w:p>
    <w:p w14:paraId="66A792B5" w14:textId="64B13E34" w:rsidR="00D9267D" w:rsidRPr="0064264A" w:rsidRDefault="00D9267D" w:rsidP="00D9267D">
      <w:pPr>
        <w:spacing w:line="360" w:lineRule="auto"/>
        <w:jc w:val="both"/>
        <w:rPr>
          <w:rFonts w:eastAsia="Calibri"/>
          <w:lang w:val="es-DO"/>
        </w:rPr>
      </w:pPr>
      <w:r w:rsidRPr="0064264A">
        <w:rPr>
          <w:rFonts w:eastAsia="Calibri"/>
          <w:lang w:val="es-DO"/>
        </w:rPr>
        <w:lastRenderedPageBreak/>
        <w:t>La producción mantuvo una periodicidad mensual, a través de la cual se difundieron 92 notas institucionales, consolidándose como pieza informativa confiable y alineada con la misión institucional de comunicar y educar a la población.</w:t>
      </w:r>
    </w:p>
    <w:p w14:paraId="2800189D" w14:textId="35F1FE3E" w:rsidR="00D9267D" w:rsidRPr="0064264A" w:rsidRDefault="00D9267D" w:rsidP="00D9267D">
      <w:pPr>
        <w:spacing w:line="360" w:lineRule="auto"/>
        <w:jc w:val="both"/>
        <w:rPr>
          <w:rFonts w:eastAsia="Calibri"/>
          <w:b/>
          <w:bCs/>
          <w:lang w:val="es-DO"/>
        </w:rPr>
      </w:pPr>
      <w:r w:rsidRPr="0064264A">
        <w:rPr>
          <w:rFonts w:eastAsia="Calibri"/>
          <w:b/>
          <w:bCs/>
          <w:lang w:val="es-DO"/>
        </w:rPr>
        <w:t>Canal ECOS</w:t>
      </w:r>
    </w:p>
    <w:p w14:paraId="3D707211" w14:textId="1FB35802" w:rsidR="00D9267D" w:rsidRPr="0064264A" w:rsidRDefault="00D9267D" w:rsidP="00D9267D">
      <w:pPr>
        <w:spacing w:line="360" w:lineRule="auto"/>
        <w:jc w:val="both"/>
        <w:rPr>
          <w:rFonts w:eastAsia="Calibri"/>
          <w:lang w:val="es-DO"/>
        </w:rPr>
      </w:pPr>
      <w:r w:rsidRPr="0064264A">
        <w:rPr>
          <w:rFonts w:eastAsia="Calibri"/>
          <w:lang w:val="es-DO"/>
        </w:rPr>
        <w:t>Canal ECOS experimentó durante 2025 significativos avances en la ampliación y fortalecimiento de su programación, orientada al crecimiento sostenido del medio. Se apoyó de manera constante en la producción del noticiario “Crónica Central” y en la generación de contenido audiovisual para redes sociales, destacándose cápsulas educativas, resúmenes informativos, coberturas periodísticas y montajes relacionados con actividades institucionales y académicas.</w:t>
      </w:r>
    </w:p>
    <w:p w14:paraId="08DDF3E3" w14:textId="3E440324" w:rsidR="00D9267D" w:rsidRPr="0064264A" w:rsidRDefault="00D9267D" w:rsidP="00D9267D">
      <w:pPr>
        <w:spacing w:line="360" w:lineRule="auto"/>
        <w:jc w:val="both"/>
        <w:rPr>
          <w:rFonts w:eastAsia="Calibri"/>
          <w:lang w:val="es-DO"/>
        </w:rPr>
      </w:pPr>
      <w:r w:rsidRPr="0064264A">
        <w:rPr>
          <w:rFonts w:eastAsia="Calibri"/>
          <w:lang w:val="es-DO"/>
        </w:rPr>
        <w:t>Entre las principales coberturas realizadas se resaltan:</w:t>
      </w:r>
    </w:p>
    <w:p w14:paraId="45E1FDE4" w14:textId="77777777" w:rsidR="00D9267D" w:rsidRPr="0064264A" w:rsidRDefault="00D9267D" w:rsidP="00A40AE3">
      <w:pPr>
        <w:pStyle w:val="ListParagraph"/>
        <w:numPr>
          <w:ilvl w:val="0"/>
          <w:numId w:val="47"/>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Semana Económica y Financiera 2025 (material promocional, resúmenes diarios, cobertura especial y premiación del concurso académico Economistas del Futuro).</w:t>
      </w:r>
    </w:p>
    <w:p w14:paraId="7072DAA0" w14:textId="523961AE" w:rsidR="00D9267D" w:rsidRPr="0064264A" w:rsidRDefault="00D9267D" w:rsidP="00A40AE3">
      <w:pPr>
        <w:pStyle w:val="ListParagraph"/>
        <w:numPr>
          <w:ilvl w:val="0"/>
          <w:numId w:val="47"/>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III Congreso Latinoamericano de Banca Sostenible e Inclusiva.</w:t>
      </w:r>
    </w:p>
    <w:p w14:paraId="013A1B79" w14:textId="77777777" w:rsidR="00D9267D" w:rsidRPr="0064264A" w:rsidRDefault="00D9267D" w:rsidP="00A40AE3">
      <w:pPr>
        <w:pStyle w:val="ListParagraph"/>
        <w:numPr>
          <w:ilvl w:val="0"/>
          <w:numId w:val="47"/>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XI Diplomado Economía y Finanzas BCRD 2025.</w:t>
      </w:r>
    </w:p>
    <w:p w14:paraId="2D3CA170" w14:textId="77777777" w:rsidR="00D9267D" w:rsidRPr="0064264A" w:rsidRDefault="00D9267D" w:rsidP="00A40AE3">
      <w:pPr>
        <w:pStyle w:val="ListParagraph"/>
        <w:numPr>
          <w:ilvl w:val="0"/>
          <w:numId w:val="47"/>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Campamento de Verano CEBC.</w:t>
      </w:r>
    </w:p>
    <w:p w14:paraId="0A0A0D2D" w14:textId="77777777" w:rsidR="00D9267D" w:rsidRPr="0064264A" w:rsidRDefault="00D9267D" w:rsidP="00A40AE3">
      <w:pPr>
        <w:pStyle w:val="ListParagraph"/>
        <w:numPr>
          <w:ilvl w:val="0"/>
          <w:numId w:val="47"/>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XVI Diplomado de Formación Económica para Comunicadores.</w:t>
      </w:r>
    </w:p>
    <w:p w14:paraId="3EA81AE7" w14:textId="77777777" w:rsidR="00D9267D" w:rsidRPr="0064264A" w:rsidRDefault="00D9267D" w:rsidP="00A40AE3">
      <w:pPr>
        <w:pStyle w:val="ListParagraph"/>
        <w:numPr>
          <w:ilvl w:val="0"/>
          <w:numId w:val="47"/>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Seminario Internacional de Comunicación 2025.</w:t>
      </w:r>
    </w:p>
    <w:p w14:paraId="521CDDCE" w14:textId="77777777" w:rsidR="00D9267D" w:rsidRPr="0064264A" w:rsidRDefault="00D9267D" w:rsidP="00A40AE3">
      <w:pPr>
        <w:pStyle w:val="ListParagraph"/>
        <w:numPr>
          <w:ilvl w:val="0"/>
          <w:numId w:val="47"/>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Informe de Estabilidad Financiera 2023-2024.</w:t>
      </w:r>
    </w:p>
    <w:p w14:paraId="23F9E6B3" w14:textId="7E6535BC" w:rsidR="00D9267D" w:rsidRPr="0064264A" w:rsidRDefault="00D9267D" w:rsidP="00A40AE3">
      <w:pPr>
        <w:pStyle w:val="ListParagraph"/>
        <w:numPr>
          <w:ilvl w:val="0"/>
          <w:numId w:val="47"/>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Cápsulas testimoniales del Voluntariado Bancentraliano por la lucha contra el cáncer de mama.</w:t>
      </w:r>
    </w:p>
    <w:p w14:paraId="325FDCA0" w14:textId="0BCB7239" w:rsidR="00D9267D" w:rsidRPr="0064264A" w:rsidRDefault="00D9267D" w:rsidP="00D9267D">
      <w:pPr>
        <w:spacing w:line="360" w:lineRule="auto"/>
        <w:jc w:val="both"/>
        <w:rPr>
          <w:rFonts w:eastAsia="Calibri"/>
          <w:lang w:val="es-DO"/>
        </w:rPr>
      </w:pPr>
      <w:r w:rsidRPr="0064264A">
        <w:rPr>
          <w:rFonts w:eastAsia="Calibri"/>
          <w:lang w:val="es-DO"/>
        </w:rPr>
        <w:t>Asimismo, se realizaron montajes audiovisuales para eventos institucionales, entre ellos:</w:t>
      </w:r>
    </w:p>
    <w:p w14:paraId="229FBA59" w14:textId="77777777" w:rsidR="00D9267D" w:rsidRPr="0064264A" w:rsidRDefault="00D9267D" w:rsidP="00A40AE3">
      <w:pPr>
        <w:pStyle w:val="ListParagraph"/>
        <w:numPr>
          <w:ilvl w:val="0"/>
          <w:numId w:val="48"/>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305.ª Reunión del Consejo Monetario Centroamericano (CMCA).</w:t>
      </w:r>
    </w:p>
    <w:p w14:paraId="64BCA21A" w14:textId="77777777" w:rsidR="00D9267D" w:rsidRPr="0064264A" w:rsidRDefault="00D9267D" w:rsidP="00A40AE3">
      <w:pPr>
        <w:pStyle w:val="ListParagraph"/>
        <w:numPr>
          <w:ilvl w:val="0"/>
          <w:numId w:val="48"/>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lastRenderedPageBreak/>
        <w:t>Homenaje a colaboradores 2025.</w:t>
      </w:r>
    </w:p>
    <w:p w14:paraId="33A39B02" w14:textId="77777777" w:rsidR="00D9267D" w:rsidRPr="0064264A" w:rsidRDefault="00D9267D" w:rsidP="00A40AE3">
      <w:pPr>
        <w:pStyle w:val="ListParagraph"/>
        <w:numPr>
          <w:ilvl w:val="0"/>
          <w:numId w:val="48"/>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Aniversario del BCRD 2025.</w:t>
      </w:r>
    </w:p>
    <w:p w14:paraId="267E7438" w14:textId="77777777" w:rsidR="00D9267D" w:rsidRPr="0064264A" w:rsidRDefault="00D9267D" w:rsidP="00A40AE3">
      <w:pPr>
        <w:pStyle w:val="ListParagraph"/>
        <w:numPr>
          <w:ilvl w:val="0"/>
          <w:numId w:val="48"/>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Recital de Jazz “Bajo el encanto de las cuerdas”.</w:t>
      </w:r>
    </w:p>
    <w:p w14:paraId="372676B1" w14:textId="16E9B12D" w:rsidR="00D9267D" w:rsidRPr="0064264A" w:rsidRDefault="00D9267D" w:rsidP="00D9267D">
      <w:pPr>
        <w:spacing w:line="360" w:lineRule="auto"/>
        <w:jc w:val="both"/>
        <w:rPr>
          <w:rFonts w:eastAsia="Calibri"/>
          <w:lang w:val="es-DO"/>
        </w:rPr>
      </w:pPr>
      <w:r w:rsidRPr="0064264A">
        <w:rPr>
          <w:rFonts w:eastAsia="Calibri"/>
          <w:lang w:val="es-DO"/>
        </w:rPr>
        <w:t>Como parte de la colaboración con el Departamento Cultural, se generaron 45 cápsulas audiovisuales dedicadas a obras literarias del repositorio institucional.</w:t>
      </w:r>
    </w:p>
    <w:p w14:paraId="0A307C70" w14:textId="1E3ED53B" w:rsidR="00D9267D" w:rsidRPr="0064264A" w:rsidRDefault="00D9267D" w:rsidP="00D9267D">
      <w:pPr>
        <w:spacing w:line="360" w:lineRule="auto"/>
        <w:jc w:val="both"/>
        <w:rPr>
          <w:rFonts w:eastAsia="Calibri"/>
          <w:b/>
          <w:bCs/>
          <w:lang w:val="es-DO"/>
        </w:rPr>
      </w:pPr>
      <w:r w:rsidRPr="0064264A">
        <w:rPr>
          <w:rFonts w:eastAsia="Calibri"/>
          <w:b/>
          <w:bCs/>
          <w:lang w:val="es-DO"/>
        </w:rPr>
        <w:t>Programa de Pasantías</w:t>
      </w:r>
    </w:p>
    <w:p w14:paraId="0EA5EFC2" w14:textId="6B86EFA7" w:rsidR="00D9267D" w:rsidRPr="0064264A" w:rsidRDefault="00D9267D" w:rsidP="00D9267D">
      <w:pPr>
        <w:spacing w:line="360" w:lineRule="auto"/>
        <w:jc w:val="both"/>
        <w:rPr>
          <w:rFonts w:eastAsia="Calibri"/>
          <w:lang w:val="es-DO"/>
        </w:rPr>
      </w:pPr>
      <w:r w:rsidRPr="0064264A">
        <w:rPr>
          <w:rFonts w:eastAsia="Calibri"/>
          <w:lang w:val="es-DO"/>
        </w:rPr>
        <w:t>Finalmente, como aporte a la formación de futuros profesionales, la División Audiovisual recibió a seis estudiantes universitarios del área de comunicación social. Estas pasantías permitieron consolidar la transferencia de conocimientos prácticos y el fortalecimiento de competencias técnico-profesionales, promoviendo el intercambio de experiencias y la incorporación de buenas prácticas en producción audiovisual, comunicación estratégica y gestión de contenidos digitales.</w:t>
      </w:r>
    </w:p>
    <w:p w14:paraId="02CFD25B" w14:textId="32A4D4DA" w:rsidR="00D9267D" w:rsidRPr="0064264A" w:rsidRDefault="00D9267D" w:rsidP="00D9267D">
      <w:pPr>
        <w:spacing w:line="360" w:lineRule="auto"/>
        <w:jc w:val="both"/>
        <w:rPr>
          <w:rFonts w:eastAsia="Calibri"/>
          <w:b/>
          <w:lang w:val="es-CR"/>
        </w:rPr>
      </w:pPr>
      <w:r w:rsidRPr="0064264A">
        <w:rPr>
          <w:rFonts w:eastAsia="Calibri"/>
          <w:b/>
          <w:lang w:val="es-CR"/>
        </w:rPr>
        <w:t>Relaciones Públicas y Responsabilidad Social</w:t>
      </w:r>
    </w:p>
    <w:p w14:paraId="2C7EA706" w14:textId="78867A58" w:rsidR="00D9267D" w:rsidRPr="0064264A" w:rsidRDefault="00D9267D" w:rsidP="00D9267D">
      <w:pPr>
        <w:spacing w:line="360" w:lineRule="auto"/>
        <w:jc w:val="both"/>
        <w:rPr>
          <w:rFonts w:eastAsia="Calibri"/>
          <w:lang w:val="es-DO"/>
        </w:rPr>
      </w:pPr>
      <w:r w:rsidRPr="0064264A">
        <w:rPr>
          <w:rFonts w:eastAsia="Calibri"/>
          <w:lang w:val="es-DO"/>
        </w:rPr>
        <w:t>A través de esta subdirección se coordina y supervisa el programa de responsabilidad social institucional, así como las acciones de relacionamiento que fortalecen los vínculos con los distintos públicos de interés. Asimismo, planifica y ejecuta los eventos oficiales del Banco.</w:t>
      </w:r>
    </w:p>
    <w:p w14:paraId="4F8F5307" w14:textId="362C227A" w:rsidR="00CE7EC9" w:rsidRPr="0064264A" w:rsidRDefault="00D9267D" w:rsidP="00D9267D">
      <w:pPr>
        <w:spacing w:line="360" w:lineRule="auto"/>
        <w:jc w:val="both"/>
        <w:rPr>
          <w:rFonts w:eastAsia="Calibri"/>
          <w:lang w:val="es-DO"/>
        </w:rPr>
      </w:pPr>
      <w:r w:rsidRPr="0064264A">
        <w:rPr>
          <w:rFonts w:eastAsia="Calibri"/>
          <w:lang w:val="es-DO"/>
        </w:rPr>
        <w:t>El BCRD reconoce su compromiso de contribuir a la comprensión de los principales temas económicos y financieros, promoviendo que el público en general pueda interpretar las variables económicas y tomar decisiones informadas. Además, reafirma su vocación de servicio mediante su brazo social, el Voluntariado Bancentraliano, con el cual impulsa acciones en beneficio de la comunidad</w:t>
      </w:r>
      <w:r w:rsidR="00CE7EC9" w:rsidRPr="0064264A">
        <w:rPr>
          <w:rFonts w:eastAsia="Calibri"/>
          <w:lang w:val="es-DO"/>
        </w:rPr>
        <w:t>.</w:t>
      </w:r>
    </w:p>
    <w:p w14:paraId="1176B3D4" w14:textId="77777777" w:rsidR="00CE7EC9" w:rsidRPr="0064264A" w:rsidRDefault="00CE7EC9" w:rsidP="00D9267D">
      <w:pPr>
        <w:spacing w:line="360" w:lineRule="auto"/>
        <w:jc w:val="both"/>
        <w:rPr>
          <w:rFonts w:eastAsia="Calibri"/>
          <w:lang w:val="es-DO"/>
        </w:rPr>
      </w:pPr>
    </w:p>
    <w:p w14:paraId="77F56783" w14:textId="77777777" w:rsidR="00CE7EC9" w:rsidRPr="0064264A" w:rsidRDefault="00CE7EC9" w:rsidP="00D9267D">
      <w:pPr>
        <w:spacing w:line="360" w:lineRule="auto"/>
        <w:jc w:val="both"/>
        <w:rPr>
          <w:rFonts w:eastAsia="Calibri"/>
          <w:lang w:val="es-DO"/>
        </w:rPr>
      </w:pPr>
    </w:p>
    <w:p w14:paraId="425C243C" w14:textId="77777777" w:rsidR="00D9267D" w:rsidRPr="0064264A" w:rsidRDefault="00D9267D" w:rsidP="00D9267D">
      <w:pPr>
        <w:spacing w:line="360" w:lineRule="auto"/>
        <w:jc w:val="both"/>
        <w:rPr>
          <w:rFonts w:eastAsia="Calibri"/>
          <w:b/>
          <w:lang w:val="es-CR"/>
        </w:rPr>
      </w:pPr>
      <w:r w:rsidRPr="0064264A">
        <w:rPr>
          <w:rFonts w:eastAsia="Calibri"/>
          <w:b/>
          <w:lang w:val="es-CR"/>
        </w:rPr>
        <w:t>Educación Económica y Financiera</w:t>
      </w:r>
    </w:p>
    <w:p w14:paraId="2D1B92B1" w14:textId="1C91133D" w:rsidR="00D9267D" w:rsidRPr="0064264A" w:rsidRDefault="00D9267D" w:rsidP="00D9267D">
      <w:pPr>
        <w:spacing w:line="360" w:lineRule="auto"/>
        <w:jc w:val="both"/>
        <w:rPr>
          <w:rFonts w:eastAsia="Calibri"/>
          <w:lang w:val="es-CR"/>
        </w:rPr>
      </w:pPr>
      <w:r w:rsidRPr="0064264A">
        <w:rPr>
          <w:rFonts w:eastAsia="Calibri"/>
          <w:lang w:val="es-CR"/>
        </w:rPr>
        <w:t>En el marco de su programa de responsabilidad social “Aula Central para la educación económica y financiera”, el Banco Central fomenta la creación de una cultura económica y financiera mediante diversas actividades formativas. Durante el año 2025 se alcanzaron los siguientes logros:</w:t>
      </w:r>
    </w:p>
    <w:p w14:paraId="03A27DAB" w14:textId="049BCE60" w:rsidR="00D9267D" w:rsidRPr="0064264A" w:rsidRDefault="00D9267D" w:rsidP="00D9267D">
      <w:pPr>
        <w:spacing w:line="360" w:lineRule="auto"/>
        <w:jc w:val="both"/>
        <w:rPr>
          <w:rFonts w:eastAsia="Calibri"/>
          <w:lang w:val="es-CR"/>
        </w:rPr>
      </w:pPr>
      <w:r w:rsidRPr="0064264A">
        <w:rPr>
          <w:rFonts w:eastAsia="Calibri"/>
          <w:lang w:val="es-CR"/>
        </w:rPr>
        <w:t>•Décima Semana Económica y Financiera: celebrada en Santo Domingo, Santiago y ampliando su alcance a la ciudad de Baní, con la participación de más de 7,951 personas, entre niños, jóvenes y público general. El evento contó con la colaboración de 51 entidades y la realización de 166 actividades, consolidándose como una de las principales iniciativas educativas del país.</w:t>
      </w:r>
    </w:p>
    <w:p w14:paraId="3CA68699" w14:textId="7C283C18" w:rsidR="00D9267D" w:rsidRPr="0064264A" w:rsidRDefault="00D9267D" w:rsidP="00D9267D">
      <w:pPr>
        <w:spacing w:line="360" w:lineRule="auto"/>
        <w:jc w:val="both"/>
        <w:rPr>
          <w:rFonts w:eastAsia="Calibri"/>
          <w:lang w:val="es-CR"/>
        </w:rPr>
      </w:pPr>
      <w:r w:rsidRPr="0064264A">
        <w:rPr>
          <w:rFonts w:eastAsia="Calibri"/>
          <w:lang w:val="es-CR"/>
        </w:rPr>
        <w:t xml:space="preserve">•XII Concurso “Economistas del Futuro 2025”: dirigido a estudiantes de último año de secundaria de centros educativos públicos y privados impactando con esta versión un total de 435 centros educativos y 1,305 estudiantes a nivel nacional. El tema trabajado fue “¿Qué es y cómo se mide la inclusión financiera, </w:t>
      </w:r>
      <w:r w:rsidR="00FE2E92" w:rsidRPr="0064264A">
        <w:rPr>
          <w:rFonts w:eastAsia="Calibri"/>
          <w:lang w:val="es-CR"/>
        </w:rPr>
        <w:t>¿cómo lograrla y por qué importa?</w:t>
      </w:r>
      <w:r w:rsidRPr="0064264A">
        <w:rPr>
          <w:rFonts w:eastAsia="Calibri"/>
          <w:lang w:val="es-CR"/>
        </w:rPr>
        <w:t>”.</w:t>
      </w:r>
    </w:p>
    <w:p w14:paraId="5105B9E3" w14:textId="503B6EE5" w:rsidR="00D9267D" w:rsidRPr="0064264A" w:rsidRDefault="00D9267D" w:rsidP="00D9267D">
      <w:pPr>
        <w:spacing w:line="360" w:lineRule="auto"/>
        <w:jc w:val="both"/>
        <w:rPr>
          <w:rFonts w:eastAsia="Calibri"/>
          <w:lang w:val="es-CR"/>
        </w:rPr>
      </w:pPr>
      <w:r w:rsidRPr="0064264A">
        <w:rPr>
          <w:rFonts w:eastAsia="Calibri"/>
          <w:lang w:val="es-CR"/>
        </w:rPr>
        <w:t>•Se impartieron conferencias sobre temas relacionados con el quehacer institucional, tales como sistemas de pago, billetes y monedas, sistema financiero, finanzas personales, política monetaria e inflación. Estas actividades fueron dirigidas a centros educativos, universidades e instituciones privadas.</w:t>
      </w:r>
    </w:p>
    <w:p w14:paraId="50095348" w14:textId="131A175E" w:rsidR="00D9267D" w:rsidRPr="0064264A" w:rsidRDefault="00D9267D" w:rsidP="00D9267D">
      <w:pPr>
        <w:spacing w:line="360" w:lineRule="auto"/>
        <w:jc w:val="both"/>
        <w:rPr>
          <w:rFonts w:eastAsia="Calibri"/>
          <w:lang w:val="es-CR"/>
        </w:rPr>
      </w:pPr>
      <w:r w:rsidRPr="0064264A">
        <w:rPr>
          <w:rFonts w:eastAsia="Calibri"/>
          <w:lang w:val="es-CR"/>
        </w:rPr>
        <w:t xml:space="preserve">•XI Diplomado Interno de Economía y Finanzas orientado al personal del Banco Central, con la participación de 105 empleados y 20 facilitadores. Este programa continúa fortaleciendo la comprensión de la misión institucional y fomentando la identificación del personal </w:t>
      </w:r>
      <w:r w:rsidRPr="0064264A">
        <w:rPr>
          <w:rFonts w:eastAsia="Calibri"/>
          <w:lang w:val="es-CR"/>
        </w:rPr>
        <w:lastRenderedPageBreak/>
        <w:t>con los objetivos del Banco. Con esta versión hemos capacitado a 1,016 colaboradores.</w:t>
      </w:r>
    </w:p>
    <w:p w14:paraId="1B3E2E31" w14:textId="6AFF3242" w:rsidR="00D9267D" w:rsidRPr="0064264A" w:rsidRDefault="00D9267D" w:rsidP="00D9267D">
      <w:pPr>
        <w:spacing w:line="360" w:lineRule="auto"/>
        <w:jc w:val="both"/>
        <w:rPr>
          <w:rFonts w:eastAsia="Calibri"/>
          <w:lang w:val="es-CR"/>
        </w:rPr>
      </w:pPr>
      <w:r w:rsidRPr="0064264A">
        <w:rPr>
          <w:rFonts w:eastAsia="Calibri"/>
          <w:lang w:val="es-CR"/>
        </w:rPr>
        <w:t xml:space="preserve">•XVI Diplomado “Formación Económica para Comunicadores” realizado en San Pedro de Macorís, con aval académico de la Universidad Iberoamericana (UNIBE) y la colaboración del Colegio Dominicano de Periodistas, en el cual participaron 38 profesionales de la región Este, alcanzando un total de 608 comunicadores formados en todo el país. </w:t>
      </w:r>
    </w:p>
    <w:p w14:paraId="0A000480" w14:textId="5B380842" w:rsidR="00D9267D" w:rsidRPr="0064264A" w:rsidRDefault="00D9267D" w:rsidP="00D9267D">
      <w:pPr>
        <w:spacing w:line="360" w:lineRule="auto"/>
        <w:jc w:val="both"/>
        <w:rPr>
          <w:rFonts w:eastAsia="Calibri"/>
          <w:lang w:val="es-CR"/>
        </w:rPr>
      </w:pPr>
      <w:r w:rsidRPr="0064264A">
        <w:rPr>
          <w:rFonts w:eastAsia="Calibri"/>
          <w:lang w:val="es-CR"/>
        </w:rPr>
        <w:t xml:space="preserve">•X Seminario Internacional de Comunicación: con el tema “El rol de la sostenibilidad en el desarrollo”, contó con la participación de aproximadamente 200 personas y la destacada intervención de expertas internacionales como Constanza Muñoz, del Banco Central de Chile, y Stephanie García Van </w:t>
      </w:r>
      <w:proofErr w:type="spellStart"/>
      <w:r w:rsidRPr="0064264A">
        <w:rPr>
          <w:rFonts w:eastAsia="Calibri"/>
          <w:lang w:val="es-CR"/>
        </w:rPr>
        <w:t>Gool</w:t>
      </w:r>
      <w:proofErr w:type="spellEnd"/>
      <w:r w:rsidRPr="0064264A">
        <w:rPr>
          <w:rFonts w:eastAsia="Calibri"/>
          <w:lang w:val="es-CR"/>
        </w:rPr>
        <w:t xml:space="preserve">, de la Fundación Microfinanzas BBVA. También participaron representantes de la Superintendencia de Bancos de la República Dominicana, Natalia Sánchez García, directora de </w:t>
      </w:r>
      <w:proofErr w:type="spellStart"/>
      <w:r w:rsidRPr="0064264A">
        <w:rPr>
          <w:rFonts w:eastAsia="Calibri"/>
          <w:lang w:val="es-CR"/>
        </w:rPr>
        <w:t>ProUsuario</w:t>
      </w:r>
      <w:proofErr w:type="spellEnd"/>
      <w:r w:rsidRPr="0064264A">
        <w:rPr>
          <w:rFonts w:eastAsia="Calibri"/>
          <w:lang w:val="es-CR"/>
        </w:rPr>
        <w:t xml:space="preserve">, </w:t>
      </w:r>
      <w:proofErr w:type="spellStart"/>
      <w:r w:rsidRPr="0064264A">
        <w:rPr>
          <w:rFonts w:eastAsia="Calibri"/>
          <w:lang w:val="es-CR"/>
        </w:rPr>
        <w:t>Himilce</w:t>
      </w:r>
      <w:proofErr w:type="spellEnd"/>
      <w:r w:rsidRPr="0064264A">
        <w:rPr>
          <w:rFonts w:eastAsia="Calibri"/>
          <w:lang w:val="es-CR"/>
        </w:rPr>
        <w:t xml:space="preserve"> Amelia Tejada, encargada de la división de sostenibilidad y </w:t>
      </w:r>
      <w:proofErr w:type="spellStart"/>
      <w:r w:rsidRPr="0064264A">
        <w:rPr>
          <w:rFonts w:eastAsia="Calibri"/>
          <w:lang w:val="es-CR"/>
        </w:rPr>
        <w:t>Dawilvi</w:t>
      </w:r>
      <w:proofErr w:type="spellEnd"/>
      <w:r w:rsidRPr="0064264A">
        <w:rPr>
          <w:rFonts w:eastAsia="Calibri"/>
          <w:lang w:val="es-CR"/>
        </w:rPr>
        <w:t xml:space="preserve"> Peña Hernández, especialista Senior en Riesgos Ambientales y Sociales en la Superintendencia de Bancos de la República Dominicana, quienes expusieron sobre sostenibilidad y gestión de riesgos sociales y ambientales. </w:t>
      </w:r>
    </w:p>
    <w:p w14:paraId="0C5D4FE4" w14:textId="0FA1B69A" w:rsidR="00D9267D" w:rsidRPr="0064264A" w:rsidRDefault="00D9267D" w:rsidP="00D9267D">
      <w:pPr>
        <w:spacing w:line="360" w:lineRule="auto"/>
        <w:jc w:val="both"/>
        <w:rPr>
          <w:rFonts w:eastAsia="Calibri"/>
          <w:lang w:val="es-CR"/>
        </w:rPr>
      </w:pPr>
      <w:r w:rsidRPr="0064264A">
        <w:rPr>
          <w:rFonts w:eastAsia="Calibri"/>
          <w:lang w:val="es-CR"/>
        </w:rPr>
        <w:t xml:space="preserve">•Actividad educativa con Ciencia Divertida realizada para los hijos de los empleados participantes en el Campamento de Verano del Club del Banco Central. </w:t>
      </w:r>
    </w:p>
    <w:p w14:paraId="72CE8683" w14:textId="77777777" w:rsidR="00D9267D" w:rsidRPr="0064264A" w:rsidRDefault="00D9267D" w:rsidP="00D9267D">
      <w:pPr>
        <w:spacing w:line="360" w:lineRule="auto"/>
        <w:jc w:val="both"/>
        <w:rPr>
          <w:rFonts w:eastAsia="Calibri"/>
          <w:lang w:val="es-CR"/>
        </w:rPr>
      </w:pPr>
      <w:r w:rsidRPr="0064264A">
        <w:rPr>
          <w:rFonts w:eastAsia="Calibri"/>
          <w:lang w:val="es-CR"/>
        </w:rPr>
        <w:t>•Lanzamiento de la XIII versión del concurso “Economistas del Futuro 2025”, con el tema “Estudiar para crecer: ¿Cómo la educación impulsa el desarrollo económico?”.</w:t>
      </w:r>
    </w:p>
    <w:p w14:paraId="780B41A1" w14:textId="77777777" w:rsidR="00D9267D" w:rsidRPr="0064264A" w:rsidRDefault="00D9267D" w:rsidP="00D9267D">
      <w:pPr>
        <w:spacing w:line="360" w:lineRule="auto"/>
        <w:jc w:val="both"/>
        <w:rPr>
          <w:rFonts w:eastAsia="Calibri"/>
          <w:lang w:val="es-CR"/>
        </w:rPr>
      </w:pPr>
    </w:p>
    <w:p w14:paraId="3CB6B27B" w14:textId="77777777" w:rsidR="00CE7EC9" w:rsidRPr="0064264A" w:rsidRDefault="00CE7EC9" w:rsidP="00D9267D">
      <w:pPr>
        <w:spacing w:line="360" w:lineRule="auto"/>
        <w:jc w:val="both"/>
        <w:rPr>
          <w:rFonts w:eastAsia="Calibri"/>
          <w:lang w:val="es-CR"/>
        </w:rPr>
      </w:pPr>
    </w:p>
    <w:p w14:paraId="62E1A902" w14:textId="77777777" w:rsidR="00D9267D" w:rsidRPr="0064264A" w:rsidRDefault="00D9267D" w:rsidP="00D9267D">
      <w:pPr>
        <w:spacing w:line="360" w:lineRule="auto"/>
        <w:jc w:val="both"/>
        <w:rPr>
          <w:rFonts w:eastAsia="Calibri"/>
          <w:b/>
          <w:lang w:val="es-CR"/>
        </w:rPr>
      </w:pPr>
      <w:r w:rsidRPr="0064264A">
        <w:rPr>
          <w:rFonts w:eastAsia="Calibri"/>
          <w:b/>
          <w:lang w:val="es-CR"/>
        </w:rPr>
        <w:lastRenderedPageBreak/>
        <w:t>Voluntariado Bancentraliano</w:t>
      </w:r>
    </w:p>
    <w:p w14:paraId="3A45DFE5" w14:textId="47E9EE1A" w:rsidR="00D9267D" w:rsidRPr="0064264A" w:rsidRDefault="00D9267D" w:rsidP="00D9267D">
      <w:pPr>
        <w:spacing w:line="360" w:lineRule="auto"/>
        <w:jc w:val="both"/>
        <w:rPr>
          <w:rFonts w:eastAsia="Calibri"/>
          <w:lang w:val="es-CR"/>
        </w:rPr>
      </w:pPr>
      <w:r w:rsidRPr="0064264A">
        <w:rPr>
          <w:rFonts w:eastAsia="Calibri"/>
          <w:lang w:val="es-CR"/>
        </w:rPr>
        <w:t>El Voluntariado Bancentraliano es una institución vinculada al Banco Central de la República Dominicana, integrada por funcionarios, empleados y pensionados, que deciden manifestar su espíritu solidario con la sociedad y el medio ambiente. A través de este, se coadyuva a solucionar problemas que impacten comunidades. Su proceder se encuentra dentro del marco de los valores y principios que rigen la responsabilidad social institucional del BCRD, contribuyendo al mejoramiento social, económico y medioambiental del país.</w:t>
      </w:r>
    </w:p>
    <w:p w14:paraId="32768190" w14:textId="2AE10558" w:rsidR="00D9267D" w:rsidRPr="0064264A" w:rsidRDefault="00D9267D" w:rsidP="00D9267D">
      <w:pPr>
        <w:spacing w:line="360" w:lineRule="auto"/>
        <w:jc w:val="both"/>
        <w:rPr>
          <w:rFonts w:eastAsia="Calibri"/>
          <w:lang w:val="es-CR"/>
        </w:rPr>
      </w:pPr>
      <w:r w:rsidRPr="0064264A">
        <w:rPr>
          <w:rFonts w:eastAsia="Calibri"/>
          <w:lang w:val="es-CR"/>
        </w:rPr>
        <w:t>A través del acuerdo interinstitucional con la Cruz Roja Dominicana, donde se creó un banco de sangre para los empleados del Banco Central, se han entregado 80 unidades de sangre, beneficiando a empleados y sus familiares. De igual manera se entregó el aporte por RD$540,000.00, correspondiente a las unidades de sangre entregadas durante el 202</w:t>
      </w:r>
      <w:r w:rsidR="00A448C8" w:rsidRPr="0064264A">
        <w:rPr>
          <w:rFonts w:eastAsia="Calibri"/>
          <w:lang w:val="es-CR"/>
        </w:rPr>
        <w:t>5</w:t>
      </w:r>
      <w:r w:rsidRPr="0064264A">
        <w:rPr>
          <w:rFonts w:eastAsia="Calibri"/>
          <w:lang w:val="es-CR"/>
        </w:rPr>
        <w:t>.</w:t>
      </w:r>
    </w:p>
    <w:p w14:paraId="6CFA76CE" w14:textId="2A507E8A" w:rsidR="00D9267D" w:rsidRPr="0064264A" w:rsidRDefault="00D9267D" w:rsidP="00D9267D">
      <w:pPr>
        <w:spacing w:line="360" w:lineRule="auto"/>
        <w:jc w:val="both"/>
        <w:rPr>
          <w:rFonts w:eastAsia="Calibri"/>
          <w:lang w:val="es-CR"/>
        </w:rPr>
      </w:pPr>
      <w:r w:rsidRPr="0064264A">
        <w:rPr>
          <w:rFonts w:eastAsia="Calibri"/>
          <w:lang w:val="es-CR"/>
        </w:rPr>
        <w:t xml:space="preserve">•Se continuo con la campaña de concientización sobre la importancia de cuidar el medio ambiente.   </w:t>
      </w:r>
    </w:p>
    <w:p w14:paraId="7E815589" w14:textId="6D132C67" w:rsidR="00D9267D" w:rsidRPr="0064264A" w:rsidRDefault="00D9267D" w:rsidP="00D9267D">
      <w:pPr>
        <w:spacing w:line="360" w:lineRule="auto"/>
        <w:jc w:val="both"/>
        <w:rPr>
          <w:rFonts w:eastAsia="Calibri"/>
          <w:lang w:val="es-CR"/>
        </w:rPr>
      </w:pPr>
      <w:r w:rsidRPr="0064264A">
        <w:rPr>
          <w:rFonts w:eastAsia="Calibri"/>
          <w:lang w:val="es-CR"/>
        </w:rPr>
        <w:t xml:space="preserve">•El Voluntariado Bancentraliano mantuvo la alianza con NUVI (Nueva Vida), empresa de recolección de materiales reciclables, mediante la cual se logró recolectar 8,426 botellitas de PET, lo que se refleja en un ahorro al medioambiente de la emisión de 577 kg de CO2 equivalente, gas que contribuye al cambio climático global. </w:t>
      </w:r>
    </w:p>
    <w:p w14:paraId="42BB5E8F" w14:textId="77777777" w:rsidR="00D9267D" w:rsidRPr="0064264A" w:rsidRDefault="00D9267D" w:rsidP="00D9267D">
      <w:pPr>
        <w:spacing w:line="360" w:lineRule="auto"/>
        <w:jc w:val="both"/>
        <w:rPr>
          <w:rFonts w:eastAsia="Calibri"/>
          <w:lang w:val="es-CR"/>
        </w:rPr>
      </w:pPr>
      <w:r w:rsidRPr="0064264A">
        <w:rPr>
          <w:rFonts w:eastAsia="Calibri"/>
          <w:lang w:val="es-CR"/>
        </w:rPr>
        <w:t>•Se vendieron y donaron bienes descargados por el Banco Central de la República Dominicana por no ser de utilidad para la institución, colaborando con la correcta disposición de los residuos voluminosos y Residuos de Aparatos Eléctricos y Electrónicos (RAEE).</w:t>
      </w:r>
    </w:p>
    <w:p w14:paraId="29275C1B" w14:textId="77777777" w:rsidR="00D9267D" w:rsidRPr="0064264A" w:rsidRDefault="00D9267D" w:rsidP="00D9267D">
      <w:pPr>
        <w:spacing w:line="360" w:lineRule="auto"/>
        <w:jc w:val="both"/>
        <w:rPr>
          <w:rFonts w:eastAsia="Calibri"/>
          <w:lang w:val="es-CR"/>
        </w:rPr>
      </w:pPr>
    </w:p>
    <w:p w14:paraId="74A44447" w14:textId="139B5512" w:rsidR="00D9267D" w:rsidRPr="0064264A" w:rsidRDefault="00D9267D" w:rsidP="00D9267D">
      <w:pPr>
        <w:spacing w:line="360" w:lineRule="auto"/>
        <w:jc w:val="both"/>
        <w:rPr>
          <w:rFonts w:eastAsia="Calibri"/>
          <w:lang w:val="es-CR"/>
        </w:rPr>
      </w:pPr>
      <w:r w:rsidRPr="0064264A">
        <w:rPr>
          <w:rFonts w:eastAsia="Calibri"/>
          <w:lang w:val="es-CR"/>
        </w:rPr>
        <w:lastRenderedPageBreak/>
        <w:t>•Se celebró su tradicional jornada de venta de útiles escolares en beneficio del personal activo y pasivo de la institución, permitiéndoles adquirir materiales a bajo precio y con facilidades de pago.</w:t>
      </w:r>
    </w:p>
    <w:p w14:paraId="08AAAB88" w14:textId="491B4B83" w:rsidR="00D9267D" w:rsidRPr="0064264A" w:rsidRDefault="00D9267D" w:rsidP="00D9267D">
      <w:pPr>
        <w:spacing w:line="360" w:lineRule="auto"/>
        <w:jc w:val="both"/>
        <w:rPr>
          <w:rFonts w:eastAsia="Calibri"/>
          <w:lang w:val="es-CR"/>
        </w:rPr>
      </w:pPr>
      <w:r w:rsidRPr="0064264A">
        <w:rPr>
          <w:rFonts w:eastAsia="Calibri"/>
          <w:lang w:val="es-CR"/>
        </w:rPr>
        <w:t>•Se realizó la 20ª jornada de reforestación en la provincia de Santo Domingo Este, Av. La Ecológica Prof. Juan Bosch, Brisas del Este, una actividad que forma parte del acuerdo suscrito con el Ministerio de Medio Ambiente y Recursos Naturales. Con esta jornada el Voluntariado Bancentraliano llego a un total de 56,986 árboles plantados en todo el país.</w:t>
      </w:r>
    </w:p>
    <w:p w14:paraId="16834318" w14:textId="77777777" w:rsidR="00D9267D" w:rsidRPr="0064264A" w:rsidRDefault="00D9267D" w:rsidP="00D9267D">
      <w:pPr>
        <w:spacing w:line="360" w:lineRule="auto"/>
        <w:jc w:val="both"/>
        <w:rPr>
          <w:rFonts w:eastAsia="Calibri"/>
          <w:lang w:val="es-CR"/>
        </w:rPr>
      </w:pPr>
      <w:r w:rsidRPr="0064264A">
        <w:rPr>
          <w:rFonts w:eastAsia="Calibri"/>
          <w:lang w:val="es-CR"/>
        </w:rPr>
        <w:t>Se entregaron donaciones de mobiliarios y equipos de cómputos a las siguientes organizaciones:</w:t>
      </w:r>
    </w:p>
    <w:p w14:paraId="44B1BC85"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Centro de Desarrollo Shalom</w:t>
      </w:r>
    </w:p>
    <w:p w14:paraId="719A1B1F"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Centro Tecnológico de Capacitación Integral (CENTECCI)</w:t>
      </w:r>
    </w:p>
    <w:p w14:paraId="400F682D"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Fundación Pasitos de Jesús</w:t>
      </w:r>
    </w:p>
    <w:p w14:paraId="2A1C6030"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Residencial Moneda II</w:t>
      </w:r>
    </w:p>
    <w:p w14:paraId="1DA2E31D"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Armada de la República Dominicana</w:t>
      </w:r>
    </w:p>
    <w:p w14:paraId="0CEF8291"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Estancia Infantil Parroquial</w:t>
      </w:r>
    </w:p>
    <w:p w14:paraId="5B709C89"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Instituto Salesiano Don Bosco</w:t>
      </w:r>
    </w:p>
    <w:p w14:paraId="0A3225E4"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Fundación Despertando Sonrisas</w:t>
      </w:r>
    </w:p>
    <w:p w14:paraId="40E44171"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r>
      <w:proofErr w:type="spellStart"/>
      <w:r w:rsidRPr="0064264A">
        <w:rPr>
          <w:rFonts w:eastAsia="Calibri"/>
          <w:lang w:val="es-CR"/>
        </w:rPr>
        <w:t>Fundacion</w:t>
      </w:r>
      <w:proofErr w:type="spellEnd"/>
      <w:r w:rsidRPr="0064264A">
        <w:rPr>
          <w:rFonts w:eastAsia="Calibri"/>
          <w:lang w:val="es-CR"/>
        </w:rPr>
        <w:t xml:space="preserve"> Salesiana Don Bosco</w:t>
      </w:r>
    </w:p>
    <w:p w14:paraId="57F2E158" w14:textId="54BFF592"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Instituto Cartográfico Militar</w:t>
      </w:r>
    </w:p>
    <w:p w14:paraId="0D25CC1E" w14:textId="372CAE5E" w:rsidR="00D9267D" w:rsidRPr="0064264A" w:rsidRDefault="00D9267D" w:rsidP="00D9267D">
      <w:pPr>
        <w:spacing w:line="360" w:lineRule="auto"/>
        <w:jc w:val="both"/>
        <w:rPr>
          <w:rFonts w:eastAsia="Calibri"/>
          <w:lang w:val="es-CR"/>
        </w:rPr>
      </w:pPr>
      <w:r w:rsidRPr="0064264A">
        <w:rPr>
          <w:rFonts w:eastAsia="Calibri"/>
          <w:lang w:val="es-CR"/>
        </w:rPr>
        <w:t xml:space="preserve">•Se realizó la jornada de venta de útiles escolares, beneficiados más de 450 empleados pasivos y activos del Banco Central. Como cada año, los empleados aprovechan los bajos costos para hacer sus </w:t>
      </w:r>
      <w:r w:rsidRPr="0064264A">
        <w:rPr>
          <w:rFonts w:eastAsia="Calibri"/>
          <w:lang w:val="es-CR"/>
        </w:rPr>
        <w:lastRenderedPageBreak/>
        <w:t xml:space="preserve">pedidos y realizar donaciones a niños de escasos recursos. </w:t>
      </w:r>
    </w:p>
    <w:p w14:paraId="6C154A49" w14:textId="482A1474" w:rsidR="00D9267D" w:rsidRPr="0064264A" w:rsidRDefault="00D9267D" w:rsidP="00D9267D">
      <w:pPr>
        <w:spacing w:line="360" w:lineRule="auto"/>
        <w:jc w:val="both"/>
        <w:rPr>
          <w:rFonts w:eastAsia="Calibri"/>
          <w:lang w:val="es-CR"/>
        </w:rPr>
      </w:pPr>
      <w:r w:rsidRPr="0064264A">
        <w:rPr>
          <w:rFonts w:eastAsia="Calibri"/>
          <w:lang w:val="es-CR"/>
        </w:rPr>
        <w:t>•Se coordinó una charla titulada “En Marcha Segura” Beneficiados para crear conciencia en la reducción de accidentes, lesiones y muertes causadas por tránsito, desarrollando además una cultura de respeto a las normas y una conducción vehicular responsable en los empleados del Banco Central.</w:t>
      </w:r>
    </w:p>
    <w:p w14:paraId="498663F5" w14:textId="115F8AD9" w:rsidR="00D9267D" w:rsidRPr="0064264A" w:rsidRDefault="00D9267D" w:rsidP="00D9267D">
      <w:pPr>
        <w:spacing w:line="360" w:lineRule="auto"/>
        <w:jc w:val="both"/>
        <w:rPr>
          <w:rFonts w:eastAsia="Calibri"/>
          <w:lang w:val="es-CR"/>
        </w:rPr>
      </w:pPr>
      <w:r w:rsidRPr="0064264A">
        <w:rPr>
          <w:rFonts w:eastAsia="Calibri"/>
          <w:lang w:val="es-CR"/>
        </w:rPr>
        <w:t xml:space="preserve">•Se ofreció apoyo logístico en la realización del </w:t>
      </w:r>
      <w:proofErr w:type="spellStart"/>
      <w:r w:rsidRPr="0064264A">
        <w:rPr>
          <w:rFonts w:eastAsia="Calibri"/>
          <w:lang w:val="es-CR"/>
        </w:rPr>
        <w:t>Zumbaton</w:t>
      </w:r>
      <w:proofErr w:type="spellEnd"/>
      <w:r w:rsidRPr="0064264A">
        <w:rPr>
          <w:rFonts w:eastAsia="Calibri"/>
          <w:lang w:val="es-CR"/>
        </w:rPr>
        <w:t xml:space="preserve"> 2025 coordinado por el Club de Empleados del BC y la ARS Plan Salud.  </w:t>
      </w:r>
    </w:p>
    <w:p w14:paraId="2409F396" w14:textId="195E5F1B" w:rsidR="00D9267D" w:rsidRPr="0064264A" w:rsidRDefault="00D9267D" w:rsidP="00D9267D">
      <w:pPr>
        <w:spacing w:line="360" w:lineRule="auto"/>
        <w:jc w:val="both"/>
        <w:rPr>
          <w:rFonts w:eastAsia="Calibri"/>
          <w:lang w:val="es-CR"/>
        </w:rPr>
      </w:pPr>
      <w:r w:rsidRPr="0064264A">
        <w:rPr>
          <w:rFonts w:eastAsia="Calibri"/>
          <w:lang w:val="es-CR"/>
        </w:rPr>
        <w:t xml:space="preserve">•Se realizaron jornadas educativas sobre temas financieros, así como </w:t>
      </w:r>
      <w:proofErr w:type="spellStart"/>
      <w:r w:rsidRPr="0064264A">
        <w:rPr>
          <w:rFonts w:eastAsia="Calibri"/>
          <w:lang w:val="es-CR"/>
        </w:rPr>
        <w:t>donaciónes</w:t>
      </w:r>
      <w:proofErr w:type="spellEnd"/>
      <w:r w:rsidRPr="0064264A">
        <w:rPr>
          <w:rFonts w:eastAsia="Calibri"/>
          <w:lang w:val="es-CR"/>
        </w:rPr>
        <w:t xml:space="preserve"> de libros y materiales educativos, impactando a un total de 525 niños y jóvenes en:</w:t>
      </w:r>
    </w:p>
    <w:p w14:paraId="2CD28022"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Escuela Moverte, Ensanche Ozama</w:t>
      </w:r>
    </w:p>
    <w:p w14:paraId="228A6C80"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Liceo Juan Bosch, Sierra de Yamasá</w:t>
      </w:r>
    </w:p>
    <w:p w14:paraId="33711D4D"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Escuela Francisco del Rosario Sanchez, Sierra de Yamasá</w:t>
      </w:r>
    </w:p>
    <w:p w14:paraId="157DF2A9"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Escuela Salomé Ureña, Sierra de Yamasá</w:t>
      </w:r>
    </w:p>
    <w:p w14:paraId="1BD2EF26"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Escuela Fernando Arturo de Meriño El llano, Sierra de Yamasá</w:t>
      </w:r>
    </w:p>
    <w:p w14:paraId="062D4FA9" w14:textId="77777777" w:rsidR="00D9267D" w:rsidRPr="0064264A" w:rsidRDefault="00D9267D" w:rsidP="00D9267D">
      <w:pPr>
        <w:spacing w:line="360" w:lineRule="auto"/>
        <w:jc w:val="both"/>
        <w:rPr>
          <w:rFonts w:eastAsia="Calibri"/>
          <w:lang w:val="es-CR"/>
        </w:rPr>
      </w:pPr>
      <w:r w:rsidRPr="0064264A">
        <w:rPr>
          <w:rFonts w:eastAsia="Calibri"/>
          <w:lang w:val="es-CR"/>
        </w:rPr>
        <w:t>o</w:t>
      </w:r>
      <w:r w:rsidRPr="0064264A">
        <w:rPr>
          <w:rFonts w:eastAsia="Calibri"/>
          <w:lang w:val="es-CR"/>
        </w:rPr>
        <w:tab/>
        <w:t>Escuela Pepe Perez, Sierra de Yamasá</w:t>
      </w:r>
    </w:p>
    <w:p w14:paraId="1355CB7B" w14:textId="77777777" w:rsidR="00D9267D" w:rsidRPr="0064264A" w:rsidRDefault="00D9267D" w:rsidP="00D9267D">
      <w:pPr>
        <w:spacing w:line="360" w:lineRule="auto"/>
        <w:jc w:val="both"/>
        <w:rPr>
          <w:rFonts w:eastAsia="Calibri"/>
          <w:lang w:val="es-CR"/>
        </w:rPr>
      </w:pPr>
      <w:proofErr w:type="spellStart"/>
      <w:r w:rsidRPr="0064264A">
        <w:rPr>
          <w:rFonts w:eastAsia="Calibri"/>
          <w:lang w:val="es-CR"/>
        </w:rPr>
        <w:t>o</w:t>
      </w:r>
      <w:proofErr w:type="spellEnd"/>
      <w:r w:rsidRPr="0064264A">
        <w:rPr>
          <w:rFonts w:eastAsia="Calibri"/>
          <w:lang w:val="es-CR"/>
        </w:rPr>
        <w:tab/>
        <w:t>Oficina Medio Ambiental de Yamasá</w:t>
      </w:r>
    </w:p>
    <w:p w14:paraId="5D6BF34A" w14:textId="77777777" w:rsidR="00D9267D" w:rsidRPr="0064264A" w:rsidRDefault="00D9267D" w:rsidP="00D9267D">
      <w:pPr>
        <w:spacing w:line="360" w:lineRule="auto"/>
        <w:jc w:val="both"/>
        <w:rPr>
          <w:rFonts w:eastAsia="Calibri"/>
          <w:lang w:val="es-DO"/>
        </w:rPr>
      </w:pPr>
    </w:p>
    <w:p w14:paraId="672140E7" w14:textId="77777777" w:rsidR="00CE7EC9" w:rsidRPr="0064264A" w:rsidRDefault="00CE7EC9" w:rsidP="00D9267D">
      <w:pPr>
        <w:spacing w:line="360" w:lineRule="auto"/>
        <w:jc w:val="both"/>
        <w:rPr>
          <w:rFonts w:eastAsia="Calibri"/>
          <w:lang w:val="es-DO"/>
        </w:rPr>
      </w:pPr>
    </w:p>
    <w:p w14:paraId="4E47A9CF" w14:textId="77777777" w:rsidR="00CE7EC9" w:rsidRPr="0064264A" w:rsidRDefault="00CE7EC9" w:rsidP="00D9267D">
      <w:pPr>
        <w:spacing w:line="360" w:lineRule="auto"/>
        <w:jc w:val="both"/>
        <w:rPr>
          <w:rFonts w:eastAsia="Calibri"/>
          <w:lang w:val="es-DO"/>
        </w:rPr>
      </w:pPr>
    </w:p>
    <w:p w14:paraId="65CE4FA1" w14:textId="77777777" w:rsidR="00CE7EC9" w:rsidRPr="0064264A" w:rsidRDefault="00CE7EC9" w:rsidP="00D9267D">
      <w:pPr>
        <w:spacing w:line="360" w:lineRule="auto"/>
        <w:jc w:val="both"/>
        <w:rPr>
          <w:rFonts w:eastAsia="Calibri"/>
          <w:lang w:val="es-DO"/>
        </w:rPr>
      </w:pPr>
    </w:p>
    <w:p w14:paraId="1D4830C9" w14:textId="77777777" w:rsidR="00CE7EC9" w:rsidRPr="0064264A" w:rsidRDefault="00CE7EC9" w:rsidP="00D9267D">
      <w:pPr>
        <w:spacing w:line="360" w:lineRule="auto"/>
        <w:jc w:val="both"/>
        <w:rPr>
          <w:rFonts w:eastAsia="Calibri"/>
          <w:lang w:val="es-DO"/>
        </w:rPr>
      </w:pPr>
    </w:p>
    <w:p w14:paraId="5A098AB9" w14:textId="77777777" w:rsidR="00FE2E92" w:rsidRPr="0064264A" w:rsidRDefault="00FE2E92" w:rsidP="00D9267D">
      <w:pPr>
        <w:spacing w:line="360" w:lineRule="auto"/>
        <w:jc w:val="both"/>
        <w:rPr>
          <w:rFonts w:eastAsia="Calibri"/>
          <w:lang w:val="es-DO"/>
        </w:rPr>
      </w:pPr>
    </w:p>
    <w:p w14:paraId="320E72BF" w14:textId="77777777" w:rsidR="00FE2E92" w:rsidRPr="0064264A" w:rsidRDefault="00FE2E92" w:rsidP="00D9267D">
      <w:pPr>
        <w:spacing w:line="360" w:lineRule="auto"/>
        <w:jc w:val="both"/>
        <w:rPr>
          <w:rFonts w:eastAsia="Calibri"/>
          <w:lang w:val="es-DO"/>
        </w:rPr>
      </w:pPr>
    </w:p>
    <w:bookmarkStart w:id="39" w:name="_Toc217386301"/>
    <w:p w14:paraId="11615446" w14:textId="347BA909" w:rsidR="00D9267D" w:rsidRPr="0064264A" w:rsidRDefault="00CE7EC9" w:rsidP="00A448C8">
      <w:pPr>
        <w:pStyle w:val="Heading1"/>
        <w:rPr>
          <w:rFonts w:eastAsia="Calibri"/>
          <w:bCs/>
          <w:color w:val="767171"/>
          <w:lang w:val="es-DO"/>
        </w:rPr>
      </w:pPr>
      <w:r w:rsidRPr="0064264A">
        <w:rPr>
          <w:rFonts w:eastAsia="Calibri"/>
          <w:bCs/>
          <w:noProof/>
          <w:color w:val="767171"/>
          <w:lang w:val="es-DO"/>
        </w:rPr>
        <mc:AlternateContent>
          <mc:Choice Requires="wps">
            <w:drawing>
              <wp:anchor distT="0" distB="0" distL="114300" distR="114300" simplePos="0" relativeHeight="251744256" behindDoc="0" locked="0" layoutInCell="1" allowOverlap="1" wp14:anchorId="7BC2C319" wp14:editId="7104806E">
                <wp:simplePos x="0" y="0"/>
                <wp:positionH relativeFrom="margin">
                  <wp:posOffset>2121535</wp:posOffset>
                </wp:positionH>
                <wp:positionV relativeFrom="paragraph">
                  <wp:posOffset>582295</wp:posOffset>
                </wp:positionV>
                <wp:extent cx="539750" cy="0"/>
                <wp:effectExtent l="0" t="19050" r="31750" b="19050"/>
                <wp:wrapThrough wrapText="bothSides">
                  <wp:wrapPolygon edited="0">
                    <wp:start x="0" y="-1"/>
                    <wp:lineTo x="0" y="-1"/>
                    <wp:lineTo x="22108" y="-1"/>
                    <wp:lineTo x="22108" y="-1"/>
                    <wp:lineTo x="0" y="-1"/>
                  </wp:wrapPolygon>
                </wp:wrapThrough>
                <wp:docPr id="1804782055"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DBF660" id="Conector recto 9"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05pt,45.85pt" to="209.5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" strokecolor="red" strokeweight="2.5pt">
                <v:stroke joinstyle="miter"/>
                <w10:wrap type="through" anchorx="margin"/>
              </v:line>
            </w:pict>
          </mc:Fallback>
        </mc:AlternateContent>
      </w:r>
      <w:r w:rsidR="00D9267D" w:rsidRPr="0064264A">
        <w:rPr>
          <w:rFonts w:eastAsia="Calibri"/>
          <w:color w:val="767171"/>
          <w:lang w:val="es-DO"/>
        </w:rPr>
        <w:t>V.</w:t>
      </w:r>
      <w:r w:rsidR="00A448C8" w:rsidRPr="0064264A">
        <w:rPr>
          <w:rFonts w:eastAsia="Calibri"/>
          <w:color w:val="767171"/>
          <w:lang w:val="es-DO"/>
        </w:rPr>
        <w:t xml:space="preserve">  </w:t>
      </w:r>
      <w:r w:rsidR="00D9267D" w:rsidRPr="0064264A">
        <w:rPr>
          <w:rFonts w:eastAsia="Calibri"/>
          <w:bCs/>
          <w:color w:val="767171"/>
          <w:lang w:val="es-DO"/>
        </w:rPr>
        <w:t xml:space="preserve">SERVICIO AL CIUDADANO Y TRANSPARENCIA </w:t>
      </w:r>
      <w:r w:rsidR="00A448C8" w:rsidRPr="0064264A">
        <w:rPr>
          <w:rFonts w:eastAsia="Calibri"/>
          <w:bCs/>
          <w:color w:val="767171"/>
          <w:lang w:val="es-DO"/>
        </w:rPr>
        <w:t xml:space="preserve">  </w:t>
      </w:r>
      <w:r w:rsidR="00D9267D" w:rsidRPr="0064264A">
        <w:rPr>
          <w:rFonts w:eastAsia="Calibri"/>
          <w:bCs/>
          <w:color w:val="767171"/>
          <w:lang w:val="es-DO"/>
        </w:rPr>
        <w:t>INSTITUCIONAL</w:t>
      </w:r>
      <w:bookmarkEnd w:id="39"/>
    </w:p>
    <w:p w14:paraId="101F7A79" w14:textId="2EA788CB" w:rsidR="00D9267D" w:rsidRPr="0064264A" w:rsidRDefault="00CE7EC9" w:rsidP="00D9267D">
      <w:pPr>
        <w:spacing w:line="360" w:lineRule="auto"/>
        <w:jc w:val="both"/>
        <w:rPr>
          <w:rFonts w:eastAsia="Calibri"/>
          <w:lang w:val="es-DO"/>
        </w:rPr>
      </w:pPr>
      <w:r w:rsidRPr="0064264A">
        <w:rPr>
          <w:rFonts w:eastAsia="Calibri"/>
          <w:lang w:val="es-DO"/>
        </w:rPr>
        <w:t xml:space="preserve">                          </w:t>
      </w:r>
      <w:r w:rsidR="00D9267D" w:rsidRPr="0064264A">
        <w:rPr>
          <w:rFonts w:eastAsia="Calibri"/>
          <w:lang w:val="es-DO"/>
        </w:rPr>
        <w:t>Memoria institucional 2025</w:t>
      </w:r>
    </w:p>
    <w:p w14:paraId="0E1B6147" w14:textId="4B6FAC78" w:rsidR="008B3000" w:rsidRPr="0064264A" w:rsidRDefault="00D9267D" w:rsidP="008B3000">
      <w:pPr>
        <w:pStyle w:val="Heading2"/>
        <w:rPr>
          <w:rFonts w:eastAsia="Calibri"/>
          <w:b/>
          <w:color w:val="767171"/>
          <w:lang w:val="es-DO"/>
        </w:rPr>
      </w:pPr>
      <w:bookmarkStart w:id="40" w:name="_Toc217386302"/>
      <w:r w:rsidRPr="0064264A">
        <w:rPr>
          <w:rFonts w:eastAsia="Calibri"/>
          <w:b/>
          <w:color w:val="767171"/>
          <w:lang w:val="es-DO"/>
        </w:rPr>
        <w:t>5.1</w:t>
      </w:r>
      <w:r w:rsidRPr="0064264A">
        <w:rPr>
          <w:rFonts w:eastAsia="Calibri"/>
          <w:b/>
          <w:color w:val="767171"/>
          <w:lang w:val="es-DO"/>
        </w:rPr>
        <w:tab/>
        <w:t>Nivel de cumplimiento acceso a la información</w:t>
      </w:r>
      <w:bookmarkEnd w:id="40"/>
    </w:p>
    <w:p w14:paraId="1B23DA38" w14:textId="77777777" w:rsidR="008B3000" w:rsidRPr="0064264A" w:rsidRDefault="008B3000" w:rsidP="00D9267D">
      <w:pPr>
        <w:spacing w:line="360" w:lineRule="auto"/>
        <w:jc w:val="both"/>
        <w:rPr>
          <w:rFonts w:eastAsia="Calibri"/>
          <w:lang w:val="es-DO"/>
        </w:rPr>
      </w:pPr>
    </w:p>
    <w:p w14:paraId="6896C43C" w14:textId="6904BE36" w:rsidR="00D9267D" w:rsidRPr="0064264A" w:rsidRDefault="00D9267D" w:rsidP="00D9267D">
      <w:pPr>
        <w:spacing w:line="360" w:lineRule="auto"/>
        <w:jc w:val="both"/>
        <w:rPr>
          <w:rFonts w:eastAsia="Calibri"/>
          <w:lang w:val="es-DO"/>
        </w:rPr>
      </w:pPr>
      <w:r w:rsidRPr="0064264A">
        <w:rPr>
          <w:rFonts w:eastAsia="Calibri"/>
          <w:lang w:val="es-DO"/>
        </w:rPr>
        <w:t xml:space="preserve">En cumplimiento de las disposiciones establecidas en la Ley General de Libre Acceso a la Información Pública núm. 200-04, del 28 de julio de 2004, y su Reglamento de Aplicación aprobado mediante el Decreto núm. 130-05 del 25 de febrero de 2005, la Oficina de Acceso a la Información del Banco Central recibió un total de quinientas treinta y siete (537) solicitudes de información durante el período del 1 de enero al 30 de </w:t>
      </w:r>
      <w:r w:rsidR="00A448C8" w:rsidRPr="0064264A">
        <w:rPr>
          <w:rFonts w:eastAsia="Calibri"/>
          <w:lang w:val="es-DO"/>
        </w:rPr>
        <w:t>diciembre</w:t>
      </w:r>
      <w:r w:rsidRPr="0064264A">
        <w:rPr>
          <w:rFonts w:eastAsia="Calibri"/>
          <w:lang w:val="es-DO"/>
        </w:rPr>
        <w:t xml:space="preserve"> de 2025.</w:t>
      </w:r>
    </w:p>
    <w:p w14:paraId="5A0F3281" w14:textId="1EDB443D" w:rsidR="00D9267D" w:rsidRPr="0064264A" w:rsidRDefault="00D9267D" w:rsidP="00D9267D">
      <w:pPr>
        <w:spacing w:line="360" w:lineRule="auto"/>
        <w:jc w:val="both"/>
        <w:rPr>
          <w:rFonts w:eastAsia="Calibri"/>
          <w:lang w:val="es-DO"/>
        </w:rPr>
      </w:pPr>
      <w:r w:rsidRPr="0064264A">
        <w:rPr>
          <w:rFonts w:eastAsia="Calibri"/>
          <w:lang w:val="es-DO"/>
        </w:rPr>
        <w:t>Estas solicitudes se gestionaron a través de los siguientes canales:</w:t>
      </w:r>
    </w:p>
    <w:p w14:paraId="14116D63" w14:textId="77777777" w:rsidR="00D9267D" w:rsidRPr="0064264A" w:rsidRDefault="00D9267D" w:rsidP="00A40AE3">
      <w:pPr>
        <w:pStyle w:val="ListParagraph"/>
        <w:numPr>
          <w:ilvl w:val="0"/>
          <w:numId w:val="49"/>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SAIP: ciento sesenta y cuatro (164) solicitudes.</w:t>
      </w:r>
    </w:p>
    <w:p w14:paraId="7B9E1F5D" w14:textId="77777777" w:rsidR="00D9267D" w:rsidRPr="0064264A" w:rsidRDefault="00D9267D" w:rsidP="00A40AE3">
      <w:pPr>
        <w:pStyle w:val="ListParagraph"/>
        <w:numPr>
          <w:ilvl w:val="0"/>
          <w:numId w:val="49"/>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Correo electrónico: cuarenta y seis (46) solicitudes.</w:t>
      </w:r>
    </w:p>
    <w:p w14:paraId="7C264006" w14:textId="77777777" w:rsidR="00D9267D" w:rsidRPr="0064264A" w:rsidRDefault="00D9267D" w:rsidP="00A40AE3">
      <w:pPr>
        <w:pStyle w:val="ListParagraph"/>
        <w:numPr>
          <w:ilvl w:val="0"/>
          <w:numId w:val="49"/>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Vía telefónica: doscientos noventa y siete (297) solicitudes.</w:t>
      </w:r>
    </w:p>
    <w:p w14:paraId="73193770" w14:textId="5CD58D0F" w:rsidR="00D9267D" w:rsidRPr="0064264A" w:rsidRDefault="00D9267D" w:rsidP="00A40AE3">
      <w:pPr>
        <w:pStyle w:val="ListParagraph"/>
        <w:numPr>
          <w:ilvl w:val="0"/>
          <w:numId w:val="49"/>
        </w:numPr>
        <w:spacing w:line="360" w:lineRule="auto"/>
        <w:jc w:val="both"/>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Atención presencial: treinta (30) personas atendidas.</w:t>
      </w:r>
    </w:p>
    <w:p w14:paraId="630CD68C" w14:textId="07915B6F" w:rsidR="00D9267D" w:rsidRPr="0064264A" w:rsidRDefault="00D9267D" w:rsidP="00D9267D">
      <w:pPr>
        <w:spacing w:line="360" w:lineRule="auto"/>
        <w:jc w:val="both"/>
        <w:rPr>
          <w:rFonts w:eastAsia="Calibri"/>
          <w:lang w:val="es-DO"/>
        </w:rPr>
      </w:pPr>
      <w:r w:rsidRPr="0064264A">
        <w:rPr>
          <w:rFonts w:eastAsia="Calibri"/>
          <w:lang w:val="es-DO"/>
        </w:rPr>
        <w:t>En cuanto a las respuestas emitidas, la Consultoría Jurídica, en su calidad de departamento responsable de la Oficina de Acceso a la Información, otorgó respuesta formal mediante comunicaciones físicas y electrónicas a ciento sesenta (160) solicitudes, así como doscientos noventa y siete (297) respuestas vía telefónica y la asistencia presencial a treinta (30) solicitantes, para un total de cuatrocientos ochenta y siete (487) respuestas.</w:t>
      </w:r>
    </w:p>
    <w:p w14:paraId="519FFF9B" w14:textId="77777777" w:rsidR="00FE2E92" w:rsidRPr="0064264A" w:rsidRDefault="00FE2E92" w:rsidP="00D9267D">
      <w:pPr>
        <w:spacing w:line="360" w:lineRule="auto"/>
        <w:jc w:val="both"/>
        <w:rPr>
          <w:rFonts w:eastAsia="Calibri"/>
          <w:lang w:val="es-DO"/>
        </w:rPr>
      </w:pPr>
    </w:p>
    <w:p w14:paraId="2E4D0679" w14:textId="77777777" w:rsidR="00FE2E92" w:rsidRPr="0064264A" w:rsidRDefault="00FE2E92" w:rsidP="00D9267D">
      <w:pPr>
        <w:spacing w:line="360" w:lineRule="auto"/>
        <w:jc w:val="both"/>
        <w:rPr>
          <w:rFonts w:eastAsia="Calibri"/>
          <w:lang w:val="es-DO"/>
        </w:rPr>
      </w:pPr>
    </w:p>
    <w:p w14:paraId="3BF5FE10" w14:textId="77777777" w:rsidR="00FE2E92" w:rsidRPr="0064264A" w:rsidRDefault="00FE2E92" w:rsidP="00D9267D">
      <w:pPr>
        <w:spacing w:line="360" w:lineRule="auto"/>
        <w:jc w:val="both"/>
        <w:rPr>
          <w:rFonts w:eastAsia="Calibri"/>
          <w:lang w:val="es-DO"/>
        </w:rPr>
      </w:pPr>
    </w:p>
    <w:p w14:paraId="658E481A" w14:textId="3EA4A7DC" w:rsidR="00D9267D" w:rsidRPr="0064264A" w:rsidRDefault="00D9267D" w:rsidP="00D9267D">
      <w:pPr>
        <w:spacing w:line="360" w:lineRule="auto"/>
        <w:jc w:val="both"/>
        <w:rPr>
          <w:rFonts w:eastAsia="Calibri"/>
          <w:lang w:val="es-DO"/>
        </w:rPr>
      </w:pPr>
      <w:r w:rsidRPr="0064264A">
        <w:rPr>
          <w:rFonts w:eastAsia="Calibri"/>
          <w:lang w:val="es-DO"/>
        </w:rPr>
        <w:t>Respecto a la gestión y cierre de solicitudes, del total recibido, cuarenta y nueve (49) solicitudes fueron cerradas por no cumplir con los requisitos establecidos por la Ley 200-04 y su Reglamento de Aplicación, o por haber sido transferidas a otras instituciones competentes para su tramitación.</w:t>
      </w:r>
    </w:p>
    <w:p w14:paraId="6F56CB4E" w14:textId="4DC87E69" w:rsidR="00D9267D" w:rsidRPr="0064264A" w:rsidRDefault="00D9267D" w:rsidP="00D9267D">
      <w:pPr>
        <w:spacing w:line="360" w:lineRule="auto"/>
        <w:jc w:val="both"/>
        <w:rPr>
          <w:rFonts w:eastAsia="Calibri"/>
          <w:lang w:val="es-DO"/>
        </w:rPr>
      </w:pPr>
      <w:r w:rsidRPr="0064264A">
        <w:rPr>
          <w:rFonts w:eastAsia="Calibri"/>
          <w:lang w:val="es-DO"/>
        </w:rPr>
        <w:t>Asimismo, treinta y un (31) solicitudes fueron remitidas vía correo electrónico y comunicaciones internas a diferentes departamentos del Banco Central con el fin de obtener la información necesaria para responder oportunamente a los requerimientos presentados por los ciudadanos.</w:t>
      </w:r>
    </w:p>
    <w:p w14:paraId="1E8150F0" w14:textId="2F304C6A" w:rsidR="00D9267D" w:rsidRPr="0064264A" w:rsidRDefault="00D9267D" w:rsidP="00D9267D">
      <w:pPr>
        <w:spacing w:line="360" w:lineRule="auto"/>
        <w:jc w:val="both"/>
        <w:rPr>
          <w:rFonts w:eastAsia="Calibri"/>
          <w:lang w:val="es-DO"/>
        </w:rPr>
      </w:pPr>
      <w:r w:rsidRPr="0064264A">
        <w:rPr>
          <w:rFonts w:eastAsia="Calibri"/>
          <w:lang w:val="es-DO"/>
        </w:rPr>
        <w:t xml:space="preserve">Conforme se indicó en el punto anterior, durante este período, la OAI ha atendido </w:t>
      </w:r>
      <w:r w:rsidRPr="0064264A">
        <w:rPr>
          <w:rFonts w:eastAsia="Calibri"/>
          <w:bCs/>
          <w:lang w:val="es-ES"/>
        </w:rPr>
        <w:t xml:space="preserve">atendió un total de </w:t>
      </w:r>
      <w:r w:rsidR="00A448C8" w:rsidRPr="0064264A">
        <w:rPr>
          <w:rFonts w:eastAsia="Calibri"/>
          <w:lang w:val="es-ES"/>
        </w:rPr>
        <w:t>quinientas treinta y cuatro</w:t>
      </w:r>
      <w:r w:rsidRPr="0064264A">
        <w:rPr>
          <w:rFonts w:eastAsia="Calibri"/>
          <w:lang w:val="es-ES"/>
        </w:rPr>
        <w:t xml:space="preserve"> (</w:t>
      </w:r>
      <w:r w:rsidR="00A448C8" w:rsidRPr="0064264A">
        <w:rPr>
          <w:rFonts w:eastAsia="Calibri"/>
          <w:lang w:val="es-ES"/>
        </w:rPr>
        <w:t>534</w:t>
      </w:r>
      <w:r w:rsidRPr="0064264A">
        <w:rPr>
          <w:rFonts w:eastAsia="Calibri"/>
          <w:lang w:val="es-ES"/>
        </w:rPr>
        <w:t>)</w:t>
      </w:r>
      <w:r w:rsidRPr="0064264A">
        <w:rPr>
          <w:rFonts w:eastAsia="Calibri"/>
          <w:b/>
          <w:bCs/>
          <w:lang w:val="es-ES"/>
        </w:rPr>
        <w:t xml:space="preserve"> </w:t>
      </w:r>
      <w:r w:rsidRPr="0064264A">
        <w:rPr>
          <w:rFonts w:eastAsia="Calibri"/>
          <w:bCs/>
          <w:lang w:val="es-ES"/>
        </w:rPr>
        <w:t>solicitudes, formuladas a través de los distintos medios habilitados por la institución para brindar el servicio de información pública, en virtud de la normativa aplicable, cumpliendo al cien por ciento (100%) con los plazos previstos en la legislación para la atención directa y eficaz de todas las solicitudes recibidas, sin casos de inconformidad</w:t>
      </w:r>
      <w:r w:rsidRPr="0064264A">
        <w:rPr>
          <w:rFonts w:eastAsia="Calibri"/>
          <w:lang w:val="es-DO"/>
        </w:rPr>
        <w:t>; conforme se detalla a continuación:</w:t>
      </w:r>
    </w:p>
    <w:tbl>
      <w:tblPr>
        <w:tblW w:w="78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42F62"/>
        <w:tblLook w:val="0000" w:firstRow="0" w:lastRow="0" w:firstColumn="0" w:lastColumn="0" w:noHBand="0" w:noVBand="0"/>
      </w:tblPr>
      <w:tblGrid>
        <w:gridCol w:w="1590"/>
        <w:gridCol w:w="1483"/>
        <w:gridCol w:w="3801"/>
        <w:gridCol w:w="1023"/>
      </w:tblGrid>
      <w:tr w:rsidR="0064264A" w:rsidRPr="00BF4E24" w14:paraId="53AD1AA4" w14:textId="77777777" w:rsidTr="00953742">
        <w:trPr>
          <w:trHeight w:val="285"/>
          <w:tblHeader/>
        </w:trPr>
        <w:tc>
          <w:tcPr>
            <w:tcW w:w="7897" w:type="dxa"/>
            <w:gridSpan w:val="4"/>
            <w:tcBorders>
              <w:bottom w:val="single" w:sz="4" w:space="0" w:color="auto"/>
            </w:tcBorders>
            <w:shd w:val="clear" w:color="auto" w:fill="142F62"/>
          </w:tcPr>
          <w:p w14:paraId="620ACED1" w14:textId="77777777" w:rsidR="00D9267D" w:rsidRPr="0064264A" w:rsidRDefault="00D9267D" w:rsidP="00CE7EC9">
            <w:pPr>
              <w:spacing w:line="360" w:lineRule="auto"/>
              <w:jc w:val="center"/>
              <w:rPr>
                <w:rFonts w:eastAsia="Calibri"/>
                <w:b/>
                <w:bCs/>
                <w:lang w:val="es-DO"/>
              </w:rPr>
            </w:pPr>
            <w:r w:rsidRPr="0064264A">
              <w:rPr>
                <w:rFonts w:eastAsia="Calibri"/>
                <w:b/>
                <w:bCs/>
                <w:lang w:val="es-DO"/>
              </w:rPr>
              <w:t>Oficina de Acceso a la Información – Solicitudes Atendidas</w:t>
            </w:r>
          </w:p>
        </w:tc>
      </w:tr>
      <w:tr w:rsidR="0064264A" w:rsidRPr="0064264A" w14:paraId="3DA94C66" w14:textId="77777777" w:rsidTr="00E13696">
        <w:trPr>
          <w:trHeight w:val="1061"/>
          <w:tblHeader/>
        </w:trPr>
        <w:tc>
          <w:tcPr>
            <w:tcW w:w="1590" w:type="dxa"/>
            <w:tcBorders>
              <w:top w:val="single" w:sz="4" w:space="0" w:color="auto"/>
              <w:left w:val="single" w:sz="4" w:space="0" w:color="auto"/>
              <w:bottom w:val="single" w:sz="4" w:space="0" w:color="auto"/>
              <w:right w:val="single" w:sz="4" w:space="0" w:color="auto"/>
            </w:tcBorders>
            <w:shd w:val="clear" w:color="auto" w:fill="142F62"/>
          </w:tcPr>
          <w:p w14:paraId="32E3E2F1" w14:textId="77777777" w:rsidR="00D9267D" w:rsidRPr="0064264A" w:rsidRDefault="00D9267D" w:rsidP="00CE7EC9">
            <w:pPr>
              <w:spacing w:line="240" w:lineRule="auto"/>
              <w:jc w:val="both"/>
              <w:rPr>
                <w:rFonts w:eastAsia="Calibri"/>
                <w:b/>
                <w:bCs/>
                <w:lang w:val="es-DO"/>
              </w:rPr>
            </w:pPr>
            <w:r w:rsidRPr="0064264A">
              <w:rPr>
                <w:rFonts w:eastAsia="Calibri"/>
                <w:b/>
                <w:bCs/>
                <w:lang w:val="es-DO"/>
              </w:rPr>
              <w:t>Mes</w:t>
            </w:r>
          </w:p>
        </w:tc>
        <w:tc>
          <w:tcPr>
            <w:tcW w:w="1483" w:type="dxa"/>
            <w:tcBorders>
              <w:top w:val="single" w:sz="4" w:space="0" w:color="auto"/>
              <w:left w:val="single" w:sz="4" w:space="0" w:color="auto"/>
              <w:bottom w:val="single" w:sz="4" w:space="0" w:color="auto"/>
              <w:right w:val="single" w:sz="4" w:space="0" w:color="auto"/>
            </w:tcBorders>
            <w:shd w:val="clear" w:color="auto" w:fill="142F62"/>
          </w:tcPr>
          <w:p w14:paraId="6B85F776" w14:textId="77777777" w:rsidR="00D9267D" w:rsidRPr="0064264A" w:rsidRDefault="00D9267D" w:rsidP="00CE7EC9">
            <w:pPr>
              <w:spacing w:line="240" w:lineRule="auto"/>
              <w:jc w:val="both"/>
              <w:rPr>
                <w:rFonts w:eastAsia="Calibri"/>
                <w:b/>
                <w:bCs/>
                <w:lang w:val="es-DO"/>
              </w:rPr>
            </w:pPr>
            <w:r w:rsidRPr="0064264A">
              <w:rPr>
                <w:rFonts w:eastAsia="Calibri"/>
                <w:b/>
                <w:bCs/>
                <w:lang w:val="es-DO"/>
              </w:rPr>
              <w:t>Vía Telefónica</w:t>
            </w:r>
          </w:p>
        </w:tc>
        <w:tc>
          <w:tcPr>
            <w:tcW w:w="3801" w:type="dxa"/>
            <w:tcBorders>
              <w:top w:val="single" w:sz="4" w:space="0" w:color="auto"/>
              <w:left w:val="single" w:sz="4" w:space="0" w:color="auto"/>
              <w:bottom w:val="single" w:sz="4" w:space="0" w:color="auto"/>
              <w:right w:val="single" w:sz="4" w:space="0" w:color="auto"/>
            </w:tcBorders>
            <w:shd w:val="clear" w:color="auto" w:fill="142F62"/>
          </w:tcPr>
          <w:p w14:paraId="0D7367C0" w14:textId="77777777" w:rsidR="00D9267D" w:rsidRPr="0064264A" w:rsidRDefault="00D9267D" w:rsidP="00CE7EC9">
            <w:pPr>
              <w:spacing w:line="240" w:lineRule="auto"/>
              <w:jc w:val="both"/>
              <w:rPr>
                <w:rFonts w:eastAsia="Calibri"/>
                <w:b/>
                <w:bCs/>
                <w:lang w:val="es-DO"/>
              </w:rPr>
            </w:pPr>
            <w:r w:rsidRPr="0064264A">
              <w:rPr>
                <w:rFonts w:eastAsia="Calibri"/>
                <w:b/>
                <w:bCs/>
                <w:lang w:val="es-DO"/>
              </w:rPr>
              <w:t>Vía correo electrónico / Comunicaciones en formato físico / Plataforma SAIP / Presencial</w:t>
            </w:r>
          </w:p>
        </w:tc>
        <w:tc>
          <w:tcPr>
            <w:tcW w:w="1023" w:type="dxa"/>
            <w:tcBorders>
              <w:top w:val="single" w:sz="4" w:space="0" w:color="auto"/>
              <w:left w:val="single" w:sz="4" w:space="0" w:color="auto"/>
              <w:bottom w:val="single" w:sz="4" w:space="0" w:color="auto"/>
              <w:right w:val="single" w:sz="4" w:space="0" w:color="auto"/>
            </w:tcBorders>
            <w:shd w:val="clear" w:color="auto" w:fill="142F62"/>
          </w:tcPr>
          <w:p w14:paraId="1F5FEA39" w14:textId="77777777" w:rsidR="00D9267D" w:rsidRPr="0064264A" w:rsidRDefault="00D9267D" w:rsidP="00CE7EC9">
            <w:pPr>
              <w:spacing w:line="240" w:lineRule="auto"/>
              <w:jc w:val="both"/>
              <w:rPr>
                <w:rFonts w:eastAsia="Calibri"/>
                <w:b/>
                <w:bCs/>
                <w:lang w:val="es-DO"/>
              </w:rPr>
            </w:pPr>
            <w:r w:rsidRPr="0064264A">
              <w:rPr>
                <w:rFonts w:eastAsia="Calibri"/>
                <w:b/>
                <w:bCs/>
                <w:lang w:val="es-DO"/>
              </w:rPr>
              <w:t>Total</w:t>
            </w:r>
          </w:p>
        </w:tc>
      </w:tr>
      <w:tr w:rsidR="0064264A" w:rsidRPr="0064264A" w14:paraId="663D7E6A" w14:textId="77777777" w:rsidTr="00E13696">
        <w:trPr>
          <w:trHeight w:val="375"/>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22E4A7AB" w14:textId="77777777" w:rsidR="00D9267D" w:rsidRPr="0064264A" w:rsidRDefault="00D9267D" w:rsidP="003A5879">
            <w:pPr>
              <w:spacing w:line="360" w:lineRule="auto"/>
              <w:jc w:val="center"/>
              <w:rPr>
                <w:rFonts w:eastAsia="Calibri"/>
                <w:b/>
                <w:bCs/>
                <w:lang w:val="es-DO"/>
              </w:rPr>
            </w:pPr>
            <w:r w:rsidRPr="0064264A">
              <w:rPr>
                <w:rFonts w:eastAsia="Calibri"/>
                <w:b/>
                <w:bCs/>
                <w:lang w:val="es-DO"/>
              </w:rPr>
              <w:t>Enero</w:t>
            </w:r>
          </w:p>
        </w:tc>
        <w:tc>
          <w:tcPr>
            <w:tcW w:w="1483" w:type="dxa"/>
            <w:tcBorders>
              <w:top w:val="single" w:sz="4" w:space="0" w:color="auto"/>
              <w:left w:val="single" w:sz="4" w:space="0" w:color="auto"/>
              <w:bottom w:val="single" w:sz="4" w:space="0" w:color="auto"/>
              <w:right w:val="single" w:sz="4" w:space="0" w:color="auto"/>
            </w:tcBorders>
            <w:vAlign w:val="center"/>
          </w:tcPr>
          <w:p w14:paraId="390110F4"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6</w:t>
            </w:r>
          </w:p>
        </w:tc>
        <w:tc>
          <w:tcPr>
            <w:tcW w:w="3801" w:type="dxa"/>
            <w:tcBorders>
              <w:top w:val="single" w:sz="4" w:space="0" w:color="auto"/>
              <w:left w:val="single" w:sz="4" w:space="0" w:color="auto"/>
              <w:bottom w:val="single" w:sz="4" w:space="0" w:color="auto"/>
              <w:right w:val="single" w:sz="4" w:space="0" w:color="auto"/>
            </w:tcBorders>
            <w:vAlign w:val="center"/>
          </w:tcPr>
          <w:p w14:paraId="78F44591"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16</w:t>
            </w:r>
          </w:p>
        </w:tc>
        <w:tc>
          <w:tcPr>
            <w:tcW w:w="1023" w:type="dxa"/>
            <w:tcBorders>
              <w:top w:val="single" w:sz="4" w:space="0" w:color="auto"/>
              <w:left w:val="single" w:sz="4" w:space="0" w:color="auto"/>
              <w:bottom w:val="single" w:sz="4" w:space="0" w:color="auto"/>
              <w:right w:val="single" w:sz="4" w:space="0" w:color="auto"/>
            </w:tcBorders>
            <w:vAlign w:val="center"/>
          </w:tcPr>
          <w:p w14:paraId="4E1DBF37"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22</w:t>
            </w:r>
          </w:p>
        </w:tc>
      </w:tr>
      <w:tr w:rsidR="0064264A" w:rsidRPr="0064264A" w14:paraId="0A616CEE" w14:textId="77777777" w:rsidTr="00E13696">
        <w:trPr>
          <w:trHeight w:val="443"/>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602795C0" w14:textId="77777777" w:rsidR="00D9267D" w:rsidRPr="0064264A" w:rsidRDefault="00D9267D" w:rsidP="003A5879">
            <w:pPr>
              <w:spacing w:line="360" w:lineRule="auto"/>
              <w:jc w:val="center"/>
              <w:rPr>
                <w:rFonts w:eastAsia="Calibri"/>
                <w:b/>
                <w:bCs/>
                <w:lang w:val="es-DO"/>
              </w:rPr>
            </w:pPr>
            <w:r w:rsidRPr="0064264A">
              <w:rPr>
                <w:rFonts w:eastAsia="Calibri"/>
                <w:b/>
                <w:bCs/>
                <w:lang w:val="es-DO"/>
              </w:rPr>
              <w:t>Febrero</w:t>
            </w:r>
          </w:p>
        </w:tc>
        <w:tc>
          <w:tcPr>
            <w:tcW w:w="1483" w:type="dxa"/>
            <w:tcBorders>
              <w:top w:val="single" w:sz="4" w:space="0" w:color="auto"/>
              <w:left w:val="single" w:sz="4" w:space="0" w:color="auto"/>
              <w:bottom w:val="single" w:sz="4" w:space="0" w:color="auto"/>
              <w:right w:val="single" w:sz="4" w:space="0" w:color="auto"/>
            </w:tcBorders>
            <w:vAlign w:val="center"/>
          </w:tcPr>
          <w:p w14:paraId="69A8E082"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28</w:t>
            </w:r>
          </w:p>
        </w:tc>
        <w:tc>
          <w:tcPr>
            <w:tcW w:w="3801" w:type="dxa"/>
            <w:tcBorders>
              <w:top w:val="single" w:sz="4" w:space="0" w:color="auto"/>
              <w:left w:val="single" w:sz="4" w:space="0" w:color="auto"/>
              <w:bottom w:val="single" w:sz="4" w:space="0" w:color="auto"/>
              <w:right w:val="single" w:sz="4" w:space="0" w:color="auto"/>
            </w:tcBorders>
            <w:vAlign w:val="center"/>
          </w:tcPr>
          <w:p w14:paraId="0EB9BB70"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23</w:t>
            </w:r>
          </w:p>
        </w:tc>
        <w:tc>
          <w:tcPr>
            <w:tcW w:w="1023" w:type="dxa"/>
            <w:tcBorders>
              <w:top w:val="single" w:sz="4" w:space="0" w:color="auto"/>
              <w:left w:val="single" w:sz="4" w:space="0" w:color="auto"/>
              <w:bottom w:val="single" w:sz="4" w:space="0" w:color="auto"/>
              <w:right w:val="single" w:sz="4" w:space="0" w:color="auto"/>
            </w:tcBorders>
            <w:vAlign w:val="center"/>
          </w:tcPr>
          <w:p w14:paraId="065873DC"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51</w:t>
            </w:r>
          </w:p>
        </w:tc>
      </w:tr>
      <w:tr w:rsidR="0064264A" w:rsidRPr="0064264A" w14:paraId="0BC0B145" w14:textId="77777777" w:rsidTr="00E13696">
        <w:trPr>
          <w:trHeight w:val="381"/>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569CAE2B" w14:textId="77777777" w:rsidR="00D9267D" w:rsidRPr="0064264A" w:rsidRDefault="00D9267D" w:rsidP="003A5879">
            <w:pPr>
              <w:spacing w:line="360" w:lineRule="auto"/>
              <w:jc w:val="center"/>
              <w:rPr>
                <w:rFonts w:eastAsia="Calibri"/>
                <w:b/>
                <w:bCs/>
                <w:lang w:val="es-DO"/>
              </w:rPr>
            </w:pPr>
            <w:r w:rsidRPr="0064264A">
              <w:rPr>
                <w:rFonts w:eastAsia="Calibri"/>
                <w:b/>
                <w:bCs/>
                <w:lang w:val="es-DO"/>
              </w:rPr>
              <w:t>Marzo</w:t>
            </w:r>
          </w:p>
        </w:tc>
        <w:tc>
          <w:tcPr>
            <w:tcW w:w="1483" w:type="dxa"/>
            <w:tcBorders>
              <w:top w:val="single" w:sz="4" w:space="0" w:color="auto"/>
              <w:left w:val="single" w:sz="4" w:space="0" w:color="auto"/>
              <w:bottom w:val="single" w:sz="4" w:space="0" w:color="auto"/>
              <w:right w:val="single" w:sz="4" w:space="0" w:color="auto"/>
            </w:tcBorders>
            <w:vAlign w:val="center"/>
          </w:tcPr>
          <w:p w14:paraId="53D27AF1"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45</w:t>
            </w:r>
          </w:p>
        </w:tc>
        <w:tc>
          <w:tcPr>
            <w:tcW w:w="3801" w:type="dxa"/>
            <w:tcBorders>
              <w:top w:val="single" w:sz="4" w:space="0" w:color="auto"/>
              <w:left w:val="single" w:sz="4" w:space="0" w:color="auto"/>
              <w:bottom w:val="single" w:sz="4" w:space="0" w:color="auto"/>
              <w:right w:val="single" w:sz="4" w:space="0" w:color="auto"/>
            </w:tcBorders>
            <w:vAlign w:val="center"/>
          </w:tcPr>
          <w:p w14:paraId="4CC348CA"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17</w:t>
            </w:r>
          </w:p>
        </w:tc>
        <w:tc>
          <w:tcPr>
            <w:tcW w:w="1023" w:type="dxa"/>
            <w:tcBorders>
              <w:top w:val="single" w:sz="4" w:space="0" w:color="auto"/>
              <w:left w:val="single" w:sz="4" w:space="0" w:color="auto"/>
              <w:bottom w:val="single" w:sz="4" w:space="0" w:color="auto"/>
              <w:right w:val="single" w:sz="4" w:space="0" w:color="auto"/>
            </w:tcBorders>
            <w:vAlign w:val="center"/>
          </w:tcPr>
          <w:p w14:paraId="7ACC5408"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62</w:t>
            </w:r>
          </w:p>
        </w:tc>
      </w:tr>
      <w:tr w:rsidR="0064264A" w:rsidRPr="0064264A" w14:paraId="4DBE7E98" w14:textId="77777777" w:rsidTr="00E13696">
        <w:trPr>
          <w:trHeight w:val="419"/>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7A5D4901" w14:textId="77777777" w:rsidR="00D9267D" w:rsidRPr="0064264A" w:rsidRDefault="00D9267D" w:rsidP="003A5879">
            <w:pPr>
              <w:spacing w:line="360" w:lineRule="auto"/>
              <w:jc w:val="center"/>
              <w:rPr>
                <w:rFonts w:eastAsia="Calibri"/>
                <w:b/>
                <w:bCs/>
                <w:lang w:val="es-DO"/>
              </w:rPr>
            </w:pPr>
            <w:r w:rsidRPr="0064264A">
              <w:rPr>
                <w:rFonts w:eastAsia="Calibri"/>
                <w:b/>
                <w:bCs/>
                <w:lang w:val="es-DO"/>
              </w:rPr>
              <w:lastRenderedPageBreak/>
              <w:t>Abril</w:t>
            </w:r>
          </w:p>
        </w:tc>
        <w:tc>
          <w:tcPr>
            <w:tcW w:w="1483" w:type="dxa"/>
            <w:tcBorders>
              <w:top w:val="single" w:sz="4" w:space="0" w:color="auto"/>
              <w:left w:val="single" w:sz="4" w:space="0" w:color="auto"/>
              <w:bottom w:val="single" w:sz="4" w:space="0" w:color="auto"/>
              <w:right w:val="single" w:sz="4" w:space="0" w:color="auto"/>
            </w:tcBorders>
            <w:vAlign w:val="center"/>
          </w:tcPr>
          <w:p w14:paraId="67C69A41"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37</w:t>
            </w:r>
          </w:p>
        </w:tc>
        <w:tc>
          <w:tcPr>
            <w:tcW w:w="3801" w:type="dxa"/>
            <w:tcBorders>
              <w:top w:val="single" w:sz="4" w:space="0" w:color="auto"/>
              <w:left w:val="single" w:sz="4" w:space="0" w:color="auto"/>
              <w:bottom w:val="single" w:sz="4" w:space="0" w:color="auto"/>
              <w:right w:val="single" w:sz="4" w:space="0" w:color="auto"/>
            </w:tcBorders>
            <w:vAlign w:val="center"/>
          </w:tcPr>
          <w:p w14:paraId="4918A939"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18</w:t>
            </w:r>
          </w:p>
        </w:tc>
        <w:tc>
          <w:tcPr>
            <w:tcW w:w="1023" w:type="dxa"/>
            <w:tcBorders>
              <w:top w:val="single" w:sz="4" w:space="0" w:color="auto"/>
              <w:left w:val="single" w:sz="4" w:space="0" w:color="auto"/>
              <w:bottom w:val="single" w:sz="4" w:space="0" w:color="auto"/>
              <w:right w:val="single" w:sz="4" w:space="0" w:color="auto"/>
            </w:tcBorders>
            <w:vAlign w:val="center"/>
          </w:tcPr>
          <w:p w14:paraId="5220C1FA"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55</w:t>
            </w:r>
          </w:p>
        </w:tc>
      </w:tr>
      <w:tr w:rsidR="0064264A" w:rsidRPr="0064264A" w14:paraId="0B5A6710" w14:textId="77777777" w:rsidTr="00E13696">
        <w:trPr>
          <w:trHeight w:val="411"/>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200B60D7" w14:textId="77777777" w:rsidR="00D9267D" w:rsidRPr="0064264A" w:rsidRDefault="00D9267D" w:rsidP="003A5879">
            <w:pPr>
              <w:spacing w:line="360" w:lineRule="auto"/>
              <w:jc w:val="center"/>
              <w:rPr>
                <w:rFonts w:eastAsia="Calibri"/>
                <w:b/>
                <w:bCs/>
                <w:lang w:val="es-DO"/>
              </w:rPr>
            </w:pPr>
            <w:r w:rsidRPr="0064264A">
              <w:rPr>
                <w:rFonts w:eastAsia="Calibri"/>
                <w:b/>
                <w:bCs/>
                <w:lang w:val="es-DO"/>
              </w:rPr>
              <w:t>Mayo</w:t>
            </w:r>
          </w:p>
        </w:tc>
        <w:tc>
          <w:tcPr>
            <w:tcW w:w="1483" w:type="dxa"/>
            <w:tcBorders>
              <w:top w:val="single" w:sz="4" w:space="0" w:color="auto"/>
              <w:left w:val="single" w:sz="4" w:space="0" w:color="auto"/>
              <w:bottom w:val="single" w:sz="4" w:space="0" w:color="auto"/>
              <w:right w:val="single" w:sz="4" w:space="0" w:color="auto"/>
            </w:tcBorders>
            <w:vAlign w:val="center"/>
          </w:tcPr>
          <w:p w14:paraId="6F8EE6DA"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20</w:t>
            </w:r>
          </w:p>
        </w:tc>
        <w:tc>
          <w:tcPr>
            <w:tcW w:w="3801" w:type="dxa"/>
            <w:tcBorders>
              <w:top w:val="single" w:sz="4" w:space="0" w:color="auto"/>
              <w:left w:val="single" w:sz="4" w:space="0" w:color="auto"/>
              <w:bottom w:val="single" w:sz="4" w:space="0" w:color="auto"/>
              <w:right w:val="single" w:sz="4" w:space="0" w:color="auto"/>
            </w:tcBorders>
            <w:vAlign w:val="center"/>
          </w:tcPr>
          <w:p w14:paraId="583B35BA"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27</w:t>
            </w:r>
          </w:p>
        </w:tc>
        <w:tc>
          <w:tcPr>
            <w:tcW w:w="1023" w:type="dxa"/>
            <w:tcBorders>
              <w:top w:val="single" w:sz="4" w:space="0" w:color="auto"/>
              <w:left w:val="single" w:sz="4" w:space="0" w:color="auto"/>
              <w:bottom w:val="single" w:sz="4" w:space="0" w:color="auto"/>
              <w:right w:val="single" w:sz="4" w:space="0" w:color="auto"/>
            </w:tcBorders>
            <w:vAlign w:val="center"/>
          </w:tcPr>
          <w:p w14:paraId="7288F636"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47</w:t>
            </w:r>
          </w:p>
        </w:tc>
      </w:tr>
      <w:tr w:rsidR="0064264A" w:rsidRPr="0064264A" w14:paraId="0BED7298" w14:textId="77777777" w:rsidTr="00E13696">
        <w:trPr>
          <w:trHeight w:val="411"/>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26308497" w14:textId="77777777" w:rsidR="00D9267D" w:rsidRPr="0064264A" w:rsidRDefault="00D9267D" w:rsidP="003A5879">
            <w:pPr>
              <w:spacing w:line="360" w:lineRule="auto"/>
              <w:jc w:val="center"/>
              <w:rPr>
                <w:rFonts w:eastAsia="Calibri"/>
                <w:b/>
                <w:bCs/>
                <w:lang w:val="es-DO"/>
              </w:rPr>
            </w:pPr>
            <w:r w:rsidRPr="0064264A">
              <w:rPr>
                <w:rFonts w:eastAsia="Calibri"/>
                <w:b/>
                <w:bCs/>
                <w:lang w:val="es-DO"/>
              </w:rPr>
              <w:t>Junio</w:t>
            </w:r>
          </w:p>
        </w:tc>
        <w:tc>
          <w:tcPr>
            <w:tcW w:w="1483" w:type="dxa"/>
            <w:tcBorders>
              <w:top w:val="single" w:sz="4" w:space="0" w:color="auto"/>
              <w:left w:val="single" w:sz="4" w:space="0" w:color="auto"/>
              <w:bottom w:val="single" w:sz="4" w:space="0" w:color="auto"/>
              <w:right w:val="single" w:sz="4" w:space="0" w:color="auto"/>
            </w:tcBorders>
            <w:vAlign w:val="center"/>
          </w:tcPr>
          <w:p w14:paraId="2E5B5C0A"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23</w:t>
            </w:r>
          </w:p>
        </w:tc>
        <w:tc>
          <w:tcPr>
            <w:tcW w:w="3801" w:type="dxa"/>
            <w:tcBorders>
              <w:top w:val="single" w:sz="4" w:space="0" w:color="auto"/>
              <w:left w:val="single" w:sz="4" w:space="0" w:color="auto"/>
              <w:bottom w:val="single" w:sz="4" w:space="0" w:color="auto"/>
              <w:right w:val="single" w:sz="4" w:space="0" w:color="auto"/>
            </w:tcBorders>
            <w:vAlign w:val="center"/>
          </w:tcPr>
          <w:p w14:paraId="01E6B48B"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13</w:t>
            </w:r>
          </w:p>
        </w:tc>
        <w:tc>
          <w:tcPr>
            <w:tcW w:w="1023" w:type="dxa"/>
            <w:tcBorders>
              <w:top w:val="single" w:sz="4" w:space="0" w:color="auto"/>
              <w:left w:val="single" w:sz="4" w:space="0" w:color="auto"/>
              <w:bottom w:val="single" w:sz="4" w:space="0" w:color="auto"/>
              <w:right w:val="single" w:sz="4" w:space="0" w:color="auto"/>
            </w:tcBorders>
            <w:vAlign w:val="center"/>
          </w:tcPr>
          <w:p w14:paraId="0AA8E1DC"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36</w:t>
            </w:r>
          </w:p>
        </w:tc>
      </w:tr>
      <w:tr w:rsidR="0064264A" w:rsidRPr="0064264A" w14:paraId="3254C70D" w14:textId="77777777" w:rsidTr="00E13696">
        <w:trPr>
          <w:trHeight w:val="411"/>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2F51E822" w14:textId="77777777" w:rsidR="00D9267D" w:rsidRPr="0064264A" w:rsidRDefault="00D9267D" w:rsidP="003A5879">
            <w:pPr>
              <w:spacing w:line="360" w:lineRule="auto"/>
              <w:jc w:val="center"/>
              <w:rPr>
                <w:rFonts w:eastAsia="Calibri"/>
                <w:b/>
                <w:bCs/>
                <w:lang w:val="es-DO"/>
              </w:rPr>
            </w:pPr>
            <w:r w:rsidRPr="0064264A">
              <w:rPr>
                <w:rFonts w:eastAsia="Calibri"/>
                <w:b/>
                <w:bCs/>
                <w:lang w:val="es-DO"/>
              </w:rPr>
              <w:t>Julio</w:t>
            </w:r>
          </w:p>
        </w:tc>
        <w:tc>
          <w:tcPr>
            <w:tcW w:w="1483" w:type="dxa"/>
            <w:tcBorders>
              <w:top w:val="single" w:sz="4" w:space="0" w:color="auto"/>
              <w:left w:val="single" w:sz="4" w:space="0" w:color="auto"/>
              <w:bottom w:val="single" w:sz="4" w:space="0" w:color="auto"/>
              <w:right w:val="single" w:sz="4" w:space="0" w:color="auto"/>
            </w:tcBorders>
            <w:vAlign w:val="center"/>
          </w:tcPr>
          <w:p w14:paraId="74433066"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19</w:t>
            </w:r>
          </w:p>
        </w:tc>
        <w:tc>
          <w:tcPr>
            <w:tcW w:w="3801" w:type="dxa"/>
            <w:tcBorders>
              <w:top w:val="single" w:sz="4" w:space="0" w:color="auto"/>
              <w:left w:val="single" w:sz="4" w:space="0" w:color="auto"/>
              <w:bottom w:val="single" w:sz="4" w:space="0" w:color="auto"/>
              <w:right w:val="single" w:sz="4" w:space="0" w:color="auto"/>
            </w:tcBorders>
            <w:vAlign w:val="center"/>
          </w:tcPr>
          <w:p w14:paraId="50A4C060"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19</w:t>
            </w:r>
          </w:p>
        </w:tc>
        <w:tc>
          <w:tcPr>
            <w:tcW w:w="1023" w:type="dxa"/>
            <w:tcBorders>
              <w:top w:val="single" w:sz="4" w:space="0" w:color="auto"/>
              <w:left w:val="single" w:sz="4" w:space="0" w:color="auto"/>
              <w:bottom w:val="single" w:sz="4" w:space="0" w:color="auto"/>
              <w:right w:val="single" w:sz="4" w:space="0" w:color="auto"/>
            </w:tcBorders>
            <w:vAlign w:val="center"/>
          </w:tcPr>
          <w:p w14:paraId="5B74FE83"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38</w:t>
            </w:r>
          </w:p>
        </w:tc>
      </w:tr>
      <w:tr w:rsidR="0064264A" w:rsidRPr="0064264A" w14:paraId="509969D3" w14:textId="77777777" w:rsidTr="00E13696">
        <w:trPr>
          <w:trHeight w:val="411"/>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796500EE" w14:textId="77777777" w:rsidR="00D9267D" w:rsidRPr="0064264A" w:rsidRDefault="00D9267D" w:rsidP="003A5879">
            <w:pPr>
              <w:spacing w:line="360" w:lineRule="auto"/>
              <w:jc w:val="center"/>
              <w:rPr>
                <w:rFonts w:eastAsia="Calibri"/>
                <w:b/>
                <w:bCs/>
                <w:lang w:val="es-DO"/>
              </w:rPr>
            </w:pPr>
            <w:r w:rsidRPr="0064264A">
              <w:rPr>
                <w:rFonts w:eastAsia="Calibri"/>
                <w:b/>
                <w:bCs/>
                <w:lang w:val="es-DO"/>
              </w:rPr>
              <w:t>Agosto</w:t>
            </w:r>
          </w:p>
        </w:tc>
        <w:tc>
          <w:tcPr>
            <w:tcW w:w="1483" w:type="dxa"/>
            <w:tcBorders>
              <w:top w:val="single" w:sz="4" w:space="0" w:color="auto"/>
              <w:left w:val="single" w:sz="4" w:space="0" w:color="auto"/>
              <w:bottom w:val="single" w:sz="4" w:space="0" w:color="auto"/>
              <w:right w:val="single" w:sz="4" w:space="0" w:color="auto"/>
            </w:tcBorders>
            <w:vAlign w:val="center"/>
          </w:tcPr>
          <w:p w14:paraId="32E1A80B"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34</w:t>
            </w:r>
          </w:p>
        </w:tc>
        <w:tc>
          <w:tcPr>
            <w:tcW w:w="3801" w:type="dxa"/>
            <w:tcBorders>
              <w:top w:val="single" w:sz="4" w:space="0" w:color="auto"/>
              <w:left w:val="single" w:sz="4" w:space="0" w:color="auto"/>
              <w:bottom w:val="single" w:sz="4" w:space="0" w:color="auto"/>
              <w:right w:val="single" w:sz="4" w:space="0" w:color="auto"/>
            </w:tcBorders>
            <w:vAlign w:val="center"/>
          </w:tcPr>
          <w:p w14:paraId="15F871F5"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16</w:t>
            </w:r>
          </w:p>
        </w:tc>
        <w:tc>
          <w:tcPr>
            <w:tcW w:w="1023" w:type="dxa"/>
            <w:tcBorders>
              <w:top w:val="single" w:sz="4" w:space="0" w:color="auto"/>
              <w:left w:val="single" w:sz="4" w:space="0" w:color="auto"/>
              <w:bottom w:val="single" w:sz="4" w:space="0" w:color="auto"/>
              <w:right w:val="single" w:sz="4" w:space="0" w:color="auto"/>
            </w:tcBorders>
            <w:vAlign w:val="center"/>
          </w:tcPr>
          <w:p w14:paraId="7738942D"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50</w:t>
            </w:r>
          </w:p>
        </w:tc>
      </w:tr>
      <w:tr w:rsidR="0064264A" w:rsidRPr="0064264A" w14:paraId="7300D5A7" w14:textId="77777777" w:rsidTr="00E13696">
        <w:trPr>
          <w:trHeight w:val="411"/>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287D97A6" w14:textId="77777777" w:rsidR="00D9267D" w:rsidRPr="0064264A" w:rsidRDefault="00D9267D" w:rsidP="003A5879">
            <w:pPr>
              <w:spacing w:line="360" w:lineRule="auto"/>
              <w:jc w:val="center"/>
              <w:rPr>
                <w:rFonts w:eastAsia="Calibri"/>
                <w:b/>
                <w:bCs/>
                <w:lang w:val="es-DO"/>
              </w:rPr>
            </w:pPr>
            <w:r w:rsidRPr="0064264A">
              <w:rPr>
                <w:rFonts w:eastAsia="Calibri"/>
                <w:b/>
                <w:bCs/>
                <w:lang w:val="es-DO"/>
              </w:rPr>
              <w:t>Septiembre</w:t>
            </w:r>
          </w:p>
        </w:tc>
        <w:tc>
          <w:tcPr>
            <w:tcW w:w="1483" w:type="dxa"/>
            <w:tcBorders>
              <w:top w:val="single" w:sz="4" w:space="0" w:color="auto"/>
              <w:left w:val="single" w:sz="4" w:space="0" w:color="auto"/>
              <w:bottom w:val="single" w:sz="4" w:space="0" w:color="auto"/>
              <w:right w:val="single" w:sz="4" w:space="0" w:color="auto"/>
            </w:tcBorders>
            <w:vAlign w:val="center"/>
          </w:tcPr>
          <w:p w14:paraId="752F8688"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50</w:t>
            </w:r>
          </w:p>
        </w:tc>
        <w:tc>
          <w:tcPr>
            <w:tcW w:w="3801" w:type="dxa"/>
            <w:tcBorders>
              <w:top w:val="single" w:sz="4" w:space="0" w:color="auto"/>
              <w:left w:val="single" w:sz="4" w:space="0" w:color="auto"/>
              <w:bottom w:val="single" w:sz="4" w:space="0" w:color="auto"/>
              <w:right w:val="single" w:sz="4" w:space="0" w:color="auto"/>
            </w:tcBorders>
            <w:vAlign w:val="center"/>
          </w:tcPr>
          <w:p w14:paraId="3B48F755"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16</w:t>
            </w:r>
          </w:p>
        </w:tc>
        <w:tc>
          <w:tcPr>
            <w:tcW w:w="1023" w:type="dxa"/>
            <w:tcBorders>
              <w:top w:val="single" w:sz="4" w:space="0" w:color="auto"/>
              <w:left w:val="single" w:sz="4" w:space="0" w:color="auto"/>
              <w:bottom w:val="single" w:sz="4" w:space="0" w:color="auto"/>
              <w:right w:val="single" w:sz="4" w:space="0" w:color="auto"/>
            </w:tcBorders>
            <w:vAlign w:val="center"/>
          </w:tcPr>
          <w:p w14:paraId="79454F51"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66</w:t>
            </w:r>
          </w:p>
        </w:tc>
      </w:tr>
      <w:tr w:rsidR="0064264A" w:rsidRPr="0064264A" w14:paraId="1C00D562" w14:textId="77777777" w:rsidTr="00E13696">
        <w:trPr>
          <w:trHeight w:val="411"/>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021151FF" w14:textId="77777777" w:rsidR="00D9267D" w:rsidRPr="0064264A" w:rsidRDefault="00D9267D" w:rsidP="003A5879">
            <w:pPr>
              <w:spacing w:line="360" w:lineRule="auto"/>
              <w:jc w:val="center"/>
              <w:rPr>
                <w:rFonts w:eastAsia="Calibri"/>
                <w:b/>
                <w:bCs/>
                <w:lang w:val="es-DO"/>
              </w:rPr>
            </w:pPr>
            <w:r w:rsidRPr="0064264A">
              <w:rPr>
                <w:rFonts w:eastAsia="Calibri"/>
                <w:b/>
                <w:bCs/>
                <w:lang w:val="es-DO"/>
              </w:rPr>
              <w:t>Octubre</w:t>
            </w:r>
          </w:p>
        </w:tc>
        <w:tc>
          <w:tcPr>
            <w:tcW w:w="1483" w:type="dxa"/>
            <w:tcBorders>
              <w:top w:val="single" w:sz="4" w:space="0" w:color="auto"/>
              <w:left w:val="single" w:sz="4" w:space="0" w:color="auto"/>
              <w:bottom w:val="single" w:sz="4" w:space="0" w:color="auto"/>
              <w:right w:val="single" w:sz="4" w:space="0" w:color="auto"/>
            </w:tcBorders>
            <w:vAlign w:val="center"/>
          </w:tcPr>
          <w:p w14:paraId="6D834D85"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16</w:t>
            </w:r>
          </w:p>
        </w:tc>
        <w:tc>
          <w:tcPr>
            <w:tcW w:w="3801" w:type="dxa"/>
            <w:tcBorders>
              <w:top w:val="single" w:sz="4" w:space="0" w:color="auto"/>
              <w:left w:val="single" w:sz="4" w:space="0" w:color="auto"/>
              <w:bottom w:val="single" w:sz="4" w:space="0" w:color="auto"/>
              <w:right w:val="single" w:sz="4" w:space="0" w:color="auto"/>
            </w:tcBorders>
            <w:vAlign w:val="center"/>
          </w:tcPr>
          <w:p w14:paraId="6141D5C3"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9</w:t>
            </w:r>
          </w:p>
        </w:tc>
        <w:tc>
          <w:tcPr>
            <w:tcW w:w="1023" w:type="dxa"/>
            <w:tcBorders>
              <w:top w:val="single" w:sz="4" w:space="0" w:color="auto"/>
              <w:left w:val="single" w:sz="4" w:space="0" w:color="auto"/>
              <w:bottom w:val="single" w:sz="4" w:space="0" w:color="auto"/>
              <w:right w:val="single" w:sz="4" w:space="0" w:color="auto"/>
            </w:tcBorders>
            <w:vAlign w:val="center"/>
          </w:tcPr>
          <w:p w14:paraId="35B280B8"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25</w:t>
            </w:r>
          </w:p>
        </w:tc>
      </w:tr>
      <w:tr w:rsidR="0064264A" w:rsidRPr="0064264A" w14:paraId="51BE4F1D" w14:textId="77777777" w:rsidTr="00E13696">
        <w:trPr>
          <w:trHeight w:val="411"/>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6706CF77" w14:textId="77777777" w:rsidR="00D9267D" w:rsidRPr="0064264A" w:rsidRDefault="00D9267D" w:rsidP="003A5879">
            <w:pPr>
              <w:spacing w:line="360" w:lineRule="auto"/>
              <w:jc w:val="center"/>
              <w:rPr>
                <w:rFonts w:eastAsia="Calibri"/>
                <w:b/>
                <w:bCs/>
                <w:lang w:val="es-DO"/>
              </w:rPr>
            </w:pPr>
            <w:r w:rsidRPr="0064264A">
              <w:rPr>
                <w:rFonts w:eastAsia="Calibri"/>
                <w:b/>
                <w:bCs/>
                <w:lang w:val="es-DO"/>
              </w:rPr>
              <w:t>Noviembre</w:t>
            </w:r>
          </w:p>
        </w:tc>
        <w:tc>
          <w:tcPr>
            <w:tcW w:w="1483" w:type="dxa"/>
            <w:tcBorders>
              <w:top w:val="single" w:sz="4" w:space="0" w:color="auto"/>
              <w:left w:val="single" w:sz="4" w:space="0" w:color="auto"/>
              <w:bottom w:val="single" w:sz="4" w:space="0" w:color="auto"/>
              <w:right w:val="single" w:sz="4" w:space="0" w:color="auto"/>
            </w:tcBorders>
            <w:vAlign w:val="center"/>
          </w:tcPr>
          <w:p w14:paraId="0B51F149"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19</w:t>
            </w:r>
          </w:p>
        </w:tc>
        <w:tc>
          <w:tcPr>
            <w:tcW w:w="3801" w:type="dxa"/>
            <w:tcBorders>
              <w:top w:val="single" w:sz="4" w:space="0" w:color="auto"/>
              <w:left w:val="single" w:sz="4" w:space="0" w:color="auto"/>
              <w:bottom w:val="single" w:sz="4" w:space="0" w:color="auto"/>
              <w:right w:val="single" w:sz="4" w:space="0" w:color="auto"/>
            </w:tcBorders>
            <w:vAlign w:val="center"/>
          </w:tcPr>
          <w:p w14:paraId="61A223F5"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16</w:t>
            </w:r>
          </w:p>
        </w:tc>
        <w:tc>
          <w:tcPr>
            <w:tcW w:w="1023" w:type="dxa"/>
            <w:tcBorders>
              <w:top w:val="single" w:sz="4" w:space="0" w:color="auto"/>
              <w:left w:val="single" w:sz="4" w:space="0" w:color="auto"/>
              <w:bottom w:val="single" w:sz="4" w:space="0" w:color="auto"/>
              <w:right w:val="single" w:sz="4" w:space="0" w:color="auto"/>
            </w:tcBorders>
            <w:vAlign w:val="center"/>
          </w:tcPr>
          <w:p w14:paraId="244A4ED0" w14:textId="77777777" w:rsidR="00D9267D" w:rsidRPr="0064264A" w:rsidRDefault="00D9267D" w:rsidP="003A5879">
            <w:pPr>
              <w:spacing w:line="360" w:lineRule="auto"/>
              <w:jc w:val="center"/>
              <w:rPr>
                <w:rFonts w:eastAsia="Calibri"/>
                <w:b/>
                <w:bCs/>
                <w:lang w:val="es-DO"/>
              </w:rPr>
            </w:pPr>
            <w:r w:rsidRPr="0064264A">
              <w:rPr>
                <w:rFonts w:eastAsia="Calibri"/>
                <w:bCs/>
                <w:lang w:val="es-DO"/>
              </w:rPr>
              <w:t>35</w:t>
            </w:r>
          </w:p>
        </w:tc>
      </w:tr>
      <w:tr w:rsidR="0064264A" w:rsidRPr="0064264A" w14:paraId="1817F575" w14:textId="77777777" w:rsidTr="00E13696">
        <w:trPr>
          <w:trHeight w:val="411"/>
        </w:trPr>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587A467F" w14:textId="3F4DD6FB" w:rsidR="00E13696" w:rsidRPr="0064264A" w:rsidRDefault="00E13696" w:rsidP="003A5879">
            <w:pPr>
              <w:spacing w:line="360" w:lineRule="auto"/>
              <w:jc w:val="center"/>
              <w:rPr>
                <w:rFonts w:eastAsia="Calibri"/>
                <w:b/>
                <w:bCs/>
                <w:lang w:val="es-DO"/>
              </w:rPr>
            </w:pPr>
            <w:r w:rsidRPr="0064264A">
              <w:rPr>
                <w:rFonts w:eastAsia="Calibri"/>
                <w:b/>
                <w:bCs/>
                <w:lang w:val="es-DO"/>
              </w:rPr>
              <w:t>Diciembre</w:t>
            </w:r>
          </w:p>
        </w:tc>
        <w:tc>
          <w:tcPr>
            <w:tcW w:w="1483" w:type="dxa"/>
            <w:tcBorders>
              <w:top w:val="single" w:sz="4" w:space="0" w:color="auto"/>
              <w:left w:val="single" w:sz="4" w:space="0" w:color="auto"/>
              <w:bottom w:val="single" w:sz="4" w:space="0" w:color="auto"/>
              <w:right w:val="single" w:sz="4" w:space="0" w:color="auto"/>
            </w:tcBorders>
            <w:vAlign w:val="center"/>
          </w:tcPr>
          <w:p w14:paraId="65EF5F7C" w14:textId="72415DF8" w:rsidR="00E13696" w:rsidRPr="0064264A" w:rsidRDefault="00E13696" w:rsidP="003A5879">
            <w:pPr>
              <w:spacing w:line="360" w:lineRule="auto"/>
              <w:jc w:val="center"/>
              <w:rPr>
                <w:rFonts w:eastAsia="Calibri"/>
                <w:bCs/>
                <w:lang w:val="es-DO"/>
              </w:rPr>
            </w:pPr>
            <w:r w:rsidRPr="0064264A">
              <w:rPr>
                <w:rFonts w:eastAsia="Calibri"/>
                <w:bCs/>
                <w:lang w:val="es-DO"/>
              </w:rPr>
              <w:t>25</w:t>
            </w:r>
          </w:p>
        </w:tc>
        <w:tc>
          <w:tcPr>
            <w:tcW w:w="3801" w:type="dxa"/>
            <w:tcBorders>
              <w:top w:val="single" w:sz="4" w:space="0" w:color="auto"/>
              <w:left w:val="single" w:sz="4" w:space="0" w:color="auto"/>
              <w:bottom w:val="single" w:sz="4" w:space="0" w:color="auto"/>
              <w:right w:val="single" w:sz="4" w:space="0" w:color="auto"/>
            </w:tcBorders>
            <w:vAlign w:val="center"/>
          </w:tcPr>
          <w:p w14:paraId="2B2F00B9" w14:textId="4535A2A3" w:rsidR="00E13696" w:rsidRPr="0064264A" w:rsidRDefault="00E13696" w:rsidP="003A5879">
            <w:pPr>
              <w:spacing w:line="360" w:lineRule="auto"/>
              <w:jc w:val="center"/>
              <w:rPr>
                <w:rFonts w:eastAsia="Calibri"/>
                <w:bCs/>
                <w:lang w:val="es-DO"/>
              </w:rPr>
            </w:pPr>
            <w:r w:rsidRPr="0064264A">
              <w:rPr>
                <w:rFonts w:eastAsia="Calibri"/>
                <w:bCs/>
                <w:lang w:val="es-DO"/>
              </w:rPr>
              <w:t>14</w:t>
            </w:r>
          </w:p>
        </w:tc>
        <w:tc>
          <w:tcPr>
            <w:tcW w:w="1023" w:type="dxa"/>
            <w:tcBorders>
              <w:top w:val="single" w:sz="4" w:space="0" w:color="auto"/>
              <w:left w:val="single" w:sz="4" w:space="0" w:color="auto"/>
              <w:bottom w:val="single" w:sz="4" w:space="0" w:color="auto"/>
              <w:right w:val="single" w:sz="4" w:space="0" w:color="auto"/>
            </w:tcBorders>
            <w:vAlign w:val="center"/>
          </w:tcPr>
          <w:p w14:paraId="453B8988" w14:textId="4DA909F5" w:rsidR="00E13696" w:rsidRPr="0064264A" w:rsidRDefault="00E13696" w:rsidP="003A5879">
            <w:pPr>
              <w:spacing w:line="360" w:lineRule="auto"/>
              <w:jc w:val="center"/>
              <w:rPr>
                <w:rFonts w:eastAsia="Calibri"/>
                <w:bCs/>
                <w:lang w:val="es-DO"/>
              </w:rPr>
            </w:pPr>
            <w:r w:rsidRPr="0064264A">
              <w:rPr>
                <w:rFonts w:eastAsia="Calibri"/>
                <w:bCs/>
                <w:lang w:val="es-DO"/>
              </w:rPr>
              <w:t>47</w:t>
            </w:r>
          </w:p>
        </w:tc>
      </w:tr>
      <w:tr w:rsidR="0064264A" w:rsidRPr="0064264A" w14:paraId="334F1B5C" w14:textId="77777777" w:rsidTr="00E13696">
        <w:trPr>
          <w:trHeight w:val="311"/>
        </w:trPr>
        <w:tc>
          <w:tcPr>
            <w:tcW w:w="6874" w:type="dxa"/>
            <w:gridSpan w:val="3"/>
            <w:tcBorders>
              <w:top w:val="single" w:sz="4" w:space="0" w:color="auto"/>
            </w:tcBorders>
            <w:shd w:val="clear" w:color="auto" w:fill="142F62"/>
          </w:tcPr>
          <w:p w14:paraId="0CEDE54D" w14:textId="4DF52810" w:rsidR="00D9267D" w:rsidRPr="00BF4E24" w:rsidRDefault="00D9267D" w:rsidP="00D9267D">
            <w:pPr>
              <w:spacing w:line="360" w:lineRule="auto"/>
              <w:jc w:val="both"/>
              <w:rPr>
                <w:rFonts w:eastAsia="Calibri"/>
                <w:b/>
                <w:bCs/>
                <w:color w:val="FFFFFF" w:themeColor="background1"/>
                <w:lang w:val="es-DO"/>
              </w:rPr>
            </w:pPr>
            <w:proofErr w:type="gramStart"/>
            <w:r w:rsidRPr="00BF4E24">
              <w:rPr>
                <w:rFonts w:eastAsia="Calibri"/>
                <w:b/>
                <w:bCs/>
                <w:color w:val="FFFFFF" w:themeColor="background1"/>
                <w:lang w:val="es-DO"/>
              </w:rPr>
              <w:t>Total</w:t>
            </w:r>
            <w:proofErr w:type="gramEnd"/>
            <w:r w:rsidRPr="00BF4E24">
              <w:rPr>
                <w:rFonts w:eastAsia="Calibri"/>
                <w:b/>
                <w:bCs/>
                <w:color w:val="FFFFFF" w:themeColor="background1"/>
                <w:lang w:val="es-DO"/>
              </w:rPr>
              <w:t xml:space="preserve"> período del 1ro. de enero al 30 de </w:t>
            </w:r>
            <w:r w:rsidR="00E13696" w:rsidRPr="00BF4E24">
              <w:rPr>
                <w:rFonts w:eastAsia="Calibri"/>
                <w:b/>
                <w:bCs/>
                <w:color w:val="FFFFFF" w:themeColor="background1"/>
                <w:lang w:val="es-DO"/>
              </w:rPr>
              <w:t>diciembre</w:t>
            </w:r>
            <w:r w:rsidRPr="00BF4E24">
              <w:rPr>
                <w:rFonts w:eastAsia="Calibri"/>
                <w:b/>
                <w:bCs/>
                <w:color w:val="FFFFFF" w:themeColor="background1"/>
                <w:lang w:val="es-DO"/>
              </w:rPr>
              <w:t xml:space="preserve"> de 2025:</w:t>
            </w:r>
          </w:p>
        </w:tc>
        <w:tc>
          <w:tcPr>
            <w:tcW w:w="1023" w:type="dxa"/>
            <w:tcBorders>
              <w:top w:val="single" w:sz="4" w:space="0" w:color="auto"/>
            </w:tcBorders>
            <w:shd w:val="clear" w:color="auto" w:fill="142F62"/>
          </w:tcPr>
          <w:p w14:paraId="1D8285AE" w14:textId="119271A5" w:rsidR="00D9267D" w:rsidRPr="00BF4E24" w:rsidRDefault="00A448C8" w:rsidP="00A448C8">
            <w:pPr>
              <w:spacing w:line="360" w:lineRule="auto"/>
              <w:jc w:val="center"/>
              <w:rPr>
                <w:rFonts w:eastAsia="Calibri"/>
                <w:b/>
                <w:bCs/>
                <w:color w:val="FFFFFF" w:themeColor="background1"/>
                <w:lang w:val="es-DO"/>
              </w:rPr>
            </w:pPr>
            <w:r w:rsidRPr="00BF4E24">
              <w:rPr>
                <w:rFonts w:eastAsia="Calibri"/>
                <w:b/>
                <w:bCs/>
                <w:color w:val="FFFFFF" w:themeColor="background1"/>
                <w:lang w:val="es-DO"/>
              </w:rPr>
              <w:t>534</w:t>
            </w:r>
          </w:p>
        </w:tc>
      </w:tr>
      <w:tr w:rsidR="0064264A" w:rsidRPr="0064264A" w14:paraId="08E58C20" w14:textId="77777777" w:rsidTr="00E13696">
        <w:trPr>
          <w:trHeight w:val="417"/>
        </w:trPr>
        <w:tc>
          <w:tcPr>
            <w:tcW w:w="6874" w:type="dxa"/>
            <w:gridSpan w:val="3"/>
            <w:shd w:val="clear" w:color="auto" w:fill="011C50"/>
          </w:tcPr>
          <w:p w14:paraId="7CD96645" w14:textId="77777777" w:rsidR="00D9267D" w:rsidRPr="00BF4E24" w:rsidRDefault="00D9267D" w:rsidP="00D9267D">
            <w:pPr>
              <w:spacing w:line="360" w:lineRule="auto"/>
              <w:jc w:val="both"/>
              <w:rPr>
                <w:rFonts w:eastAsia="Calibri"/>
                <w:b/>
                <w:bCs/>
                <w:color w:val="FFFFFF" w:themeColor="background1"/>
                <w:lang w:val="es-DO"/>
              </w:rPr>
            </w:pPr>
            <w:r w:rsidRPr="00BF4E24">
              <w:rPr>
                <w:rFonts w:eastAsia="Calibri"/>
                <w:b/>
                <w:bCs/>
                <w:color w:val="FFFFFF" w:themeColor="background1"/>
                <w:lang w:val="es-DO"/>
              </w:rPr>
              <w:t xml:space="preserve">Porcentaje de Cumplimiento </w:t>
            </w:r>
          </w:p>
        </w:tc>
        <w:tc>
          <w:tcPr>
            <w:tcW w:w="1023" w:type="dxa"/>
            <w:shd w:val="clear" w:color="auto" w:fill="142F62"/>
          </w:tcPr>
          <w:p w14:paraId="3B355AB4" w14:textId="77777777" w:rsidR="00D9267D" w:rsidRPr="00BF4E24" w:rsidRDefault="00D9267D" w:rsidP="00D9267D">
            <w:pPr>
              <w:spacing w:line="360" w:lineRule="auto"/>
              <w:jc w:val="both"/>
              <w:rPr>
                <w:rFonts w:eastAsia="Calibri"/>
                <w:b/>
                <w:bCs/>
                <w:color w:val="FFFFFF" w:themeColor="background1"/>
                <w:lang w:val="es-DO"/>
              </w:rPr>
            </w:pPr>
            <w:r w:rsidRPr="00BF4E24">
              <w:rPr>
                <w:rFonts w:eastAsia="Calibri"/>
                <w:b/>
                <w:bCs/>
                <w:color w:val="FFFFFF" w:themeColor="background1"/>
                <w:lang w:val="es-DO"/>
              </w:rPr>
              <w:t>100%</w:t>
            </w:r>
          </w:p>
        </w:tc>
      </w:tr>
    </w:tbl>
    <w:p w14:paraId="15CCC069" w14:textId="6B8027F0" w:rsidR="00D9267D" w:rsidRPr="0064264A" w:rsidRDefault="00D9267D" w:rsidP="00D9267D">
      <w:pPr>
        <w:spacing w:line="360" w:lineRule="auto"/>
        <w:jc w:val="both"/>
        <w:rPr>
          <w:rFonts w:eastAsia="Calibri"/>
          <w:b/>
          <w:bCs/>
          <w:sz w:val="22"/>
          <w:szCs w:val="22"/>
          <w:lang w:val="es-DO"/>
        </w:rPr>
      </w:pPr>
      <w:r w:rsidRPr="0064264A">
        <w:rPr>
          <w:rFonts w:eastAsia="Calibri"/>
          <w:b/>
          <w:bCs/>
          <w:lang w:val="es-DO"/>
        </w:rPr>
        <w:t xml:space="preserve">                    </w:t>
      </w:r>
      <w:r w:rsidRPr="0064264A">
        <w:rPr>
          <w:rFonts w:eastAsia="Calibri"/>
          <w:b/>
          <w:bCs/>
          <w:sz w:val="22"/>
          <w:szCs w:val="22"/>
          <w:lang w:val="es-DO"/>
        </w:rPr>
        <w:t xml:space="preserve">Fuente: Depto. Consultoría Jurídica </w:t>
      </w:r>
    </w:p>
    <w:p w14:paraId="3589AC05" w14:textId="14C8999C" w:rsidR="00D9267D" w:rsidRPr="0064264A" w:rsidRDefault="00D9267D" w:rsidP="00D9267D">
      <w:pPr>
        <w:spacing w:line="360" w:lineRule="auto"/>
        <w:jc w:val="both"/>
        <w:rPr>
          <w:rFonts w:eastAsia="Calibri"/>
          <w:bCs/>
          <w:lang w:val="es-ES"/>
        </w:rPr>
      </w:pPr>
      <w:r w:rsidRPr="0064264A">
        <w:rPr>
          <w:rFonts w:eastAsia="Calibri"/>
          <w:bCs/>
          <w:lang w:val="es-ES"/>
        </w:rPr>
        <w:t xml:space="preserve">Cabe destacar que de las solicitudes recibidas en la Oficina de Acceso a la Información (OAI) durante el mes de </w:t>
      </w:r>
      <w:r w:rsidR="00A448C8" w:rsidRPr="0064264A">
        <w:rPr>
          <w:rFonts w:eastAsia="Calibri"/>
          <w:bCs/>
          <w:lang w:val="es-ES"/>
        </w:rPr>
        <w:t xml:space="preserve">diciembre </w:t>
      </w:r>
      <w:r w:rsidRPr="0064264A">
        <w:rPr>
          <w:rFonts w:eastAsia="Calibri"/>
          <w:bCs/>
          <w:lang w:val="es-ES"/>
        </w:rPr>
        <w:t>de los corrientes, una (</w:t>
      </w:r>
      <w:r w:rsidR="00A448C8" w:rsidRPr="0064264A">
        <w:rPr>
          <w:rFonts w:eastAsia="Calibri"/>
          <w:bCs/>
          <w:lang w:val="es-ES"/>
        </w:rPr>
        <w:t>2</w:t>
      </w:r>
      <w:r w:rsidRPr="0064264A">
        <w:rPr>
          <w:rFonts w:eastAsia="Calibri"/>
          <w:bCs/>
          <w:lang w:val="es-ES"/>
        </w:rPr>
        <w:t xml:space="preserve">) solicitud se encuentran en trámite y dentro del plazo previsto para otorgar respuesta. De igual forma, fueron recibidas, entre otras, hojas de vida de postulantes, informaciones de distintas áreas de la institución para la tramitación de solicitudes en curso, e inquietudes de ciudadanos referidos por otras instituciones gubernamentales. </w:t>
      </w:r>
    </w:p>
    <w:p w14:paraId="671E590B" w14:textId="77777777" w:rsidR="00FE2E92" w:rsidRPr="0064264A" w:rsidRDefault="00FE2E92" w:rsidP="00D9267D">
      <w:pPr>
        <w:spacing w:line="360" w:lineRule="auto"/>
        <w:jc w:val="both"/>
        <w:rPr>
          <w:rFonts w:eastAsia="Calibri"/>
          <w:bCs/>
          <w:lang w:val="es-ES"/>
        </w:rPr>
      </w:pPr>
    </w:p>
    <w:p w14:paraId="5E6EC969" w14:textId="77777777" w:rsidR="00FE2E92" w:rsidRPr="0064264A" w:rsidRDefault="00FE2E92" w:rsidP="00D9267D">
      <w:pPr>
        <w:spacing w:line="360" w:lineRule="auto"/>
        <w:jc w:val="both"/>
        <w:rPr>
          <w:rFonts w:eastAsia="Calibri"/>
          <w:bCs/>
          <w:lang w:val="es-ES"/>
        </w:rPr>
      </w:pPr>
    </w:p>
    <w:p w14:paraId="6E61C9F6" w14:textId="77777777" w:rsidR="00FE2E92" w:rsidRPr="0064264A" w:rsidRDefault="00FE2E92" w:rsidP="00D9267D">
      <w:pPr>
        <w:spacing w:line="360" w:lineRule="auto"/>
        <w:jc w:val="both"/>
        <w:rPr>
          <w:rFonts w:eastAsia="Calibri"/>
          <w:bCs/>
          <w:lang w:val="es-ES"/>
        </w:rPr>
      </w:pPr>
    </w:p>
    <w:p w14:paraId="75EA9F76" w14:textId="4FAF45EF" w:rsidR="00FE2E92" w:rsidRPr="0064264A" w:rsidRDefault="008B3000" w:rsidP="00FE2E92">
      <w:pPr>
        <w:pStyle w:val="Heading2"/>
        <w:rPr>
          <w:rFonts w:eastAsia="Calibri"/>
          <w:b/>
          <w:bCs/>
          <w:color w:val="767171"/>
          <w:lang w:val="es-DO"/>
        </w:rPr>
      </w:pPr>
      <w:bookmarkStart w:id="41" w:name="_Toc217386303"/>
      <w:r w:rsidRPr="0064264A">
        <w:rPr>
          <w:rFonts w:eastAsia="Calibri"/>
          <w:b/>
          <w:bCs/>
          <w:color w:val="767171"/>
          <w:lang w:val="es-DO"/>
        </w:rPr>
        <w:t xml:space="preserve">5.2 </w:t>
      </w:r>
      <w:r w:rsidR="00D9267D" w:rsidRPr="0064264A">
        <w:rPr>
          <w:rFonts w:eastAsia="Calibri"/>
          <w:b/>
          <w:bCs/>
          <w:color w:val="767171"/>
          <w:lang w:val="es-DO"/>
        </w:rPr>
        <w:t>Resultados mediciones del Portal de Transparencia</w:t>
      </w:r>
      <w:bookmarkEnd w:id="41"/>
    </w:p>
    <w:p w14:paraId="24CC8F62" w14:textId="77777777" w:rsidR="00FE2E92" w:rsidRPr="0064264A" w:rsidRDefault="00FE2E92" w:rsidP="00FE2E92">
      <w:pPr>
        <w:rPr>
          <w:lang w:val="es-DO"/>
        </w:rPr>
      </w:pPr>
    </w:p>
    <w:p w14:paraId="7FB04671" w14:textId="0F45701C" w:rsidR="00D9267D" w:rsidRPr="0064264A" w:rsidRDefault="00D9267D" w:rsidP="00D9267D">
      <w:pPr>
        <w:spacing w:line="360" w:lineRule="auto"/>
        <w:jc w:val="both"/>
        <w:rPr>
          <w:rFonts w:eastAsia="Calibri"/>
          <w:bCs/>
          <w:lang w:val="es-ES"/>
        </w:rPr>
      </w:pPr>
      <w:r w:rsidRPr="0064264A">
        <w:rPr>
          <w:rFonts w:eastAsia="Calibri"/>
          <w:bCs/>
          <w:lang w:val="es-ES"/>
        </w:rPr>
        <w:t>En su condición de órgano constitucional con patrimonio propio y autonomía funcional, presupuestaria y administrativa reconocida por el artículo 225 de la Constitución de la República Dominicana, de acuerdo con los criterios previstos en la Ley General de Libre Acceso a la Información núm. 200-04 y la Ley Monetaria y Financiera núm. 183-02, el Banco Central de la República Dominicana tiene en funcionamiento el Sub Portal de Transparencia Institucional, plataforma en la que mes por mes se actualizan las informaciones en el formato compatible con su normativa interna.</w:t>
      </w:r>
    </w:p>
    <w:p w14:paraId="03888F54" w14:textId="0BF004E0" w:rsidR="00D9267D" w:rsidRPr="0064264A" w:rsidRDefault="00D9267D" w:rsidP="00D9267D">
      <w:pPr>
        <w:spacing w:line="360" w:lineRule="auto"/>
        <w:jc w:val="both"/>
        <w:rPr>
          <w:rFonts w:eastAsia="Calibri"/>
          <w:bCs/>
          <w:lang w:val="es-ES"/>
        </w:rPr>
      </w:pPr>
      <w:r w:rsidRPr="0064264A">
        <w:rPr>
          <w:rFonts w:eastAsia="Calibri"/>
          <w:bCs/>
          <w:lang w:val="es-ES"/>
        </w:rPr>
        <w:t xml:space="preserve">Desde su puesta en funcionamiento y hasta la fecha, el Banco Central de la República Dominicana ejecutó mensualmente las actualizaciones de las informaciones de su plataforma en los formatos autorizados y sin presentar casos de incumplimiento por razones injustificadas. </w:t>
      </w:r>
    </w:p>
    <w:p w14:paraId="7F1D35C2" w14:textId="11F7C5AB" w:rsidR="00D9267D" w:rsidRPr="0064264A" w:rsidRDefault="00D9267D" w:rsidP="00D9267D">
      <w:pPr>
        <w:spacing w:line="360" w:lineRule="auto"/>
        <w:jc w:val="both"/>
        <w:rPr>
          <w:rFonts w:eastAsia="Calibri"/>
          <w:bCs/>
          <w:lang w:val="es-ES"/>
        </w:rPr>
      </w:pPr>
      <w:r w:rsidRPr="0064264A">
        <w:rPr>
          <w:rFonts w:eastAsia="Calibri"/>
          <w:bCs/>
          <w:lang w:val="es-ES"/>
        </w:rPr>
        <w:t xml:space="preserve">Cabe destacar, que, en virtud de lo previsto en la Ley General de Libre Acceso a la Información Pública, núm. 200-04 y su reglamento de aplicación, esta Consultoría Jurídica, en colaboración con distintos departamentos de la institución, realizó, durante el período enero – junio 2024, diversas actualizaciones en el </w:t>
      </w:r>
      <w:proofErr w:type="spellStart"/>
      <w:r w:rsidRPr="0064264A">
        <w:rPr>
          <w:rFonts w:eastAsia="Calibri"/>
          <w:bCs/>
          <w:lang w:val="es-ES"/>
        </w:rPr>
        <w:t>Subportal</w:t>
      </w:r>
      <w:proofErr w:type="spellEnd"/>
      <w:r w:rsidRPr="0064264A">
        <w:rPr>
          <w:rFonts w:eastAsia="Calibri"/>
          <w:bCs/>
          <w:lang w:val="es-ES"/>
        </w:rPr>
        <w:t xml:space="preserve"> de Transparencia Institucional, particularmente las relativas a: </w:t>
      </w:r>
    </w:p>
    <w:p w14:paraId="1EA44FDC" w14:textId="77777777"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t>Estadísticas trimestrales de la Oficina de Acceso a la Información (OAI);</w:t>
      </w:r>
    </w:p>
    <w:p w14:paraId="2098727B" w14:textId="77777777"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t>Índice de Informaciones de la Oficina de Acceso a la Información (OAI);</w:t>
      </w:r>
    </w:p>
    <w:p w14:paraId="136C9E12" w14:textId="77777777"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lastRenderedPageBreak/>
        <w:t>Nómina de empleados fijos y contratados;</w:t>
      </w:r>
    </w:p>
    <w:p w14:paraId="48F8D3A8" w14:textId="77777777"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t>Planificación estratégica;</w:t>
      </w:r>
    </w:p>
    <w:p w14:paraId="0CDCB9F0" w14:textId="77777777"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t>Estados Financieros;</w:t>
      </w:r>
    </w:p>
    <w:p w14:paraId="0AD5E0DE" w14:textId="77777777"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t xml:space="preserve">Informes de Auditorías; </w:t>
      </w:r>
    </w:p>
    <w:p w14:paraId="4A204C5C" w14:textId="77777777"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t>Informaciones relativas a los procesos de Compras y Contrataciones de Bienes y Servicios;</w:t>
      </w:r>
    </w:p>
    <w:p w14:paraId="541E499A" w14:textId="77777777"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t>Índice de Informaciones Financieras de la Institución (balance general, ejecución mensual del presupuesto 2025);</w:t>
      </w:r>
    </w:p>
    <w:p w14:paraId="28FA6D2B" w14:textId="77777777"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t>Beneficiarios de programas asistenciales;</w:t>
      </w:r>
    </w:p>
    <w:p w14:paraId="2A3AC464" w14:textId="77777777"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t>Programas o proyectos;</w:t>
      </w:r>
    </w:p>
    <w:p w14:paraId="2B8D0BE4" w14:textId="77777777"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t>Micro, pequeñas y medianas empresas y mujer;</w:t>
      </w:r>
    </w:p>
    <w:p w14:paraId="5D0E0251" w14:textId="77777777"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t>Subasta Inversa;</w:t>
      </w:r>
    </w:p>
    <w:p w14:paraId="112C3B1B" w14:textId="5CCA9B75" w:rsidR="00D9267D" w:rsidRPr="0064264A" w:rsidRDefault="00D9267D" w:rsidP="00A40AE3">
      <w:pPr>
        <w:numPr>
          <w:ilvl w:val="0"/>
          <w:numId w:val="41"/>
        </w:numPr>
        <w:spacing w:line="360" w:lineRule="auto"/>
        <w:jc w:val="both"/>
        <w:rPr>
          <w:rFonts w:eastAsia="Calibri"/>
          <w:lang w:val="es-DO"/>
        </w:rPr>
      </w:pPr>
      <w:r w:rsidRPr="0064264A">
        <w:rPr>
          <w:rFonts w:eastAsia="Calibri"/>
          <w:lang w:val="es-DO"/>
        </w:rPr>
        <w:t>Procesos de consultas públicas.</w:t>
      </w:r>
    </w:p>
    <w:p w14:paraId="68E4425D"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Planes de acción para mejoras</w:t>
      </w:r>
    </w:p>
    <w:p w14:paraId="0E56A3E4" w14:textId="63BABB3B" w:rsidR="00D9267D" w:rsidRPr="0064264A" w:rsidRDefault="00D9267D" w:rsidP="00D9267D">
      <w:pPr>
        <w:spacing w:line="360" w:lineRule="auto"/>
        <w:jc w:val="both"/>
        <w:rPr>
          <w:rFonts w:eastAsia="Calibri"/>
          <w:lang w:val="es-DO"/>
        </w:rPr>
      </w:pPr>
      <w:bookmarkStart w:id="42" w:name="_Hlk106019281"/>
      <w:r w:rsidRPr="0064264A">
        <w:rPr>
          <w:rFonts w:eastAsia="Calibri"/>
          <w:lang w:val="es-DO"/>
        </w:rPr>
        <w:t>Gestión para la actualización de la clasificación de documentos e informaciones en virtud de los artículos 17 y 28 de la Ley General de Libre Acceso a la Información Pública, núm. 200-04 y las disposiciones especiales contempladas en la Ley Monetaria y Financiera núm. 183-02, para someter a la aprobación de la Junta Monetaria.</w:t>
      </w:r>
      <w:bookmarkStart w:id="43" w:name="_Toc152864335"/>
      <w:bookmarkStart w:id="44" w:name="_Hlk77099177"/>
      <w:bookmarkEnd w:id="42"/>
    </w:p>
    <w:p w14:paraId="473EEE30" w14:textId="0A9DB356" w:rsidR="00D9267D" w:rsidRPr="0064264A" w:rsidRDefault="00D9267D" w:rsidP="008B3000">
      <w:pPr>
        <w:pStyle w:val="Heading2"/>
        <w:rPr>
          <w:rFonts w:eastAsia="Calibri"/>
          <w:b/>
          <w:bCs/>
          <w:color w:val="767171"/>
          <w:lang w:val="es-DO"/>
        </w:rPr>
      </w:pPr>
      <w:bookmarkStart w:id="45" w:name="_Toc217386304"/>
      <w:r w:rsidRPr="0064264A">
        <w:rPr>
          <w:rFonts w:eastAsia="Calibri"/>
          <w:b/>
          <w:color w:val="767171"/>
          <w:lang w:val="es-DO"/>
        </w:rPr>
        <w:t>5.</w:t>
      </w:r>
      <w:r w:rsidR="008B3000" w:rsidRPr="0064264A">
        <w:rPr>
          <w:rFonts w:eastAsia="Calibri"/>
          <w:b/>
          <w:color w:val="767171"/>
          <w:lang w:val="es-DO"/>
        </w:rPr>
        <w:t>3</w:t>
      </w:r>
      <w:r w:rsidRPr="0064264A">
        <w:rPr>
          <w:rFonts w:eastAsia="Calibri"/>
          <w:b/>
          <w:color w:val="767171"/>
          <w:lang w:val="es-DO"/>
        </w:rPr>
        <w:t xml:space="preserve">   Transparencia institucional</w:t>
      </w:r>
      <w:bookmarkStart w:id="46" w:name="_Hlk183691231"/>
      <w:bookmarkEnd w:id="43"/>
      <w:bookmarkEnd w:id="44"/>
      <w:bookmarkEnd w:id="45"/>
    </w:p>
    <w:p w14:paraId="546407B2" w14:textId="77777777" w:rsidR="00FE2E92" w:rsidRPr="0064264A" w:rsidRDefault="00D9267D" w:rsidP="00D9267D">
      <w:pPr>
        <w:spacing w:line="360" w:lineRule="auto"/>
        <w:jc w:val="both"/>
        <w:rPr>
          <w:rFonts w:eastAsia="Calibri"/>
          <w:lang w:val="es-DO"/>
        </w:rPr>
      </w:pPr>
      <w:r w:rsidRPr="0064264A">
        <w:rPr>
          <w:rFonts w:eastAsia="Calibri"/>
          <w:lang w:val="es-DO"/>
        </w:rPr>
        <w:t xml:space="preserve">Durante el período comprendido desde el 1 de enero al 30 de </w:t>
      </w:r>
      <w:r w:rsidR="00D07CD9" w:rsidRPr="0064264A">
        <w:rPr>
          <w:rFonts w:eastAsia="Calibri"/>
          <w:lang w:val="es-DO"/>
        </w:rPr>
        <w:t xml:space="preserve">diciembre </w:t>
      </w:r>
      <w:r w:rsidRPr="0064264A">
        <w:rPr>
          <w:rFonts w:eastAsia="Calibri"/>
          <w:lang w:val="es-DO"/>
        </w:rPr>
        <w:t xml:space="preserve">de 2025, la Consultoría Jurídica del Banco Central trabajó en la revisión de trece (13) pliegos de condiciones específicas, documentos de solicitud </w:t>
      </w:r>
    </w:p>
    <w:p w14:paraId="615D06C4" w14:textId="5F261E44" w:rsidR="00D9267D" w:rsidRPr="0064264A" w:rsidRDefault="00D9267D" w:rsidP="00D9267D">
      <w:pPr>
        <w:spacing w:line="360" w:lineRule="auto"/>
        <w:jc w:val="both"/>
        <w:rPr>
          <w:rFonts w:eastAsia="Calibri"/>
          <w:lang w:val="es-DO"/>
        </w:rPr>
      </w:pPr>
      <w:r w:rsidRPr="0064264A">
        <w:rPr>
          <w:rFonts w:eastAsia="Calibri"/>
          <w:lang w:val="es-DO"/>
        </w:rPr>
        <w:lastRenderedPageBreak/>
        <w:t>de propuesta para la adquisición de bienes o servicios conexos, descritos a continuación:</w:t>
      </w:r>
    </w:p>
    <w:p w14:paraId="5C3B0A27" w14:textId="6188FB86" w:rsidR="00D9267D" w:rsidRPr="0064264A" w:rsidRDefault="00D9267D" w:rsidP="00D9267D">
      <w:pPr>
        <w:numPr>
          <w:ilvl w:val="0"/>
          <w:numId w:val="43"/>
        </w:numPr>
        <w:spacing w:line="360" w:lineRule="auto"/>
        <w:jc w:val="both"/>
        <w:rPr>
          <w:rFonts w:eastAsia="Calibri"/>
          <w:lang w:val="es-DO"/>
        </w:rPr>
      </w:pPr>
      <w:r w:rsidRPr="0064264A">
        <w:rPr>
          <w:rFonts w:eastAsia="Calibri"/>
          <w:lang w:val="es-DO"/>
        </w:rPr>
        <w:t>Pliego de Condiciones Específicas para el Suministro de Billetes de Banco de las denominaciones de RD$2,000.00 RD$1,000.00, RD$500.00, RD$200.00, RD$100.00 y RD$50.00, Serie 2025, CE05-2025-B.</w:t>
      </w:r>
    </w:p>
    <w:p w14:paraId="2E42BF6D" w14:textId="206B08CE" w:rsidR="00D9267D" w:rsidRPr="0064264A" w:rsidRDefault="00D9267D" w:rsidP="00A40AE3">
      <w:pPr>
        <w:numPr>
          <w:ilvl w:val="0"/>
          <w:numId w:val="43"/>
        </w:numPr>
        <w:spacing w:line="360" w:lineRule="auto"/>
        <w:jc w:val="both"/>
        <w:rPr>
          <w:rFonts w:eastAsia="Calibri"/>
          <w:lang w:val="es-DO"/>
        </w:rPr>
      </w:pPr>
      <w:r w:rsidRPr="0064264A">
        <w:rPr>
          <w:rFonts w:eastAsia="Calibri"/>
          <w:lang w:val="es-DO"/>
        </w:rPr>
        <w:t xml:space="preserve">Pliego de Condiciones Específicas para el Suministro de Monedas Metálicas de las denominaciones de RD$10.00, RD$5.00 y RD$1.00, Año 2025. </w:t>
      </w:r>
    </w:p>
    <w:p w14:paraId="6156A44D" w14:textId="6D1C27C3" w:rsidR="00D9267D" w:rsidRPr="0064264A" w:rsidRDefault="00D9267D" w:rsidP="00A40AE3">
      <w:pPr>
        <w:numPr>
          <w:ilvl w:val="0"/>
          <w:numId w:val="43"/>
        </w:numPr>
        <w:spacing w:line="360" w:lineRule="auto"/>
        <w:jc w:val="both"/>
        <w:rPr>
          <w:rFonts w:eastAsia="Calibri"/>
          <w:lang w:val="es-DO"/>
        </w:rPr>
      </w:pPr>
      <w:r w:rsidRPr="0064264A">
        <w:rPr>
          <w:rFonts w:eastAsia="Calibri"/>
          <w:lang w:val="es-DO"/>
        </w:rPr>
        <w:t xml:space="preserve">Documento de Solicitud de Propuesta que regirá el caso de excepción para la “Adquisición de Switches y </w:t>
      </w:r>
      <w:proofErr w:type="spellStart"/>
      <w:r w:rsidRPr="0064264A">
        <w:rPr>
          <w:rFonts w:eastAsia="Calibri"/>
          <w:lang w:val="es-DO"/>
        </w:rPr>
        <w:t>Transceivers</w:t>
      </w:r>
      <w:proofErr w:type="spellEnd"/>
      <w:r w:rsidRPr="0064264A">
        <w:rPr>
          <w:rFonts w:eastAsia="Calibri"/>
          <w:lang w:val="es-DO"/>
        </w:rPr>
        <w:t xml:space="preserve"> Extreme Networks” Núm. BC04-2025-B.</w:t>
      </w:r>
    </w:p>
    <w:p w14:paraId="54D435B4" w14:textId="0C9C3415" w:rsidR="00D9267D" w:rsidRPr="0064264A" w:rsidRDefault="00D9267D" w:rsidP="00A40AE3">
      <w:pPr>
        <w:numPr>
          <w:ilvl w:val="0"/>
          <w:numId w:val="43"/>
        </w:numPr>
        <w:spacing w:line="360" w:lineRule="auto"/>
        <w:jc w:val="both"/>
        <w:rPr>
          <w:rFonts w:eastAsia="Calibri"/>
          <w:lang w:val="es-DO"/>
        </w:rPr>
      </w:pPr>
      <w:r w:rsidRPr="0064264A">
        <w:rPr>
          <w:rFonts w:eastAsia="Calibri"/>
          <w:lang w:val="es-DO"/>
        </w:rPr>
        <w:t xml:space="preserve">Documento de Solicitud de Propuesta para la contratación de los Servicios de Soporte Técnico para Servidores y Equipos Hewlett Packard (HPE), por un periodo de dos (2) años. </w:t>
      </w:r>
    </w:p>
    <w:p w14:paraId="346138CD" w14:textId="44980782" w:rsidR="00D9267D" w:rsidRPr="0064264A" w:rsidRDefault="00D9267D" w:rsidP="00A40AE3">
      <w:pPr>
        <w:numPr>
          <w:ilvl w:val="0"/>
          <w:numId w:val="43"/>
        </w:numPr>
        <w:spacing w:line="360" w:lineRule="auto"/>
        <w:jc w:val="both"/>
        <w:rPr>
          <w:rFonts w:eastAsia="Calibri"/>
          <w:lang w:val="es-DO"/>
        </w:rPr>
      </w:pPr>
      <w:r w:rsidRPr="0064264A">
        <w:rPr>
          <w:rFonts w:eastAsia="Calibri"/>
          <w:lang w:val="es-DO"/>
        </w:rPr>
        <w:t>Documento de Solicitud de Propuesta del caso de excepción correspondiente a la Adquisición e Implementación del Sistema de Gestión de Pagos Instantáneos (SGPI) del Banco Central de la República Dominicana del Banco Central de la República Dominicana, CE Núm. BC03-2025-B.</w:t>
      </w:r>
    </w:p>
    <w:p w14:paraId="20FDC876" w14:textId="081DD632" w:rsidR="00D9267D" w:rsidRPr="0064264A" w:rsidRDefault="00D9267D" w:rsidP="00A40AE3">
      <w:pPr>
        <w:numPr>
          <w:ilvl w:val="0"/>
          <w:numId w:val="43"/>
        </w:numPr>
        <w:spacing w:line="360" w:lineRule="auto"/>
        <w:jc w:val="both"/>
        <w:rPr>
          <w:rFonts w:eastAsia="Calibri"/>
          <w:lang w:val="es-DO"/>
        </w:rPr>
      </w:pPr>
      <w:r w:rsidRPr="0064264A">
        <w:rPr>
          <w:rFonts w:eastAsia="Calibri"/>
          <w:lang w:val="es-DO"/>
        </w:rPr>
        <w:t>Documento de Solicitud de Propuesta para la Adquisición, Instalación y Configuración de una (1) Plataforma y Software de Videovigilancia para la sede del Banco Central de la República Dominicana y la Oficina Regional de Santiago.</w:t>
      </w:r>
    </w:p>
    <w:p w14:paraId="74405C23" w14:textId="197E797B" w:rsidR="00D9267D" w:rsidRPr="0064264A" w:rsidRDefault="00D9267D" w:rsidP="00A40AE3">
      <w:pPr>
        <w:numPr>
          <w:ilvl w:val="0"/>
          <w:numId w:val="43"/>
        </w:numPr>
        <w:spacing w:line="360" w:lineRule="auto"/>
        <w:jc w:val="both"/>
        <w:rPr>
          <w:rFonts w:eastAsia="Calibri"/>
          <w:lang w:val="es-DO"/>
        </w:rPr>
      </w:pPr>
      <w:r w:rsidRPr="0064264A">
        <w:rPr>
          <w:rFonts w:eastAsia="Calibri"/>
          <w:lang w:val="es-DO"/>
        </w:rPr>
        <w:t xml:space="preserve">Pliego de Condiciones Específicas y los anexos que regirá la Licitación Pública Nacional correspondiente a la contratación de los Servicios de Limpieza e Higienización en las Edificaciones del Banco Central de la República Dominicana. </w:t>
      </w:r>
    </w:p>
    <w:p w14:paraId="13145B28" w14:textId="3B5A8EAC" w:rsidR="00D9267D" w:rsidRPr="0064264A" w:rsidRDefault="00D9267D" w:rsidP="00A40AE3">
      <w:pPr>
        <w:numPr>
          <w:ilvl w:val="0"/>
          <w:numId w:val="43"/>
        </w:numPr>
        <w:spacing w:line="360" w:lineRule="auto"/>
        <w:jc w:val="both"/>
        <w:rPr>
          <w:rFonts w:eastAsia="Calibri"/>
          <w:lang w:val="es-DO"/>
        </w:rPr>
      </w:pPr>
      <w:r w:rsidRPr="0064264A">
        <w:rPr>
          <w:rFonts w:eastAsia="Calibri"/>
          <w:lang w:val="es-DO"/>
        </w:rPr>
        <w:lastRenderedPageBreak/>
        <w:t xml:space="preserve">Documento de Solicitud de Propuesta para la adquisición, instalación y configuración de una Plataforma de Almacenamiento (Pure Storage), para el uso en los Centros de Procesamiento de Datos Principal y Alterno del BCRD. </w:t>
      </w:r>
    </w:p>
    <w:p w14:paraId="213FBAF1" w14:textId="2B2A593C" w:rsidR="00D9267D" w:rsidRPr="0064264A" w:rsidRDefault="00D9267D" w:rsidP="00A40AE3">
      <w:pPr>
        <w:numPr>
          <w:ilvl w:val="0"/>
          <w:numId w:val="43"/>
        </w:numPr>
        <w:spacing w:line="360" w:lineRule="auto"/>
        <w:jc w:val="both"/>
        <w:rPr>
          <w:rFonts w:eastAsia="Calibri"/>
          <w:lang w:val="es-DO"/>
        </w:rPr>
      </w:pPr>
      <w:r w:rsidRPr="0064264A">
        <w:rPr>
          <w:rFonts w:eastAsia="Calibri"/>
          <w:lang w:val="es-DO"/>
        </w:rPr>
        <w:t xml:space="preserve">Documento de Solicitud de Propuesta para la adquisición, instalación y configuración, de cuatro (4) Servidores de Virtualización </w:t>
      </w:r>
      <w:proofErr w:type="spellStart"/>
      <w:r w:rsidRPr="0064264A">
        <w:rPr>
          <w:rFonts w:eastAsia="Calibri"/>
          <w:lang w:val="es-DO"/>
        </w:rPr>
        <w:t>Hiperconvergentes</w:t>
      </w:r>
      <w:proofErr w:type="spellEnd"/>
      <w:r w:rsidRPr="0064264A">
        <w:rPr>
          <w:rFonts w:eastAsia="Calibri"/>
          <w:lang w:val="es-DO"/>
        </w:rPr>
        <w:t xml:space="preserve"> (HCI) </w:t>
      </w:r>
      <w:proofErr w:type="spellStart"/>
      <w:r w:rsidRPr="0064264A">
        <w:rPr>
          <w:rFonts w:eastAsia="Calibri"/>
          <w:lang w:val="es-DO"/>
        </w:rPr>
        <w:t>Nutanix</w:t>
      </w:r>
      <w:proofErr w:type="spellEnd"/>
      <w:r w:rsidRPr="0064264A">
        <w:rPr>
          <w:rFonts w:eastAsia="Calibri"/>
          <w:lang w:val="es-DO"/>
        </w:rPr>
        <w:t xml:space="preserve"> NX-3155-G9 de 2U, para ampliar la capacidad en los Centros de Procesamiento de Datos Principal y Alterno del BCRD.</w:t>
      </w:r>
    </w:p>
    <w:p w14:paraId="28503389" w14:textId="186D1755" w:rsidR="00D9267D" w:rsidRPr="0064264A" w:rsidRDefault="00D9267D" w:rsidP="00A40AE3">
      <w:pPr>
        <w:numPr>
          <w:ilvl w:val="0"/>
          <w:numId w:val="43"/>
        </w:numPr>
        <w:spacing w:line="360" w:lineRule="auto"/>
        <w:jc w:val="both"/>
        <w:rPr>
          <w:rFonts w:eastAsia="Calibri"/>
          <w:lang w:val="es-DO"/>
        </w:rPr>
      </w:pPr>
      <w:r w:rsidRPr="0064264A">
        <w:rPr>
          <w:rFonts w:eastAsia="Calibri"/>
          <w:lang w:val="es-DO"/>
        </w:rPr>
        <w:t>Documento de Solicitud de Propuesta para la adquisición de diez (10) Firewalls Check Point 9800, incluyendo Componentes, Soporte y Mantenimiento.</w:t>
      </w:r>
    </w:p>
    <w:p w14:paraId="51F0B55F" w14:textId="6DD59197" w:rsidR="00D9267D" w:rsidRPr="0064264A" w:rsidRDefault="00D9267D" w:rsidP="00A40AE3">
      <w:pPr>
        <w:numPr>
          <w:ilvl w:val="0"/>
          <w:numId w:val="43"/>
        </w:numPr>
        <w:spacing w:line="360" w:lineRule="auto"/>
        <w:jc w:val="both"/>
        <w:rPr>
          <w:rFonts w:eastAsia="Calibri"/>
          <w:lang w:val="es-DO"/>
        </w:rPr>
      </w:pPr>
      <w:r w:rsidRPr="0064264A">
        <w:rPr>
          <w:rFonts w:eastAsia="Calibri"/>
          <w:lang w:val="es-DO"/>
        </w:rPr>
        <w:t>Pliego de Condiciones Específicas para la adquisición, instalación, soporte y mantenimiento de una solución para el Control de Acceso de Dispositivos a la Red (Network Access Control - NAC) del BCRD.</w:t>
      </w:r>
    </w:p>
    <w:p w14:paraId="125B2C46" w14:textId="567117A2" w:rsidR="00D9267D" w:rsidRPr="0064264A" w:rsidRDefault="00D9267D" w:rsidP="00A40AE3">
      <w:pPr>
        <w:numPr>
          <w:ilvl w:val="0"/>
          <w:numId w:val="43"/>
        </w:numPr>
        <w:spacing w:line="360" w:lineRule="auto"/>
        <w:jc w:val="both"/>
        <w:rPr>
          <w:rFonts w:eastAsia="Calibri"/>
          <w:lang w:val="es-DO"/>
        </w:rPr>
      </w:pPr>
      <w:r w:rsidRPr="0064264A">
        <w:rPr>
          <w:rFonts w:eastAsia="Calibri"/>
          <w:lang w:val="es-DO"/>
        </w:rPr>
        <w:t>Pliego de Condiciones Específicas para la contratación de Servicios de Arrendamiento de Equipos Multifuncionales para Impresión, Fotocopiado y Escaneo de Documentos.</w:t>
      </w:r>
    </w:p>
    <w:p w14:paraId="6FC23DFA" w14:textId="57ECAD69" w:rsidR="00D9267D" w:rsidRPr="0064264A" w:rsidRDefault="00D9267D" w:rsidP="00A40AE3">
      <w:pPr>
        <w:numPr>
          <w:ilvl w:val="0"/>
          <w:numId w:val="43"/>
        </w:numPr>
        <w:spacing w:line="360" w:lineRule="auto"/>
        <w:jc w:val="both"/>
        <w:rPr>
          <w:rFonts w:eastAsia="Calibri"/>
          <w:lang w:val="es-DO"/>
        </w:rPr>
      </w:pPr>
      <w:r w:rsidRPr="0064264A">
        <w:rPr>
          <w:rFonts w:eastAsia="Calibri"/>
          <w:lang w:val="es-DO"/>
        </w:rPr>
        <w:t xml:space="preserve">Documento de Solicitud de Propuesta para la Implementación de una solución para el Aseguramiento, Detección y Auditoría del Sistema para la Seguridad en las Plataformas IBM </w:t>
      </w:r>
      <w:proofErr w:type="spellStart"/>
      <w:r w:rsidRPr="0064264A">
        <w:rPr>
          <w:rFonts w:eastAsia="Calibri"/>
          <w:lang w:val="es-DO"/>
        </w:rPr>
        <w:t>iSeries</w:t>
      </w:r>
      <w:proofErr w:type="spellEnd"/>
      <w:r w:rsidRPr="0064264A">
        <w:rPr>
          <w:rFonts w:eastAsia="Calibri"/>
          <w:lang w:val="es-DO"/>
        </w:rPr>
        <w:t xml:space="preserve"> (AS/400).</w:t>
      </w:r>
    </w:p>
    <w:p w14:paraId="23783947" w14:textId="2DC57EB8" w:rsidR="00D9267D" w:rsidRPr="0064264A" w:rsidRDefault="00D9267D" w:rsidP="00D9267D">
      <w:pPr>
        <w:spacing w:line="360" w:lineRule="auto"/>
        <w:jc w:val="both"/>
        <w:rPr>
          <w:rFonts w:eastAsia="Calibri"/>
          <w:lang w:val="es-DO"/>
        </w:rPr>
      </w:pPr>
      <w:r w:rsidRPr="0064264A">
        <w:rPr>
          <w:rFonts w:eastAsia="Calibri"/>
          <w:lang w:val="es-DO"/>
        </w:rPr>
        <w:t xml:space="preserve">De manera complementaria, los referidos pliegos y documentos de solicitud de propuesta fueron acompañados de las instancias correspondientes. En este sentido, esta dependencia emitió diez (10) Dictámenes Jurídicos pertinentes o manifestó su No Objeción a dichos instrumentos o a la celebración de las licitaciones públicas </w:t>
      </w:r>
      <w:r w:rsidRPr="0064264A">
        <w:rPr>
          <w:rFonts w:eastAsia="Calibri"/>
          <w:lang w:val="es-DO"/>
        </w:rPr>
        <w:lastRenderedPageBreak/>
        <w:t>nacionales necesarias, las cuales detallamos a continuación:</w:t>
      </w:r>
    </w:p>
    <w:p w14:paraId="0CEF997E" w14:textId="7362B448" w:rsidR="00D9267D" w:rsidRPr="0064264A" w:rsidRDefault="00D9267D" w:rsidP="00A40AE3">
      <w:pPr>
        <w:numPr>
          <w:ilvl w:val="0"/>
          <w:numId w:val="42"/>
        </w:numPr>
        <w:spacing w:line="360" w:lineRule="auto"/>
        <w:jc w:val="both"/>
        <w:rPr>
          <w:rFonts w:eastAsia="Calibri"/>
          <w:lang w:val="es-DO"/>
        </w:rPr>
      </w:pPr>
      <w:r w:rsidRPr="0064264A">
        <w:rPr>
          <w:rFonts w:eastAsia="Calibri"/>
          <w:lang w:val="es-DO"/>
        </w:rPr>
        <w:t>No objeción al Documento de Solicitud de Propuesta para la adquisición, instalación y configuración de una (1) plataforma y software de videovigilancia para la sede del Banco Central de la República Dominicana y la Oficina Regional de Santiago.</w:t>
      </w:r>
    </w:p>
    <w:p w14:paraId="56B3A296" w14:textId="0926007F" w:rsidR="00D9267D" w:rsidRPr="0064264A" w:rsidRDefault="00D9267D" w:rsidP="00A40AE3">
      <w:pPr>
        <w:numPr>
          <w:ilvl w:val="0"/>
          <w:numId w:val="42"/>
        </w:numPr>
        <w:spacing w:line="360" w:lineRule="auto"/>
        <w:jc w:val="both"/>
        <w:rPr>
          <w:rFonts w:eastAsia="Calibri"/>
          <w:lang w:val="es-DO"/>
        </w:rPr>
      </w:pPr>
      <w:r w:rsidRPr="0064264A">
        <w:rPr>
          <w:rFonts w:eastAsia="Calibri"/>
          <w:lang w:val="es-DO"/>
        </w:rPr>
        <w:t>No objeción al Pliego de Condiciones Específicas para el Suministro de Monedas Metálicas de las Denominaciones de RD$10.00, RD$5.00 y RD$1.00, año 2025, CE No. BC05-2025-B.</w:t>
      </w:r>
    </w:p>
    <w:p w14:paraId="48C2B9BE" w14:textId="0C0A20A2" w:rsidR="00D9267D" w:rsidRPr="0064264A" w:rsidRDefault="00D9267D" w:rsidP="00A40AE3">
      <w:pPr>
        <w:numPr>
          <w:ilvl w:val="0"/>
          <w:numId w:val="42"/>
        </w:numPr>
        <w:spacing w:line="360" w:lineRule="auto"/>
        <w:jc w:val="both"/>
        <w:rPr>
          <w:rFonts w:eastAsia="Calibri"/>
          <w:lang w:val="es-DO"/>
        </w:rPr>
      </w:pPr>
      <w:r w:rsidRPr="0064264A">
        <w:rPr>
          <w:rFonts w:eastAsia="Calibri"/>
          <w:lang w:val="es-DO"/>
        </w:rPr>
        <w:t>No objeción al Documento de Solicitud de Propuesta correspondiente a la contratación de los servicios de soporte técnico para Servidores y Equipos Hewlett Packard (HPE).</w:t>
      </w:r>
    </w:p>
    <w:p w14:paraId="08503E61" w14:textId="337162FD" w:rsidR="00D9267D" w:rsidRPr="0064264A" w:rsidRDefault="00D9267D" w:rsidP="00A40AE3">
      <w:pPr>
        <w:numPr>
          <w:ilvl w:val="0"/>
          <w:numId w:val="42"/>
        </w:numPr>
        <w:spacing w:line="360" w:lineRule="auto"/>
        <w:jc w:val="both"/>
        <w:rPr>
          <w:rFonts w:eastAsia="Calibri"/>
          <w:lang w:val="es-DO"/>
        </w:rPr>
      </w:pPr>
      <w:r w:rsidRPr="0064264A">
        <w:rPr>
          <w:rFonts w:eastAsia="Calibri"/>
          <w:lang w:val="es-DO"/>
        </w:rPr>
        <w:t>No objeción al Documento de Solicitud de Propuesta del caso de excepción correspondiente a la Adquisición e Implementación del Sistema de Gestión de Pagos Instantáneos (SGPI) del Banco Central de la República Dominicana del Banco Central de la República Dominicana, CE Núm. BC03-2025-B.</w:t>
      </w:r>
    </w:p>
    <w:p w14:paraId="072BA79A" w14:textId="7496190A" w:rsidR="00D9267D" w:rsidRPr="0064264A" w:rsidRDefault="00D9267D" w:rsidP="00A40AE3">
      <w:pPr>
        <w:numPr>
          <w:ilvl w:val="0"/>
          <w:numId w:val="42"/>
        </w:numPr>
        <w:spacing w:line="360" w:lineRule="auto"/>
        <w:jc w:val="both"/>
        <w:rPr>
          <w:rFonts w:eastAsia="Calibri"/>
          <w:lang w:val="es-DO"/>
        </w:rPr>
      </w:pPr>
      <w:r w:rsidRPr="0064264A">
        <w:rPr>
          <w:rFonts w:eastAsia="Calibri"/>
          <w:lang w:val="es-DO"/>
        </w:rPr>
        <w:t xml:space="preserve">No objeción al Documento de Solicitud de Propuesta para la adquisición de </w:t>
      </w:r>
      <w:proofErr w:type="spellStart"/>
      <w:r w:rsidRPr="0064264A">
        <w:rPr>
          <w:rFonts w:eastAsia="Calibri"/>
          <w:lang w:val="es-DO"/>
        </w:rPr>
        <w:t>Transceivers</w:t>
      </w:r>
      <w:proofErr w:type="spellEnd"/>
      <w:r w:rsidRPr="0064264A">
        <w:rPr>
          <w:rFonts w:eastAsia="Calibri"/>
          <w:lang w:val="es-DO"/>
        </w:rPr>
        <w:t xml:space="preserve"> Extreme Networks, CE No. BC04-2025-B.</w:t>
      </w:r>
    </w:p>
    <w:p w14:paraId="3C961B21" w14:textId="59BEBC25" w:rsidR="00D9267D" w:rsidRPr="0064264A" w:rsidRDefault="00D9267D" w:rsidP="00A40AE3">
      <w:pPr>
        <w:numPr>
          <w:ilvl w:val="0"/>
          <w:numId w:val="42"/>
        </w:numPr>
        <w:spacing w:line="360" w:lineRule="auto"/>
        <w:jc w:val="both"/>
        <w:rPr>
          <w:rFonts w:eastAsia="Calibri"/>
          <w:lang w:val="es-DO"/>
        </w:rPr>
      </w:pPr>
      <w:r w:rsidRPr="0064264A">
        <w:rPr>
          <w:rFonts w:eastAsia="Calibri"/>
          <w:lang w:val="es-DO"/>
        </w:rPr>
        <w:t>No objeción al Documento de Solicitud de Propuesta para la adquisición, instalación y configuración de una Plataforma de Almacenamiento (Pure Storage), para el uso en los Centros de Procesamiento de Datos Principal y Alterno del BCRD, CE núm. BC06-2025-B.</w:t>
      </w:r>
    </w:p>
    <w:p w14:paraId="1CE31073" w14:textId="0A756A15" w:rsidR="00D9267D" w:rsidRPr="0064264A" w:rsidRDefault="00D9267D" w:rsidP="00A40AE3">
      <w:pPr>
        <w:numPr>
          <w:ilvl w:val="0"/>
          <w:numId w:val="42"/>
        </w:numPr>
        <w:spacing w:line="360" w:lineRule="auto"/>
        <w:jc w:val="both"/>
        <w:rPr>
          <w:rFonts w:eastAsia="Calibri"/>
          <w:lang w:val="es-DO"/>
        </w:rPr>
      </w:pPr>
      <w:r w:rsidRPr="0064264A">
        <w:rPr>
          <w:rFonts w:eastAsia="Calibri"/>
          <w:lang w:val="es-DO"/>
        </w:rPr>
        <w:t xml:space="preserve">No objeción al Pliego de Condiciones Específicas para la contratación de los servicios de limpieza e higienización en las </w:t>
      </w:r>
      <w:r w:rsidRPr="0064264A">
        <w:rPr>
          <w:rFonts w:eastAsia="Calibri"/>
          <w:lang w:val="es-DO"/>
        </w:rPr>
        <w:lastRenderedPageBreak/>
        <w:t>edificaciones del Banco Central de la República Dominicana, Oficinas de la ARS, el Club de Empleados y la Casa del Jubilado, LPN Núm. BC01-2025-S.</w:t>
      </w:r>
    </w:p>
    <w:p w14:paraId="2A061594" w14:textId="4C16300F" w:rsidR="00D9267D" w:rsidRPr="0064264A" w:rsidRDefault="00D9267D" w:rsidP="00A40AE3">
      <w:pPr>
        <w:numPr>
          <w:ilvl w:val="0"/>
          <w:numId w:val="42"/>
        </w:numPr>
        <w:spacing w:line="360" w:lineRule="auto"/>
        <w:jc w:val="both"/>
        <w:rPr>
          <w:rFonts w:eastAsia="Calibri"/>
          <w:lang w:val="es-DO"/>
        </w:rPr>
      </w:pPr>
      <w:r w:rsidRPr="0064264A">
        <w:rPr>
          <w:rFonts w:eastAsia="Calibri"/>
          <w:lang w:val="es-DO"/>
        </w:rPr>
        <w:t xml:space="preserve">No objeción al Pliego de Condiciones Específicas para la adquisición, instalación, soporte y mantenimiento de una solución para el Control de Acceso de Dispositivos a la Red (Network Access Control - NAC) del Banco Central, LPN Núm. BC01-2025-B; </w:t>
      </w:r>
    </w:p>
    <w:p w14:paraId="4C3E4CE2" w14:textId="0E632D51" w:rsidR="00D9267D" w:rsidRPr="0064264A" w:rsidRDefault="00D9267D" w:rsidP="00A40AE3">
      <w:pPr>
        <w:numPr>
          <w:ilvl w:val="0"/>
          <w:numId w:val="42"/>
        </w:numPr>
        <w:spacing w:line="360" w:lineRule="auto"/>
        <w:jc w:val="both"/>
        <w:rPr>
          <w:rFonts w:eastAsia="Calibri"/>
          <w:lang w:val="es-DO"/>
        </w:rPr>
      </w:pPr>
      <w:r w:rsidRPr="0064264A">
        <w:rPr>
          <w:rFonts w:eastAsia="Calibri"/>
          <w:lang w:val="es-DO"/>
        </w:rPr>
        <w:t>No objeción al Documento de Solicitud de Propuesta para la Adquisición de Diez (10) Firewalls Check Point 9800, incluyendo componentes, soporte y mantenimiento, CE Núm. BC07-2025-B.</w:t>
      </w:r>
    </w:p>
    <w:p w14:paraId="0D185DAF" w14:textId="0665F69B" w:rsidR="00D9267D" w:rsidRPr="0064264A" w:rsidRDefault="00D9267D" w:rsidP="00A40AE3">
      <w:pPr>
        <w:numPr>
          <w:ilvl w:val="0"/>
          <w:numId w:val="42"/>
        </w:numPr>
        <w:spacing w:line="360" w:lineRule="auto"/>
        <w:jc w:val="both"/>
        <w:rPr>
          <w:rFonts w:eastAsia="Calibri"/>
          <w:lang w:val="es-DO"/>
        </w:rPr>
      </w:pPr>
      <w:r w:rsidRPr="0064264A">
        <w:rPr>
          <w:rFonts w:eastAsia="Calibri"/>
          <w:lang w:val="es-DO"/>
        </w:rPr>
        <w:t xml:space="preserve">No objeción al Documento de Solicitud de Propuesta para la adquisición, instalación y configuración de cuatro (4) servidores de virtualización </w:t>
      </w:r>
      <w:proofErr w:type="spellStart"/>
      <w:r w:rsidRPr="0064264A">
        <w:rPr>
          <w:rFonts w:eastAsia="Calibri"/>
          <w:lang w:val="es-DO"/>
        </w:rPr>
        <w:t>hiperconvergentes</w:t>
      </w:r>
      <w:proofErr w:type="spellEnd"/>
      <w:r w:rsidRPr="0064264A">
        <w:rPr>
          <w:rFonts w:eastAsia="Calibri"/>
          <w:lang w:val="es-DO"/>
        </w:rPr>
        <w:t xml:space="preserve"> (HCI) </w:t>
      </w:r>
      <w:proofErr w:type="spellStart"/>
      <w:r w:rsidRPr="0064264A">
        <w:rPr>
          <w:rFonts w:eastAsia="Calibri"/>
          <w:lang w:val="es-DO"/>
        </w:rPr>
        <w:t>Nutanix</w:t>
      </w:r>
      <w:proofErr w:type="spellEnd"/>
      <w:r w:rsidRPr="0064264A">
        <w:rPr>
          <w:rFonts w:eastAsia="Calibri"/>
          <w:lang w:val="es-DO"/>
        </w:rPr>
        <w:t xml:space="preserve"> NX-8170-G10 de 1U, para ampliar la capacidad en los Centros de Procesamiento de Datos Principal y Alterno del Banco Central, CE Núm. BC08-2025-B.</w:t>
      </w:r>
    </w:p>
    <w:p w14:paraId="7ACEC568" w14:textId="77777777" w:rsidR="00D9267D" w:rsidRPr="0064264A" w:rsidRDefault="00D9267D" w:rsidP="00D9267D">
      <w:pPr>
        <w:spacing w:line="360" w:lineRule="auto"/>
        <w:jc w:val="both"/>
        <w:rPr>
          <w:rFonts w:eastAsia="Calibri"/>
          <w:lang w:val="es-DO"/>
        </w:rPr>
      </w:pPr>
    </w:p>
    <w:p w14:paraId="697827E1" w14:textId="77777777" w:rsidR="00D9267D" w:rsidRPr="0064264A" w:rsidRDefault="00D9267D" w:rsidP="00D9267D">
      <w:pPr>
        <w:spacing w:line="360" w:lineRule="auto"/>
        <w:jc w:val="both"/>
        <w:rPr>
          <w:rFonts w:eastAsia="Calibri"/>
          <w:lang w:val="es-ES"/>
        </w:rPr>
      </w:pPr>
    </w:p>
    <w:p w14:paraId="419EE1BE" w14:textId="77777777" w:rsidR="00D9267D" w:rsidRPr="0064264A" w:rsidRDefault="00D9267D" w:rsidP="00D9267D">
      <w:pPr>
        <w:spacing w:line="360" w:lineRule="auto"/>
        <w:jc w:val="both"/>
        <w:rPr>
          <w:rFonts w:eastAsia="Calibri"/>
          <w:lang w:val="es-DO"/>
        </w:rPr>
      </w:pPr>
    </w:p>
    <w:p w14:paraId="07470B4C" w14:textId="77777777" w:rsidR="00D9267D" w:rsidRPr="0064264A" w:rsidRDefault="00D9267D" w:rsidP="00D9267D">
      <w:pPr>
        <w:spacing w:line="360" w:lineRule="auto"/>
        <w:jc w:val="both"/>
        <w:rPr>
          <w:rFonts w:eastAsia="Calibri"/>
          <w:lang w:val="es-DO"/>
        </w:rPr>
      </w:pPr>
    </w:p>
    <w:p w14:paraId="4B890AD8" w14:textId="77777777" w:rsidR="00D9267D" w:rsidRPr="0064264A" w:rsidRDefault="00D9267D" w:rsidP="00D9267D">
      <w:pPr>
        <w:spacing w:line="360" w:lineRule="auto"/>
        <w:jc w:val="both"/>
        <w:rPr>
          <w:rFonts w:eastAsia="Calibri"/>
          <w:lang w:val="es-DO"/>
        </w:rPr>
      </w:pPr>
    </w:p>
    <w:p w14:paraId="6371EF10" w14:textId="77777777" w:rsidR="00D9267D" w:rsidRPr="0064264A" w:rsidRDefault="00D9267D" w:rsidP="00D9267D">
      <w:pPr>
        <w:spacing w:line="360" w:lineRule="auto"/>
        <w:jc w:val="both"/>
        <w:rPr>
          <w:rFonts w:eastAsia="Calibri"/>
          <w:lang w:val="es-DO"/>
        </w:rPr>
      </w:pPr>
    </w:p>
    <w:p w14:paraId="24ED168D" w14:textId="77777777" w:rsidR="00D9267D" w:rsidRPr="0064264A" w:rsidRDefault="00D9267D" w:rsidP="00D9267D">
      <w:pPr>
        <w:spacing w:line="360" w:lineRule="auto"/>
        <w:jc w:val="both"/>
        <w:rPr>
          <w:rFonts w:eastAsia="Calibri"/>
          <w:lang w:val="es-DO"/>
        </w:rPr>
      </w:pPr>
    </w:p>
    <w:p w14:paraId="3686DB9E" w14:textId="77777777" w:rsidR="00D9267D" w:rsidRPr="0064264A" w:rsidRDefault="00D9267D" w:rsidP="00D9267D">
      <w:pPr>
        <w:spacing w:line="360" w:lineRule="auto"/>
        <w:jc w:val="both"/>
        <w:rPr>
          <w:rFonts w:eastAsia="Calibri"/>
          <w:lang w:val="es-DO"/>
        </w:rPr>
      </w:pPr>
    </w:p>
    <w:p w14:paraId="71021A07" w14:textId="77777777" w:rsidR="003A5879" w:rsidRPr="0064264A" w:rsidRDefault="003A5879" w:rsidP="00D9267D">
      <w:pPr>
        <w:spacing w:line="360" w:lineRule="auto"/>
        <w:jc w:val="both"/>
        <w:rPr>
          <w:rFonts w:eastAsia="Calibri"/>
          <w:lang w:val="es-DO"/>
        </w:rPr>
      </w:pPr>
    </w:p>
    <w:p w14:paraId="02B6D65C" w14:textId="309A9118" w:rsidR="00D9267D" w:rsidRPr="0064264A" w:rsidRDefault="00D9267D" w:rsidP="008B3000">
      <w:pPr>
        <w:pStyle w:val="Heading1"/>
        <w:rPr>
          <w:rFonts w:eastAsia="Calibri"/>
          <w:bCs/>
          <w:color w:val="767171"/>
          <w:lang w:val="es-DO"/>
        </w:rPr>
      </w:pPr>
      <w:bookmarkStart w:id="47" w:name="_Toc217386305"/>
      <w:bookmarkEnd w:id="46"/>
      <w:r w:rsidRPr="0064264A">
        <w:rPr>
          <w:rFonts w:eastAsia="Calibri"/>
          <w:bCs/>
          <w:color w:val="767171"/>
          <w:lang w:val="es-DO"/>
        </w:rPr>
        <w:t>VI. PROYECCIONES AL PRÓXIMO AÑO</w:t>
      </w:r>
      <w:bookmarkEnd w:id="47"/>
    </w:p>
    <w:p w14:paraId="51BF9AF0" w14:textId="77777777" w:rsidR="00CE7EC9" w:rsidRPr="0064264A" w:rsidRDefault="00D9267D" w:rsidP="00D9267D">
      <w:pPr>
        <w:spacing w:line="360" w:lineRule="auto"/>
        <w:jc w:val="both"/>
        <w:rPr>
          <w:rFonts w:eastAsia="Calibri"/>
          <w:lang w:val="es-DO"/>
        </w:rPr>
      </w:pPr>
      <w:r w:rsidRPr="0064264A">
        <w:rPr>
          <w:rFonts w:eastAsia="Calibri"/>
          <w:b/>
          <w:bCs/>
          <w:noProof/>
          <w:lang w:val="es-DO"/>
        </w:rPr>
        <mc:AlternateContent>
          <mc:Choice Requires="wps">
            <w:drawing>
              <wp:anchor distT="0" distB="0" distL="114300" distR="114300" simplePos="0" relativeHeight="251749376" behindDoc="0" locked="0" layoutInCell="1" allowOverlap="1" wp14:anchorId="1A9C803A" wp14:editId="659A1171">
                <wp:simplePos x="0" y="0"/>
                <wp:positionH relativeFrom="margin">
                  <wp:posOffset>2217013</wp:posOffset>
                </wp:positionH>
                <wp:positionV relativeFrom="paragraph">
                  <wp:posOffset>26012</wp:posOffset>
                </wp:positionV>
                <wp:extent cx="539750" cy="0"/>
                <wp:effectExtent l="0" t="19050" r="31750" b="19050"/>
                <wp:wrapThrough wrapText="bothSides">
                  <wp:wrapPolygon edited="0">
                    <wp:start x="0" y="-1"/>
                    <wp:lineTo x="0" y="-1"/>
                    <wp:lineTo x="22108" y="-1"/>
                    <wp:lineTo x="22108" y="-1"/>
                    <wp:lineTo x="0" y="-1"/>
                  </wp:wrapPolygon>
                </wp:wrapThrough>
                <wp:docPr id="1992058126"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4EB75E" id="Conector recto 9" o:spid="_x0000_s1026" style="position:absolute;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4.55pt,2.05pt" to="217.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" strokecolor="red" strokeweight="2.5pt">
                <v:stroke joinstyle="miter"/>
                <w10:wrap type="through" anchorx="margin"/>
              </v:line>
            </w:pict>
          </mc:Fallback>
        </mc:AlternateContent>
      </w:r>
      <w:r w:rsidR="00CE7EC9" w:rsidRPr="0064264A">
        <w:rPr>
          <w:rFonts w:eastAsia="Calibri"/>
          <w:lang w:val="es-DO"/>
        </w:rPr>
        <w:t xml:space="preserve">              </w:t>
      </w:r>
    </w:p>
    <w:p w14:paraId="281EAE1D" w14:textId="3D002E3B" w:rsidR="00D9267D" w:rsidRPr="0064264A" w:rsidRDefault="00CE7EC9" w:rsidP="00D9267D">
      <w:pPr>
        <w:spacing w:line="360" w:lineRule="auto"/>
        <w:jc w:val="both"/>
        <w:rPr>
          <w:rFonts w:eastAsia="Calibri"/>
          <w:lang w:val="es-DO"/>
        </w:rPr>
      </w:pPr>
      <w:r w:rsidRPr="0064264A">
        <w:rPr>
          <w:rFonts w:eastAsia="Calibri"/>
          <w:lang w:val="es-DO"/>
        </w:rPr>
        <w:t xml:space="preserve">                           </w:t>
      </w:r>
      <w:r w:rsidR="00D9267D" w:rsidRPr="0064264A">
        <w:rPr>
          <w:rFonts w:eastAsia="Calibri"/>
          <w:lang w:val="es-DO"/>
        </w:rPr>
        <w:t>Memoria institucional 2025</w:t>
      </w:r>
    </w:p>
    <w:p w14:paraId="3C0A4C6D" w14:textId="77777777" w:rsidR="00D9267D" w:rsidRPr="0064264A" w:rsidRDefault="00D9267D" w:rsidP="00D9267D">
      <w:pPr>
        <w:spacing w:line="360" w:lineRule="auto"/>
        <w:jc w:val="both"/>
        <w:rPr>
          <w:rFonts w:eastAsia="Calibri"/>
          <w:b/>
          <w:bCs/>
          <w:lang w:val="es-DO"/>
        </w:rPr>
      </w:pPr>
      <w:r w:rsidRPr="0064264A">
        <w:rPr>
          <w:rFonts w:eastAsia="Calibri"/>
          <w:b/>
          <w:bCs/>
          <w:lang w:val="es-DO"/>
        </w:rPr>
        <w:t>Proyecciones y Acciones Estratégicas para el 2026</w:t>
      </w:r>
    </w:p>
    <w:p w14:paraId="7222CCC8" w14:textId="3C4BE1ED" w:rsidR="00D9267D" w:rsidRPr="0064264A" w:rsidRDefault="00D9267D" w:rsidP="00D9267D">
      <w:pPr>
        <w:spacing w:line="360" w:lineRule="auto"/>
        <w:jc w:val="both"/>
        <w:rPr>
          <w:rFonts w:eastAsia="Calibri"/>
          <w:b/>
          <w:bCs/>
          <w:lang w:val="es-DO"/>
        </w:rPr>
      </w:pPr>
      <w:r w:rsidRPr="0064264A">
        <w:rPr>
          <w:rFonts w:eastAsia="Calibri"/>
          <w:b/>
          <w:bCs/>
          <w:lang w:val="es-DO"/>
        </w:rPr>
        <w:t xml:space="preserve">Macroeconómicas </w:t>
      </w:r>
    </w:p>
    <w:p w14:paraId="3C171708"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Las perspectivas para la economía dominicana durante el 2026 reflejan un entorno favorable para el fortalecimiento gradual de la actividad económica, sustentado en políticas </w:t>
      </w:r>
      <w:proofErr w:type="spellStart"/>
      <w:r w:rsidRPr="0064264A">
        <w:rPr>
          <w:rFonts w:eastAsia="Calibri"/>
          <w:lang w:val="es-DO"/>
        </w:rPr>
        <w:t>contracíclicas</w:t>
      </w:r>
      <w:proofErr w:type="spellEnd"/>
      <w:r w:rsidRPr="0064264A">
        <w:rPr>
          <w:rFonts w:eastAsia="Calibri"/>
          <w:lang w:val="es-DO"/>
        </w:rPr>
        <w:t xml:space="preserve"> aplicadas durante 2025 y en expectativas de mayor dinamismo en los sectores productivos.</w:t>
      </w:r>
    </w:p>
    <w:p w14:paraId="5CDB69D8" w14:textId="77777777" w:rsidR="00D9267D" w:rsidRPr="0064264A" w:rsidRDefault="00D9267D" w:rsidP="00D9267D">
      <w:pPr>
        <w:spacing w:line="360" w:lineRule="auto"/>
        <w:jc w:val="both"/>
        <w:rPr>
          <w:rFonts w:eastAsia="Calibri"/>
          <w:lang w:val="es-DO"/>
        </w:rPr>
      </w:pPr>
      <w:r w:rsidRPr="0064264A">
        <w:rPr>
          <w:rFonts w:eastAsia="Calibri"/>
          <w:lang w:val="es-DO"/>
        </w:rPr>
        <w:t>Se proyecta que:</w:t>
      </w:r>
    </w:p>
    <w:p w14:paraId="6878586F" w14:textId="77777777" w:rsidR="00D9267D" w:rsidRPr="0064264A" w:rsidRDefault="00D9267D" w:rsidP="00A40AE3">
      <w:pPr>
        <w:numPr>
          <w:ilvl w:val="0"/>
          <w:numId w:val="44"/>
        </w:numPr>
        <w:spacing w:line="360" w:lineRule="auto"/>
        <w:jc w:val="both"/>
        <w:rPr>
          <w:rFonts w:eastAsia="Calibri"/>
          <w:lang w:val="es-DO"/>
        </w:rPr>
      </w:pPr>
      <w:r w:rsidRPr="0064264A">
        <w:rPr>
          <w:rFonts w:eastAsia="Calibri"/>
          <w:lang w:val="es-DO"/>
        </w:rPr>
        <w:t>El crecimiento económico se ubique en torno al 4.0-4.5 %, impulsado por recuperación de la inversión, mayor expansión del crédito productivo y dinamismo de sectores orientados al turismo, construcción y manufactura nacional.</w:t>
      </w:r>
    </w:p>
    <w:p w14:paraId="6BE599C6" w14:textId="77777777" w:rsidR="00D9267D" w:rsidRPr="0064264A" w:rsidRDefault="00D9267D" w:rsidP="00A40AE3">
      <w:pPr>
        <w:numPr>
          <w:ilvl w:val="0"/>
          <w:numId w:val="44"/>
        </w:numPr>
        <w:spacing w:line="360" w:lineRule="auto"/>
        <w:jc w:val="both"/>
        <w:rPr>
          <w:rFonts w:eastAsia="Calibri"/>
          <w:lang w:val="es-DO"/>
        </w:rPr>
      </w:pPr>
      <w:r w:rsidRPr="0064264A">
        <w:rPr>
          <w:rFonts w:eastAsia="Calibri"/>
          <w:lang w:val="es-DO"/>
        </w:rPr>
        <w:t>La inflación continuaría dentro del rango meta de 4 % ± 1 %, con presiones controladas y ruptura moderada de riesgos climáticos asociados a precios de alimentos.</w:t>
      </w:r>
    </w:p>
    <w:p w14:paraId="62494002" w14:textId="77777777" w:rsidR="00D9267D" w:rsidRPr="0064264A" w:rsidRDefault="00D9267D" w:rsidP="00A40AE3">
      <w:pPr>
        <w:numPr>
          <w:ilvl w:val="0"/>
          <w:numId w:val="44"/>
        </w:numPr>
        <w:spacing w:line="360" w:lineRule="auto"/>
        <w:jc w:val="both"/>
        <w:rPr>
          <w:rFonts w:eastAsia="Calibri"/>
          <w:lang w:val="es-DO"/>
        </w:rPr>
      </w:pPr>
      <w:r w:rsidRPr="0064264A">
        <w:rPr>
          <w:rFonts w:eastAsia="Calibri"/>
          <w:lang w:val="es-DO"/>
        </w:rPr>
        <w:t>El tipo de cambio mantendría estabilidad relativa, con depreciación moderada en línea con fundamentos macroeconómicos y mayor disponibilidad de divisas.</w:t>
      </w:r>
    </w:p>
    <w:p w14:paraId="2F2968F7" w14:textId="77777777" w:rsidR="00D9267D" w:rsidRPr="0064264A" w:rsidRDefault="00D9267D" w:rsidP="00A40AE3">
      <w:pPr>
        <w:numPr>
          <w:ilvl w:val="0"/>
          <w:numId w:val="44"/>
        </w:numPr>
        <w:spacing w:line="360" w:lineRule="auto"/>
        <w:jc w:val="both"/>
        <w:rPr>
          <w:rFonts w:eastAsia="Calibri"/>
          <w:lang w:val="es-DO"/>
        </w:rPr>
      </w:pPr>
      <w:r w:rsidRPr="0064264A">
        <w:rPr>
          <w:rFonts w:eastAsia="Calibri"/>
          <w:lang w:val="es-DO"/>
        </w:rPr>
        <w:t>Las reservas internacionales se mantendrían por encima de las métricas recomendadas, respaldadas por superávits en actividades generadoras de divisas y acceso competitivo a mercados internacionales de capital.</w:t>
      </w:r>
    </w:p>
    <w:p w14:paraId="46D556BA" w14:textId="77777777" w:rsidR="009D4561" w:rsidRPr="0064264A" w:rsidRDefault="009D4561" w:rsidP="009D4561">
      <w:pPr>
        <w:spacing w:line="360" w:lineRule="auto"/>
        <w:ind w:left="720"/>
        <w:jc w:val="both"/>
        <w:rPr>
          <w:rFonts w:eastAsia="Calibri"/>
          <w:lang w:val="es-DO"/>
        </w:rPr>
      </w:pPr>
    </w:p>
    <w:p w14:paraId="62AC9635" w14:textId="1A183023" w:rsidR="00D9267D" w:rsidRPr="0064264A" w:rsidRDefault="00D9267D" w:rsidP="00A40AE3">
      <w:pPr>
        <w:numPr>
          <w:ilvl w:val="0"/>
          <w:numId w:val="44"/>
        </w:numPr>
        <w:spacing w:line="360" w:lineRule="auto"/>
        <w:jc w:val="both"/>
        <w:rPr>
          <w:rFonts w:eastAsia="Calibri"/>
          <w:lang w:val="es-DO"/>
        </w:rPr>
      </w:pPr>
      <w:r w:rsidRPr="0064264A">
        <w:rPr>
          <w:rFonts w:eastAsia="Calibri"/>
          <w:lang w:val="es-DO"/>
        </w:rPr>
        <w:t xml:space="preserve"> El crédito privado crecería de manera más dinámica, en respuesta a condiciones financieras más favorables, tasas más bajas y ampliación de liquidez bancaria disponible.</w:t>
      </w:r>
    </w:p>
    <w:p w14:paraId="04B3CAF1" w14:textId="77777777" w:rsidR="003A5879" w:rsidRDefault="00D9267D" w:rsidP="00A40AE3">
      <w:pPr>
        <w:numPr>
          <w:ilvl w:val="0"/>
          <w:numId w:val="44"/>
        </w:numPr>
        <w:spacing w:line="360" w:lineRule="auto"/>
        <w:jc w:val="both"/>
        <w:rPr>
          <w:rFonts w:eastAsia="Calibri"/>
          <w:lang w:val="es-DO"/>
        </w:rPr>
      </w:pPr>
      <w:r w:rsidRPr="0064264A">
        <w:rPr>
          <w:rFonts w:eastAsia="Calibri"/>
          <w:lang w:val="es-DO"/>
        </w:rPr>
        <w:t xml:space="preserve"> El mercado laboral podría registrar un incremento en los niveles de ocupación, </w:t>
      </w:r>
      <w:proofErr w:type="spellStart"/>
      <w:r w:rsidRPr="0064264A">
        <w:rPr>
          <w:rFonts w:eastAsia="Calibri"/>
          <w:lang w:val="es-DO"/>
        </w:rPr>
        <w:t>reduc</w:t>
      </w:r>
      <w:proofErr w:type="spellEnd"/>
      <w:r w:rsidRPr="0064264A">
        <w:rPr>
          <w:rFonts w:eastAsia="Calibri"/>
          <w:lang w:val="es-DO"/>
        </w:rPr>
        <w:t xml:space="preserve">- </w:t>
      </w:r>
      <w:proofErr w:type="spellStart"/>
      <w:r w:rsidRPr="0064264A">
        <w:rPr>
          <w:rFonts w:eastAsia="Calibri"/>
          <w:lang w:val="es-DO"/>
        </w:rPr>
        <w:t>ciéndose</w:t>
      </w:r>
      <w:proofErr w:type="spellEnd"/>
      <w:r w:rsidRPr="0064264A">
        <w:rPr>
          <w:rFonts w:eastAsia="Calibri"/>
          <w:lang w:val="es-DO"/>
        </w:rPr>
        <w:t xml:space="preserve"> gradualmente la tasa de desocupación y favoreciendo la formalización laboral.</w:t>
      </w:r>
    </w:p>
    <w:p w14:paraId="67A22495" w14:textId="57E56083" w:rsidR="00BF4E24" w:rsidRPr="0064264A" w:rsidRDefault="00BF4E24" w:rsidP="00A40AE3">
      <w:pPr>
        <w:numPr>
          <w:ilvl w:val="0"/>
          <w:numId w:val="44"/>
        </w:numPr>
        <w:spacing w:line="360" w:lineRule="auto"/>
        <w:jc w:val="both"/>
        <w:rPr>
          <w:rFonts w:eastAsia="Calibri"/>
          <w:lang w:val="es-DO"/>
        </w:rPr>
      </w:pPr>
      <w:r w:rsidRPr="00BF4E24">
        <w:rPr>
          <w:rFonts w:eastAsia="Calibri"/>
          <w:lang w:val="es-DO"/>
        </w:rPr>
        <w:t>Para este año 2026 se pronostica que las remesas superen los US$12,200 millones, con un crecimiento de alrededor de 3.5 % con respecto a 2025, tomando en cuenta la entrada en vigor del impuesto del 1 % de las remesas desde Estados Unidos efectivo a partir de este mes de enero.</w:t>
      </w:r>
    </w:p>
    <w:p w14:paraId="592A8AEB" w14:textId="534B2326" w:rsidR="00D9267D" w:rsidRPr="0064264A" w:rsidRDefault="00D9267D" w:rsidP="003A5879">
      <w:pPr>
        <w:spacing w:line="360" w:lineRule="auto"/>
        <w:jc w:val="both"/>
        <w:rPr>
          <w:rFonts w:eastAsia="Calibri"/>
          <w:lang w:val="es-DO"/>
        </w:rPr>
      </w:pPr>
      <w:r w:rsidRPr="0064264A">
        <w:rPr>
          <w:rFonts w:eastAsia="Calibri"/>
          <w:b/>
          <w:bCs/>
          <w:lang w:val="es-DO"/>
        </w:rPr>
        <w:t>Política Monetaria</w:t>
      </w:r>
    </w:p>
    <w:p w14:paraId="50204DE2" w14:textId="77777777" w:rsidR="00D9267D" w:rsidRPr="0064264A" w:rsidRDefault="00D9267D" w:rsidP="00D9267D">
      <w:pPr>
        <w:spacing w:line="360" w:lineRule="auto"/>
        <w:jc w:val="both"/>
        <w:rPr>
          <w:rFonts w:eastAsia="Calibri"/>
          <w:lang w:val="es-DO"/>
        </w:rPr>
      </w:pPr>
      <w:r w:rsidRPr="0064264A">
        <w:rPr>
          <w:rFonts w:eastAsia="Calibri"/>
          <w:lang w:val="es-DO"/>
        </w:rPr>
        <w:t>Para avanzar en la consolidación de estabilidad monetaria y estímulo económico, se recomiendan las siguientes líneas de acción estratégicas:</w:t>
      </w:r>
    </w:p>
    <w:p w14:paraId="0258C241" w14:textId="77777777" w:rsidR="00D9267D" w:rsidRPr="0064264A" w:rsidRDefault="00D9267D" w:rsidP="00A40AE3">
      <w:pPr>
        <w:numPr>
          <w:ilvl w:val="0"/>
          <w:numId w:val="45"/>
        </w:numPr>
        <w:spacing w:line="360" w:lineRule="auto"/>
        <w:jc w:val="both"/>
        <w:rPr>
          <w:rFonts w:eastAsia="Calibri"/>
          <w:lang w:val="es-DO"/>
        </w:rPr>
      </w:pPr>
      <w:r w:rsidRPr="0064264A">
        <w:rPr>
          <w:rFonts w:eastAsia="Calibri"/>
          <w:lang w:val="es-DO"/>
        </w:rPr>
        <w:t>Ajustar gradualmente la Tasa de Política Monetaria en función de expectativas inflacionarias, evitando sesgos contractivos prematuros.</w:t>
      </w:r>
    </w:p>
    <w:p w14:paraId="2220E15A" w14:textId="77777777" w:rsidR="00D9267D" w:rsidRPr="0064264A" w:rsidRDefault="00D9267D" w:rsidP="00A40AE3">
      <w:pPr>
        <w:numPr>
          <w:ilvl w:val="0"/>
          <w:numId w:val="45"/>
        </w:numPr>
        <w:spacing w:line="360" w:lineRule="auto"/>
        <w:jc w:val="both"/>
        <w:rPr>
          <w:rFonts w:eastAsia="Calibri"/>
          <w:lang w:val="es-DO"/>
        </w:rPr>
      </w:pPr>
      <w:r w:rsidRPr="0064264A">
        <w:rPr>
          <w:rFonts w:eastAsia="Calibri"/>
          <w:lang w:val="es-DO"/>
        </w:rPr>
        <w:t>Mantener la liberación progresiva y focalizada de liquidez hacia sectores productivos, priorizando sectores con altos multiplicadores de empleo.</w:t>
      </w:r>
    </w:p>
    <w:p w14:paraId="6271F3D7" w14:textId="77777777" w:rsidR="00D9267D" w:rsidRPr="0064264A" w:rsidRDefault="00D9267D" w:rsidP="00A40AE3">
      <w:pPr>
        <w:numPr>
          <w:ilvl w:val="0"/>
          <w:numId w:val="45"/>
        </w:numPr>
        <w:spacing w:line="360" w:lineRule="auto"/>
        <w:jc w:val="both"/>
        <w:rPr>
          <w:rFonts w:eastAsia="Calibri"/>
          <w:lang w:val="es-DO"/>
        </w:rPr>
      </w:pPr>
      <w:r w:rsidRPr="0064264A">
        <w:rPr>
          <w:rFonts w:eastAsia="Calibri"/>
          <w:lang w:val="es-DO"/>
        </w:rPr>
        <w:t>Profundizar las operaciones de mercado abierto como instrumento para regulación de liquidez y señalización de expectativas monetarias.</w:t>
      </w:r>
    </w:p>
    <w:p w14:paraId="48A46E26" w14:textId="77777777" w:rsidR="00D9267D" w:rsidRPr="0064264A" w:rsidRDefault="00D9267D" w:rsidP="00A40AE3">
      <w:pPr>
        <w:numPr>
          <w:ilvl w:val="0"/>
          <w:numId w:val="45"/>
        </w:numPr>
        <w:spacing w:line="360" w:lineRule="auto"/>
        <w:jc w:val="both"/>
        <w:rPr>
          <w:rFonts w:eastAsia="Calibri"/>
          <w:lang w:val="es-DO"/>
        </w:rPr>
      </w:pPr>
      <w:r w:rsidRPr="0064264A">
        <w:rPr>
          <w:rFonts w:eastAsia="Calibri"/>
          <w:lang w:val="es-DO"/>
        </w:rPr>
        <w:lastRenderedPageBreak/>
        <w:t>Continuar fortaleciendo el esquema de metas de inflación mediante comunicación transparente y oportuna, consolidando la credibilidad de la autoridad monetaria.</w:t>
      </w:r>
    </w:p>
    <w:p w14:paraId="03983BF4" w14:textId="77777777" w:rsidR="006251C6" w:rsidRPr="0064264A" w:rsidRDefault="006251C6" w:rsidP="006251C6">
      <w:pPr>
        <w:autoSpaceDE w:val="0"/>
        <w:autoSpaceDN w:val="0"/>
        <w:adjustRightInd w:val="0"/>
        <w:spacing w:after="0" w:line="240" w:lineRule="auto"/>
        <w:rPr>
          <w:b/>
          <w:bCs/>
          <w:lang w:val="es-DO"/>
        </w:rPr>
      </w:pPr>
      <w:r w:rsidRPr="0064264A">
        <w:rPr>
          <w:b/>
          <w:bCs/>
          <w:lang w:val="es-DO"/>
        </w:rPr>
        <w:t>Auditoría</w:t>
      </w:r>
    </w:p>
    <w:p w14:paraId="642EAE45" w14:textId="77777777" w:rsidR="006251C6" w:rsidRPr="0064264A" w:rsidRDefault="006251C6" w:rsidP="006251C6">
      <w:pPr>
        <w:autoSpaceDE w:val="0"/>
        <w:autoSpaceDN w:val="0"/>
        <w:adjustRightInd w:val="0"/>
        <w:spacing w:after="0" w:line="240" w:lineRule="auto"/>
        <w:rPr>
          <w:b/>
          <w:bCs/>
          <w:lang w:val="es-DO"/>
        </w:rPr>
      </w:pPr>
    </w:p>
    <w:p w14:paraId="0240C39B" w14:textId="77777777" w:rsidR="006251C6" w:rsidRPr="0064264A" w:rsidRDefault="006251C6" w:rsidP="006251C6">
      <w:pPr>
        <w:autoSpaceDE w:val="0"/>
        <w:autoSpaceDN w:val="0"/>
        <w:adjustRightInd w:val="0"/>
        <w:spacing w:after="0" w:line="360" w:lineRule="auto"/>
        <w:jc w:val="both"/>
        <w:rPr>
          <w:rFonts w:eastAsia="Calibri"/>
          <w:lang w:val="es-DO"/>
        </w:rPr>
      </w:pPr>
      <w:r w:rsidRPr="0064264A">
        <w:rPr>
          <w:rFonts w:eastAsia="Calibri"/>
          <w:lang w:val="es-DO"/>
        </w:rPr>
        <w:t>En cumplimiento de la planificación anual basada en riesgos y conforme a las nuevas Normas Globales de Auditoría Interna (NOGAI), se proyecta ejecutar durante el año 2026 las siguientes auditorías:</w:t>
      </w:r>
    </w:p>
    <w:p w14:paraId="099CBB1F" w14:textId="77777777" w:rsidR="006251C6" w:rsidRPr="0064264A" w:rsidRDefault="006251C6" w:rsidP="006251C6">
      <w:pPr>
        <w:autoSpaceDE w:val="0"/>
        <w:autoSpaceDN w:val="0"/>
        <w:adjustRightInd w:val="0"/>
        <w:spacing w:after="0" w:line="360" w:lineRule="auto"/>
        <w:rPr>
          <w:rFonts w:eastAsia="Calibri"/>
          <w:lang w:val="es-DO"/>
        </w:rPr>
      </w:pPr>
    </w:p>
    <w:p w14:paraId="5CC35560" w14:textId="77777777" w:rsidR="006251C6" w:rsidRPr="0064264A" w:rsidRDefault="006251C6" w:rsidP="00A40AE3">
      <w:pPr>
        <w:pStyle w:val="ListParagraph"/>
        <w:numPr>
          <w:ilvl w:val="0"/>
          <w:numId w:val="50"/>
        </w:numPr>
        <w:autoSpaceDE w:val="0"/>
        <w:autoSpaceDN w:val="0"/>
        <w:adjustRightInd w:val="0"/>
        <w:spacing w:after="0" w:line="360" w:lineRule="auto"/>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Auditorías internas a los sistemas de gestión certificados bajo:</w:t>
      </w:r>
    </w:p>
    <w:p w14:paraId="4CAF2ECA" w14:textId="77777777" w:rsidR="006251C6" w:rsidRPr="0064264A" w:rsidRDefault="006251C6" w:rsidP="00A40AE3">
      <w:pPr>
        <w:pStyle w:val="ListParagraph"/>
        <w:numPr>
          <w:ilvl w:val="0"/>
          <w:numId w:val="50"/>
        </w:numPr>
        <w:autoSpaceDE w:val="0"/>
        <w:autoSpaceDN w:val="0"/>
        <w:adjustRightInd w:val="0"/>
        <w:spacing w:after="0" w:line="360" w:lineRule="auto"/>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Norma ISO 27001 (Seguridad de la Información)</w:t>
      </w:r>
    </w:p>
    <w:p w14:paraId="77A2CDA7" w14:textId="77777777" w:rsidR="006251C6" w:rsidRPr="0064264A" w:rsidRDefault="006251C6" w:rsidP="00A40AE3">
      <w:pPr>
        <w:pStyle w:val="ListParagraph"/>
        <w:numPr>
          <w:ilvl w:val="0"/>
          <w:numId w:val="50"/>
        </w:numPr>
        <w:spacing w:line="360" w:lineRule="auto"/>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Norma ISO 9001 (Sistema de Gestión de Calidad)</w:t>
      </w:r>
    </w:p>
    <w:p w14:paraId="3BB86A71" w14:textId="77777777" w:rsidR="006251C6" w:rsidRPr="0064264A" w:rsidRDefault="006251C6" w:rsidP="00A40AE3">
      <w:pPr>
        <w:pStyle w:val="ListParagraph"/>
        <w:numPr>
          <w:ilvl w:val="0"/>
          <w:numId w:val="50"/>
        </w:numPr>
        <w:spacing w:line="360" w:lineRule="auto"/>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Auditoría interna al Sistema de Gestión de Continuidad del Negocio, basado en la Norma ISO 22301:2019.</w:t>
      </w:r>
    </w:p>
    <w:p w14:paraId="2CD844BF" w14:textId="77777777" w:rsidR="006251C6" w:rsidRPr="0064264A" w:rsidRDefault="006251C6" w:rsidP="00A40AE3">
      <w:pPr>
        <w:pStyle w:val="ListParagraph"/>
        <w:numPr>
          <w:ilvl w:val="0"/>
          <w:numId w:val="50"/>
        </w:numPr>
        <w:spacing w:line="360" w:lineRule="auto"/>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Auditoría de cumplimiento al Marco de Controles de Seguridad para el</w:t>
      </w:r>
    </w:p>
    <w:p w14:paraId="7FD2291A" w14:textId="77777777" w:rsidR="006251C6" w:rsidRPr="0064264A" w:rsidRDefault="006251C6" w:rsidP="00A40AE3">
      <w:pPr>
        <w:pStyle w:val="ListParagraph"/>
        <w:numPr>
          <w:ilvl w:val="0"/>
          <w:numId w:val="50"/>
        </w:numPr>
        <w:spacing w:line="360" w:lineRule="auto"/>
        <w:rPr>
          <w:rFonts w:ascii="Times New Roman" w:eastAsia="Calibri" w:hAnsi="Times New Roman" w:cs="Times New Roman"/>
          <w:color w:val="767171"/>
          <w:spacing w:val="20"/>
          <w:sz w:val="24"/>
          <w:szCs w:val="24"/>
        </w:rPr>
      </w:pPr>
      <w:r w:rsidRPr="0064264A">
        <w:rPr>
          <w:rFonts w:ascii="Times New Roman" w:eastAsia="Calibri" w:hAnsi="Times New Roman" w:cs="Times New Roman"/>
          <w:color w:val="767171"/>
          <w:spacing w:val="20"/>
          <w:sz w:val="24"/>
          <w:szCs w:val="24"/>
        </w:rPr>
        <w:t>Cliente de SWIFT (CSCF), versión vigente.</w:t>
      </w:r>
    </w:p>
    <w:p w14:paraId="3C7FC2DB" w14:textId="77777777" w:rsidR="006251C6" w:rsidRPr="0064264A" w:rsidRDefault="006251C6" w:rsidP="006251C6">
      <w:pPr>
        <w:spacing w:line="360" w:lineRule="auto"/>
        <w:rPr>
          <w:rFonts w:eastAsia="Calibri"/>
          <w:b/>
          <w:bCs/>
          <w:lang w:val="es-DO"/>
        </w:rPr>
      </w:pPr>
      <w:r w:rsidRPr="0064264A">
        <w:rPr>
          <w:rFonts w:eastAsia="Calibri"/>
          <w:b/>
          <w:bCs/>
          <w:lang w:val="es-DO"/>
        </w:rPr>
        <w:t>Recursos Humanos</w:t>
      </w:r>
    </w:p>
    <w:p w14:paraId="0C632181" w14:textId="77777777" w:rsidR="006251C6" w:rsidRPr="0064264A" w:rsidRDefault="006251C6" w:rsidP="006251C6">
      <w:pPr>
        <w:spacing w:line="360" w:lineRule="auto"/>
        <w:jc w:val="both"/>
        <w:rPr>
          <w:rFonts w:eastAsia="Calibri"/>
          <w:lang w:val="es-DO"/>
        </w:rPr>
      </w:pPr>
      <w:r w:rsidRPr="0064264A">
        <w:rPr>
          <w:rFonts w:eastAsia="Calibri"/>
          <w:lang w:val="es-DO"/>
        </w:rPr>
        <w:t xml:space="preserve">Desarrolla un proyecto orientado a optimizar la atracción de talento y los procesos de selección interna. Esta iniciativa integrará herramientas digitales que permitan el seguimiento integral de cada etapa del proceso, la centralización de la información de los candidatos y la automatización de funciones clave, como la recepción de postulaciones, el filtrado y la clasificación de perfiles. </w:t>
      </w:r>
    </w:p>
    <w:p w14:paraId="77ABEDEC" w14:textId="6DE07570" w:rsidR="00B07742" w:rsidRPr="0064264A" w:rsidRDefault="006251C6" w:rsidP="006251C6">
      <w:pPr>
        <w:spacing w:line="360" w:lineRule="auto"/>
        <w:jc w:val="both"/>
        <w:rPr>
          <w:rFonts w:eastAsia="Calibri"/>
          <w:lang w:val="es-DO"/>
        </w:rPr>
      </w:pPr>
      <w:r w:rsidRPr="0064264A">
        <w:rPr>
          <w:rFonts w:eastAsia="Calibri"/>
          <w:lang w:val="es-DO"/>
        </w:rPr>
        <w:t>Con ello, se busca fortalecer la eficiencia, la transparencia y la calidad en la toma de decisiones relacionadas con la incorporación de talento al Banco.</w:t>
      </w:r>
    </w:p>
    <w:p w14:paraId="29585FB2" w14:textId="016CF085" w:rsidR="00D9267D" w:rsidRPr="0064264A" w:rsidRDefault="00D9267D" w:rsidP="00D9267D">
      <w:pPr>
        <w:spacing w:line="360" w:lineRule="auto"/>
        <w:jc w:val="both"/>
        <w:rPr>
          <w:rFonts w:eastAsia="Calibri"/>
          <w:lang w:val="es-DO"/>
        </w:rPr>
      </w:pPr>
      <w:r w:rsidRPr="0064264A">
        <w:rPr>
          <w:rFonts w:eastAsia="Calibri"/>
          <w:lang w:val="es-DO"/>
        </w:rPr>
        <w:lastRenderedPageBreak/>
        <w:t>Estas acciones y proyecciones reflejan el compromiso del Banco Central de la República Dominicana con el crecimiento económico sostenible, la estabilidad financiera y el fortalecimiento de su gestión institucional, asegurando un impacto positivo tanto en el ámbito interno como en el relacionamiento con sus públicos de interés.</w:t>
      </w:r>
    </w:p>
    <w:p w14:paraId="2772DFD2" w14:textId="77777777" w:rsidR="006251C6" w:rsidRPr="0064264A" w:rsidRDefault="006251C6" w:rsidP="00D9267D">
      <w:pPr>
        <w:spacing w:line="360" w:lineRule="auto"/>
        <w:jc w:val="both"/>
        <w:rPr>
          <w:rFonts w:eastAsia="Calibri"/>
          <w:lang w:val="es-DO"/>
        </w:rPr>
      </w:pPr>
    </w:p>
    <w:p w14:paraId="34D2DFB1" w14:textId="77777777" w:rsidR="006251C6" w:rsidRDefault="006251C6" w:rsidP="00D9267D">
      <w:pPr>
        <w:spacing w:line="360" w:lineRule="auto"/>
        <w:jc w:val="both"/>
        <w:rPr>
          <w:rFonts w:eastAsia="Calibri"/>
          <w:lang w:val="es-DO"/>
        </w:rPr>
      </w:pPr>
    </w:p>
    <w:p w14:paraId="51792D7D" w14:textId="77777777" w:rsidR="00A84C7F" w:rsidRDefault="00A84C7F" w:rsidP="00D9267D">
      <w:pPr>
        <w:spacing w:line="360" w:lineRule="auto"/>
        <w:jc w:val="both"/>
        <w:rPr>
          <w:rFonts w:eastAsia="Calibri"/>
          <w:lang w:val="es-DO"/>
        </w:rPr>
      </w:pPr>
    </w:p>
    <w:p w14:paraId="26A5A67D" w14:textId="77777777" w:rsidR="00A84C7F" w:rsidRDefault="00A84C7F" w:rsidP="00D9267D">
      <w:pPr>
        <w:spacing w:line="360" w:lineRule="auto"/>
        <w:jc w:val="both"/>
        <w:rPr>
          <w:rFonts w:eastAsia="Calibri"/>
          <w:lang w:val="es-DO"/>
        </w:rPr>
      </w:pPr>
    </w:p>
    <w:p w14:paraId="22EEE410" w14:textId="77777777" w:rsidR="00A84C7F" w:rsidRDefault="00A84C7F" w:rsidP="00D9267D">
      <w:pPr>
        <w:spacing w:line="360" w:lineRule="auto"/>
        <w:jc w:val="both"/>
        <w:rPr>
          <w:rFonts w:eastAsia="Calibri"/>
          <w:lang w:val="es-DO"/>
        </w:rPr>
      </w:pPr>
    </w:p>
    <w:p w14:paraId="17A1A55D" w14:textId="77777777" w:rsidR="00A84C7F" w:rsidRDefault="00A84C7F" w:rsidP="00D9267D">
      <w:pPr>
        <w:spacing w:line="360" w:lineRule="auto"/>
        <w:jc w:val="both"/>
        <w:rPr>
          <w:rFonts w:eastAsia="Calibri"/>
          <w:lang w:val="es-DO"/>
        </w:rPr>
      </w:pPr>
    </w:p>
    <w:p w14:paraId="6AF8FA3F" w14:textId="77777777" w:rsidR="00A84C7F" w:rsidRDefault="00A84C7F" w:rsidP="00D9267D">
      <w:pPr>
        <w:spacing w:line="360" w:lineRule="auto"/>
        <w:jc w:val="both"/>
        <w:rPr>
          <w:rFonts w:eastAsia="Calibri"/>
          <w:lang w:val="es-DO"/>
        </w:rPr>
      </w:pPr>
    </w:p>
    <w:p w14:paraId="18DDF432" w14:textId="77777777" w:rsidR="00A84C7F" w:rsidRDefault="00A84C7F" w:rsidP="00D9267D">
      <w:pPr>
        <w:spacing w:line="360" w:lineRule="auto"/>
        <w:jc w:val="both"/>
        <w:rPr>
          <w:rFonts w:eastAsia="Calibri"/>
          <w:lang w:val="es-DO"/>
        </w:rPr>
      </w:pPr>
    </w:p>
    <w:p w14:paraId="603B0579" w14:textId="77777777" w:rsidR="00A84C7F" w:rsidRDefault="00A84C7F" w:rsidP="00D9267D">
      <w:pPr>
        <w:spacing w:line="360" w:lineRule="auto"/>
        <w:jc w:val="both"/>
        <w:rPr>
          <w:rFonts w:eastAsia="Calibri"/>
          <w:lang w:val="es-DO"/>
        </w:rPr>
      </w:pPr>
    </w:p>
    <w:p w14:paraId="6CB06904" w14:textId="77777777" w:rsidR="00A84C7F" w:rsidRDefault="00A84C7F" w:rsidP="00D9267D">
      <w:pPr>
        <w:spacing w:line="360" w:lineRule="auto"/>
        <w:jc w:val="both"/>
        <w:rPr>
          <w:rFonts w:eastAsia="Calibri"/>
          <w:lang w:val="es-DO"/>
        </w:rPr>
      </w:pPr>
    </w:p>
    <w:p w14:paraId="5F4CBF58" w14:textId="77777777" w:rsidR="00A84C7F" w:rsidRDefault="00A84C7F" w:rsidP="00D9267D">
      <w:pPr>
        <w:spacing w:line="360" w:lineRule="auto"/>
        <w:jc w:val="both"/>
        <w:rPr>
          <w:rFonts w:eastAsia="Calibri"/>
          <w:lang w:val="es-DO"/>
        </w:rPr>
      </w:pPr>
    </w:p>
    <w:p w14:paraId="5204C74A" w14:textId="77777777" w:rsidR="00A84C7F" w:rsidRDefault="00A84C7F" w:rsidP="00D9267D">
      <w:pPr>
        <w:spacing w:line="360" w:lineRule="auto"/>
        <w:jc w:val="both"/>
        <w:rPr>
          <w:rFonts w:eastAsia="Calibri"/>
          <w:lang w:val="es-DO"/>
        </w:rPr>
      </w:pPr>
    </w:p>
    <w:p w14:paraId="64ECA7F9" w14:textId="77777777" w:rsidR="00A84C7F" w:rsidRDefault="00A84C7F" w:rsidP="00D9267D">
      <w:pPr>
        <w:spacing w:line="360" w:lineRule="auto"/>
        <w:jc w:val="both"/>
        <w:rPr>
          <w:rFonts w:eastAsia="Calibri"/>
          <w:lang w:val="es-DO"/>
        </w:rPr>
      </w:pPr>
    </w:p>
    <w:p w14:paraId="00A9C81E" w14:textId="77777777" w:rsidR="00A84C7F" w:rsidRDefault="00A84C7F" w:rsidP="00D9267D">
      <w:pPr>
        <w:spacing w:line="360" w:lineRule="auto"/>
        <w:jc w:val="both"/>
        <w:rPr>
          <w:rFonts w:eastAsia="Calibri"/>
          <w:lang w:val="es-DO"/>
        </w:rPr>
      </w:pPr>
    </w:p>
    <w:p w14:paraId="11A89E7A" w14:textId="77777777" w:rsidR="00A84C7F" w:rsidRDefault="00A84C7F" w:rsidP="00D9267D">
      <w:pPr>
        <w:spacing w:line="360" w:lineRule="auto"/>
        <w:jc w:val="both"/>
        <w:rPr>
          <w:rFonts w:eastAsia="Calibri"/>
          <w:lang w:val="es-DO"/>
        </w:rPr>
      </w:pPr>
    </w:p>
    <w:p w14:paraId="4BA5C61D" w14:textId="77777777" w:rsidR="00A84C7F" w:rsidRDefault="00A84C7F" w:rsidP="00D9267D">
      <w:pPr>
        <w:spacing w:line="360" w:lineRule="auto"/>
        <w:jc w:val="both"/>
        <w:rPr>
          <w:rFonts w:eastAsia="Calibri"/>
          <w:lang w:val="es-DO"/>
        </w:rPr>
      </w:pPr>
    </w:p>
    <w:p w14:paraId="7DF65D46" w14:textId="77777777" w:rsidR="00A84C7F" w:rsidRPr="0064264A" w:rsidRDefault="00A84C7F" w:rsidP="00D9267D">
      <w:pPr>
        <w:spacing w:line="360" w:lineRule="auto"/>
        <w:jc w:val="both"/>
        <w:rPr>
          <w:rFonts w:eastAsia="Calibri"/>
          <w:lang w:val="es-DO"/>
        </w:rPr>
      </w:pPr>
    </w:p>
    <w:p w14:paraId="2A97B0C2" w14:textId="77777777" w:rsidR="006251C6" w:rsidRDefault="006251C6" w:rsidP="006251C6">
      <w:pPr>
        <w:spacing w:line="360" w:lineRule="auto"/>
        <w:rPr>
          <w:rFonts w:eastAsia="Calibri"/>
          <w:b/>
          <w:bCs/>
          <w:lang w:val="es-DO"/>
        </w:rPr>
      </w:pPr>
    </w:p>
    <w:p w14:paraId="1845A9C7" w14:textId="77777777" w:rsidR="00A84C7F" w:rsidRDefault="00A84C7F" w:rsidP="006251C6">
      <w:pPr>
        <w:spacing w:line="360" w:lineRule="auto"/>
        <w:rPr>
          <w:rFonts w:eastAsia="Calibri"/>
          <w:b/>
          <w:bCs/>
          <w:lang w:val="es-DO"/>
        </w:rPr>
      </w:pPr>
    </w:p>
    <w:p w14:paraId="5F103F5F" w14:textId="77777777" w:rsidR="00A84C7F" w:rsidRPr="0064264A" w:rsidRDefault="00A84C7F" w:rsidP="006251C6">
      <w:pPr>
        <w:spacing w:line="360" w:lineRule="auto"/>
        <w:rPr>
          <w:rFonts w:eastAsia="Calibri"/>
          <w:b/>
          <w:bCs/>
          <w:lang w:val="es-DO"/>
        </w:rPr>
      </w:pPr>
    </w:p>
    <w:bookmarkStart w:id="48" w:name="_Toc217386306"/>
    <w:p w14:paraId="31FBDEB5" w14:textId="401CD31D" w:rsidR="00C43AB0" w:rsidRPr="0064264A" w:rsidRDefault="00C43AB0" w:rsidP="008B3000">
      <w:pPr>
        <w:pStyle w:val="Heading1"/>
        <w:rPr>
          <w:rFonts w:eastAsia="Calibri"/>
          <w:b w:val="0"/>
          <w:bCs/>
          <w:color w:val="767171"/>
          <w:lang w:val="es-DO"/>
        </w:rPr>
      </w:pPr>
      <w:r w:rsidRPr="0064264A">
        <w:rPr>
          <w:rFonts w:eastAsia="Calibri"/>
          <w:bCs/>
          <w:noProof/>
          <w:color w:val="767171"/>
          <w:lang w:val="es-DO"/>
        </w:rPr>
        <mc:AlternateContent>
          <mc:Choice Requires="wps">
            <w:drawing>
              <wp:anchor distT="0" distB="0" distL="114300" distR="114300" simplePos="0" relativeHeight="251745280" behindDoc="0" locked="0" layoutInCell="1" allowOverlap="1" wp14:anchorId="0F6751CB" wp14:editId="14C831E0">
                <wp:simplePos x="0" y="0"/>
                <wp:positionH relativeFrom="margin">
                  <wp:posOffset>2165857</wp:posOffset>
                </wp:positionH>
                <wp:positionV relativeFrom="paragraph">
                  <wp:posOffset>302995</wp:posOffset>
                </wp:positionV>
                <wp:extent cx="539750" cy="0"/>
                <wp:effectExtent l="0" t="19050" r="31750" b="19050"/>
                <wp:wrapThrough wrapText="bothSides">
                  <wp:wrapPolygon edited="0">
                    <wp:start x="0" y="-1"/>
                    <wp:lineTo x="0" y="-1"/>
                    <wp:lineTo x="22108" y="-1"/>
                    <wp:lineTo x="22108" y="-1"/>
                    <wp:lineTo x="0" y="-1"/>
                  </wp:wrapPolygon>
                </wp:wrapThrough>
                <wp:docPr id="1472935483"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1F71BA" id="Conector recto 9" o:spid="_x0000_s1026" style="position:absolute;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55pt,23.85pt" to="213.0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" strokecolor="red" strokeweight="2.5pt">
                <v:stroke joinstyle="miter"/>
                <w10:wrap type="through" anchorx="margin"/>
              </v:line>
            </w:pict>
          </mc:Fallback>
        </mc:AlternateContent>
      </w:r>
      <w:r w:rsidR="00D9267D" w:rsidRPr="0064264A">
        <w:rPr>
          <w:rFonts w:eastAsia="Calibri"/>
          <w:bCs/>
          <w:color w:val="767171"/>
          <w:lang w:val="es-DO"/>
        </w:rPr>
        <w:t>VII.ANEXOS</w:t>
      </w:r>
      <w:bookmarkStart w:id="49" w:name="_Toc155259683"/>
      <w:bookmarkEnd w:id="48"/>
    </w:p>
    <w:p w14:paraId="77DF8DCF" w14:textId="54CB6748" w:rsidR="00D9267D" w:rsidRPr="0064264A" w:rsidRDefault="00C43AB0" w:rsidP="00C43AB0">
      <w:pPr>
        <w:spacing w:line="360" w:lineRule="auto"/>
        <w:rPr>
          <w:rFonts w:eastAsia="Calibri"/>
          <w:b/>
          <w:bCs/>
          <w:lang w:val="es-DO"/>
        </w:rPr>
      </w:pPr>
      <w:bookmarkStart w:id="50" w:name="_Hlk155259110"/>
      <w:bookmarkEnd w:id="49"/>
      <w:r w:rsidRPr="0064264A">
        <w:rPr>
          <w:rFonts w:eastAsia="Calibri"/>
          <w:lang w:val="es-DO"/>
        </w:rPr>
        <w:t xml:space="preserve">                             </w:t>
      </w:r>
      <w:r w:rsidR="00D9267D" w:rsidRPr="0064264A">
        <w:rPr>
          <w:rFonts w:eastAsia="Calibri"/>
          <w:lang w:val="es-DO"/>
        </w:rPr>
        <w:t>Memoria institucional 202</w:t>
      </w:r>
      <w:bookmarkEnd w:id="50"/>
      <w:r w:rsidR="00D9267D" w:rsidRPr="0064264A">
        <w:rPr>
          <w:rFonts w:eastAsia="Calibri"/>
          <w:lang w:val="es-DO"/>
        </w:rPr>
        <w:t>5</w:t>
      </w:r>
    </w:p>
    <w:p w14:paraId="56502C1E" w14:textId="77777777" w:rsidR="00D9267D" w:rsidRPr="0064264A" w:rsidRDefault="00D9267D" w:rsidP="00D9267D">
      <w:pPr>
        <w:spacing w:line="360" w:lineRule="auto"/>
        <w:jc w:val="both"/>
        <w:rPr>
          <w:rFonts w:eastAsia="Calibri"/>
          <w:b/>
          <w:lang w:val="es-DO"/>
        </w:rPr>
      </w:pPr>
      <w:r w:rsidRPr="0064264A">
        <w:rPr>
          <w:rFonts w:eastAsia="Calibri"/>
          <w:noProof/>
          <w:lang w:val="es-DO"/>
        </w:rPr>
        <w:drawing>
          <wp:anchor distT="0" distB="0" distL="114300" distR="114300" simplePos="0" relativeHeight="251757568" behindDoc="0" locked="0" layoutInCell="1" allowOverlap="1" wp14:anchorId="2CC9D4F4" wp14:editId="111485B8">
            <wp:simplePos x="0" y="0"/>
            <wp:positionH relativeFrom="margin">
              <wp:posOffset>-554355</wp:posOffset>
            </wp:positionH>
            <wp:positionV relativeFrom="paragraph">
              <wp:posOffset>345440</wp:posOffset>
            </wp:positionV>
            <wp:extent cx="6145530" cy="2835910"/>
            <wp:effectExtent l="0" t="0" r="7620" b="2540"/>
            <wp:wrapThrough wrapText="bothSides">
              <wp:wrapPolygon edited="0">
                <wp:start x="0" y="0"/>
                <wp:lineTo x="0" y="21474"/>
                <wp:lineTo x="21560" y="21474"/>
                <wp:lineTo x="21560" y="0"/>
                <wp:lineTo x="0" y="0"/>
              </wp:wrapPolygon>
            </wp:wrapThrough>
            <wp:docPr id="1207965945"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65945" name="Picture 1" descr="A screenshot of a computer screen&#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6145530" cy="2835910"/>
                    </a:xfrm>
                    <a:prstGeom prst="rect">
                      <a:avLst/>
                    </a:prstGeom>
                  </pic:spPr>
                </pic:pic>
              </a:graphicData>
            </a:graphic>
            <wp14:sizeRelH relativeFrom="margin">
              <wp14:pctWidth>0</wp14:pctWidth>
            </wp14:sizeRelH>
            <wp14:sizeRelV relativeFrom="margin">
              <wp14:pctHeight>0</wp14:pctHeight>
            </wp14:sizeRelV>
          </wp:anchor>
        </w:drawing>
      </w:r>
      <w:r w:rsidRPr="0064264A">
        <w:rPr>
          <w:rFonts w:eastAsia="Calibri"/>
          <w:b/>
          <w:lang w:val="es-DO"/>
        </w:rPr>
        <w:t>7.1 Matriz de gastos Generales y Administrativ</w:t>
      </w:r>
      <w:bookmarkStart w:id="51" w:name="_Hlk184979365"/>
      <w:r w:rsidRPr="0064264A">
        <w:rPr>
          <w:rFonts w:eastAsia="Calibri"/>
          <w:b/>
          <w:lang w:val="es-DO"/>
        </w:rPr>
        <w:t>o</w:t>
      </w:r>
    </w:p>
    <w:p w14:paraId="5CB966B8" w14:textId="37B8FCDE" w:rsidR="00D9267D" w:rsidRPr="0064264A" w:rsidRDefault="00D9267D" w:rsidP="009D4561">
      <w:pPr>
        <w:spacing w:line="360" w:lineRule="auto"/>
        <w:jc w:val="center"/>
        <w:rPr>
          <w:rFonts w:eastAsia="Calibri"/>
          <w:b/>
          <w:sz w:val="22"/>
          <w:szCs w:val="22"/>
          <w:lang w:val="es-DO"/>
        </w:rPr>
      </w:pPr>
      <w:r w:rsidRPr="0064264A">
        <w:rPr>
          <w:rFonts w:eastAsia="Calibri"/>
          <w:b/>
          <w:sz w:val="22"/>
          <w:szCs w:val="22"/>
          <w:lang w:val="es-DO"/>
        </w:rPr>
        <w:t>Fuente:  Depto. Planificacion y Presupuesto</w:t>
      </w:r>
    </w:p>
    <w:bookmarkEnd w:id="51"/>
    <w:p w14:paraId="4FA6894B" w14:textId="77777777" w:rsidR="00D9267D" w:rsidRPr="0064264A" w:rsidRDefault="00D9267D" w:rsidP="00D9267D">
      <w:pPr>
        <w:spacing w:line="360" w:lineRule="auto"/>
        <w:jc w:val="both"/>
        <w:rPr>
          <w:rFonts w:eastAsia="Calibri"/>
          <w:lang w:val="es-DO"/>
        </w:rPr>
      </w:pPr>
    </w:p>
    <w:p w14:paraId="42EDE407" w14:textId="77777777" w:rsidR="00D9267D" w:rsidRPr="0064264A" w:rsidRDefault="00D9267D" w:rsidP="00D9267D">
      <w:pPr>
        <w:spacing w:line="360" w:lineRule="auto"/>
        <w:jc w:val="both"/>
        <w:rPr>
          <w:rFonts w:eastAsia="Calibri"/>
          <w:lang w:val="es-DO"/>
        </w:rPr>
      </w:pPr>
    </w:p>
    <w:p w14:paraId="3B51BBF5" w14:textId="77777777" w:rsidR="00D9267D" w:rsidRPr="0064264A" w:rsidRDefault="00D9267D" w:rsidP="00D9267D">
      <w:pPr>
        <w:spacing w:line="360" w:lineRule="auto"/>
        <w:jc w:val="both"/>
        <w:rPr>
          <w:rFonts w:eastAsia="Calibri"/>
          <w:lang w:val="es-DO"/>
        </w:rPr>
      </w:pPr>
    </w:p>
    <w:p w14:paraId="49A4708F" w14:textId="77777777" w:rsidR="00D9267D" w:rsidRPr="0064264A" w:rsidRDefault="00D9267D" w:rsidP="00D9267D">
      <w:pPr>
        <w:spacing w:line="360" w:lineRule="auto"/>
        <w:jc w:val="both"/>
        <w:rPr>
          <w:rFonts w:eastAsia="Calibri"/>
          <w:lang w:val="es-DO"/>
        </w:rPr>
      </w:pPr>
    </w:p>
    <w:p w14:paraId="09ED248D" w14:textId="77777777" w:rsidR="009D4561" w:rsidRPr="0064264A" w:rsidRDefault="009D4561" w:rsidP="00D9267D">
      <w:pPr>
        <w:spacing w:line="360" w:lineRule="auto"/>
        <w:jc w:val="both"/>
        <w:rPr>
          <w:rFonts w:eastAsia="Calibri"/>
          <w:lang w:val="es-DO"/>
        </w:rPr>
      </w:pPr>
    </w:p>
    <w:p w14:paraId="056108DA" w14:textId="4A676373" w:rsidR="00D9267D" w:rsidRPr="0064264A" w:rsidRDefault="00D9267D" w:rsidP="00D9267D">
      <w:pPr>
        <w:spacing w:line="360" w:lineRule="auto"/>
        <w:jc w:val="both"/>
        <w:rPr>
          <w:rFonts w:eastAsia="Calibri"/>
          <w:lang w:val="es-DO"/>
        </w:rPr>
      </w:pPr>
    </w:p>
    <w:p w14:paraId="2A8B688E" w14:textId="77777777" w:rsidR="00A84C7F" w:rsidRDefault="009D4561" w:rsidP="009D4561">
      <w:pPr>
        <w:spacing w:line="360" w:lineRule="auto"/>
        <w:jc w:val="both"/>
        <w:rPr>
          <w:rFonts w:eastAsia="Calibri"/>
          <w:b/>
          <w:sz w:val="22"/>
          <w:szCs w:val="22"/>
          <w:lang w:val="es-DO"/>
        </w:rPr>
      </w:pPr>
      <w:r w:rsidRPr="0064264A">
        <w:rPr>
          <w:rFonts w:eastAsia="Calibri"/>
          <w:noProof/>
          <w:lang w:val="es-DO"/>
        </w:rPr>
        <w:lastRenderedPageBreak/>
        <w:drawing>
          <wp:anchor distT="0" distB="0" distL="114300" distR="114300" simplePos="0" relativeHeight="251766784" behindDoc="0" locked="0" layoutInCell="1" allowOverlap="1" wp14:anchorId="24943F58" wp14:editId="0A736BCD">
            <wp:simplePos x="0" y="0"/>
            <wp:positionH relativeFrom="column">
              <wp:posOffset>-901700</wp:posOffset>
            </wp:positionH>
            <wp:positionV relativeFrom="paragraph">
              <wp:posOffset>290830</wp:posOffset>
            </wp:positionV>
            <wp:extent cx="6874510" cy="3168015"/>
            <wp:effectExtent l="0" t="0" r="2540" b="0"/>
            <wp:wrapThrough wrapText="bothSides">
              <wp:wrapPolygon edited="0">
                <wp:start x="8978" y="0"/>
                <wp:lineTo x="8978" y="1299"/>
                <wp:lineTo x="9637" y="2078"/>
                <wp:lineTo x="0" y="2338"/>
                <wp:lineTo x="0" y="21171"/>
                <wp:lineTo x="1915" y="21431"/>
                <wp:lineTo x="11013" y="21431"/>
                <wp:lineTo x="13647" y="21171"/>
                <wp:lineTo x="21548" y="20652"/>
                <wp:lineTo x="21548" y="2338"/>
                <wp:lineTo x="11851" y="2078"/>
                <wp:lineTo x="12570" y="1169"/>
                <wp:lineTo x="12510" y="0"/>
                <wp:lineTo x="8978" y="0"/>
              </wp:wrapPolygon>
            </wp:wrapThrough>
            <wp:docPr id="826867454" name="Picture 826867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a:extLst>
                        <a:ext uri="{28A0092B-C50C-407E-A947-70E740481C1C}">
                          <a14:useLocalDpi xmlns:a14="http://schemas.microsoft.com/office/drawing/2010/main" val="0"/>
                        </a:ext>
                      </a:extLst>
                    </a:blip>
                    <a:srcRect t="11513"/>
                    <a:stretch/>
                  </pic:blipFill>
                  <pic:spPr bwMode="auto">
                    <a:xfrm>
                      <a:off x="0" y="0"/>
                      <a:ext cx="6874510" cy="3168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264A">
        <w:rPr>
          <w:rFonts w:eastAsia="Calibri"/>
          <w:b/>
          <w:sz w:val="22"/>
          <w:szCs w:val="22"/>
          <w:lang w:val="es-DO"/>
        </w:rPr>
        <w:t xml:space="preserve">                 </w:t>
      </w:r>
    </w:p>
    <w:p w14:paraId="717AD9B7" w14:textId="77777777" w:rsidR="00A84C7F" w:rsidRDefault="00A84C7F" w:rsidP="009D4561">
      <w:pPr>
        <w:spacing w:line="360" w:lineRule="auto"/>
        <w:jc w:val="both"/>
        <w:rPr>
          <w:rFonts w:eastAsia="Calibri"/>
          <w:b/>
          <w:sz w:val="22"/>
          <w:szCs w:val="22"/>
          <w:lang w:val="es-DO"/>
        </w:rPr>
      </w:pPr>
    </w:p>
    <w:p w14:paraId="2C735DB8" w14:textId="77777777" w:rsidR="00A84C7F" w:rsidRDefault="00A84C7F" w:rsidP="009D4561">
      <w:pPr>
        <w:spacing w:line="360" w:lineRule="auto"/>
        <w:jc w:val="both"/>
        <w:rPr>
          <w:rFonts w:eastAsia="Calibri"/>
          <w:b/>
          <w:sz w:val="22"/>
          <w:szCs w:val="22"/>
          <w:lang w:val="es-DO"/>
        </w:rPr>
      </w:pPr>
    </w:p>
    <w:p w14:paraId="68DDEB2E" w14:textId="46A7FDD2" w:rsidR="009D4561" w:rsidRPr="0064264A" w:rsidRDefault="00A84C7F" w:rsidP="009D4561">
      <w:pPr>
        <w:spacing w:line="360" w:lineRule="auto"/>
        <w:jc w:val="both"/>
        <w:rPr>
          <w:rFonts w:eastAsia="Calibri"/>
          <w:lang w:val="es-DO"/>
        </w:rPr>
      </w:pPr>
      <w:r>
        <w:rPr>
          <w:rFonts w:eastAsia="Calibri"/>
          <w:b/>
          <w:sz w:val="22"/>
          <w:szCs w:val="22"/>
          <w:lang w:val="es-DO"/>
        </w:rPr>
        <w:t xml:space="preserve">                 </w:t>
      </w:r>
      <w:r w:rsidR="009D4561" w:rsidRPr="0064264A">
        <w:rPr>
          <w:rFonts w:eastAsia="Calibri"/>
          <w:b/>
          <w:sz w:val="22"/>
          <w:szCs w:val="22"/>
          <w:lang w:val="es-DO"/>
        </w:rPr>
        <w:t xml:space="preserve">   Fuente:  Depto. Planificacion y Presupuesto</w:t>
      </w:r>
    </w:p>
    <w:p w14:paraId="769D3D14" w14:textId="0C2E667F" w:rsidR="00D9267D" w:rsidRPr="0064264A" w:rsidRDefault="00D9267D" w:rsidP="00D9267D">
      <w:pPr>
        <w:spacing w:line="360" w:lineRule="auto"/>
        <w:jc w:val="both"/>
        <w:rPr>
          <w:rFonts w:eastAsia="Calibri"/>
          <w:lang w:val="es-DO"/>
        </w:rPr>
      </w:pPr>
    </w:p>
    <w:p w14:paraId="093D16B7" w14:textId="77777777" w:rsidR="00D9267D" w:rsidRPr="0064264A" w:rsidRDefault="00D9267D" w:rsidP="00D9267D">
      <w:pPr>
        <w:spacing w:line="360" w:lineRule="auto"/>
        <w:jc w:val="both"/>
        <w:rPr>
          <w:rFonts w:eastAsia="Calibri"/>
          <w:lang w:val="es-DO"/>
        </w:rPr>
      </w:pPr>
    </w:p>
    <w:p w14:paraId="079D1412" w14:textId="77777777" w:rsidR="00D9267D" w:rsidRPr="0064264A" w:rsidRDefault="00D9267D" w:rsidP="00D9267D">
      <w:pPr>
        <w:spacing w:line="360" w:lineRule="auto"/>
        <w:jc w:val="both"/>
        <w:rPr>
          <w:rFonts w:eastAsia="Calibri"/>
          <w:lang w:val="es-DO"/>
        </w:rPr>
      </w:pPr>
    </w:p>
    <w:p w14:paraId="3017A2C0" w14:textId="77777777" w:rsidR="00D9267D" w:rsidRPr="0064264A" w:rsidRDefault="00D9267D" w:rsidP="00D9267D">
      <w:pPr>
        <w:spacing w:line="360" w:lineRule="auto"/>
        <w:jc w:val="both"/>
        <w:rPr>
          <w:rFonts w:eastAsia="Calibri"/>
          <w:lang w:val="es-DO"/>
        </w:rPr>
      </w:pPr>
    </w:p>
    <w:p w14:paraId="15CB59AC" w14:textId="77777777" w:rsidR="00D9267D" w:rsidRPr="0064264A" w:rsidRDefault="00D9267D" w:rsidP="00D9267D">
      <w:pPr>
        <w:spacing w:line="360" w:lineRule="auto"/>
        <w:jc w:val="both"/>
        <w:rPr>
          <w:rFonts w:eastAsia="Calibri"/>
          <w:lang w:val="es-DO"/>
        </w:rPr>
      </w:pPr>
    </w:p>
    <w:p w14:paraId="69BD915F" w14:textId="77777777" w:rsidR="00D9267D" w:rsidRPr="0064264A" w:rsidRDefault="00D9267D" w:rsidP="00D9267D">
      <w:pPr>
        <w:spacing w:line="360" w:lineRule="auto"/>
        <w:jc w:val="both"/>
        <w:rPr>
          <w:rFonts w:eastAsia="Calibri"/>
          <w:lang w:val="es-DO"/>
        </w:rPr>
      </w:pPr>
    </w:p>
    <w:p w14:paraId="287EE3B9" w14:textId="77777777" w:rsidR="00D9267D" w:rsidRPr="0064264A" w:rsidRDefault="00D9267D" w:rsidP="00D9267D">
      <w:pPr>
        <w:spacing w:line="360" w:lineRule="auto"/>
        <w:jc w:val="both"/>
        <w:rPr>
          <w:rFonts w:eastAsia="Calibri"/>
          <w:lang w:val="es-DO"/>
        </w:rPr>
      </w:pPr>
    </w:p>
    <w:p w14:paraId="753AB3F3" w14:textId="1A46173D" w:rsidR="00D9267D" w:rsidRPr="0064264A" w:rsidRDefault="00D9267D" w:rsidP="00D9267D">
      <w:pPr>
        <w:spacing w:line="360" w:lineRule="auto"/>
        <w:jc w:val="both"/>
        <w:rPr>
          <w:rFonts w:eastAsia="Calibri"/>
          <w:b/>
          <w:lang w:val="es-DO"/>
        </w:rPr>
      </w:pPr>
      <w:r w:rsidRPr="0064264A">
        <w:rPr>
          <w:rFonts w:eastAsia="Calibri"/>
          <w:b/>
          <w:lang w:val="es-DO"/>
        </w:rPr>
        <w:lastRenderedPageBreak/>
        <w:t>7.2   Matriz de Gestión Presupuestaria Anual</w:t>
      </w:r>
      <w:r w:rsidRPr="0064264A">
        <w:rPr>
          <w:rFonts w:eastAsia="Calibri"/>
          <w:noProof/>
          <w:lang w:val="es-DO"/>
        </w:rPr>
        <w:drawing>
          <wp:anchor distT="0" distB="0" distL="114300" distR="114300" simplePos="0" relativeHeight="251759616" behindDoc="0" locked="0" layoutInCell="1" allowOverlap="1" wp14:anchorId="0D8FD555" wp14:editId="61F7DE9E">
            <wp:simplePos x="0" y="0"/>
            <wp:positionH relativeFrom="column">
              <wp:posOffset>-396240</wp:posOffset>
            </wp:positionH>
            <wp:positionV relativeFrom="paragraph">
              <wp:posOffset>252095</wp:posOffset>
            </wp:positionV>
            <wp:extent cx="6294755" cy="4634230"/>
            <wp:effectExtent l="0" t="0" r="0" b="0"/>
            <wp:wrapThrough wrapText="bothSides">
              <wp:wrapPolygon edited="0">
                <wp:start x="0" y="0"/>
                <wp:lineTo x="0" y="21488"/>
                <wp:lineTo x="21506" y="21488"/>
                <wp:lineTo x="21506" y="0"/>
                <wp:lineTo x="0" y="0"/>
              </wp:wrapPolygon>
            </wp:wrapThrough>
            <wp:docPr id="567274324" name="Picture 1" descr="A screenshot of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74324" name="Picture 1" descr="A screenshot of a document"/>
                    <pic:cNvPicPr/>
                  </pic:nvPicPr>
                  <pic:blipFill>
                    <a:blip r:embed="rId46">
                      <a:extLst>
                        <a:ext uri="{28A0092B-C50C-407E-A947-70E740481C1C}">
                          <a14:useLocalDpi xmlns:a14="http://schemas.microsoft.com/office/drawing/2010/main" val="0"/>
                        </a:ext>
                      </a:extLst>
                    </a:blip>
                    <a:stretch>
                      <a:fillRect/>
                    </a:stretch>
                  </pic:blipFill>
                  <pic:spPr>
                    <a:xfrm>
                      <a:off x="0" y="0"/>
                      <a:ext cx="6294755" cy="4634230"/>
                    </a:xfrm>
                    <a:prstGeom prst="rect">
                      <a:avLst/>
                    </a:prstGeom>
                  </pic:spPr>
                </pic:pic>
              </a:graphicData>
            </a:graphic>
            <wp14:sizeRelH relativeFrom="margin">
              <wp14:pctWidth>0</wp14:pctWidth>
            </wp14:sizeRelH>
            <wp14:sizeRelV relativeFrom="margin">
              <wp14:pctHeight>0</wp14:pctHeight>
            </wp14:sizeRelV>
          </wp:anchor>
        </w:drawing>
      </w:r>
    </w:p>
    <w:p w14:paraId="68167094" w14:textId="67FA7B3E" w:rsidR="00D9267D" w:rsidRPr="0064264A" w:rsidRDefault="00D9267D" w:rsidP="00D9267D">
      <w:pPr>
        <w:spacing w:line="360" w:lineRule="auto"/>
        <w:jc w:val="both"/>
        <w:rPr>
          <w:rFonts w:eastAsia="Calibri"/>
          <w:sz w:val="22"/>
          <w:szCs w:val="22"/>
          <w:lang w:val="es-DO"/>
        </w:rPr>
      </w:pPr>
      <w:r w:rsidRPr="0064264A">
        <w:rPr>
          <w:rFonts w:eastAsia="Calibri"/>
          <w:sz w:val="22"/>
          <w:szCs w:val="22"/>
          <w:lang w:val="es-DO"/>
        </w:rPr>
        <w:t xml:space="preserve">        </w:t>
      </w:r>
      <w:r w:rsidR="009D4561" w:rsidRPr="0064264A">
        <w:rPr>
          <w:rFonts w:eastAsia="Calibri"/>
          <w:sz w:val="22"/>
          <w:szCs w:val="22"/>
          <w:lang w:val="es-DO"/>
        </w:rPr>
        <w:t xml:space="preserve">              </w:t>
      </w:r>
      <w:r w:rsidRPr="0064264A">
        <w:rPr>
          <w:rFonts w:eastAsia="Calibri"/>
          <w:b/>
          <w:sz w:val="22"/>
          <w:szCs w:val="22"/>
          <w:lang w:val="es-DO"/>
        </w:rPr>
        <w:t>Fuente: Depto. Planificacion y Presupuesto</w:t>
      </w:r>
    </w:p>
    <w:p w14:paraId="3FE9CEFC" w14:textId="77777777" w:rsidR="00D9267D" w:rsidRPr="0064264A" w:rsidRDefault="00D9267D" w:rsidP="00D9267D">
      <w:pPr>
        <w:spacing w:line="360" w:lineRule="auto"/>
        <w:jc w:val="both"/>
        <w:rPr>
          <w:rFonts w:eastAsia="Calibri"/>
          <w:lang w:val="es-DO"/>
        </w:rPr>
      </w:pPr>
    </w:p>
    <w:p w14:paraId="07B65EA2" w14:textId="77777777" w:rsidR="00D9267D" w:rsidRPr="0064264A" w:rsidRDefault="00D9267D" w:rsidP="00D9267D">
      <w:pPr>
        <w:spacing w:line="360" w:lineRule="auto"/>
        <w:jc w:val="both"/>
        <w:rPr>
          <w:rFonts w:eastAsia="Calibri"/>
          <w:lang w:val="es-DO"/>
        </w:rPr>
      </w:pPr>
    </w:p>
    <w:p w14:paraId="1E0D15D4" w14:textId="77777777" w:rsidR="00D9267D" w:rsidRPr="0064264A" w:rsidRDefault="00D9267D" w:rsidP="00D9267D">
      <w:pPr>
        <w:spacing w:line="360" w:lineRule="auto"/>
        <w:jc w:val="both"/>
        <w:rPr>
          <w:rFonts w:eastAsia="Calibri"/>
          <w:lang w:val="es-DO"/>
        </w:rPr>
      </w:pPr>
    </w:p>
    <w:p w14:paraId="770B37AF" w14:textId="77777777" w:rsidR="00D9267D" w:rsidRPr="0064264A" w:rsidRDefault="00D9267D" w:rsidP="00D9267D">
      <w:pPr>
        <w:spacing w:line="360" w:lineRule="auto"/>
        <w:jc w:val="both"/>
        <w:rPr>
          <w:rFonts w:eastAsia="Calibri"/>
          <w:sz w:val="22"/>
          <w:szCs w:val="22"/>
          <w:lang w:val="es-DO"/>
        </w:rPr>
      </w:pPr>
      <w:r w:rsidRPr="0064264A">
        <w:rPr>
          <w:rFonts w:eastAsia="Calibri"/>
          <w:noProof/>
          <w:lang w:val="es-DO"/>
        </w:rPr>
        <w:lastRenderedPageBreak/>
        <w:drawing>
          <wp:anchor distT="0" distB="0" distL="114300" distR="114300" simplePos="0" relativeHeight="251760640" behindDoc="0" locked="0" layoutInCell="1" allowOverlap="1" wp14:anchorId="7D2441D7" wp14:editId="72FECB44">
            <wp:simplePos x="0" y="0"/>
            <wp:positionH relativeFrom="margin">
              <wp:align>center</wp:align>
            </wp:positionH>
            <wp:positionV relativeFrom="paragraph">
              <wp:posOffset>189181</wp:posOffset>
            </wp:positionV>
            <wp:extent cx="6294755" cy="3936365"/>
            <wp:effectExtent l="0" t="0" r="0" b="6985"/>
            <wp:wrapThrough wrapText="bothSides">
              <wp:wrapPolygon edited="0">
                <wp:start x="0" y="0"/>
                <wp:lineTo x="0" y="21534"/>
                <wp:lineTo x="21506" y="21534"/>
                <wp:lineTo x="21506" y="0"/>
                <wp:lineTo x="0" y="0"/>
              </wp:wrapPolygon>
            </wp:wrapThrough>
            <wp:docPr id="1542469227" name="Picture 1" descr="A screenshot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69227" name="Picture 1" descr="A screenshot of a computer screen"/>
                    <pic:cNvPicPr/>
                  </pic:nvPicPr>
                  <pic:blipFill>
                    <a:blip r:embed="rId47">
                      <a:extLst>
                        <a:ext uri="{28A0092B-C50C-407E-A947-70E740481C1C}">
                          <a14:useLocalDpi xmlns:a14="http://schemas.microsoft.com/office/drawing/2010/main" val="0"/>
                        </a:ext>
                      </a:extLst>
                    </a:blip>
                    <a:stretch>
                      <a:fillRect/>
                    </a:stretch>
                  </pic:blipFill>
                  <pic:spPr>
                    <a:xfrm>
                      <a:off x="0" y="0"/>
                      <a:ext cx="6294755" cy="3936365"/>
                    </a:xfrm>
                    <a:prstGeom prst="rect">
                      <a:avLst/>
                    </a:prstGeom>
                  </pic:spPr>
                </pic:pic>
              </a:graphicData>
            </a:graphic>
            <wp14:sizeRelH relativeFrom="margin">
              <wp14:pctWidth>0</wp14:pctWidth>
            </wp14:sizeRelH>
            <wp14:sizeRelV relativeFrom="margin">
              <wp14:pctHeight>0</wp14:pctHeight>
            </wp14:sizeRelV>
          </wp:anchor>
        </w:drawing>
      </w:r>
    </w:p>
    <w:p w14:paraId="04643455" w14:textId="7F59EF2D" w:rsidR="00D9267D" w:rsidRPr="0064264A" w:rsidRDefault="00D9267D" w:rsidP="00D9267D">
      <w:pPr>
        <w:spacing w:line="360" w:lineRule="auto"/>
        <w:jc w:val="both"/>
        <w:rPr>
          <w:rFonts w:eastAsia="Calibri"/>
          <w:sz w:val="22"/>
          <w:szCs w:val="22"/>
          <w:lang w:val="es-DO"/>
        </w:rPr>
      </w:pPr>
      <w:r w:rsidRPr="0064264A">
        <w:rPr>
          <w:rFonts w:eastAsia="Calibri"/>
          <w:sz w:val="22"/>
          <w:szCs w:val="22"/>
          <w:lang w:val="es-DO"/>
        </w:rPr>
        <w:t xml:space="preserve">                 </w:t>
      </w:r>
      <w:r w:rsidR="009D4561" w:rsidRPr="0064264A">
        <w:rPr>
          <w:rFonts w:eastAsia="Calibri"/>
          <w:sz w:val="22"/>
          <w:szCs w:val="22"/>
          <w:lang w:val="es-DO"/>
        </w:rPr>
        <w:t xml:space="preserve">   </w:t>
      </w:r>
      <w:r w:rsidRPr="0064264A">
        <w:rPr>
          <w:rFonts w:eastAsia="Calibri"/>
          <w:sz w:val="22"/>
          <w:szCs w:val="22"/>
          <w:lang w:val="es-DO"/>
        </w:rPr>
        <w:t xml:space="preserve"> </w:t>
      </w:r>
      <w:r w:rsidRPr="0064264A">
        <w:rPr>
          <w:rFonts w:eastAsia="Calibri"/>
          <w:b/>
          <w:sz w:val="22"/>
          <w:szCs w:val="22"/>
          <w:lang w:val="es-DO"/>
        </w:rPr>
        <w:t>Fuente: Depto. Planificacion y Presupuesto</w:t>
      </w:r>
    </w:p>
    <w:p w14:paraId="133848D2" w14:textId="77777777" w:rsidR="00D9267D" w:rsidRPr="0064264A" w:rsidRDefault="00D9267D" w:rsidP="00D9267D">
      <w:pPr>
        <w:spacing w:line="360" w:lineRule="auto"/>
        <w:jc w:val="both"/>
        <w:rPr>
          <w:rFonts w:eastAsia="Calibri"/>
          <w:lang w:val="es-DO"/>
        </w:rPr>
      </w:pPr>
    </w:p>
    <w:p w14:paraId="714E4CA5" w14:textId="77777777" w:rsidR="00D9267D" w:rsidRPr="0064264A" w:rsidRDefault="00D9267D" w:rsidP="00D9267D">
      <w:pPr>
        <w:spacing w:line="360" w:lineRule="auto"/>
        <w:jc w:val="both"/>
        <w:rPr>
          <w:rFonts w:eastAsia="Calibri"/>
          <w:lang w:val="es-DO"/>
        </w:rPr>
      </w:pPr>
    </w:p>
    <w:p w14:paraId="63DF4429" w14:textId="77777777" w:rsidR="00D9267D" w:rsidRPr="0064264A" w:rsidRDefault="00D9267D" w:rsidP="00D9267D">
      <w:pPr>
        <w:spacing w:line="360" w:lineRule="auto"/>
        <w:jc w:val="both"/>
        <w:rPr>
          <w:rFonts w:eastAsia="Calibri"/>
          <w:lang w:val="es-DO"/>
        </w:rPr>
      </w:pPr>
    </w:p>
    <w:p w14:paraId="0746BA3B" w14:textId="77777777" w:rsidR="00D9267D" w:rsidRPr="0064264A" w:rsidRDefault="00D9267D" w:rsidP="00D9267D">
      <w:pPr>
        <w:spacing w:line="360" w:lineRule="auto"/>
        <w:jc w:val="both"/>
        <w:rPr>
          <w:rFonts w:eastAsia="Calibri"/>
          <w:lang w:val="es-DO"/>
        </w:rPr>
      </w:pPr>
    </w:p>
    <w:p w14:paraId="3F631B09" w14:textId="77777777" w:rsidR="00D9267D" w:rsidRPr="0064264A" w:rsidRDefault="00D9267D" w:rsidP="00D9267D">
      <w:pPr>
        <w:spacing w:line="360" w:lineRule="auto"/>
        <w:jc w:val="both"/>
        <w:rPr>
          <w:rFonts w:eastAsia="Calibri"/>
          <w:lang w:val="es-DO"/>
        </w:rPr>
      </w:pPr>
    </w:p>
    <w:p w14:paraId="58110B8C" w14:textId="77777777" w:rsidR="00D9267D" w:rsidRPr="0064264A" w:rsidRDefault="00D9267D" w:rsidP="00D9267D">
      <w:pPr>
        <w:spacing w:line="360" w:lineRule="auto"/>
        <w:jc w:val="both"/>
        <w:rPr>
          <w:rFonts w:eastAsia="Calibri"/>
          <w:lang w:val="es-DO"/>
        </w:rPr>
      </w:pPr>
    </w:p>
    <w:p w14:paraId="20F4ED8D" w14:textId="77777777" w:rsidR="00D9267D" w:rsidRPr="0064264A" w:rsidRDefault="00D9267D" w:rsidP="00D9267D">
      <w:pPr>
        <w:spacing w:line="360" w:lineRule="auto"/>
        <w:jc w:val="both"/>
        <w:rPr>
          <w:rFonts w:eastAsia="Calibri"/>
          <w:lang w:val="es-DO"/>
        </w:rPr>
      </w:pPr>
    </w:p>
    <w:p w14:paraId="04CB9FB3" w14:textId="77777777" w:rsidR="00D9267D" w:rsidRPr="0064264A" w:rsidRDefault="00D9267D" w:rsidP="00D9267D">
      <w:pPr>
        <w:spacing w:line="360" w:lineRule="auto"/>
        <w:jc w:val="both"/>
        <w:rPr>
          <w:rFonts w:eastAsia="Calibri"/>
          <w:lang w:val="es-DO"/>
        </w:rPr>
      </w:pPr>
    </w:p>
    <w:p w14:paraId="66DC260F" w14:textId="77777777" w:rsidR="00D9267D" w:rsidRPr="0064264A" w:rsidRDefault="00D9267D" w:rsidP="00D9267D">
      <w:pPr>
        <w:spacing w:line="360" w:lineRule="auto"/>
        <w:jc w:val="both"/>
        <w:rPr>
          <w:rFonts w:eastAsia="Calibri"/>
          <w:lang w:val="es-DO"/>
        </w:rPr>
      </w:pPr>
    </w:p>
    <w:p w14:paraId="26AD0B68" w14:textId="77777777" w:rsidR="00D9267D" w:rsidRPr="0064264A" w:rsidRDefault="00D9267D" w:rsidP="00D9267D">
      <w:pPr>
        <w:spacing w:line="360" w:lineRule="auto"/>
        <w:jc w:val="both"/>
        <w:rPr>
          <w:rFonts w:eastAsia="Calibri"/>
          <w:b/>
          <w:bCs/>
          <w:lang w:val="es-DO"/>
        </w:rPr>
      </w:pPr>
      <w:bookmarkStart w:id="52" w:name="_Toc90649468"/>
      <w:bookmarkStart w:id="53" w:name="_Toc155259685"/>
      <w:r w:rsidRPr="0064264A">
        <w:rPr>
          <w:rFonts w:eastAsia="Calibri"/>
          <w:b/>
          <w:bCs/>
          <w:lang w:val="es-DO"/>
        </w:rPr>
        <w:t xml:space="preserve">7.3 </w:t>
      </w:r>
      <w:r w:rsidRPr="0064264A">
        <w:rPr>
          <w:rFonts w:eastAsia="Calibri"/>
          <w:b/>
          <w:lang w:val="es-DO"/>
        </w:rPr>
        <w:t>Matriz De Principales Indicadores De Gestión De Procesos</w:t>
      </w:r>
    </w:p>
    <w:p w14:paraId="579B5538" w14:textId="77777777" w:rsidR="00D9267D" w:rsidRPr="0064264A" w:rsidRDefault="00D9267D" w:rsidP="009D4561">
      <w:pPr>
        <w:spacing w:line="360" w:lineRule="auto"/>
        <w:jc w:val="center"/>
        <w:rPr>
          <w:rFonts w:eastAsia="Calibri"/>
          <w:b/>
          <w:lang w:val="es-DO"/>
        </w:rPr>
      </w:pPr>
      <w:r w:rsidRPr="0064264A">
        <w:rPr>
          <w:rFonts w:eastAsia="Calibri"/>
          <w:noProof/>
          <w:lang w:val="es-DO"/>
        </w:rPr>
        <w:lastRenderedPageBreak/>
        <w:drawing>
          <wp:anchor distT="0" distB="0" distL="114300" distR="114300" simplePos="0" relativeHeight="251761664" behindDoc="0" locked="0" layoutInCell="1" allowOverlap="1" wp14:anchorId="33C8DAC7" wp14:editId="3B7DCD80">
            <wp:simplePos x="0" y="0"/>
            <wp:positionH relativeFrom="column">
              <wp:posOffset>-853342</wp:posOffset>
            </wp:positionH>
            <wp:positionV relativeFrom="paragraph">
              <wp:posOffset>325902</wp:posOffset>
            </wp:positionV>
            <wp:extent cx="6975475" cy="2962910"/>
            <wp:effectExtent l="0" t="0" r="4445" b="6350"/>
            <wp:wrapThrough wrapText="bothSides">
              <wp:wrapPolygon edited="0">
                <wp:start x="0" y="0"/>
                <wp:lineTo x="0" y="21506"/>
                <wp:lineTo x="21554" y="21506"/>
                <wp:lineTo x="21554" y="0"/>
                <wp:lineTo x="0" y="0"/>
              </wp:wrapPolygon>
            </wp:wrapThrough>
            <wp:docPr id="1880405484" name="Picture 1" descr="A blue and white scree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05484" name="Picture 1" descr="A blue and white screen with white text"/>
                    <pic:cNvPicPr/>
                  </pic:nvPicPr>
                  <pic:blipFill>
                    <a:blip r:embed="rId48">
                      <a:extLst>
                        <a:ext uri="{28A0092B-C50C-407E-A947-70E740481C1C}">
                          <a14:useLocalDpi xmlns:a14="http://schemas.microsoft.com/office/drawing/2010/main" val="0"/>
                        </a:ext>
                      </a:extLst>
                    </a:blip>
                    <a:stretch>
                      <a:fillRect/>
                    </a:stretch>
                  </pic:blipFill>
                  <pic:spPr>
                    <a:xfrm>
                      <a:off x="0" y="0"/>
                      <a:ext cx="6975475" cy="2962910"/>
                    </a:xfrm>
                    <a:prstGeom prst="rect">
                      <a:avLst/>
                    </a:prstGeom>
                  </pic:spPr>
                </pic:pic>
              </a:graphicData>
            </a:graphic>
            <wp14:sizeRelH relativeFrom="margin">
              <wp14:pctWidth>0</wp14:pctWidth>
            </wp14:sizeRelH>
            <wp14:sizeRelV relativeFrom="margin">
              <wp14:pctHeight>0</wp14:pctHeight>
            </wp14:sizeRelV>
          </wp:anchor>
        </w:drawing>
      </w:r>
      <w:r w:rsidRPr="0064264A">
        <w:rPr>
          <w:rFonts w:eastAsia="Calibri"/>
          <w:b/>
          <w:lang w:val="es-DO"/>
        </w:rPr>
        <w:t xml:space="preserve">Período Enero – </w:t>
      </w:r>
      <w:proofErr w:type="gramStart"/>
      <w:r w:rsidRPr="0064264A">
        <w:rPr>
          <w:rFonts w:eastAsia="Calibri"/>
          <w:b/>
          <w:lang w:val="es-DO"/>
        </w:rPr>
        <w:t>Diciembre</w:t>
      </w:r>
      <w:proofErr w:type="gramEnd"/>
      <w:r w:rsidRPr="0064264A">
        <w:rPr>
          <w:rFonts w:eastAsia="Calibri"/>
          <w:b/>
          <w:lang w:val="es-DO"/>
        </w:rPr>
        <w:t xml:space="preserve"> 2025</w:t>
      </w:r>
    </w:p>
    <w:p w14:paraId="7D212746" w14:textId="10553A77" w:rsidR="00D9267D" w:rsidRPr="0064264A" w:rsidRDefault="009D4561" w:rsidP="00D9267D">
      <w:pPr>
        <w:spacing w:line="360" w:lineRule="auto"/>
        <w:jc w:val="both"/>
        <w:rPr>
          <w:rFonts w:eastAsia="Calibri"/>
          <w:b/>
          <w:sz w:val="22"/>
          <w:szCs w:val="22"/>
          <w:lang w:val="es-DO"/>
        </w:rPr>
      </w:pPr>
      <w:r w:rsidRPr="0064264A">
        <w:rPr>
          <w:rFonts w:eastAsia="Calibri"/>
          <w:b/>
          <w:sz w:val="22"/>
          <w:szCs w:val="22"/>
          <w:lang w:val="es-DO"/>
        </w:rPr>
        <w:t xml:space="preserve">                   </w:t>
      </w:r>
      <w:r w:rsidR="00D9267D" w:rsidRPr="0064264A">
        <w:rPr>
          <w:rFonts w:eastAsia="Calibri"/>
          <w:b/>
          <w:sz w:val="22"/>
          <w:szCs w:val="22"/>
          <w:lang w:val="es-DO"/>
        </w:rPr>
        <w:t>Fuente: Depto. Planificacion y Presupuesto</w:t>
      </w:r>
    </w:p>
    <w:p w14:paraId="7BEC91C7" w14:textId="77777777" w:rsidR="00D9267D" w:rsidRPr="0064264A" w:rsidRDefault="00D9267D" w:rsidP="00D9267D">
      <w:pPr>
        <w:spacing w:line="360" w:lineRule="auto"/>
        <w:jc w:val="both"/>
        <w:rPr>
          <w:rFonts w:eastAsia="Calibri"/>
          <w:lang w:val="es-DO"/>
        </w:rPr>
      </w:pPr>
    </w:p>
    <w:p w14:paraId="3DA1681E" w14:textId="77777777" w:rsidR="00D9267D" w:rsidRPr="0064264A" w:rsidRDefault="00D9267D" w:rsidP="00D9267D">
      <w:pPr>
        <w:spacing w:line="360" w:lineRule="auto"/>
        <w:jc w:val="both"/>
        <w:rPr>
          <w:rFonts w:eastAsia="Calibri"/>
          <w:lang w:val="es-DO"/>
        </w:rPr>
      </w:pPr>
    </w:p>
    <w:p w14:paraId="7424253B" w14:textId="77777777" w:rsidR="00D9267D" w:rsidRPr="0064264A" w:rsidRDefault="00D9267D" w:rsidP="00D9267D">
      <w:pPr>
        <w:spacing w:line="360" w:lineRule="auto"/>
        <w:jc w:val="both"/>
        <w:rPr>
          <w:rFonts w:eastAsia="Calibri"/>
          <w:lang w:val="es-DO"/>
        </w:rPr>
      </w:pPr>
    </w:p>
    <w:p w14:paraId="29B53C93" w14:textId="77777777" w:rsidR="00D9267D" w:rsidRPr="0064264A" w:rsidRDefault="00D9267D" w:rsidP="00D9267D">
      <w:pPr>
        <w:spacing w:line="360" w:lineRule="auto"/>
        <w:jc w:val="both"/>
        <w:rPr>
          <w:rFonts w:eastAsia="Calibri"/>
          <w:lang w:val="es-DO"/>
        </w:rPr>
      </w:pPr>
    </w:p>
    <w:p w14:paraId="28E19BDC" w14:textId="77777777" w:rsidR="00D9267D" w:rsidRPr="0064264A" w:rsidRDefault="00D9267D" w:rsidP="00D9267D">
      <w:pPr>
        <w:spacing w:line="360" w:lineRule="auto"/>
        <w:jc w:val="both"/>
        <w:rPr>
          <w:rFonts w:eastAsia="Calibri"/>
          <w:lang w:val="es-DO"/>
        </w:rPr>
      </w:pPr>
    </w:p>
    <w:p w14:paraId="72251332" w14:textId="77777777" w:rsidR="00D9267D" w:rsidRPr="0064264A" w:rsidRDefault="00D9267D" w:rsidP="00D9267D">
      <w:pPr>
        <w:spacing w:line="360" w:lineRule="auto"/>
        <w:jc w:val="both"/>
        <w:rPr>
          <w:rFonts w:eastAsia="Calibri"/>
          <w:lang w:val="es-DO"/>
        </w:rPr>
      </w:pPr>
    </w:p>
    <w:p w14:paraId="135E61EC" w14:textId="77777777" w:rsidR="00D9267D" w:rsidRPr="0064264A" w:rsidRDefault="00D9267D" w:rsidP="00D9267D">
      <w:pPr>
        <w:spacing w:line="360" w:lineRule="auto"/>
        <w:jc w:val="both"/>
        <w:rPr>
          <w:rFonts w:eastAsia="Calibri"/>
          <w:lang w:val="es-DO"/>
        </w:rPr>
      </w:pPr>
    </w:p>
    <w:p w14:paraId="241ABCEB" w14:textId="77777777" w:rsidR="00FE2E92" w:rsidRPr="0064264A" w:rsidRDefault="00FE2E92" w:rsidP="00D9267D">
      <w:pPr>
        <w:spacing w:line="360" w:lineRule="auto"/>
        <w:jc w:val="both"/>
        <w:rPr>
          <w:rFonts w:eastAsia="Calibri"/>
          <w:lang w:val="es-DO"/>
        </w:rPr>
      </w:pPr>
    </w:p>
    <w:p w14:paraId="2360B3E0" w14:textId="77777777" w:rsidR="00FE2E92" w:rsidRPr="0064264A" w:rsidRDefault="00FE2E92" w:rsidP="00FE2E92">
      <w:pPr>
        <w:pStyle w:val="Heading1"/>
        <w:rPr>
          <w:rFonts w:eastAsia="Calibri"/>
          <w:bCs/>
          <w:color w:val="767171"/>
          <w:lang w:val="es-DO"/>
        </w:rPr>
      </w:pPr>
      <w:bookmarkStart w:id="54" w:name="_Toc217386307"/>
    </w:p>
    <w:p w14:paraId="25F9C0AC" w14:textId="79614353" w:rsidR="00FE2E92" w:rsidRPr="0064264A" w:rsidRDefault="00D9267D" w:rsidP="00FE2E92">
      <w:pPr>
        <w:pStyle w:val="Heading1"/>
        <w:rPr>
          <w:rFonts w:eastAsia="Calibri"/>
          <w:bCs/>
          <w:color w:val="767171"/>
          <w:lang w:val="es-DO"/>
        </w:rPr>
      </w:pPr>
      <w:r w:rsidRPr="0064264A">
        <w:rPr>
          <w:rFonts w:eastAsia="Calibri"/>
          <w:bCs/>
          <w:color w:val="767171"/>
          <w:lang w:val="es-DO"/>
        </w:rPr>
        <w:t>Plan de Compras</w:t>
      </w:r>
      <w:bookmarkStart w:id="55" w:name="_Toc58931699"/>
      <w:bookmarkStart w:id="56" w:name="_Toc59031189"/>
      <w:bookmarkStart w:id="57" w:name="_Toc90649066"/>
      <w:bookmarkStart w:id="58" w:name="_Toc90895130"/>
      <w:bookmarkEnd w:id="52"/>
      <w:bookmarkEnd w:id="53"/>
      <w:r w:rsidR="008B3000" w:rsidRPr="0064264A">
        <w:rPr>
          <w:rFonts w:eastAsia="Calibri"/>
          <w:bCs/>
          <w:color w:val="767171"/>
          <w:lang w:val="es-DO"/>
        </w:rPr>
        <w:t xml:space="preserve"> </w:t>
      </w:r>
      <w:r w:rsidRPr="0064264A">
        <w:rPr>
          <w:rFonts w:eastAsia="Calibri"/>
          <w:bCs/>
          <w:color w:val="767171"/>
          <w:lang w:val="es-DO"/>
        </w:rPr>
        <w:t xml:space="preserve">Período Enero - </w:t>
      </w:r>
      <w:proofErr w:type="gramStart"/>
      <w:r w:rsidRPr="0064264A">
        <w:rPr>
          <w:rFonts w:eastAsia="Calibri"/>
          <w:bCs/>
          <w:color w:val="767171"/>
          <w:lang w:val="es-DO"/>
        </w:rPr>
        <w:t>Diciembre</w:t>
      </w:r>
      <w:proofErr w:type="gramEnd"/>
      <w:r w:rsidRPr="0064264A">
        <w:rPr>
          <w:rFonts w:eastAsia="Calibri"/>
          <w:bCs/>
          <w:color w:val="767171"/>
          <w:lang w:val="es-DO"/>
        </w:rPr>
        <w:t xml:space="preserve"> 202</w:t>
      </w:r>
      <w:bookmarkStart w:id="59" w:name="_Toc90649067"/>
      <w:bookmarkStart w:id="60" w:name="_Toc90649470"/>
      <w:bookmarkStart w:id="61" w:name="_Toc90895131"/>
      <w:bookmarkEnd w:id="55"/>
      <w:bookmarkEnd w:id="56"/>
      <w:bookmarkEnd w:id="57"/>
      <w:bookmarkEnd w:id="58"/>
      <w:r w:rsidRPr="0064264A">
        <w:rPr>
          <w:rFonts w:eastAsia="Calibri"/>
          <w:bCs/>
          <w:color w:val="767171"/>
          <w:lang w:val="es-DO"/>
        </w:rPr>
        <w:t>5</w:t>
      </w:r>
      <w:bookmarkStart w:id="62" w:name="_Toc155259687"/>
      <w:bookmarkEnd w:id="54"/>
    </w:p>
    <w:p w14:paraId="3C413428" w14:textId="4FE1616E" w:rsidR="00FE2E92" w:rsidRPr="0064264A" w:rsidRDefault="00D9267D" w:rsidP="00FE2E92">
      <w:pPr>
        <w:pStyle w:val="Heading1"/>
        <w:jc w:val="left"/>
        <w:rPr>
          <w:rFonts w:eastAsia="Calibri"/>
          <w:bCs/>
          <w:color w:val="767171"/>
          <w:lang w:val="es-DO"/>
        </w:rPr>
      </w:pPr>
      <w:r w:rsidRPr="0064264A">
        <w:rPr>
          <w:rFonts w:eastAsia="Calibri"/>
          <w:b w:val="0"/>
          <w:bCs/>
          <w:noProof/>
          <w:color w:val="767171"/>
          <w:lang w:val="es-DO"/>
        </w:rPr>
        <mc:AlternateContent>
          <mc:Choice Requires="wps">
            <w:drawing>
              <wp:anchor distT="0" distB="0" distL="114300" distR="114300" simplePos="0" relativeHeight="251746304" behindDoc="0" locked="0" layoutInCell="1" allowOverlap="1" wp14:anchorId="64416CBB" wp14:editId="27FD9CA8">
                <wp:simplePos x="0" y="0"/>
                <wp:positionH relativeFrom="margin">
                  <wp:posOffset>2152650</wp:posOffset>
                </wp:positionH>
                <wp:positionV relativeFrom="paragraph">
                  <wp:posOffset>57150</wp:posOffset>
                </wp:positionV>
                <wp:extent cx="539750" cy="0"/>
                <wp:effectExtent l="0" t="19050" r="31750" b="19050"/>
                <wp:wrapThrough wrapText="bothSides">
                  <wp:wrapPolygon edited="0">
                    <wp:start x="0" y="-1"/>
                    <wp:lineTo x="0" y="-1"/>
                    <wp:lineTo x="22108" y="-1"/>
                    <wp:lineTo x="22108" y="-1"/>
                    <wp:lineTo x="0" y="-1"/>
                  </wp:wrapPolygon>
                </wp:wrapThrough>
                <wp:docPr id="45"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8C9BFB" id="Conector recto 9" o:spid="_x0000_s1026" style="position:absolute;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9.5pt,4.5pt" to="21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" strokecolor="red" strokeweight="2.5pt">
                <v:stroke joinstyle="miter"/>
                <w10:wrap type="through" anchorx="margin"/>
              </v:line>
            </w:pict>
          </mc:Fallback>
        </mc:AlternateContent>
      </w:r>
      <w:bookmarkEnd w:id="59"/>
      <w:bookmarkEnd w:id="60"/>
      <w:bookmarkEnd w:id="61"/>
      <w:bookmarkEnd w:id="62"/>
    </w:p>
    <w:p w14:paraId="25D0AB60" w14:textId="271DC5FD" w:rsidR="00D9267D" w:rsidRPr="0064264A" w:rsidRDefault="00D9267D" w:rsidP="00FE2E92">
      <w:pPr>
        <w:jc w:val="center"/>
        <w:rPr>
          <w:rFonts w:eastAsia="Calibri"/>
          <w:lang w:val="es-DO"/>
        </w:rPr>
      </w:pPr>
      <w:r w:rsidRPr="0064264A">
        <w:rPr>
          <w:rFonts w:eastAsia="Calibri"/>
          <w:lang w:val="es-DO"/>
        </w:rPr>
        <w:t>Memoria institucional 2025</w:t>
      </w:r>
    </w:p>
    <w:p w14:paraId="514B5079" w14:textId="77777777" w:rsidR="00D9267D" w:rsidRPr="0064264A" w:rsidRDefault="00D9267D" w:rsidP="00D9267D">
      <w:pPr>
        <w:spacing w:line="360" w:lineRule="auto"/>
        <w:jc w:val="both"/>
        <w:rPr>
          <w:rFonts w:eastAsia="Calibri"/>
          <w:lang w:val="es-419"/>
        </w:rPr>
      </w:pPr>
      <w:r w:rsidRPr="0064264A">
        <w:rPr>
          <w:rFonts w:eastAsia="Calibri"/>
          <w:lang w:val="es-419"/>
        </w:rPr>
        <w:t xml:space="preserve">El Banco Central de la República Dominicana, dando cumplimiento a las disposiciones de la Ley No. 340-06 sobre Compras y Contrataciones de Bienes, Servicios, Obras y Concesiones, de fecha 18 de agosto de 2006, y sus modificaciones contenidas en la Ley No. 449-06 de fecha 6 de diciembre de 2006, presenta, en forma general y detallada, las adquisiciones de bienes y servicios que estima </w:t>
      </w:r>
      <w:proofErr w:type="gramStart"/>
      <w:r w:rsidRPr="0064264A">
        <w:rPr>
          <w:rFonts w:eastAsia="Calibri"/>
          <w:lang w:val="es-419"/>
        </w:rPr>
        <w:t>requerirá</w:t>
      </w:r>
      <w:proofErr w:type="gramEnd"/>
      <w:r w:rsidRPr="0064264A">
        <w:rPr>
          <w:rFonts w:eastAsia="Calibri"/>
          <w:lang w:val="es-419"/>
        </w:rPr>
        <w:t xml:space="preserve"> durante el año 2025, conforme a lo establecido en el presupuesto para este año. La información ha sido agrupada por categoría y procedimiento de selección, tomando en consideración los lineamientos publicados por la Dirección General de Contrataciones Públicas. </w:t>
      </w:r>
    </w:p>
    <w:p w14:paraId="515B208D" w14:textId="77777777" w:rsidR="00D9267D" w:rsidRPr="0064264A" w:rsidRDefault="00D9267D" w:rsidP="00D9267D">
      <w:pPr>
        <w:spacing w:line="360" w:lineRule="auto"/>
        <w:jc w:val="both"/>
        <w:rPr>
          <w:rFonts w:eastAsia="Calibri"/>
          <w:lang w:val="es-419"/>
        </w:rPr>
      </w:pPr>
      <w:r w:rsidRPr="0064264A">
        <w:rPr>
          <w:rFonts w:eastAsia="Calibri"/>
          <w:lang w:val="es-419"/>
        </w:rPr>
        <w:t>De acuerdo con el Art. 16 de la citada Ley, y al Art. 37 del Reglamento No. 416-23 para la Aplicación de la Ley de Compras y Contrataciones de Bienes, Servicios, Obras y Concesiones, de fecha 14 de septiembre de 2023, los procedimientos de selección ordinarios para la adquisición de bienes y servicios, podrán ser:</w:t>
      </w:r>
    </w:p>
    <w:p w14:paraId="2FFC9EF6" w14:textId="77777777" w:rsidR="00D9267D" w:rsidRPr="0064264A" w:rsidRDefault="00D9267D" w:rsidP="00D9267D">
      <w:pPr>
        <w:spacing w:line="360" w:lineRule="auto"/>
        <w:jc w:val="both"/>
        <w:rPr>
          <w:rFonts w:eastAsia="Calibri"/>
          <w:lang w:val="es-419"/>
        </w:rPr>
      </w:pPr>
      <w:r w:rsidRPr="0064264A">
        <w:rPr>
          <w:rFonts w:eastAsia="Calibri"/>
          <w:lang w:val="es-419"/>
        </w:rPr>
        <w:t xml:space="preserve"> 1) Licitación Pública: Es el llamado público y abierto para adquirir bienes, servicios y obras cuyo presupuesto estimado de contratación corresponde al umbral superior fijado por la Dirección General de Contrataciones Públicas. Las licitaciones públicas pueden ser nacionales o internacionales, según las condiciones establecidas en la ley.</w:t>
      </w:r>
    </w:p>
    <w:p w14:paraId="68E29EC0" w14:textId="30B08F52" w:rsidR="00D9267D" w:rsidRPr="0064264A" w:rsidRDefault="00D9267D" w:rsidP="00D9267D">
      <w:pPr>
        <w:spacing w:line="360" w:lineRule="auto"/>
        <w:jc w:val="both"/>
        <w:rPr>
          <w:rFonts w:eastAsia="Calibri"/>
          <w:lang w:val="es-419"/>
        </w:rPr>
      </w:pPr>
      <w:r w:rsidRPr="0064264A">
        <w:rPr>
          <w:rFonts w:eastAsia="Calibri"/>
          <w:lang w:val="es-419"/>
        </w:rPr>
        <w:t xml:space="preserve"> 2) Licitación Restringida: Es la invitación directa a proveedores que puedan atender al </w:t>
      </w:r>
      <w:r w:rsidRPr="0064264A">
        <w:rPr>
          <w:rFonts w:eastAsia="Calibri"/>
          <w:lang w:val="es-419"/>
        </w:rPr>
        <w:lastRenderedPageBreak/>
        <w:t xml:space="preserve">requerimiento, debido a la especialidad de los bienes a adquirirse, de las obras a ejecutarse o de los servicios a prestarse, razón por la cual sólo puede obtenerse un número limitado de participantes. </w:t>
      </w:r>
    </w:p>
    <w:p w14:paraId="58F10D75" w14:textId="77777777" w:rsidR="00D9267D" w:rsidRPr="0064264A" w:rsidRDefault="00D9267D" w:rsidP="00D9267D">
      <w:pPr>
        <w:spacing w:line="360" w:lineRule="auto"/>
        <w:jc w:val="both"/>
        <w:rPr>
          <w:rFonts w:eastAsia="Calibri"/>
          <w:lang w:val="es-419"/>
        </w:rPr>
      </w:pPr>
      <w:r w:rsidRPr="0064264A">
        <w:rPr>
          <w:rFonts w:eastAsia="Calibri"/>
          <w:lang w:val="es-419"/>
        </w:rPr>
        <w:t xml:space="preserve">3) Comparación de Precios: Procedimiento a utilizar para la adquisición de bienes comunes con especificaciones estándar, contratación de servicios y obras menores. </w:t>
      </w:r>
    </w:p>
    <w:p w14:paraId="329E15F3" w14:textId="77777777" w:rsidR="00D9267D" w:rsidRPr="0064264A" w:rsidRDefault="00D9267D" w:rsidP="00D9267D">
      <w:pPr>
        <w:spacing w:line="360" w:lineRule="auto"/>
        <w:jc w:val="both"/>
        <w:rPr>
          <w:rFonts w:eastAsia="Calibri"/>
          <w:lang w:val="es-419"/>
        </w:rPr>
      </w:pPr>
      <w:r w:rsidRPr="0064264A">
        <w:rPr>
          <w:rFonts w:eastAsia="Calibri"/>
          <w:lang w:val="es-419"/>
        </w:rPr>
        <w:t xml:space="preserve">4) Compras Menores: Procedimiento a utilizar para adquirir bienes o servicios mediante un trámite simplificado, conforme al monto establecido en los umbrales actualizados anualmente por la </w:t>
      </w:r>
      <w:proofErr w:type="spellStart"/>
      <w:r w:rsidRPr="0064264A">
        <w:rPr>
          <w:rFonts w:eastAsia="Calibri"/>
          <w:lang w:val="es-419"/>
        </w:rPr>
        <w:t>Direccion</w:t>
      </w:r>
      <w:proofErr w:type="spellEnd"/>
      <w:r w:rsidRPr="0064264A">
        <w:rPr>
          <w:rFonts w:eastAsia="Calibri"/>
          <w:lang w:val="es-419"/>
        </w:rPr>
        <w:t xml:space="preserve"> General de Contrataciones Públicas.</w:t>
      </w:r>
    </w:p>
    <w:p w14:paraId="75BCD9F3" w14:textId="77777777" w:rsidR="00D9267D" w:rsidRPr="0064264A" w:rsidRDefault="00D9267D" w:rsidP="00D9267D">
      <w:pPr>
        <w:spacing w:line="360" w:lineRule="auto"/>
        <w:jc w:val="both"/>
        <w:rPr>
          <w:rFonts w:eastAsia="Calibri"/>
          <w:lang w:val="es-DO"/>
        </w:rPr>
      </w:pPr>
      <w:r w:rsidRPr="0064264A">
        <w:rPr>
          <w:rFonts w:eastAsia="Calibri"/>
          <w:lang w:val="es-DO"/>
        </w:rPr>
        <w:t xml:space="preserve">Para los casos de contrataciones de bienes y servicios por montos inferiores al umbral mínimo establecido para las compras menores, el Artículo 45 del ya citado Reglamento dispone que, las mismas se podrán realizar en forma de compras por debajo del umbral y se establecerá un procedimiento simple para agilizar su trámite, al tiempo de garantizar la transparencia y eficiencia de </w:t>
      </w:r>
      <w:proofErr w:type="gramStart"/>
      <w:r w:rsidRPr="0064264A">
        <w:rPr>
          <w:rFonts w:eastAsia="Calibri"/>
          <w:lang w:val="es-DO"/>
        </w:rPr>
        <w:t>las mismas</w:t>
      </w:r>
      <w:proofErr w:type="gramEnd"/>
      <w:r w:rsidRPr="0064264A">
        <w:rPr>
          <w:rFonts w:eastAsia="Calibri"/>
          <w:lang w:val="es-DO"/>
        </w:rPr>
        <w:t>.</w:t>
      </w:r>
    </w:p>
    <w:p w14:paraId="690234D6" w14:textId="77777777" w:rsidR="00D9267D" w:rsidRPr="0064264A" w:rsidRDefault="00D9267D" w:rsidP="00D9267D">
      <w:pPr>
        <w:spacing w:line="360" w:lineRule="auto"/>
        <w:jc w:val="both"/>
        <w:rPr>
          <w:rFonts w:eastAsia="Calibri"/>
          <w:lang w:val="es-419"/>
        </w:rPr>
      </w:pPr>
      <w:r w:rsidRPr="0064264A">
        <w:rPr>
          <w:rFonts w:eastAsia="Calibri"/>
          <w:lang w:val="es-419"/>
        </w:rPr>
        <w:t xml:space="preserve">Asimismo, el Art. 46 del citado Reglamento permite recurrir a Procedimientos Especiales, los cuales serán considerados como casos de excepción y no una violación a la Ley, siempre y cuando se realicen de conformidad con los procedimientos que se establecen en la referida normativa. </w:t>
      </w:r>
    </w:p>
    <w:p w14:paraId="4269D83B" w14:textId="28619AEC" w:rsidR="00D9267D" w:rsidRPr="0064264A" w:rsidRDefault="00D9267D" w:rsidP="00D9267D">
      <w:pPr>
        <w:spacing w:line="360" w:lineRule="auto"/>
        <w:jc w:val="both"/>
        <w:rPr>
          <w:rFonts w:eastAsia="Calibri"/>
          <w:lang w:val="es-419"/>
        </w:rPr>
      </w:pPr>
      <w:r w:rsidRPr="0064264A">
        <w:rPr>
          <w:rFonts w:eastAsia="Calibri"/>
          <w:lang w:val="es-419"/>
        </w:rPr>
        <w:t>Para la determinación del proceso de selección a seguir para el año 2025, el Art. 17 de la Ley No. 340-06 sobre Compras y Contrataciones dispone que se deberán considerar los umbrales topes contenidos en la Resolución PNP- 01-2025 de fecha 2 de enero de 2025, emitida por el Órgano Rector de las Contrataciones Públicas en el país, de acuerdo con lo siguiente:</w:t>
      </w:r>
    </w:p>
    <w:p w14:paraId="71992C91" w14:textId="47EE7F08" w:rsidR="00D9267D" w:rsidRPr="0064264A" w:rsidRDefault="00D9267D" w:rsidP="009D4561">
      <w:pPr>
        <w:spacing w:line="360" w:lineRule="auto"/>
        <w:jc w:val="center"/>
        <w:rPr>
          <w:rFonts w:eastAsia="Calibri"/>
          <w:b/>
          <w:sz w:val="22"/>
          <w:szCs w:val="22"/>
          <w:lang w:val="es-419"/>
        </w:rPr>
      </w:pPr>
      <w:bookmarkStart w:id="63" w:name="_Hlk218856583"/>
      <w:r w:rsidRPr="0064264A">
        <w:rPr>
          <w:rFonts w:eastAsia="Calibri"/>
          <w:noProof/>
          <w:lang w:val="es-419"/>
        </w:rPr>
        <w:lastRenderedPageBreak/>
        <w:drawing>
          <wp:anchor distT="0" distB="0" distL="114300" distR="114300" simplePos="0" relativeHeight="251762688" behindDoc="0" locked="0" layoutInCell="1" allowOverlap="1" wp14:anchorId="27059540" wp14:editId="1C3B928B">
            <wp:simplePos x="0" y="0"/>
            <wp:positionH relativeFrom="margin">
              <wp:posOffset>315888</wp:posOffset>
            </wp:positionH>
            <wp:positionV relativeFrom="paragraph">
              <wp:posOffset>0</wp:posOffset>
            </wp:positionV>
            <wp:extent cx="4598035" cy="2434590"/>
            <wp:effectExtent l="0" t="0" r="0" b="3810"/>
            <wp:wrapThrough wrapText="bothSides">
              <wp:wrapPolygon edited="0">
                <wp:start x="0" y="0"/>
                <wp:lineTo x="0" y="21465"/>
                <wp:lineTo x="21478" y="21465"/>
                <wp:lineTo x="21478" y="0"/>
                <wp:lineTo x="0" y="0"/>
              </wp:wrapPolygon>
            </wp:wrapThrough>
            <wp:docPr id="1218163149"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63149" name="Picture 1" descr="A table with numbers and letters&#10;&#10;AI-generated content may be incorrect."/>
                    <pic:cNvPicPr/>
                  </pic:nvPicPr>
                  <pic:blipFill>
                    <a:blip r:embed="rId49">
                      <a:extLst>
                        <a:ext uri="{28A0092B-C50C-407E-A947-70E740481C1C}">
                          <a14:useLocalDpi xmlns:a14="http://schemas.microsoft.com/office/drawing/2010/main" val="0"/>
                        </a:ext>
                      </a:extLst>
                    </a:blip>
                    <a:stretch>
                      <a:fillRect/>
                    </a:stretch>
                  </pic:blipFill>
                  <pic:spPr>
                    <a:xfrm>
                      <a:off x="0" y="0"/>
                      <a:ext cx="4598035" cy="2434590"/>
                    </a:xfrm>
                    <a:prstGeom prst="rect">
                      <a:avLst/>
                    </a:prstGeom>
                  </pic:spPr>
                </pic:pic>
              </a:graphicData>
            </a:graphic>
            <wp14:sizeRelH relativeFrom="margin">
              <wp14:pctWidth>0</wp14:pctWidth>
            </wp14:sizeRelH>
            <wp14:sizeRelV relativeFrom="margin">
              <wp14:pctHeight>0</wp14:pctHeight>
            </wp14:sizeRelV>
          </wp:anchor>
        </w:drawing>
      </w:r>
      <w:r w:rsidRPr="0064264A">
        <w:rPr>
          <w:rFonts w:eastAsia="Calibri"/>
          <w:b/>
          <w:sz w:val="22"/>
          <w:szCs w:val="22"/>
          <w:lang w:val="es-419"/>
        </w:rPr>
        <w:t>Fuente: Depto. Compras y Contrataciones</w:t>
      </w:r>
    </w:p>
    <w:bookmarkEnd w:id="63"/>
    <w:p w14:paraId="1C4FAE6A" w14:textId="77777777" w:rsidR="00D9267D" w:rsidRPr="0064264A" w:rsidRDefault="00D9267D" w:rsidP="00D9267D">
      <w:pPr>
        <w:spacing w:line="360" w:lineRule="auto"/>
        <w:jc w:val="both"/>
        <w:rPr>
          <w:rFonts w:eastAsia="Calibri"/>
          <w:lang w:val="es-419"/>
        </w:rPr>
      </w:pPr>
      <w:r w:rsidRPr="0064264A">
        <w:rPr>
          <w:rFonts w:eastAsia="Calibri"/>
          <w:lang w:val="es-419"/>
        </w:rPr>
        <w:t>Es importante destacar que este documento se enfoca únicamente en los valores consignados para fines de adquisiciones de bienes y servicios, en el presupuesto aprobado de la Institución para el período de referencia; por lo que las siguientes partidas han sido excluidas del análisis realizado para este trabajo:</w:t>
      </w:r>
    </w:p>
    <w:p w14:paraId="37E2D62D" w14:textId="77777777" w:rsidR="00D9267D" w:rsidRPr="0064264A" w:rsidRDefault="00D9267D" w:rsidP="00D9267D">
      <w:pPr>
        <w:spacing w:line="360" w:lineRule="auto"/>
        <w:jc w:val="both"/>
        <w:rPr>
          <w:rFonts w:eastAsia="Calibri"/>
          <w:lang w:val="es-419"/>
        </w:rPr>
      </w:pPr>
      <w:r w:rsidRPr="0064264A">
        <w:rPr>
          <w:rFonts w:eastAsia="Calibri"/>
          <w:lang w:val="es-419"/>
        </w:rPr>
        <w:t xml:space="preserve"> 1. Plan Complementario de Salud- Personal Activo;</w:t>
      </w:r>
    </w:p>
    <w:p w14:paraId="143F42A2" w14:textId="77777777" w:rsidR="00D9267D" w:rsidRPr="0064264A" w:rsidRDefault="00D9267D" w:rsidP="00D9267D">
      <w:pPr>
        <w:spacing w:line="360" w:lineRule="auto"/>
        <w:jc w:val="both"/>
        <w:rPr>
          <w:rFonts w:eastAsia="Calibri"/>
          <w:lang w:val="es-419"/>
        </w:rPr>
      </w:pPr>
      <w:r w:rsidRPr="0064264A">
        <w:rPr>
          <w:rFonts w:eastAsia="Calibri"/>
          <w:lang w:val="es-419"/>
        </w:rPr>
        <w:t xml:space="preserve"> 2. Indemnizaciones;</w:t>
      </w:r>
    </w:p>
    <w:p w14:paraId="59EC02DD" w14:textId="77777777" w:rsidR="00D9267D" w:rsidRPr="0064264A" w:rsidRDefault="00D9267D" w:rsidP="00D9267D">
      <w:pPr>
        <w:spacing w:line="360" w:lineRule="auto"/>
        <w:jc w:val="both"/>
        <w:rPr>
          <w:rFonts w:eastAsia="Calibri"/>
          <w:lang w:val="es-419"/>
        </w:rPr>
      </w:pPr>
      <w:r w:rsidRPr="0064264A">
        <w:rPr>
          <w:rFonts w:eastAsia="Calibri"/>
          <w:lang w:val="es-419"/>
        </w:rPr>
        <w:t xml:space="preserve"> 3. Impuestos, Derechos y Tasas;</w:t>
      </w:r>
    </w:p>
    <w:p w14:paraId="4E36B319" w14:textId="77777777" w:rsidR="00D9267D" w:rsidRPr="0064264A" w:rsidRDefault="00D9267D" w:rsidP="00D9267D">
      <w:pPr>
        <w:spacing w:line="360" w:lineRule="auto"/>
        <w:jc w:val="both"/>
        <w:rPr>
          <w:rFonts w:eastAsia="Calibri"/>
          <w:lang w:val="es-419"/>
        </w:rPr>
      </w:pPr>
      <w:r w:rsidRPr="0064264A">
        <w:rPr>
          <w:rFonts w:eastAsia="Calibri"/>
          <w:lang w:val="es-419"/>
        </w:rPr>
        <w:t xml:space="preserve"> 4. Servicios Personales; </w:t>
      </w:r>
    </w:p>
    <w:p w14:paraId="2381A59E" w14:textId="77777777" w:rsidR="00D9267D" w:rsidRPr="0064264A" w:rsidRDefault="00D9267D" w:rsidP="00D9267D">
      <w:pPr>
        <w:spacing w:line="360" w:lineRule="auto"/>
        <w:jc w:val="both"/>
        <w:rPr>
          <w:rFonts w:eastAsia="Calibri"/>
          <w:lang w:val="es-419"/>
        </w:rPr>
      </w:pPr>
      <w:r w:rsidRPr="0064264A">
        <w:rPr>
          <w:rFonts w:eastAsia="Calibri"/>
          <w:lang w:val="es-419"/>
        </w:rPr>
        <w:t xml:space="preserve">5. Aportes corrientes; </w:t>
      </w:r>
    </w:p>
    <w:p w14:paraId="3FBB6894" w14:textId="77777777" w:rsidR="00D9267D" w:rsidRPr="0064264A" w:rsidRDefault="00D9267D" w:rsidP="00D9267D">
      <w:pPr>
        <w:spacing w:line="360" w:lineRule="auto"/>
        <w:jc w:val="both"/>
        <w:rPr>
          <w:rFonts w:eastAsia="Calibri"/>
          <w:lang w:val="es-419"/>
        </w:rPr>
      </w:pPr>
      <w:r w:rsidRPr="0064264A">
        <w:rPr>
          <w:rFonts w:eastAsia="Calibri"/>
          <w:lang w:val="es-419"/>
        </w:rPr>
        <w:t xml:space="preserve">6. Depreciaciones y Amortizaciones; </w:t>
      </w:r>
    </w:p>
    <w:p w14:paraId="13A7C8DD" w14:textId="77777777" w:rsidR="00D9267D" w:rsidRPr="0064264A" w:rsidRDefault="00D9267D" w:rsidP="00D9267D">
      <w:pPr>
        <w:spacing w:line="360" w:lineRule="auto"/>
        <w:jc w:val="both"/>
        <w:rPr>
          <w:rFonts w:eastAsia="Calibri"/>
          <w:lang w:val="es-419"/>
        </w:rPr>
      </w:pPr>
      <w:r w:rsidRPr="0064264A">
        <w:rPr>
          <w:rFonts w:eastAsia="Calibri"/>
          <w:lang w:val="es-419"/>
        </w:rPr>
        <w:t>7. Imprevistos;</w:t>
      </w:r>
    </w:p>
    <w:p w14:paraId="5DD57447" w14:textId="77777777" w:rsidR="00FE2E92" w:rsidRPr="0064264A" w:rsidRDefault="00D9267D" w:rsidP="00FE2E92">
      <w:pPr>
        <w:spacing w:line="360" w:lineRule="auto"/>
        <w:jc w:val="both"/>
        <w:rPr>
          <w:rFonts w:eastAsia="Calibri"/>
          <w:lang w:val="es-419"/>
        </w:rPr>
      </w:pPr>
      <w:r w:rsidRPr="0064264A">
        <w:rPr>
          <w:rFonts w:eastAsia="Calibri"/>
          <w:lang w:val="es-419"/>
        </w:rPr>
        <w:t xml:space="preserve"> 8. Otros. </w:t>
      </w:r>
    </w:p>
    <w:p w14:paraId="6357C399" w14:textId="677E2F1F" w:rsidR="00E13696" w:rsidRPr="0064264A" w:rsidRDefault="00FE2E92" w:rsidP="00FE2E92">
      <w:pPr>
        <w:spacing w:line="360" w:lineRule="auto"/>
        <w:jc w:val="both"/>
        <w:rPr>
          <w:rFonts w:eastAsia="Calibri"/>
          <w:lang w:val="es-419"/>
        </w:rPr>
      </w:pPr>
      <w:r w:rsidRPr="0064264A">
        <w:rPr>
          <w:noProof/>
          <w:lang w:val="es-DO"/>
        </w:rPr>
        <w:lastRenderedPageBreak/>
        <w:drawing>
          <wp:anchor distT="0" distB="0" distL="114300" distR="114300" simplePos="0" relativeHeight="251774976" behindDoc="0" locked="0" layoutInCell="1" allowOverlap="1" wp14:anchorId="33D32016" wp14:editId="1583004B">
            <wp:simplePos x="0" y="0"/>
            <wp:positionH relativeFrom="margin">
              <wp:align>left</wp:align>
            </wp:positionH>
            <wp:positionV relativeFrom="paragraph">
              <wp:posOffset>2870</wp:posOffset>
            </wp:positionV>
            <wp:extent cx="4942205" cy="6504305"/>
            <wp:effectExtent l="0" t="0" r="0" b="0"/>
            <wp:wrapThrough wrapText="bothSides">
              <wp:wrapPolygon edited="0">
                <wp:start x="0" y="0"/>
                <wp:lineTo x="0" y="21509"/>
                <wp:lineTo x="21481" y="21509"/>
                <wp:lineTo x="21481" y="0"/>
                <wp:lineTo x="0" y="0"/>
              </wp:wrapPolygon>
            </wp:wrapThrough>
            <wp:docPr id="1373216035" name="Picture 1" descr="A document with numbers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78700" name="Picture 1" descr="A document with numbers and text"/>
                    <pic:cNvPicPr/>
                  </pic:nvPicPr>
                  <pic:blipFill>
                    <a:blip r:embed="rId50">
                      <a:extLst>
                        <a:ext uri="{28A0092B-C50C-407E-A947-70E740481C1C}">
                          <a14:useLocalDpi xmlns:a14="http://schemas.microsoft.com/office/drawing/2010/main" val="0"/>
                        </a:ext>
                      </a:extLst>
                    </a:blip>
                    <a:stretch>
                      <a:fillRect/>
                    </a:stretch>
                  </pic:blipFill>
                  <pic:spPr>
                    <a:xfrm>
                      <a:off x="0" y="0"/>
                      <a:ext cx="4942205" cy="6504305"/>
                    </a:xfrm>
                    <a:prstGeom prst="rect">
                      <a:avLst/>
                    </a:prstGeom>
                  </pic:spPr>
                </pic:pic>
              </a:graphicData>
            </a:graphic>
            <wp14:sizeRelH relativeFrom="margin">
              <wp14:pctWidth>0</wp14:pctWidth>
            </wp14:sizeRelH>
            <wp14:sizeRelV relativeFrom="margin">
              <wp14:pctHeight>0</wp14:pctHeight>
            </wp14:sizeRelV>
          </wp:anchor>
        </w:drawing>
      </w:r>
      <w:bookmarkStart w:id="64" w:name="_Hlk218864682"/>
      <w:bookmarkEnd w:id="2"/>
      <w:r w:rsidRPr="0064264A">
        <w:rPr>
          <w:rFonts w:eastAsia="Calibri"/>
          <w:lang w:val="es-419"/>
        </w:rPr>
        <w:t xml:space="preserve">                  </w:t>
      </w:r>
      <w:r w:rsidR="00E13696" w:rsidRPr="0064264A">
        <w:rPr>
          <w:rFonts w:eastAsia="Calibri"/>
          <w:b/>
          <w:sz w:val="22"/>
          <w:szCs w:val="22"/>
          <w:lang w:val="es-419"/>
        </w:rPr>
        <w:t>Fuente: Depto. Compras y Contrataciones</w:t>
      </w:r>
    </w:p>
    <w:bookmarkEnd w:id="64"/>
    <w:p w14:paraId="0779003C" w14:textId="0BA61E87" w:rsidR="00654164" w:rsidRPr="0064264A" w:rsidRDefault="00654164" w:rsidP="00E13696">
      <w:pPr>
        <w:spacing w:line="360" w:lineRule="auto"/>
        <w:jc w:val="both"/>
        <w:rPr>
          <w:rFonts w:eastAsia="Calibri"/>
          <w:b/>
          <w:bCs/>
          <w:lang w:val="es-DO"/>
        </w:rPr>
      </w:pPr>
    </w:p>
    <w:sectPr w:rsidR="00654164" w:rsidRPr="0064264A" w:rsidSect="00C64CEF">
      <w:headerReference w:type="default" r:id="rId51"/>
      <w:footerReference w:type="default" r:id="rId52"/>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12DFC" w14:textId="77777777" w:rsidR="006019A4" w:rsidRDefault="006019A4" w:rsidP="00E84651">
      <w:pPr>
        <w:spacing w:after="0" w:line="240" w:lineRule="auto"/>
      </w:pPr>
      <w:r>
        <w:separator/>
      </w:r>
    </w:p>
  </w:endnote>
  <w:endnote w:type="continuationSeparator" w:id="0">
    <w:p w14:paraId="7054F60F" w14:textId="77777777" w:rsidR="006019A4" w:rsidRDefault="006019A4"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tifex CF Extra Light">
    <w:altName w:val="Courier New"/>
    <w:panose1 w:val="00000000000000000000"/>
    <w:charset w:val="00"/>
    <w:family w:val="modern"/>
    <w:notTrueType/>
    <w:pitch w:val="variable"/>
    <w:sig w:usb0="00000007" w:usb1="00000000" w:usb2="00000000" w:usb3="00000000" w:csb0="00000093"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otham Light">
    <w:altName w:val="Calibri"/>
    <w:panose1 w:val="00000000000000000000"/>
    <w:charset w:val="00"/>
    <w:family w:val="modern"/>
    <w:notTrueType/>
    <w:pitch w:val="variable"/>
    <w:sig w:usb0="A10000FF"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4B748" w14:textId="77777777" w:rsidR="00D9267D" w:rsidRPr="007208B2" w:rsidRDefault="00D9267D">
    <w:pPr>
      <w:pStyle w:val="Footer"/>
      <w:jc w:val="center"/>
      <w:rPr>
        <w:rFonts w:asciiTheme="majorHAnsi" w:hAnsiTheme="majorHAnsi" w:cstheme="majorHAnsi"/>
        <w:color w:val="4A4747"/>
        <w:sz w:val="16"/>
        <w:szCs w:val="16"/>
      </w:rPr>
    </w:pPr>
  </w:p>
  <w:p w14:paraId="7E37EF43" w14:textId="77777777" w:rsidR="00D9267D" w:rsidRDefault="00D9267D">
    <w:pPr>
      <w:pStyle w:val="Footer"/>
    </w:pPr>
  </w:p>
  <w:p w14:paraId="42E2E0B1" w14:textId="77777777" w:rsidR="00D9267D" w:rsidRDefault="00D9267D">
    <w:r w:rsidRPr="00213B6D">
      <w:rPr>
        <w:rFonts w:ascii="Gotham Light" w:hAnsi="Gotham Light"/>
        <w:noProof/>
        <w:sz w:val="15"/>
        <w:szCs w:val="15"/>
        <w:lang w:eastAsia="es-DO"/>
      </w:rPr>
      <w:drawing>
        <wp:anchor distT="0" distB="0" distL="114300" distR="114300" simplePos="0" relativeHeight="251657216" behindDoc="1" locked="0" layoutInCell="1" allowOverlap="1" wp14:anchorId="5782C779" wp14:editId="4F2B5D33">
          <wp:simplePos x="0" y="0"/>
          <wp:positionH relativeFrom="margin">
            <wp:align>center</wp:align>
          </wp:positionH>
          <wp:positionV relativeFrom="paragraph">
            <wp:posOffset>130810</wp:posOffset>
          </wp:positionV>
          <wp:extent cx="2413000" cy="292100"/>
          <wp:effectExtent l="0" t="0" r="6350" b="0"/>
          <wp:wrapThrough wrapText="bothSides">
            <wp:wrapPolygon edited="0">
              <wp:start x="10402" y="0"/>
              <wp:lineTo x="0" y="15496"/>
              <wp:lineTo x="0" y="19722"/>
              <wp:lineTo x="9038" y="19722"/>
              <wp:lineTo x="12448" y="19722"/>
              <wp:lineTo x="21486" y="19722"/>
              <wp:lineTo x="21486" y="15496"/>
              <wp:lineTo x="11084" y="0"/>
              <wp:lineTo x="10402" y="0"/>
            </wp:wrapPolygon>
          </wp:wrapThrough>
          <wp:docPr id="870832256" name="Imagen 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p>
  <w:sdt>
    <w:sdtPr>
      <w:id w:val="-762220583"/>
      <w:docPartObj>
        <w:docPartGallery w:val="Page Numbers (Bottom of Page)"/>
        <w:docPartUnique/>
      </w:docPartObj>
    </w:sdtPr>
    <w:sdtEndPr>
      <w:rPr>
        <w:b/>
        <w:noProof/>
        <w:color w:val="4C4747"/>
        <w:sz w:val="16"/>
        <w:szCs w:val="16"/>
      </w:rPr>
    </w:sdtEndPr>
    <w:sdtContent>
      <w:p w14:paraId="14D2C0BE" w14:textId="77777777" w:rsidR="00D9267D" w:rsidRDefault="00D9267D" w:rsidP="00A9357E">
        <w:pPr>
          <w:pStyle w:val="Footer"/>
        </w:pPr>
      </w:p>
      <w:p w14:paraId="7438F5B6" w14:textId="77777777" w:rsidR="00D9267D" w:rsidRPr="00AD0E8C" w:rsidRDefault="00D9267D" w:rsidP="00A9357E">
        <w:pPr>
          <w:pStyle w:val="Footer"/>
          <w:jc w:val="center"/>
          <w:rPr>
            <w:b/>
            <w:color w:val="4C4747"/>
            <w:sz w:val="16"/>
            <w:szCs w:val="16"/>
          </w:rPr>
        </w:pPr>
        <w:r w:rsidRPr="00AD0E8C">
          <w:rPr>
            <w:b/>
            <w:color w:val="4C4747"/>
            <w:sz w:val="16"/>
            <w:szCs w:val="16"/>
          </w:rPr>
          <w:fldChar w:fldCharType="begin"/>
        </w:r>
        <w:r w:rsidRPr="00AD0E8C">
          <w:rPr>
            <w:b/>
            <w:color w:val="4C4747"/>
            <w:sz w:val="16"/>
            <w:szCs w:val="16"/>
          </w:rPr>
          <w:instrText xml:space="preserve"> PAGE   \* MERGEFORMAT </w:instrText>
        </w:r>
        <w:r w:rsidRPr="00AD0E8C">
          <w:rPr>
            <w:b/>
            <w:color w:val="4C4747"/>
            <w:sz w:val="16"/>
            <w:szCs w:val="16"/>
          </w:rPr>
          <w:fldChar w:fldCharType="separate"/>
        </w:r>
        <w:r w:rsidRPr="00AD0E8C">
          <w:rPr>
            <w:b/>
            <w:color w:val="4C4747"/>
            <w:sz w:val="16"/>
            <w:szCs w:val="16"/>
          </w:rPr>
          <w:t>4</w:t>
        </w:r>
        <w:r w:rsidRPr="00AD0E8C">
          <w:rPr>
            <w:b/>
            <w:noProof/>
            <w:color w:val="4C4747"/>
            <w:sz w:val="16"/>
            <w:szCs w:val="16"/>
          </w:rPr>
          <w:fldChar w:fldCharType="end"/>
        </w:r>
      </w:p>
    </w:sdtContent>
  </w:sdt>
  <w:p w14:paraId="48374C44" w14:textId="77777777" w:rsidR="00D9267D" w:rsidRDefault="00D9267D"/>
  <w:p w14:paraId="0C759E01" w14:textId="77777777" w:rsidR="00D9267D" w:rsidRDefault="00D926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34B1D" w14:textId="77777777" w:rsidR="00D9267D" w:rsidRPr="00F73DB6" w:rsidRDefault="00D9267D">
    <w:pPr>
      <w:pStyle w:val="Footer"/>
      <w:jc w:val="center"/>
      <w:rPr>
        <w:sz w:val="16"/>
        <w:szCs w:val="16"/>
      </w:rPr>
    </w:pPr>
    <w:r w:rsidRPr="00213B6D">
      <w:rPr>
        <w:rFonts w:ascii="Gotham Light" w:hAnsi="Gotham Light"/>
        <w:noProof/>
        <w:sz w:val="15"/>
        <w:szCs w:val="15"/>
        <w:lang w:eastAsia="es-DO"/>
      </w:rPr>
      <w:drawing>
        <wp:anchor distT="0" distB="0" distL="114300" distR="114300" simplePos="0" relativeHeight="251658240" behindDoc="1" locked="0" layoutInCell="1" allowOverlap="1" wp14:anchorId="4980BA93" wp14:editId="6A82750A">
          <wp:simplePos x="0" y="0"/>
          <wp:positionH relativeFrom="margin">
            <wp:align>center</wp:align>
          </wp:positionH>
          <wp:positionV relativeFrom="paragraph">
            <wp:posOffset>-400685</wp:posOffset>
          </wp:positionV>
          <wp:extent cx="2411846" cy="370205"/>
          <wp:effectExtent l="0" t="0" r="7620" b="0"/>
          <wp:wrapNone/>
          <wp:docPr id="1439419453" name="Imagen 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1846" cy="370205"/>
                  </a:xfrm>
                  <a:prstGeom prst="rect">
                    <a:avLst/>
                  </a:prstGeom>
                </pic:spPr>
              </pic:pic>
            </a:graphicData>
          </a:graphic>
          <wp14:sizeRelH relativeFrom="page">
            <wp14:pctWidth>0</wp14:pctWidth>
          </wp14:sizeRelH>
          <wp14:sizeRelV relativeFrom="page">
            <wp14:pctHeight>0</wp14:pctHeight>
          </wp14:sizeRelV>
        </wp:anchor>
      </w:drawing>
    </w:r>
    <w:r w:rsidRPr="00F73DB6">
      <w:rPr>
        <w:sz w:val="16"/>
        <w:szCs w:val="16"/>
      </w:rPr>
      <w:t>-</w:t>
    </w:r>
    <w:sdt>
      <w:sdtPr>
        <w:rPr>
          <w:sz w:val="16"/>
          <w:szCs w:val="16"/>
        </w:rPr>
        <w:id w:val="604245536"/>
        <w:docPartObj>
          <w:docPartGallery w:val="Page Numbers (Bottom of Page)"/>
          <w:docPartUnique/>
        </w:docPartObj>
      </w:sdtPr>
      <w:sdtEndPr>
        <w:rPr>
          <w:noProof/>
        </w:rPr>
      </w:sdtEndPr>
      <w:sdtContent>
        <w:r w:rsidRPr="00F73DB6">
          <w:rPr>
            <w:sz w:val="16"/>
            <w:szCs w:val="16"/>
          </w:rPr>
          <w:fldChar w:fldCharType="begin"/>
        </w:r>
        <w:r w:rsidRPr="00F73DB6">
          <w:rPr>
            <w:sz w:val="16"/>
            <w:szCs w:val="16"/>
          </w:rPr>
          <w:instrText xml:space="preserve"> PAGE   \* MERGEFORMAT </w:instrText>
        </w:r>
        <w:r w:rsidRPr="00F73DB6">
          <w:rPr>
            <w:sz w:val="16"/>
            <w:szCs w:val="16"/>
          </w:rPr>
          <w:fldChar w:fldCharType="separate"/>
        </w:r>
        <w:r w:rsidRPr="00F73DB6">
          <w:rPr>
            <w:noProof/>
            <w:sz w:val="16"/>
            <w:szCs w:val="16"/>
          </w:rPr>
          <w:t>2</w:t>
        </w:r>
        <w:r w:rsidRPr="00F73DB6">
          <w:rPr>
            <w:noProof/>
            <w:sz w:val="16"/>
            <w:szCs w:val="16"/>
          </w:rPr>
          <w:fldChar w:fldCharType="end"/>
        </w:r>
        <w:r w:rsidRPr="00F73DB6">
          <w:rPr>
            <w:noProof/>
            <w:sz w:val="16"/>
            <w:szCs w:val="16"/>
          </w:rPr>
          <w:t>-</w:t>
        </w:r>
      </w:sdtContent>
    </w:sdt>
  </w:p>
  <w:p w14:paraId="0C856C5C" w14:textId="77777777" w:rsidR="00D9267D" w:rsidRDefault="00D926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E018" w14:textId="77777777" w:rsidR="00D9267D" w:rsidRPr="00F73DB6" w:rsidRDefault="00D9267D">
    <w:pPr>
      <w:pStyle w:val="Footer"/>
      <w:jc w:val="center"/>
      <w:rPr>
        <w:sz w:val="16"/>
        <w:szCs w:val="16"/>
      </w:rPr>
    </w:pPr>
    <w:r w:rsidRPr="00213B6D">
      <w:rPr>
        <w:rFonts w:ascii="Gotham Light" w:hAnsi="Gotham Light"/>
        <w:noProof/>
        <w:sz w:val="15"/>
        <w:szCs w:val="15"/>
        <w:lang w:eastAsia="es-DO"/>
      </w:rPr>
      <w:drawing>
        <wp:anchor distT="0" distB="0" distL="114300" distR="114300" simplePos="0" relativeHeight="251659264" behindDoc="1" locked="0" layoutInCell="1" allowOverlap="1" wp14:anchorId="0706872D" wp14:editId="207C7329">
          <wp:simplePos x="0" y="0"/>
          <wp:positionH relativeFrom="margin">
            <wp:align>center</wp:align>
          </wp:positionH>
          <wp:positionV relativeFrom="paragraph">
            <wp:posOffset>-400685</wp:posOffset>
          </wp:positionV>
          <wp:extent cx="2411846" cy="370205"/>
          <wp:effectExtent l="0" t="0" r="7620" b="0"/>
          <wp:wrapNone/>
          <wp:docPr id="1008900089" name="Imagen 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1846" cy="370205"/>
                  </a:xfrm>
                  <a:prstGeom prst="rect">
                    <a:avLst/>
                  </a:prstGeom>
                </pic:spPr>
              </pic:pic>
            </a:graphicData>
          </a:graphic>
          <wp14:sizeRelH relativeFrom="page">
            <wp14:pctWidth>0</wp14:pctWidth>
          </wp14:sizeRelH>
          <wp14:sizeRelV relativeFrom="page">
            <wp14:pctHeight>0</wp14:pctHeight>
          </wp14:sizeRelV>
        </wp:anchor>
      </w:drawing>
    </w:r>
    <w:r w:rsidRPr="00F73DB6">
      <w:rPr>
        <w:sz w:val="16"/>
        <w:szCs w:val="16"/>
      </w:rPr>
      <w:t>-</w:t>
    </w:r>
    <w:sdt>
      <w:sdtPr>
        <w:rPr>
          <w:sz w:val="16"/>
          <w:szCs w:val="16"/>
        </w:rPr>
        <w:id w:val="951985431"/>
        <w:docPartObj>
          <w:docPartGallery w:val="Page Numbers (Bottom of Page)"/>
          <w:docPartUnique/>
        </w:docPartObj>
      </w:sdtPr>
      <w:sdtEndPr>
        <w:rPr>
          <w:noProof/>
        </w:rPr>
      </w:sdtEndPr>
      <w:sdtContent>
        <w:r w:rsidRPr="00F73DB6">
          <w:rPr>
            <w:sz w:val="16"/>
            <w:szCs w:val="16"/>
          </w:rPr>
          <w:fldChar w:fldCharType="begin"/>
        </w:r>
        <w:r w:rsidRPr="00F73DB6">
          <w:rPr>
            <w:sz w:val="16"/>
            <w:szCs w:val="16"/>
          </w:rPr>
          <w:instrText xml:space="preserve"> PAGE   \* MERGEFORMAT </w:instrText>
        </w:r>
        <w:r w:rsidRPr="00F73DB6">
          <w:rPr>
            <w:sz w:val="16"/>
            <w:szCs w:val="16"/>
          </w:rPr>
          <w:fldChar w:fldCharType="separate"/>
        </w:r>
        <w:r w:rsidRPr="00F73DB6">
          <w:rPr>
            <w:noProof/>
            <w:sz w:val="16"/>
            <w:szCs w:val="16"/>
          </w:rPr>
          <w:t>2</w:t>
        </w:r>
        <w:r w:rsidRPr="00F73DB6">
          <w:rPr>
            <w:noProof/>
            <w:sz w:val="16"/>
            <w:szCs w:val="16"/>
          </w:rPr>
          <w:fldChar w:fldCharType="end"/>
        </w:r>
        <w:r w:rsidRPr="00F73DB6">
          <w:rPr>
            <w:noProof/>
            <w:sz w:val="16"/>
            <w:szCs w:val="16"/>
          </w:rPr>
          <w:t>-</w:t>
        </w:r>
      </w:sdtContent>
    </w:sdt>
  </w:p>
  <w:p w14:paraId="4D31BBEE" w14:textId="77777777" w:rsidR="00D9267D" w:rsidRDefault="00D926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lang w:val="es-DO" w:eastAsia="es-DO"/>
          </w:rPr>
          <w:drawing>
            <wp:anchor distT="0" distB="0" distL="114300" distR="114300" simplePos="0" relativeHeight="251656192"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color w:val="7F7F7F" w:themeColor="text1" w:themeTint="80"/>
          </w:rPr>
        </w:pPr>
      </w:p>
      <w:p w14:paraId="2B095E5E" w14:textId="31242D05" w:rsidR="006E3F08" w:rsidRDefault="00B07742" w:rsidP="00FB7EE3">
        <w:pPr>
          <w:pStyle w:val="Footer"/>
          <w:jc w:val="center"/>
        </w:pPr>
        <w:r>
          <w:rPr>
            <w:color w:val="7F7F7F" w:themeColor="text1" w:themeTint="80"/>
          </w:rPr>
          <w:t xml:space="preserve"> </w:t>
        </w:r>
        <w:r w:rsidR="006E3F08" w:rsidRPr="00F74112">
          <w:rPr>
            <w:color w:val="7F7F7F" w:themeColor="text1" w:themeTint="80"/>
          </w:rPr>
          <w:fldChar w:fldCharType="begin"/>
        </w:r>
        <w:r w:rsidR="006E3F08" w:rsidRPr="00F74112">
          <w:rPr>
            <w:color w:val="7F7F7F" w:themeColor="text1" w:themeTint="80"/>
          </w:rPr>
          <w:instrText xml:space="preserve"> PAGE   \* MERGEFORMAT </w:instrText>
        </w:r>
        <w:r w:rsidR="006E3F08" w:rsidRPr="00F74112">
          <w:rPr>
            <w:color w:val="7F7F7F" w:themeColor="text1" w:themeTint="80"/>
          </w:rPr>
          <w:fldChar w:fldCharType="separate"/>
        </w:r>
        <w:r w:rsidR="00380EEE">
          <w:rPr>
            <w:noProof/>
            <w:color w:val="7F7F7F" w:themeColor="text1" w:themeTint="80"/>
          </w:rPr>
          <w:t>11</w:t>
        </w:r>
        <w:r w:rsidR="006E3F08"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1544D" w14:textId="77777777" w:rsidR="006019A4" w:rsidRDefault="006019A4" w:rsidP="00E84651">
      <w:pPr>
        <w:spacing w:after="0" w:line="240" w:lineRule="auto"/>
      </w:pPr>
      <w:r>
        <w:separator/>
      </w:r>
    </w:p>
  </w:footnote>
  <w:footnote w:type="continuationSeparator" w:id="0">
    <w:p w14:paraId="26296F2B" w14:textId="77777777" w:rsidR="006019A4" w:rsidRDefault="006019A4" w:rsidP="00E84651">
      <w:pPr>
        <w:spacing w:after="0" w:line="240" w:lineRule="auto"/>
      </w:pPr>
      <w:r>
        <w:continuationSeparator/>
      </w:r>
    </w:p>
  </w:footnote>
  <w:footnote w:id="1">
    <w:p w14:paraId="34718D41" w14:textId="77777777" w:rsidR="00D9267D" w:rsidRPr="001402D9" w:rsidRDefault="00D9267D" w:rsidP="00D9267D">
      <w:pPr>
        <w:pStyle w:val="FootnoteText"/>
        <w:jc w:val="both"/>
        <w:rPr>
          <w:lang w:val="es-DO"/>
        </w:rPr>
      </w:pPr>
      <w:r>
        <w:rPr>
          <w:rStyle w:val="FootnoteReference"/>
        </w:rPr>
        <w:footnoteRef/>
      </w:r>
      <w:r w:rsidRPr="001402D9">
        <w:rPr>
          <w:lang w:val="es-DO"/>
        </w:rPr>
        <w:t xml:space="preserve"> La distribución en los niveles d</w:t>
      </w:r>
      <w:r>
        <w:rPr>
          <w:lang w:val="es-DO"/>
        </w:rPr>
        <w:t xml:space="preserve">e logros para el </w:t>
      </w:r>
      <w:r w:rsidRPr="001402D9">
        <w:rPr>
          <w:lang w:val="es-DO"/>
        </w:rPr>
        <w:t xml:space="preserve">Plan Estratégico Institucional </w:t>
      </w:r>
      <w:r>
        <w:rPr>
          <w:lang w:val="es-DO"/>
        </w:rPr>
        <w:t xml:space="preserve">(PEI) 2022-2025 atribuye un 25 % de avance a cada año del referido Plan Estratégico. En este sentido, el nivel de logro acumulado (meta) a diciembre del 2025 representa, hasta esta fecha, un 100.00 % del PEI 2022-2025.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3D4"/>
    <w:multiLevelType w:val="multilevel"/>
    <w:tmpl w:val="52DE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E3BD4"/>
    <w:multiLevelType w:val="multilevel"/>
    <w:tmpl w:val="F60CD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03DDB"/>
    <w:multiLevelType w:val="hybridMultilevel"/>
    <w:tmpl w:val="96D6F5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CB768E2"/>
    <w:multiLevelType w:val="multilevel"/>
    <w:tmpl w:val="0C58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50243"/>
    <w:multiLevelType w:val="hybridMultilevel"/>
    <w:tmpl w:val="6FCC7A38"/>
    <w:lvl w:ilvl="0" w:tplc="21480E2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8553A"/>
    <w:multiLevelType w:val="hybridMultilevel"/>
    <w:tmpl w:val="B4B4E89A"/>
    <w:lvl w:ilvl="0" w:tplc="750A8934">
      <w:start w:val="17"/>
      <w:numFmt w:val="bullet"/>
      <w:lvlText w:val="•"/>
      <w:lvlJc w:val="left"/>
      <w:pPr>
        <w:ind w:left="720" w:hanging="360"/>
      </w:pPr>
      <w:rPr>
        <w:rFonts w:ascii="Times New Roman" w:eastAsia="Calibr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5DE1B0B"/>
    <w:multiLevelType w:val="hybridMultilevel"/>
    <w:tmpl w:val="636458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67F2869"/>
    <w:multiLevelType w:val="multilevel"/>
    <w:tmpl w:val="1338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47B76"/>
    <w:multiLevelType w:val="hybridMultilevel"/>
    <w:tmpl w:val="43DE3192"/>
    <w:lvl w:ilvl="0" w:tplc="1C0A0001">
      <w:start w:val="1"/>
      <w:numFmt w:val="bullet"/>
      <w:lvlText w:val=""/>
      <w:lvlJc w:val="left"/>
      <w:pPr>
        <w:ind w:left="1440" w:hanging="360"/>
      </w:pPr>
      <w:rPr>
        <w:rFonts w:ascii="Symbol" w:hAnsi="Symbol" w:hint="default"/>
        <w:color w:val="auto"/>
        <w:sz w:val="24"/>
        <w:szCs w:val="16"/>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B9A1EF8"/>
    <w:multiLevelType w:val="hybridMultilevel"/>
    <w:tmpl w:val="8D36F0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C77489B"/>
    <w:multiLevelType w:val="hybridMultilevel"/>
    <w:tmpl w:val="2B8624F0"/>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CB50544"/>
    <w:multiLevelType w:val="multilevel"/>
    <w:tmpl w:val="6918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73A26"/>
    <w:multiLevelType w:val="multilevel"/>
    <w:tmpl w:val="0104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BD2E73"/>
    <w:multiLevelType w:val="hybridMultilevel"/>
    <w:tmpl w:val="6E508A56"/>
    <w:lvl w:ilvl="0" w:tplc="E79C0368">
      <w:start w:val="1"/>
      <w:numFmt w:val="bullet"/>
      <w:lvlText w:val=""/>
      <w:lvlJc w:val="left"/>
      <w:pPr>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54E64B7"/>
    <w:multiLevelType w:val="multilevel"/>
    <w:tmpl w:val="246A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6E3D85"/>
    <w:multiLevelType w:val="multilevel"/>
    <w:tmpl w:val="C7A47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C245EA"/>
    <w:multiLevelType w:val="multilevel"/>
    <w:tmpl w:val="CF8E1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3207F6"/>
    <w:multiLevelType w:val="multilevel"/>
    <w:tmpl w:val="44F0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CC3214"/>
    <w:multiLevelType w:val="hybridMultilevel"/>
    <w:tmpl w:val="BA862982"/>
    <w:lvl w:ilvl="0" w:tplc="04090001">
      <w:start w:val="1"/>
      <w:numFmt w:val="bullet"/>
      <w:lvlText w:val=""/>
      <w:lvlJc w:val="left"/>
      <w:pPr>
        <w:ind w:left="1710" w:hanging="360"/>
      </w:pPr>
      <w:rPr>
        <w:rFonts w:ascii="Symbol" w:hAnsi="Symbol" w:hint="default"/>
      </w:rPr>
    </w:lvl>
    <w:lvl w:ilvl="1" w:tplc="1C0A0003" w:tentative="1">
      <w:start w:val="1"/>
      <w:numFmt w:val="bullet"/>
      <w:lvlText w:val="o"/>
      <w:lvlJc w:val="left"/>
      <w:pPr>
        <w:ind w:left="2430" w:hanging="360"/>
      </w:pPr>
      <w:rPr>
        <w:rFonts w:ascii="Courier New" w:hAnsi="Courier New" w:cs="Courier New" w:hint="default"/>
      </w:rPr>
    </w:lvl>
    <w:lvl w:ilvl="2" w:tplc="1C0A0005" w:tentative="1">
      <w:start w:val="1"/>
      <w:numFmt w:val="bullet"/>
      <w:lvlText w:val=""/>
      <w:lvlJc w:val="left"/>
      <w:pPr>
        <w:ind w:left="3150" w:hanging="360"/>
      </w:pPr>
      <w:rPr>
        <w:rFonts w:ascii="Wingdings" w:hAnsi="Wingdings" w:hint="default"/>
      </w:rPr>
    </w:lvl>
    <w:lvl w:ilvl="3" w:tplc="1C0A0001" w:tentative="1">
      <w:start w:val="1"/>
      <w:numFmt w:val="bullet"/>
      <w:lvlText w:val=""/>
      <w:lvlJc w:val="left"/>
      <w:pPr>
        <w:ind w:left="3870" w:hanging="360"/>
      </w:pPr>
      <w:rPr>
        <w:rFonts w:ascii="Symbol" w:hAnsi="Symbol" w:hint="default"/>
      </w:rPr>
    </w:lvl>
    <w:lvl w:ilvl="4" w:tplc="1C0A0003" w:tentative="1">
      <w:start w:val="1"/>
      <w:numFmt w:val="bullet"/>
      <w:lvlText w:val="o"/>
      <w:lvlJc w:val="left"/>
      <w:pPr>
        <w:ind w:left="4590" w:hanging="360"/>
      </w:pPr>
      <w:rPr>
        <w:rFonts w:ascii="Courier New" w:hAnsi="Courier New" w:cs="Courier New" w:hint="default"/>
      </w:rPr>
    </w:lvl>
    <w:lvl w:ilvl="5" w:tplc="1C0A0005" w:tentative="1">
      <w:start w:val="1"/>
      <w:numFmt w:val="bullet"/>
      <w:lvlText w:val=""/>
      <w:lvlJc w:val="left"/>
      <w:pPr>
        <w:ind w:left="5310" w:hanging="360"/>
      </w:pPr>
      <w:rPr>
        <w:rFonts w:ascii="Wingdings" w:hAnsi="Wingdings" w:hint="default"/>
      </w:rPr>
    </w:lvl>
    <w:lvl w:ilvl="6" w:tplc="1C0A0001" w:tentative="1">
      <w:start w:val="1"/>
      <w:numFmt w:val="bullet"/>
      <w:lvlText w:val=""/>
      <w:lvlJc w:val="left"/>
      <w:pPr>
        <w:ind w:left="6030" w:hanging="360"/>
      </w:pPr>
      <w:rPr>
        <w:rFonts w:ascii="Symbol" w:hAnsi="Symbol" w:hint="default"/>
      </w:rPr>
    </w:lvl>
    <w:lvl w:ilvl="7" w:tplc="1C0A0003" w:tentative="1">
      <w:start w:val="1"/>
      <w:numFmt w:val="bullet"/>
      <w:lvlText w:val="o"/>
      <w:lvlJc w:val="left"/>
      <w:pPr>
        <w:ind w:left="6750" w:hanging="360"/>
      </w:pPr>
      <w:rPr>
        <w:rFonts w:ascii="Courier New" w:hAnsi="Courier New" w:cs="Courier New" w:hint="default"/>
      </w:rPr>
    </w:lvl>
    <w:lvl w:ilvl="8" w:tplc="1C0A0005" w:tentative="1">
      <w:start w:val="1"/>
      <w:numFmt w:val="bullet"/>
      <w:lvlText w:val=""/>
      <w:lvlJc w:val="left"/>
      <w:pPr>
        <w:ind w:left="7470" w:hanging="360"/>
      </w:pPr>
      <w:rPr>
        <w:rFonts w:ascii="Wingdings" w:hAnsi="Wingdings" w:hint="default"/>
      </w:rPr>
    </w:lvl>
  </w:abstractNum>
  <w:abstractNum w:abstractNumId="19" w15:restartNumberingAfterBreak="0">
    <w:nsid w:val="2E5B10C9"/>
    <w:multiLevelType w:val="hybridMultilevel"/>
    <w:tmpl w:val="2446E1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2FD70BDA"/>
    <w:multiLevelType w:val="hybridMultilevel"/>
    <w:tmpl w:val="D960C37C"/>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61401B"/>
    <w:multiLevelType w:val="hybridMultilevel"/>
    <w:tmpl w:val="347E13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422454B"/>
    <w:multiLevelType w:val="multilevel"/>
    <w:tmpl w:val="07EC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3A6222"/>
    <w:multiLevelType w:val="hybridMultilevel"/>
    <w:tmpl w:val="013A6DDE"/>
    <w:lvl w:ilvl="0" w:tplc="361C23EE">
      <w:numFmt w:val="bullet"/>
      <w:lvlText w:val="-"/>
      <w:lvlJc w:val="left"/>
      <w:pPr>
        <w:ind w:left="720" w:hanging="360"/>
      </w:pPr>
      <w:rPr>
        <w:rFonts w:ascii="Verdana" w:eastAsia="Verdana" w:hAnsi="Verdana" w:cs="Verdana" w:hint="default"/>
        <w:color w:val="737373"/>
        <w:w w:val="84"/>
        <w:sz w:val="21"/>
        <w:szCs w:val="21"/>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C413BD8"/>
    <w:multiLevelType w:val="multilevel"/>
    <w:tmpl w:val="2CFA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CA1FB6"/>
    <w:multiLevelType w:val="hybridMultilevel"/>
    <w:tmpl w:val="69A2C9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EE526CC"/>
    <w:multiLevelType w:val="multilevel"/>
    <w:tmpl w:val="1FEC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401C05"/>
    <w:multiLevelType w:val="multilevel"/>
    <w:tmpl w:val="4C70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212011"/>
    <w:multiLevelType w:val="multilevel"/>
    <w:tmpl w:val="DA625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247D5E"/>
    <w:multiLevelType w:val="hybridMultilevel"/>
    <w:tmpl w:val="8C84275A"/>
    <w:lvl w:ilvl="0" w:tplc="750A8934">
      <w:start w:val="17"/>
      <w:numFmt w:val="bullet"/>
      <w:lvlText w:val="•"/>
      <w:lvlJc w:val="left"/>
      <w:pPr>
        <w:ind w:left="720" w:hanging="360"/>
      </w:pPr>
      <w:rPr>
        <w:rFonts w:ascii="Times New Roman" w:eastAsia="Calibr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5062083A"/>
    <w:multiLevelType w:val="hybridMultilevel"/>
    <w:tmpl w:val="7408C728"/>
    <w:lvl w:ilvl="0" w:tplc="6632F3E0">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1" w15:restartNumberingAfterBreak="0">
    <w:nsid w:val="50A45D92"/>
    <w:multiLevelType w:val="hybridMultilevel"/>
    <w:tmpl w:val="CA06D0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1433E9E"/>
    <w:multiLevelType w:val="hybridMultilevel"/>
    <w:tmpl w:val="6D68CCBE"/>
    <w:lvl w:ilvl="0" w:tplc="321488CC">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BD3809"/>
    <w:multiLevelType w:val="hybridMultilevel"/>
    <w:tmpl w:val="DA1CF76E"/>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54626AB"/>
    <w:multiLevelType w:val="multilevel"/>
    <w:tmpl w:val="609E1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040DD7"/>
    <w:multiLevelType w:val="multilevel"/>
    <w:tmpl w:val="5B3C6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CE40AF"/>
    <w:multiLevelType w:val="multilevel"/>
    <w:tmpl w:val="7862A2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3A6007"/>
    <w:multiLevelType w:val="multilevel"/>
    <w:tmpl w:val="53CA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946A5E"/>
    <w:multiLevelType w:val="hybridMultilevel"/>
    <w:tmpl w:val="BBEE4D18"/>
    <w:lvl w:ilvl="0" w:tplc="E79C0368">
      <w:start w:val="1"/>
      <w:numFmt w:val="bullet"/>
      <w:lvlText w:val=""/>
      <w:lvlJc w:val="left"/>
      <w:pPr>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2465B3A"/>
    <w:multiLevelType w:val="hybridMultilevel"/>
    <w:tmpl w:val="F0A6D1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B21149B"/>
    <w:multiLevelType w:val="hybridMultilevel"/>
    <w:tmpl w:val="74044E4C"/>
    <w:lvl w:ilvl="0" w:tplc="750A8934">
      <w:start w:val="17"/>
      <w:numFmt w:val="bullet"/>
      <w:lvlText w:val="•"/>
      <w:lvlJc w:val="left"/>
      <w:pPr>
        <w:ind w:left="720" w:hanging="360"/>
      </w:pPr>
      <w:rPr>
        <w:rFonts w:ascii="Times New Roman" w:eastAsia="Calibr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6DD30A14"/>
    <w:multiLevelType w:val="multilevel"/>
    <w:tmpl w:val="8BE0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7A5AF5"/>
    <w:multiLevelType w:val="multilevel"/>
    <w:tmpl w:val="75C0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4F5FF8"/>
    <w:multiLevelType w:val="multilevel"/>
    <w:tmpl w:val="1592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367E6D"/>
    <w:multiLevelType w:val="hybridMultilevel"/>
    <w:tmpl w:val="2612E838"/>
    <w:lvl w:ilvl="0" w:tplc="E79C0368">
      <w:start w:val="1"/>
      <w:numFmt w:val="bullet"/>
      <w:lvlText w:val=""/>
      <w:lvlJc w:val="left"/>
      <w:pPr>
        <w:ind w:left="720" w:hanging="360"/>
      </w:pPr>
      <w:rPr>
        <w:rFonts w:ascii="Symbol" w:hAnsi="Symbol" w:hint="default"/>
        <w:color w:val="000000" w:themeColor="text1"/>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47A48A9"/>
    <w:multiLevelType w:val="multilevel"/>
    <w:tmpl w:val="84BE0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B21D3E"/>
    <w:multiLevelType w:val="hybridMultilevel"/>
    <w:tmpl w:val="2888346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770264F2"/>
    <w:multiLevelType w:val="multilevel"/>
    <w:tmpl w:val="D464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2D46CD"/>
    <w:multiLevelType w:val="hybridMultilevel"/>
    <w:tmpl w:val="FED24256"/>
    <w:lvl w:ilvl="0" w:tplc="04090001">
      <w:start w:val="1"/>
      <w:numFmt w:val="bullet"/>
      <w:lvlText w:val=""/>
      <w:lvlJc w:val="left"/>
      <w:pPr>
        <w:ind w:left="1080" w:hanging="360"/>
      </w:pPr>
      <w:rPr>
        <w:rFonts w:ascii="Symbol" w:hAnsi="Symbol" w:hint="default"/>
        <w:color w:val="auto"/>
        <w:sz w:val="24"/>
        <w:szCs w:val="16"/>
      </w:rPr>
    </w:lvl>
    <w:lvl w:ilvl="1" w:tplc="04090001">
      <w:start w:val="1"/>
      <w:numFmt w:val="bullet"/>
      <w:lvlText w:val=""/>
      <w:lvlJc w:val="left"/>
      <w:pPr>
        <w:ind w:left="720" w:hanging="360"/>
      </w:pPr>
      <w:rPr>
        <w:rFonts w:ascii="Symbol" w:hAnsi="Symbol" w:hint="default"/>
      </w:rPr>
    </w:lvl>
    <w:lvl w:ilvl="2" w:tplc="1C0A0005">
      <w:start w:val="1"/>
      <w:numFmt w:val="bullet"/>
      <w:lvlText w:val=""/>
      <w:lvlJc w:val="left"/>
      <w:pPr>
        <w:ind w:left="2520" w:hanging="360"/>
      </w:pPr>
      <w:rPr>
        <w:rFonts w:ascii="Wingdings" w:hAnsi="Wingdings" w:hint="default"/>
      </w:rPr>
    </w:lvl>
    <w:lvl w:ilvl="3" w:tplc="1C0A0001">
      <w:start w:val="1"/>
      <w:numFmt w:val="bullet"/>
      <w:lvlText w:val=""/>
      <w:lvlJc w:val="left"/>
      <w:pPr>
        <w:ind w:left="3240" w:hanging="360"/>
      </w:pPr>
      <w:rPr>
        <w:rFonts w:ascii="Symbol" w:hAnsi="Symbol" w:hint="default"/>
      </w:rPr>
    </w:lvl>
    <w:lvl w:ilvl="4" w:tplc="1C0A0003">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9" w15:restartNumberingAfterBreak="0">
    <w:nsid w:val="7C691CF9"/>
    <w:multiLevelType w:val="multilevel"/>
    <w:tmpl w:val="5FE0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855638">
    <w:abstractNumId w:val="23"/>
  </w:num>
  <w:num w:numId="2" w16cid:durableId="947470277">
    <w:abstractNumId w:val="7"/>
  </w:num>
  <w:num w:numId="3" w16cid:durableId="921913099">
    <w:abstractNumId w:val="17"/>
  </w:num>
  <w:num w:numId="4" w16cid:durableId="1327174207">
    <w:abstractNumId w:val="41"/>
  </w:num>
  <w:num w:numId="5" w16cid:durableId="796220627">
    <w:abstractNumId w:val="16"/>
  </w:num>
  <w:num w:numId="6" w16cid:durableId="319817310">
    <w:abstractNumId w:val="36"/>
  </w:num>
  <w:num w:numId="7" w16cid:durableId="1549954907">
    <w:abstractNumId w:val="37"/>
  </w:num>
  <w:num w:numId="8" w16cid:durableId="1334256198">
    <w:abstractNumId w:val="5"/>
  </w:num>
  <w:num w:numId="9" w16cid:durableId="632369683">
    <w:abstractNumId w:val="40"/>
  </w:num>
  <w:num w:numId="10" w16cid:durableId="1092245192">
    <w:abstractNumId w:val="29"/>
  </w:num>
  <w:num w:numId="11" w16cid:durableId="1622027608">
    <w:abstractNumId w:val="30"/>
  </w:num>
  <w:num w:numId="12" w16cid:durableId="1086225605">
    <w:abstractNumId w:val="33"/>
  </w:num>
  <w:num w:numId="13" w16cid:durableId="535848182">
    <w:abstractNumId w:val="10"/>
  </w:num>
  <w:num w:numId="14" w16cid:durableId="2060394070">
    <w:abstractNumId w:val="18"/>
  </w:num>
  <w:num w:numId="15" w16cid:durableId="1067847583">
    <w:abstractNumId w:val="44"/>
  </w:num>
  <w:num w:numId="16" w16cid:durableId="1297032223">
    <w:abstractNumId w:val="13"/>
  </w:num>
  <w:num w:numId="17" w16cid:durableId="1987973340">
    <w:abstractNumId w:val="31"/>
  </w:num>
  <w:num w:numId="18" w16cid:durableId="86389194">
    <w:abstractNumId w:val="9"/>
  </w:num>
  <w:num w:numId="19" w16cid:durableId="1136988055">
    <w:abstractNumId w:val="46"/>
  </w:num>
  <w:num w:numId="20" w16cid:durableId="636376329">
    <w:abstractNumId w:val="38"/>
  </w:num>
  <w:num w:numId="21" w16cid:durableId="1296640959">
    <w:abstractNumId w:val="20"/>
  </w:num>
  <w:num w:numId="22" w16cid:durableId="1167788208">
    <w:abstractNumId w:val="0"/>
  </w:num>
  <w:num w:numId="23" w16cid:durableId="1863737418">
    <w:abstractNumId w:val="34"/>
  </w:num>
  <w:num w:numId="24" w16cid:durableId="716470723">
    <w:abstractNumId w:val="26"/>
  </w:num>
  <w:num w:numId="25" w16cid:durableId="1727798850">
    <w:abstractNumId w:val="45"/>
  </w:num>
  <w:num w:numId="26" w16cid:durableId="1566337258">
    <w:abstractNumId w:val="1"/>
  </w:num>
  <w:num w:numId="27" w16cid:durableId="2121876709">
    <w:abstractNumId w:val="14"/>
  </w:num>
  <w:num w:numId="28" w16cid:durableId="683672845">
    <w:abstractNumId w:val="35"/>
  </w:num>
  <w:num w:numId="29" w16cid:durableId="194122866">
    <w:abstractNumId w:val="49"/>
  </w:num>
  <w:num w:numId="30" w16cid:durableId="655646676">
    <w:abstractNumId w:val="48"/>
  </w:num>
  <w:num w:numId="31" w16cid:durableId="2073767752">
    <w:abstractNumId w:val="43"/>
  </w:num>
  <w:num w:numId="32" w16cid:durableId="1144472985">
    <w:abstractNumId w:val="12"/>
  </w:num>
  <w:num w:numId="33" w16cid:durableId="82991893">
    <w:abstractNumId w:val="24"/>
  </w:num>
  <w:num w:numId="34" w16cid:durableId="1831750782">
    <w:abstractNumId w:val="47"/>
  </w:num>
  <w:num w:numId="35" w16cid:durableId="1380084177">
    <w:abstractNumId w:val="27"/>
  </w:num>
  <w:num w:numId="36" w16cid:durableId="397482612">
    <w:abstractNumId w:val="22"/>
  </w:num>
  <w:num w:numId="37" w16cid:durableId="993609649">
    <w:abstractNumId w:val="3"/>
  </w:num>
  <w:num w:numId="38" w16cid:durableId="1153914449">
    <w:abstractNumId w:val="15"/>
  </w:num>
  <w:num w:numId="39" w16cid:durableId="101001118">
    <w:abstractNumId w:val="19"/>
  </w:num>
  <w:num w:numId="40" w16cid:durableId="1077361913">
    <w:abstractNumId w:val="28"/>
  </w:num>
  <w:num w:numId="41" w16cid:durableId="684987520">
    <w:abstractNumId w:val="8"/>
  </w:num>
  <w:num w:numId="42" w16cid:durableId="164638584">
    <w:abstractNumId w:val="32"/>
  </w:num>
  <w:num w:numId="43" w16cid:durableId="360858182">
    <w:abstractNumId w:val="4"/>
  </w:num>
  <w:num w:numId="44" w16cid:durableId="522673158">
    <w:abstractNumId w:val="42"/>
  </w:num>
  <w:num w:numId="45" w16cid:durableId="837378492">
    <w:abstractNumId w:val="11"/>
  </w:num>
  <w:num w:numId="46" w16cid:durableId="1355767796">
    <w:abstractNumId w:val="39"/>
  </w:num>
  <w:num w:numId="47" w16cid:durableId="1476139809">
    <w:abstractNumId w:val="2"/>
  </w:num>
  <w:num w:numId="48" w16cid:durableId="1565944653">
    <w:abstractNumId w:val="21"/>
  </w:num>
  <w:num w:numId="49" w16cid:durableId="1976449795">
    <w:abstractNumId w:val="6"/>
  </w:num>
  <w:num w:numId="50" w16cid:durableId="1299648133">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3ADB"/>
    <w:rsid w:val="00032423"/>
    <w:rsid w:val="0007427A"/>
    <w:rsid w:val="000960E2"/>
    <w:rsid w:val="000F38E8"/>
    <w:rsid w:val="00114F2A"/>
    <w:rsid w:val="001240D0"/>
    <w:rsid w:val="00125D46"/>
    <w:rsid w:val="00143ACC"/>
    <w:rsid w:val="001D608D"/>
    <w:rsid w:val="001E07B9"/>
    <w:rsid w:val="00200B6E"/>
    <w:rsid w:val="0021106F"/>
    <w:rsid w:val="0021331F"/>
    <w:rsid w:val="00243FED"/>
    <w:rsid w:val="00245795"/>
    <w:rsid w:val="0025779C"/>
    <w:rsid w:val="002A14CD"/>
    <w:rsid w:val="002B4451"/>
    <w:rsid w:val="002F7288"/>
    <w:rsid w:val="003302B8"/>
    <w:rsid w:val="00330BBF"/>
    <w:rsid w:val="0034224F"/>
    <w:rsid w:val="0035429F"/>
    <w:rsid w:val="00355FE2"/>
    <w:rsid w:val="00361AFD"/>
    <w:rsid w:val="00380EEE"/>
    <w:rsid w:val="003A5879"/>
    <w:rsid w:val="003B15A3"/>
    <w:rsid w:val="003C2250"/>
    <w:rsid w:val="003D6E9C"/>
    <w:rsid w:val="003E7C79"/>
    <w:rsid w:val="003E7EAF"/>
    <w:rsid w:val="00413192"/>
    <w:rsid w:val="00425CF6"/>
    <w:rsid w:val="00443BFC"/>
    <w:rsid w:val="00460CDF"/>
    <w:rsid w:val="00463A18"/>
    <w:rsid w:val="004671B7"/>
    <w:rsid w:val="00485B71"/>
    <w:rsid w:val="00486FC1"/>
    <w:rsid w:val="004967BF"/>
    <w:rsid w:val="004A4AAA"/>
    <w:rsid w:val="004A515E"/>
    <w:rsid w:val="004B7FB2"/>
    <w:rsid w:val="004F2DD5"/>
    <w:rsid w:val="004F4C99"/>
    <w:rsid w:val="0051332F"/>
    <w:rsid w:val="005273D1"/>
    <w:rsid w:val="005421D6"/>
    <w:rsid w:val="00544419"/>
    <w:rsid w:val="00545797"/>
    <w:rsid w:val="00572D53"/>
    <w:rsid w:val="005805BA"/>
    <w:rsid w:val="00580C8E"/>
    <w:rsid w:val="0058331C"/>
    <w:rsid w:val="005A44A8"/>
    <w:rsid w:val="005B169F"/>
    <w:rsid w:val="005B1AED"/>
    <w:rsid w:val="005C548C"/>
    <w:rsid w:val="005F72E4"/>
    <w:rsid w:val="006019A4"/>
    <w:rsid w:val="0061095C"/>
    <w:rsid w:val="006160B6"/>
    <w:rsid w:val="006251C6"/>
    <w:rsid w:val="00631F6E"/>
    <w:rsid w:val="0064264A"/>
    <w:rsid w:val="00644BF9"/>
    <w:rsid w:val="00654164"/>
    <w:rsid w:val="00654EFA"/>
    <w:rsid w:val="00667F26"/>
    <w:rsid w:val="006E3F08"/>
    <w:rsid w:val="007471AC"/>
    <w:rsid w:val="00752C2A"/>
    <w:rsid w:val="00786C60"/>
    <w:rsid w:val="00791542"/>
    <w:rsid w:val="00795A16"/>
    <w:rsid w:val="00796C22"/>
    <w:rsid w:val="007A267B"/>
    <w:rsid w:val="007C6071"/>
    <w:rsid w:val="00837BBF"/>
    <w:rsid w:val="00860389"/>
    <w:rsid w:val="0087772C"/>
    <w:rsid w:val="00881874"/>
    <w:rsid w:val="0089273D"/>
    <w:rsid w:val="008B23BC"/>
    <w:rsid w:val="008B3000"/>
    <w:rsid w:val="008C22C6"/>
    <w:rsid w:val="008D7F4E"/>
    <w:rsid w:val="009000C6"/>
    <w:rsid w:val="009125AF"/>
    <w:rsid w:val="00920A80"/>
    <w:rsid w:val="00936039"/>
    <w:rsid w:val="0094663B"/>
    <w:rsid w:val="009547F0"/>
    <w:rsid w:val="009558E4"/>
    <w:rsid w:val="009609B4"/>
    <w:rsid w:val="00967739"/>
    <w:rsid w:val="0097291D"/>
    <w:rsid w:val="009870D7"/>
    <w:rsid w:val="009904DB"/>
    <w:rsid w:val="00995128"/>
    <w:rsid w:val="009A466A"/>
    <w:rsid w:val="009B239B"/>
    <w:rsid w:val="009C655C"/>
    <w:rsid w:val="009D4561"/>
    <w:rsid w:val="009F3D54"/>
    <w:rsid w:val="00A04B5B"/>
    <w:rsid w:val="00A2421E"/>
    <w:rsid w:val="00A40AE3"/>
    <w:rsid w:val="00A44089"/>
    <w:rsid w:val="00A448C8"/>
    <w:rsid w:val="00A630BC"/>
    <w:rsid w:val="00A63A00"/>
    <w:rsid w:val="00A84C7F"/>
    <w:rsid w:val="00AD6032"/>
    <w:rsid w:val="00AD7EC2"/>
    <w:rsid w:val="00B07742"/>
    <w:rsid w:val="00B16EF5"/>
    <w:rsid w:val="00B45B38"/>
    <w:rsid w:val="00B56CA4"/>
    <w:rsid w:val="00B74F59"/>
    <w:rsid w:val="00B86D6E"/>
    <w:rsid w:val="00BA2267"/>
    <w:rsid w:val="00BA56DF"/>
    <w:rsid w:val="00BB7662"/>
    <w:rsid w:val="00BC0EA8"/>
    <w:rsid w:val="00BE2AB6"/>
    <w:rsid w:val="00BE3668"/>
    <w:rsid w:val="00BF4E24"/>
    <w:rsid w:val="00C02322"/>
    <w:rsid w:val="00C10543"/>
    <w:rsid w:val="00C35854"/>
    <w:rsid w:val="00C37700"/>
    <w:rsid w:val="00C43AB0"/>
    <w:rsid w:val="00C64CEF"/>
    <w:rsid w:val="00C92BF6"/>
    <w:rsid w:val="00CC347C"/>
    <w:rsid w:val="00CD0F92"/>
    <w:rsid w:val="00CD73A3"/>
    <w:rsid w:val="00CE14E8"/>
    <w:rsid w:val="00CE7EC9"/>
    <w:rsid w:val="00D068A9"/>
    <w:rsid w:val="00D07CD9"/>
    <w:rsid w:val="00D2018B"/>
    <w:rsid w:val="00D223FD"/>
    <w:rsid w:val="00D22567"/>
    <w:rsid w:val="00D23481"/>
    <w:rsid w:val="00D72826"/>
    <w:rsid w:val="00D75115"/>
    <w:rsid w:val="00D9267D"/>
    <w:rsid w:val="00DA0BD4"/>
    <w:rsid w:val="00DA3488"/>
    <w:rsid w:val="00DB12AA"/>
    <w:rsid w:val="00DC476D"/>
    <w:rsid w:val="00DD1DE0"/>
    <w:rsid w:val="00DF0B54"/>
    <w:rsid w:val="00E12DDE"/>
    <w:rsid w:val="00E13696"/>
    <w:rsid w:val="00E14734"/>
    <w:rsid w:val="00E739F8"/>
    <w:rsid w:val="00E80BF2"/>
    <w:rsid w:val="00E84651"/>
    <w:rsid w:val="00F177DE"/>
    <w:rsid w:val="00F21DBA"/>
    <w:rsid w:val="00F23DCD"/>
    <w:rsid w:val="00F36012"/>
    <w:rsid w:val="00F56299"/>
    <w:rsid w:val="00F61DE8"/>
    <w:rsid w:val="00F74112"/>
    <w:rsid w:val="00F94808"/>
    <w:rsid w:val="00FA32FD"/>
    <w:rsid w:val="00FB7EE3"/>
    <w:rsid w:val="00FE2E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Heading3">
    <w:name w:val="heading 3"/>
    <w:basedOn w:val="Normal"/>
    <w:next w:val="Normal"/>
    <w:link w:val="Heading3Char"/>
    <w:uiPriority w:val="9"/>
    <w:unhideWhenUsed/>
    <w:qFormat/>
    <w:rsid w:val="00D9267D"/>
    <w:pPr>
      <w:keepNext/>
      <w:keepLines/>
      <w:spacing w:before="40" w:after="0"/>
      <w:outlineLvl w:val="2"/>
    </w:pPr>
    <w:rPr>
      <w:rFonts w:asciiTheme="majorHAnsi" w:eastAsiaTheme="majorEastAsia" w:hAnsiTheme="majorHAnsi" w:cstheme="majorBidi"/>
      <w:color w:val="1F3763" w:themeColor="accent1" w:themeShade="7F"/>
      <w:spacing w:val="0"/>
      <w:lang w:val="es-DO"/>
    </w:rPr>
  </w:style>
  <w:style w:type="paragraph" w:styleId="Heading4">
    <w:name w:val="heading 4"/>
    <w:basedOn w:val="Normal"/>
    <w:next w:val="Normal"/>
    <w:link w:val="Heading4Char"/>
    <w:uiPriority w:val="9"/>
    <w:semiHidden/>
    <w:unhideWhenUsed/>
    <w:qFormat/>
    <w:rsid w:val="00D9267D"/>
    <w:pPr>
      <w:keepNext/>
      <w:keepLines/>
      <w:spacing w:before="40" w:after="0"/>
      <w:outlineLvl w:val="3"/>
    </w:pPr>
    <w:rPr>
      <w:rFonts w:asciiTheme="majorHAnsi" w:eastAsiaTheme="majorEastAsia" w:hAnsiTheme="majorHAnsi" w:cstheme="majorBidi"/>
      <w:i/>
      <w:iCs/>
      <w:color w:val="2F5496" w:themeColor="accent1" w:themeShade="BF"/>
      <w:spacing w:val="0"/>
      <w:sz w:val="22"/>
      <w:szCs w:val="22"/>
      <w:lang w:val="es-DO"/>
    </w:rPr>
  </w:style>
  <w:style w:type="paragraph" w:styleId="Heading5">
    <w:name w:val="heading 5"/>
    <w:basedOn w:val="Normal"/>
    <w:next w:val="Normal"/>
    <w:link w:val="Heading5Char"/>
    <w:uiPriority w:val="9"/>
    <w:semiHidden/>
    <w:unhideWhenUsed/>
    <w:qFormat/>
    <w:rsid w:val="00D9267D"/>
    <w:pPr>
      <w:keepNext/>
      <w:keepLines/>
      <w:spacing w:before="40" w:after="0"/>
      <w:outlineLvl w:val="4"/>
    </w:pPr>
    <w:rPr>
      <w:rFonts w:asciiTheme="majorHAnsi" w:eastAsiaTheme="majorEastAsia" w:hAnsiTheme="majorHAnsi" w:cstheme="majorBidi"/>
      <w:color w:val="2F5496" w:themeColor="accent1" w:themeShade="BF"/>
      <w:spacing w:val="0"/>
      <w:sz w:val="22"/>
      <w:szCs w:val="22"/>
      <w:lang w:val="es-D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link w:val="NoSpacingChar"/>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791542"/>
    <w:pPr>
      <w:tabs>
        <w:tab w:val="right" w:leader="dot" w:pos="9350"/>
      </w:tabs>
      <w:spacing w:after="100"/>
    </w:pPr>
    <w:rPr>
      <w:rFonts w:eastAsia="Calibri"/>
      <w:b/>
      <w:bCs/>
      <w:noProof/>
      <w:color w:val="4C4747"/>
      <w:lang w:val="es-DO"/>
    </w:r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A630BC"/>
    <w:rPr>
      <w:rFonts w:eastAsiaTheme="majorEastAsia" w:cstheme="majorBidi"/>
      <w:color w:val="595959" w:themeColor="text1" w:themeTint="A6"/>
      <w:szCs w:val="26"/>
    </w:rPr>
  </w:style>
  <w:style w:type="character" w:customStyle="1" w:styleId="Heading3Char">
    <w:name w:val="Heading 3 Char"/>
    <w:basedOn w:val="DefaultParagraphFont"/>
    <w:link w:val="Heading3"/>
    <w:uiPriority w:val="9"/>
    <w:rsid w:val="00D9267D"/>
    <w:rPr>
      <w:rFonts w:asciiTheme="majorHAnsi" w:eastAsiaTheme="majorEastAsia" w:hAnsiTheme="majorHAnsi" w:cstheme="majorBidi"/>
      <w:color w:val="1F3763" w:themeColor="accent1" w:themeShade="7F"/>
      <w:spacing w:val="0"/>
      <w:lang w:val="es-DO"/>
    </w:rPr>
  </w:style>
  <w:style w:type="character" w:customStyle="1" w:styleId="Heading4Char">
    <w:name w:val="Heading 4 Char"/>
    <w:basedOn w:val="DefaultParagraphFont"/>
    <w:link w:val="Heading4"/>
    <w:uiPriority w:val="9"/>
    <w:semiHidden/>
    <w:rsid w:val="00D9267D"/>
    <w:rPr>
      <w:rFonts w:asciiTheme="majorHAnsi" w:eastAsiaTheme="majorEastAsia" w:hAnsiTheme="majorHAnsi" w:cstheme="majorBidi"/>
      <w:i/>
      <w:iCs/>
      <w:color w:val="2F5496" w:themeColor="accent1" w:themeShade="BF"/>
      <w:spacing w:val="0"/>
      <w:sz w:val="22"/>
      <w:szCs w:val="22"/>
      <w:lang w:val="es-DO"/>
    </w:rPr>
  </w:style>
  <w:style w:type="character" w:customStyle="1" w:styleId="Heading5Char">
    <w:name w:val="Heading 5 Char"/>
    <w:basedOn w:val="DefaultParagraphFont"/>
    <w:link w:val="Heading5"/>
    <w:uiPriority w:val="9"/>
    <w:semiHidden/>
    <w:rsid w:val="00D9267D"/>
    <w:rPr>
      <w:rFonts w:asciiTheme="majorHAnsi" w:eastAsiaTheme="majorEastAsia" w:hAnsiTheme="majorHAnsi" w:cstheme="majorBidi"/>
      <w:color w:val="2F5496" w:themeColor="accent1" w:themeShade="BF"/>
      <w:spacing w:val="0"/>
      <w:sz w:val="22"/>
      <w:szCs w:val="22"/>
      <w:lang w:val="es-DO"/>
    </w:rPr>
  </w:style>
  <w:style w:type="character" w:customStyle="1" w:styleId="NoSpacingChar">
    <w:name w:val="No Spacing Char"/>
    <w:basedOn w:val="DefaultParagraphFont"/>
    <w:link w:val="NoSpacing"/>
    <w:uiPriority w:val="1"/>
    <w:rsid w:val="00D9267D"/>
    <w:rPr>
      <w:rFonts w:eastAsia="Calibri"/>
      <w:color w:val="595959" w:themeColor="text1" w:themeTint="A6"/>
    </w:rPr>
  </w:style>
  <w:style w:type="paragraph" w:styleId="TOC2">
    <w:name w:val="toc 2"/>
    <w:basedOn w:val="Normal"/>
    <w:next w:val="Normal"/>
    <w:autoRedefine/>
    <w:uiPriority w:val="39"/>
    <w:unhideWhenUsed/>
    <w:rsid w:val="00D9267D"/>
    <w:pPr>
      <w:tabs>
        <w:tab w:val="right" w:leader="dot" w:pos="7910"/>
      </w:tabs>
      <w:spacing w:after="100"/>
      <w:ind w:left="220"/>
    </w:pPr>
    <w:rPr>
      <w:noProof/>
      <w:color w:val="4C4747"/>
      <w:spacing w:val="0"/>
      <w:lang w:val="es-DO"/>
    </w:rPr>
  </w:style>
  <w:style w:type="paragraph" w:styleId="TOC3">
    <w:name w:val="toc 3"/>
    <w:basedOn w:val="Normal"/>
    <w:next w:val="Normal"/>
    <w:autoRedefine/>
    <w:uiPriority w:val="39"/>
    <w:unhideWhenUsed/>
    <w:rsid w:val="00D9267D"/>
    <w:pPr>
      <w:spacing w:after="100"/>
      <w:ind w:left="440"/>
    </w:pPr>
    <w:rPr>
      <w:rFonts w:asciiTheme="minorHAnsi" w:hAnsiTheme="minorHAnsi" w:cstheme="minorBidi"/>
      <w:color w:val="auto"/>
      <w:spacing w:val="0"/>
      <w:sz w:val="22"/>
      <w:szCs w:val="22"/>
      <w:lang w:val="es-DO"/>
    </w:rPr>
  </w:style>
  <w:style w:type="paragraph" w:styleId="ListParagraph">
    <w:name w:val="List Paragraph"/>
    <w:aliases w:val="List Paragraph-Level1"/>
    <w:basedOn w:val="Normal"/>
    <w:uiPriority w:val="34"/>
    <w:qFormat/>
    <w:rsid w:val="00D9267D"/>
    <w:pPr>
      <w:ind w:left="720"/>
      <w:contextualSpacing/>
    </w:pPr>
    <w:rPr>
      <w:rFonts w:asciiTheme="minorHAnsi" w:hAnsiTheme="minorHAnsi" w:cstheme="minorBidi"/>
      <w:color w:val="auto"/>
      <w:spacing w:val="0"/>
      <w:sz w:val="22"/>
      <w:szCs w:val="22"/>
      <w:lang w:val="es-DO"/>
    </w:rPr>
  </w:style>
  <w:style w:type="paragraph" w:styleId="NormalWeb">
    <w:name w:val="Normal (Web)"/>
    <w:basedOn w:val="Normal"/>
    <w:uiPriority w:val="99"/>
    <w:unhideWhenUsed/>
    <w:rsid w:val="00D9267D"/>
    <w:pPr>
      <w:spacing w:before="100" w:beforeAutospacing="1" w:after="100" w:afterAutospacing="1" w:line="240" w:lineRule="auto"/>
    </w:pPr>
    <w:rPr>
      <w:rFonts w:eastAsia="Times New Roman"/>
      <w:color w:val="auto"/>
      <w:spacing w:val="0"/>
      <w:lang w:val="es-DO" w:eastAsia="es-DO"/>
    </w:rPr>
  </w:style>
  <w:style w:type="table" w:styleId="TableGridLight">
    <w:name w:val="Grid Table Light"/>
    <w:basedOn w:val="TableNormal"/>
    <w:uiPriority w:val="40"/>
    <w:rsid w:val="00D9267D"/>
    <w:pPr>
      <w:spacing w:after="0" w:line="240" w:lineRule="auto"/>
    </w:pPr>
    <w:rPr>
      <w:rFonts w:asciiTheme="minorHAnsi" w:hAnsiTheme="minorHAnsi" w:cstheme="minorBidi"/>
      <w:color w:val="auto"/>
      <w:spacing w:val="0"/>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D9267D"/>
    <w:rPr>
      <w:color w:val="605E5C"/>
      <w:shd w:val="clear" w:color="auto" w:fill="E1DFDD"/>
    </w:rPr>
  </w:style>
  <w:style w:type="paragraph" w:styleId="BodyText">
    <w:name w:val="Body Text"/>
    <w:basedOn w:val="Normal"/>
    <w:link w:val="BodyTextChar"/>
    <w:rsid w:val="00D9267D"/>
    <w:pPr>
      <w:spacing w:after="0" w:line="240" w:lineRule="auto"/>
      <w:jc w:val="both"/>
    </w:pPr>
    <w:rPr>
      <w:rFonts w:eastAsia="Times New Roman"/>
      <w:color w:val="auto"/>
      <w:spacing w:val="0"/>
      <w:lang w:val="es-ES_tradnl"/>
    </w:rPr>
  </w:style>
  <w:style w:type="character" w:customStyle="1" w:styleId="BodyTextChar">
    <w:name w:val="Body Text Char"/>
    <w:basedOn w:val="DefaultParagraphFont"/>
    <w:link w:val="BodyText"/>
    <w:rsid w:val="00D9267D"/>
    <w:rPr>
      <w:rFonts w:eastAsia="Times New Roman"/>
      <w:color w:val="auto"/>
      <w:spacing w:val="0"/>
      <w:lang w:val="es-ES_tradnl"/>
    </w:rPr>
  </w:style>
  <w:style w:type="character" w:styleId="FootnoteReference">
    <w:name w:val="footnote reference"/>
    <w:uiPriority w:val="99"/>
    <w:semiHidden/>
    <w:unhideWhenUsed/>
    <w:rsid w:val="00D9267D"/>
    <w:rPr>
      <w:vertAlign w:val="superscript"/>
    </w:rPr>
  </w:style>
  <w:style w:type="paragraph" w:styleId="FootnoteText">
    <w:name w:val="footnote text"/>
    <w:basedOn w:val="Normal"/>
    <w:link w:val="FootnoteTextChar"/>
    <w:uiPriority w:val="99"/>
    <w:semiHidden/>
    <w:unhideWhenUsed/>
    <w:rsid w:val="00D9267D"/>
    <w:pPr>
      <w:spacing w:after="200" w:line="276" w:lineRule="auto"/>
    </w:pPr>
    <w:rPr>
      <w:rFonts w:ascii="Calibri" w:eastAsia="Calibri" w:hAnsi="Calibri"/>
      <w:color w:val="auto"/>
      <w:spacing w:val="0"/>
      <w:sz w:val="20"/>
      <w:szCs w:val="20"/>
    </w:rPr>
  </w:style>
  <w:style w:type="character" w:customStyle="1" w:styleId="FootnoteTextChar">
    <w:name w:val="Footnote Text Char"/>
    <w:basedOn w:val="DefaultParagraphFont"/>
    <w:link w:val="FootnoteText"/>
    <w:uiPriority w:val="99"/>
    <w:semiHidden/>
    <w:rsid w:val="00D9267D"/>
    <w:rPr>
      <w:rFonts w:ascii="Calibri" w:eastAsia="Calibri" w:hAnsi="Calibri"/>
      <w:color w:val="auto"/>
      <w:spacing w:val="0"/>
      <w:sz w:val="20"/>
      <w:szCs w:val="20"/>
    </w:rPr>
  </w:style>
  <w:style w:type="character" w:styleId="LineNumber">
    <w:name w:val="line number"/>
    <w:basedOn w:val="DefaultParagraphFont"/>
    <w:uiPriority w:val="99"/>
    <w:semiHidden/>
    <w:unhideWhenUsed/>
    <w:rsid w:val="00D9267D"/>
  </w:style>
  <w:style w:type="table" w:styleId="TableGrid">
    <w:name w:val="Table Grid"/>
    <w:basedOn w:val="TableNormal"/>
    <w:uiPriority w:val="39"/>
    <w:rsid w:val="00D9267D"/>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unhideWhenUsed/>
    <w:rsid w:val="00D9267D"/>
    <w:pPr>
      <w:spacing w:line="456" w:lineRule="auto"/>
      <w:ind w:left="720" w:hanging="360"/>
      <w:contextualSpacing/>
      <w:jc w:val="both"/>
    </w:pPr>
    <w:rPr>
      <w:rFonts w:ascii="Artifex CF Extra Light" w:eastAsia="Artifex CF Extra Light" w:hAnsi="Artifex CF Extra Light" w:cs="Artifex CF Extra Light"/>
      <w:color w:val="1F3864" w:themeColor="accent1" w:themeShade="80"/>
      <w:spacing w:val="0"/>
      <w:sz w:val="18"/>
      <w:szCs w:val="18"/>
      <w:lang w:val="es-DO"/>
    </w:rPr>
  </w:style>
  <w:style w:type="paragraph" w:styleId="List3">
    <w:name w:val="List 3"/>
    <w:basedOn w:val="Normal"/>
    <w:uiPriority w:val="99"/>
    <w:semiHidden/>
    <w:unhideWhenUsed/>
    <w:rsid w:val="00D9267D"/>
    <w:pPr>
      <w:ind w:left="849" w:hanging="283"/>
      <w:contextualSpacing/>
    </w:pPr>
    <w:rPr>
      <w:rFonts w:asciiTheme="minorHAnsi" w:hAnsiTheme="minorHAnsi" w:cstheme="minorBidi"/>
      <w:color w:val="auto"/>
      <w:spacing w:val="0"/>
      <w:sz w:val="22"/>
      <w:szCs w:val="22"/>
      <w:lang w:val="es-DO"/>
    </w:rPr>
  </w:style>
  <w:style w:type="paragraph" w:styleId="EndnoteText">
    <w:name w:val="endnote text"/>
    <w:basedOn w:val="Normal"/>
    <w:link w:val="EndnoteTextChar"/>
    <w:uiPriority w:val="99"/>
    <w:semiHidden/>
    <w:unhideWhenUsed/>
    <w:rsid w:val="00D9267D"/>
    <w:pPr>
      <w:spacing w:after="200" w:line="276" w:lineRule="auto"/>
    </w:pPr>
    <w:rPr>
      <w:rFonts w:ascii="Calibri" w:eastAsia="Calibri" w:hAnsi="Calibri"/>
      <w:color w:val="auto"/>
      <w:spacing w:val="0"/>
      <w:sz w:val="20"/>
      <w:szCs w:val="20"/>
    </w:rPr>
  </w:style>
  <w:style w:type="character" w:customStyle="1" w:styleId="EndnoteTextChar">
    <w:name w:val="Endnote Text Char"/>
    <w:basedOn w:val="DefaultParagraphFont"/>
    <w:link w:val="EndnoteText"/>
    <w:uiPriority w:val="99"/>
    <w:semiHidden/>
    <w:rsid w:val="00D9267D"/>
    <w:rPr>
      <w:rFonts w:ascii="Calibri" w:eastAsia="Calibri" w:hAnsi="Calibri"/>
      <w:color w:val="auto"/>
      <w:spacing w:val="0"/>
      <w:sz w:val="20"/>
      <w:szCs w:val="20"/>
    </w:rPr>
  </w:style>
  <w:style w:type="character" w:styleId="EndnoteReference">
    <w:name w:val="endnote reference"/>
    <w:uiPriority w:val="99"/>
    <w:semiHidden/>
    <w:unhideWhenUsed/>
    <w:rsid w:val="00D9267D"/>
    <w:rPr>
      <w:vertAlign w:val="superscript"/>
    </w:rPr>
  </w:style>
  <w:style w:type="table" w:customStyle="1" w:styleId="TableGridLight1">
    <w:name w:val="Table Grid Light1"/>
    <w:basedOn w:val="TableNormal"/>
    <w:next w:val="TableGridLight"/>
    <w:uiPriority w:val="40"/>
    <w:rsid w:val="00D9267D"/>
    <w:pPr>
      <w:spacing w:after="0" w:line="240" w:lineRule="auto"/>
    </w:pPr>
    <w:rPr>
      <w:rFonts w:asciiTheme="minorHAnsi" w:hAnsiTheme="minorHAnsi" w:cstheme="minorBidi"/>
      <w:color w:val="auto"/>
      <w:spacing w:val="0"/>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D9267D"/>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267D"/>
    <w:pPr>
      <w:autoSpaceDE w:val="0"/>
      <w:autoSpaceDN w:val="0"/>
      <w:adjustRightInd w:val="0"/>
      <w:spacing w:after="0" w:line="240" w:lineRule="auto"/>
    </w:pPr>
    <w:rPr>
      <w:color w:val="000000"/>
      <w:spacing w:val="0"/>
      <w:lang w:val="es-DO"/>
    </w:rPr>
  </w:style>
  <w:style w:type="paragraph" w:customStyle="1" w:styleId="paragraph">
    <w:name w:val="paragraph"/>
    <w:basedOn w:val="Normal"/>
    <w:rsid w:val="00D9267D"/>
    <w:pPr>
      <w:spacing w:before="100" w:beforeAutospacing="1" w:after="100" w:afterAutospacing="1" w:line="240" w:lineRule="auto"/>
    </w:pPr>
    <w:rPr>
      <w:rFonts w:ascii="Calibri" w:eastAsia="Calibri" w:hAnsi="Calibri" w:cs="Calibri"/>
      <w:color w:val="auto"/>
      <w:spacing w:val="0"/>
      <w:sz w:val="22"/>
      <w:szCs w:val="22"/>
      <w:lang w:val="es-DO" w:eastAsia="es-DO"/>
    </w:rPr>
  </w:style>
  <w:style w:type="character" w:styleId="Strong">
    <w:name w:val="Strong"/>
    <w:basedOn w:val="DefaultParagraphFont"/>
    <w:uiPriority w:val="22"/>
    <w:qFormat/>
    <w:rsid w:val="00D926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hp7-181131:8085/bc/funcionarios/frank_montano.html" TargetMode="External"/><Relationship Id="rId26" Type="http://schemas.openxmlformats.org/officeDocument/2006/relationships/hyperlink" Target="https://www.bancentral.gov.do/a/d/2562-principales-funcionarios" TargetMode="External"/><Relationship Id="rId39" Type="http://schemas.openxmlformats.org/officeDocument/2006/relationships/image" Target="media/image11.jpeg"/><Relationship Id="rId21" Type="http://schemas.openxmlformats.org/officeDocument/2006/relationships/hyperlink" Target="https://www.bancentral.gov.do/a/d/2562-principales-funcionarios" TargetMode="External"/><Relationship Id="rId34" Type="http://schemas.openxmlformats.org/officeDocument/2006/relationships/footer" Target="footer4.xml"/><Relationship Id="rId42" Type="http://schemas.openxmlformats.org/officeDocument/2006/relationships/chart" Target="charts/chart3.xml"/><Relationship Id="rId47" Type="http://schemas.openxmlformats.org/officeDocument/2006/relationships/image" Target="media/image16.png"/><Relationship Id="rId50" Type="http://schemas.openxmlformats.org/officeDocument/2006/relationships/image" Target="media/image1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p7-181131:8085/bc/funcionarios/ervin_novas_bello.html" TargetMode="External"/><Relationship Id="rId29" Type="http://schemas.openxmlformats.org/officeDocument/2006/relationships/hyperlink" Target="https://www.bancentral.gov.do/a/d/2562-principales-funcionarios" TargetMode="External"/><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hyperlink" Target="https://www.bancentral.gov.do/a/d/2562-principales-funcionarios" TargetMode="External"/><Relationship Id="rId37" Type="http://schemas.openxmlformats.org/officeDocument/2006/relationships/image" Target="media/image9.png"/><Relationship Id="rId40" Type="http://schemas.openxmlformats.org/officeDocument/2006/relationships/chart" Target="charts/chart1.xml"/><Relationship Id="rId45" Type="http://schemas.openxmlformats.org/officeDocument/2006/relationships/image" Target="media/image14.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hyperlink" Target="http://hp7-181131:8085/bc/funcionarios/joel_tejeda.html" TargetMode="External"/><Relationship Id="rId31" Type="http://schemas.openxmlformats.org/officeDocument/2006/relationships/hyperlink" Target="https://www.bancentral.gov.do/a/d/2562-principales-funcionarios" TargetMode="External"/><Relationship Id="rId44" Type="http://schemas.openxmlformats.org/officeDocument/2006/relationships/image" Target="media/image13.png"/><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p7-181131:8085/bc/funcionarios/hector_valdez_albizu.html" TargetMode="External"/><Relationship Id="rId22" Type="http://schemas.openxmlformats.org/officeDocument/2006/relationships/hyperlink" Target="http://hp7-181131:8085/bc/funcionarios/manuel_gomez_copello.html" TargetMode="External"/><Relationship Id="rId27" Type="http://schemas.openxmlformats.org/officeDocument/2006/relationships/hyperlink" Target="http://hp7-181131:8085/bc/funcionarios/olga_morel.html" TargetMode="External"/><Relationship Id="rId30" Type="http://schemas.openxmlformats.org/officeDocument/2006/relationships/hyperlink" Target="https://www.bancentral.gov.do/a/d/2562-principales-funcionarios" TargetMode="External"/><Relationship Id="rId35" Type="http://schemas.openxmlformats.org/officeDocument/2006/relationships/image" Target="media/image7.png"/><Relationship Id="rId43" Type="http://schemas.openxmlformats.org/officeDocument/2006/relationships/image" Target="media/image12.png"/><Relationship Id="rId48" Type="http://schemas.openxmlformats.org/officeDocument/2006/relationships/image" Target="media/image17.png"/><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hyperlink" Target="http://hp7-181131:8085/bc/funcionarios/jose_taveras_lay.html" TargetMode="External"/><Relationship Id="rId25" Type="http://schemas.openxmlformats.org/officeDocument/2006/relationships/hyperlink" Target="https://www.bancentral.gov.do/a/d/2562-principales-funcionarios" TargetMode="External"/><Relationship Id="rId33" Type="http://schemas.openxmlformats.org/officeDocument/2006/relationships/footer" Target="footer3.xml"/><Relationship Id="rId38" Type="http://schemas.openxmlformats.org/officeDocument/2006/relationships/image" Target="media/image10.png"/><Relationship Id="rId46" Type="http://schemas.openxmlformats.org/officeDocument/2006/relationships/image" Target="media/image15.png"/><Relationship Id="rId20" Type="http://schemas.openxmlformats.org/officeDocument/2006/relationships/hyperlink" Target="http://hp7-181131:8085/bc/funcionarios/roberto_pelliccione.html" TargetMode="External"/><Relationship Id="rId41" Type="http://schemas.openxmlformats.org/officeDocument/2006/relationships/chart" Target="charts/chart2.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p7-181131:8085/bc/funcionarios/clarissa_de_la_rocha.html" TargetMode="External"/><Relationship Id="rId23" Type="http://schemas.openxmlformats.org/officeDocument/2006/relationships/hyperlink" Target="https://www.bancentral.gov.do/a/d/2562-principales-funcionarios" TargetMode="External"/><Relationship Id="rId28" Type="http://schemas.openxmlformats.org/officeDocument/2006/relationships/hyperlink" Target="http://hp7-181131:8085/bc/funcionarios/norma_molina.html" TargetMode="External"/><Relationship Id="rId36" Type="http://schemas.openxmlformats.org/officeDocument/2006/relationships/image" Target="media/image8.png"/><Relationship Id="rId49"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2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s-DO" sz="1050" b="1">
                <a:solidFill>
                  <a:srgbClr val="4C4747"/>
                </a:solidFill>
                <a:latin typeface="Times New Roman" panose="02020603050405020304" pitchFamily="18" charset="0"/>
                <a:cs typeface="Times New Roman" panose="02020603050405020304" pitchFamily="18" charset="0"/>
              </a:rPr>
              <a:t>Resultado Administrativo</a:t>
            </a:r>
          </a:p>
          <a:p>
            <a:pPr>
              <a:defRPr sz="900"/>
            </a:pPr>
            <a:r>
              <a:rPr lang="es-DO" sz="1050" b="1">
                <a:solidFill>
                  <a:srgbClr val="4C4747"/>
                </a:solidFill>
                <a:latin typeface="Times New Roman" panose="02020603050405020304" pitchFamily="18" charset="0"/>
                <a:cs typeface="Times New Roman" panose="02020603050405020304" pitchFamily="18" charset="0"/>
              </a:rPr>
              <a:t>Enero-Diciembre 2025</a:t>
            </a:r>
          </a:p>
          <a:p>
            <a:pPr>
              <a:defRPr sz="900"/>
            </a:pPr>
            <a:r>
              <a:rPr lang="es-DO" sz="1050" b="1">
                <a:solidFill>
                  <a:srgbClr val="4C4747"/>
                </a:solidFill>
                <a:latin typeface="Times New Roman" panose="02020603050405020304" pitchFamily="18" charset="0"/>
                <a:cs typeface="Times New Roman" panose="02020603050405020304" pitchFamily="18" charset="0"/>
              </a:rPr>
              <a:t>En millones de RD$</a:t>
            </a:r>
          </a:p>
        </c:rich>
      </c:tx>
      <c:layout>
        <c:manualLayout>
          <c:xMode val="edge"/>
          <c:yMode val="edge"/>
          <c:x val="0.21530720895867622"/>
          <c:y val="0"/>
        </c:manualLayout>
      </c:layout>
      <c:overlay val="0"/>
    </c:title>
    <c:autoTitleDeleted val="0"/>
    <c:plotArea>
      <c:layout>
        <c:manualLayout>
          <c:layoutTarget val="inner"/>
          <c:xMode val="edge"/>
          <c:yMode val="edge"/>
          <c:x val="2.2747156605424323E-2"/>
          <c:y val="0.13236405743399721"/>
          <c:w val="0.9487496354622339"/>
          <c:h val="0.80043515516442798"/>
        </c:manualLayout>
      </c:layout>
      <c:barChart>
        <c:barDir val="col"/>
        <c:grouping val="clustered"/>
        <c:varyColors val="0"/>
        <c:ser>
          <c:idx val="0"/>
          <c:order val="0"/>
          <c:spPr>
            <a:solidFill>
              <a:srgbClr val="4780EA"/>
            </a:solidFill>
            <a:ln>
              <a:noFill/>
            </a:ln>
            <a:effectLst/>
          </c:spPr>
          <c:invertIfNegative val="0"/>
          <c:dPt>
            <c:idx val="0"/>
            <c:invertIfNegative val="0"/>
            <c:bubble3D val="0"/>
            <c:extLst>
              <c:ext xmlns:c16="http://schemas.microsoft.com/office/drawing/2014/chart" uri="{C3380CC4-5D6E-409C-BE32-E72D297353CC}">
                <c16:uniqueId val="{00000000-215D-4AA1-AB2B-5F5E130EFBEE}"/>
              </c:ext>
            </c:extLst>
          </c:dPt>
          <c:dPt>
            <c:idx val="1"/>
            <c:invertIfNegative val="0"/>
            <c:bubble3D val="0"/>
            <c:spPr>
              <a:solidFill>
                <a:srgbClr val="011C50"/>
              </a:solidFill>
              <a:ln>
                <a:noFill/>
              </a:ln>
              <a:effectLst/>
            </c:spPr>
            <c:extLst>
              <c:ext xmlns:c16="http://schemas.microsoft.com/office/drawing/2014/chart" uri="{C3380CC4-5D6E-409C-BE32-E72D297353CC}">
                <c16:uniqueId val="{00000002-215D-4AA1-AB2B-5F5E130EFBEE}"/>
              </c:ext>
            </c:extLst>
          </c:dPt>
          <c:dLbls>
            <c:dLbl>
              <c:idx val="0"/>
              <c:layout>
                <c:manualLayout>
                  <c:x val="1.8226888305628463E-7"/>
                  <c:y val="2.8189198337522925E-2"/>
                </c:manualLayout>
              </c:layout>
              <c:tx>
                <c:rich>
                  <a:bodyPr/>
                  <a:lstStyle/>
                  <a:p>
                    <a:r>
                      <a:rPr lang="en-US"/>
                      <a:t>12,190.2</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31335629921259839"/>
                      <c:h val="7.2352941176470578E-2"/>
                    </c:manualLayout>
                  </c15:layout>
                  <c15:showDataLabelsRange val="0"/>
                </c:ext>
                <c:ext xmlns:c16="http://schemas.microsoft.com/office/drawing/2014/chart" uri="{C3380CC4-5D6E-409C-BE32-E72D297353CC}">
                  <c16:uniqueId val="{00000000-215D-4AA1-AB2B-5F5E130EFBEE}"/>
                </c:ext>
              </c:extLst>
            </c:dLbl>
            <c:dLbl>
              <c:idx val="1"/>
              <c:layout>
                <c:manualLayout>
                  <c:x val="1.2703756167405513E-2"/>
                  <c:y val="1.0623920148939182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Gotham Book" pitchFamily="50" charset="0"/>
                        <a:ea typeface="+mn-ea"/>
                        <a:cs typeface="Gotham Book" pitchFamily="50" charset="0"/>
                      </a:defRPr>
                    </a:pPr>
                    <a:r>
                      <a:rPr lang="en-US"/>
                      <a:t>33,126.1</a:t>
                    </a:r>
                  </a:p>
                </c:rich>
              </c:tx>
              <c:spPr>
                <a:noFill/>
                <a:ln>
                  <a:noFill/>
                </a:ln>
                <a:effectLst/>
              </c:sp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2879454343516598"/>
                      <c:h val="5.7929979596222932E-2"/>
                    </c:manualLayout>
                  </c15:layout>
                  <c15:showDataLabelsRange val="0"/>
                </c:ext>
                <c:ext xmlns:c16="http://schemas.microsoft.com/office/drawing/2014/chart" uri="{C3380CC4-5D6E-409C-BE32-E72D297353CC}">
                  <c16:uniqueId val="{00000002-215D-4AA1-AB2B-5F5E130EFB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Gotham Book" pitchFamily="50" charset="0"/>
                    <a:ea typeface="+mn-ea"/>
                    <a:cs typeface="Gotham Book" pitchFamily="50"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Result. Adm. y Oper.'!$C$26:$D$26</c:f>
              <c:strCache>
                <c:ptCount val="2"/>
                <c:pt idx="0">
                  <c:v>Presupuesto</c:v>
                </c:pt>
                <c:pt idx="1">
                  <c:v>Ejecución</c:v>
                </c:pt>
              </c:strCache>
            </c:strRef>
          </c:cat>
          <c:val>
            <c:numRef>
              <c:f>'Gráfico Result. Adm. y Oper.'!$C$27:$D$27</c:f>
              <c:numCache>
                <c:formatCode>#,##0.0</c:formatCode>
                <c:ptCount val="2"/>
                <c:pt idx="0">
                  <c:v>26668.586999999992</c:v>
                </c:pt>
                <c:pt idx="1">
                  <c:v>32738.399999999998</c:v>
                </c:pt>
              </c:numCache>
            </c:numRef>
          </c:val>
          <c:extLst>
            <c:ext xmlns:c16="http://schemas.microsoft.com/office/drawing/2014/chart" uri="{C3380CC4-5D6E-409C-BE32-E72D297353CC}">
              <c16:uniqueId val="{00000003-215D-4AA1-AB2B-5F5E130EFBEE}"/>
            </c:ext>
          </c:extLst>
        </c:ser>
        <c:dLbls>
          <c:dLblPos val="outEnd"/>
          <c:showLegendKey val="0"/>
          <c:showVal val="1"/>
          <c:showCatName val="0"/>
          <c:showSerName val="0"/>
          <c:showPercent val="0"/>
          <c:showBubbleSize val="0"/>
        </c:dLbls>
        <c:gapWidth val="150"/>
        <c:overlap val="10"/>
        <c:axId val="969288815"/>
        <c:axId val="987932335"/>
      </c:barChart>
      <c:catAx>
        <c:axId val="969288815"/>
        <c:scaling>
          <c:orientation val="minMax"/>
        </c:scaling>
        <c:delete val="1"/>
        <c:axPos val="b"/>
        <c:numFmt formatCode="General" sourceLinked="1"/>
        <c:majorTickMark val="none"/>
        <c:minorTickMark val="none"/>
        <c:tickLblPos val="nextTo"/>
        <c:crossAx val="987932335"/>
        <c:crosses val="autoZero"/>
        <c:auto val="1"/>
        <c:lblAlgn val="ctr"/>
        <c:lblOffset val="100"/>
        <c:noMultiLvlLbl val="0"/>
      </c:catAx>
      <c:valAx>
        <c:axId val="987932335"/>
        <c:scaling>
          <c:orientation val="minMax"/>
        </c:scaling>
        <c:delete val="1"/>
        <c:axPos val="l"/>
        <c:numFmt formatCode="#,##0.0" sourceLinked="1"/>
        <c:majorTickMark val="none"/>
        <c:minorTickMark val="none"/>
        <c:tickLblPos val="nextTo"/>
        <c:crossAx val="969288815"/>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5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Entry>
      <c:legendEntry>
        <c:idx val="1"/>
        <c:txPr>
          <a:bodyPr rot="0" spcFirstLastPara="1" vertOverflow="ellipsis" vert="horz" wrap="square" anchor="ctr" anchorCtr="1"/>
          <a:lstStyle/>
          <a:p>
            <a:pPr>
              <a:defRPr sz="10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Entry>
      <c:layout>
        <c:manualLayout>
          <c:xMode val="edge"/>
          <c:yMode val="edge"/>
          <c:x val="0.16935185185185184"/>
          <c:y val="0.93479071987037565"/>
          <c:w val="0.64055663770092319"/>
          <c:h val="5.615283494217946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otham Book" pitchFamily="50" charset="0"/>
              <a:ea typeface="+mn-ea"/>
              <a:cs typeface="Gotham Book" pitchFamily="50"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000" b="0">
                <a:solidFill>
                  <a:srgbClr val="4C4747"/>
                </a:solidFill>
                <a:latin typeface="Times New Roman" panose="02020603050405020304" pitchFamily="18" charset="0"/>
                <a:cs typeface="Times New Roman" panose="02020603050405020304" pitchFamily="18" charset="0"/>
              </a:rPr>
              <a:t>Gastos Generales y Administrativos</a:t>
            </a:r>
          </a:p>
          <a:p>
            <a:pPr>
              <a:defRPr/>
            </a:pPr>
            <a:r>
              <a:rPr lang="es-DO" sz="1000" b="0">
                <a:solidFill>
                  <a:srgbClr val="4C4747"/>
                </a:solidFill>
                <a:latin typeface="Times New Roman" panose="02020603050405020304" pitchFamily="18" charset="0"/>
                <a:cs typeface="Times New Roman" panose="02020603050405020304" pitchFamily="18" charset="0"/>
              </a:rPr>
              <a:t>Presupuesto Vs. Ejecución</a:t>
            </a:r>
          </a:p>
          <a:p>
            <a:pPr>
              <a:defRPr/>
            </a:pPr>
            <a:r>
              <a:rPr lang="es-DO" sz="1000" b="0">
                <a:solidFill>
                  <a:srgbClr val="4C4747"/>
                </a:solidFill>
                <a:latin typeface="Times New Roman" panose="02020603050405020304" pitchFamily="18" charset="0"/>
                <a:cs typeface="Times New Roman" panose="02020603050405020304" pitchFamily="18" charset="0"/>
              </a:rPr>
              <a:t>Enero-Diciembre 2025</a:t>
            </a:r>
          </a:p>
          <a:p>
            <a:pPr>
              <a:defRPr/>
            </a:pPr>
            <a:r>
              <a:rPr lang="es-DO" sz="1000" b="0">
                <a:solidFill>
                  <a:srgbClr val="4C4747"/>
                </a:solidFill>
                <a:latin typeface="Times New Roman" panose="02020603050405020304" pitchFamily="18" charset="0"/>
                <a:cs typeface="Times New Roman" panose="02020603050405020304" pitchFamily="18" charset="0"/>
              </a:rPr>
              <a:t>En millones de RD$</a:t>
            </a:r>
          </a:p>
        </c:rich>
      </c:tx>
      <c:layout>
        <c:manualLayout>
          <c:xMode val="edge"/>
          <c:yMode val="edge"/>
          <c:x val="0.27993309759655405"/>
          <c:y val="7.3159235558280152E-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29333275329534086"/>
          <c:y val="0.12687554166513298"/>
          <c:w val="0.70666724670465919"/>
          <c:h val="0.8060355717139539"/>
        </c:manualLayout>
      </c:layout>
      <c:barChart>
        <c:barDir val="bar"/>
        <c:grouping val="clustered"/>
        <c:varyColors val="0"/>
        <c:ser>
          <c:idx val="0"/>
          <c:order val="0"/>
          <c:tx>
            <c:v>Presupuesto</c:v>
          </c:tx>
          <c:spPr>
            <a:solidFill>
              <a:srgbClr val="002060"/>
            </a:solidFill>
            <a:ln>
              <a:noFill/>
            </a:ln>
            <a:effectLst/>
          </c:spPr>
          <c:invertIfNegative val="0"/>
          <c:dLbls>
            <c:dLbl>
              <c:idx val="0"/>
              <c:layout>
                <c:manualLayout>
                  <c:x val="4.305470048845049E-2"/>
                  <c:y val="1.8228526935115428E-2"/>
                </c:manualLayout>
              </c:layout>
              <c:tx>
                <c:rich>
                  <a:bodyPr/>
                  <a:lstStyle/>
                  <a:p>
                    <a:r>
                      <a:rPr lang="en-US"/>
                      <a:t>2,344.8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993-4EFD-A04A-87B206ED22C1}"/>
                </c:ext>
              </c:extLst>
            </c:dLbl>
            <c:dLbl>
              <c:idx val="1"/>
              <c:layout>
                <c:manualLayout>
                  <c:x val="-2.3498713105172802E-3"/>
                  <c:y val="6.5488297263431514E-2"/>
                </c:manualLayout>
              </c:layout>
              <c:tx>
                <c:rich>
                  <a:bodyPr/>
                  <a:lstStyle/>
                  <a:p>
                    <a:r>
                      <a:rPr lang="en-US"/>
                      <a:t>9,197.2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993-4EFD-A04A-87B206ED22C1}"/>
                </c:ext>
              </c:extLst>
            </c:dLbl>
            <c:dLbl>
              <c:idx val="2"/>
              <c:tx>
                <c:rich>
                  <a:bodyPr/>
                  <a:lstStyle/>
                  <a:p>
                    <a:r>
                      <a:rPr lang="en-US"/>
                      <a:t>2,377.1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993-4EFD-A04A-87B206ED22C1}"/>
                </c:ext>
              </c:extLst>
            </c:dLbl>
            <c:dLbl>
              <c:idx val="3"/>
              <c:tx>
                <c:rich>
                  <a:bodyPr/>
                  <a:lstStyle/>
                  <a:p>
                    <a:r>
                      <a:rPr lang="en-US"/>
                      <a:t>127.3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993-4EFD-A04A-87B206ED22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Gotham Book" pitchFamily="50" charset="0"/>
                    <a:ea typeface="+mn-ea"/>
                    <a:cs typeface="Gotham Book" pitchFamily="50"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GGA Func.+Proy '!$B$27:$B$30</c:f>
              <c:strCache>
                <c:ptCount val="4"/>
                <c:pt idx="0">
                  <c:v>Servicios No Personales</c:v>
                </c:pt>
                <c:pt idx="1">
                  <c:v>Servicios Personales</c:v>
                </c:pt>
                <c:pt idx="2">
                  <c:v>Aportes Corrientes</c:v>
                </c:pt>
                <c:pt idx="3">
                  <c:v>Materiales y Suministros</c:v>
                </c:pt>
              </c:strCache>
            </c:strRef>
          </c:cat>
          <c:val>
            <c:numRef>
              <c:f>'Gráfico GGA Func.+Proy '!$C$27:$C$30</c:f>
              <c:numCache>
                <c:formatCode>#,##0.0</c:formatCode>
                <c:ptCount val="4"/>
                <c:pt idx="0">
                  <c:v>1716.6</c:v>
                </c:pt>
                <c:pt idx="1">
                  <c:v>7397</c:v>
                </c:pt>
                <c:pt idx="2">
                  <c:v>1880.2940000000001</c:v>
                </c:pt>
                <c:pt idx="3">
                  <c:v>123.1</c:v>
                </c:pt>
              </c:numCache>
            </c:numRef>
          </c:val>
          <c:extLst>
            <c:ext xmlns:c16="http://schemas.microsoft.com/office/drawing/2014/chart" uri="{C3380CC4-5D6E-409C-BE32-E72D297353CC}">
              <c16:uniqueId val="{00000004-2993-4EFD-A04A-87B206ED22C1}"/>
            </c:ext>
          </c:extLst>
        </c:ser>
        <c:ser>
          <c:idx val="1"/>
          <c:order val="1"/>
          <c:tx>
            <c:v>Ejecución</c:v>
          </c:tx>
          <c:spPr>
            <a:solidFill>
              <a:srgbClr val="436EBE"/>
            </a:solidFill>
            <a:ln>
              <a:noFill/>
            </a:ln>
            <a:effectLst/>
          </c:spPr>
          <c:invertIfNegative val="0"/>
          <c:dLbls>
            <c:dLbl>
              <c:idx val="0"/>
              <c:tx>
                <c:rich>
                  <a:bodyPr/>
                  <a:lstStyle/>
                  <a:p>
                    <a:r>
                      <a:rPr lang="en-US"/>
                      <a:t>1,846.5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993-4EFD-A04A-87B206ED22C1}"/>
                </c:ext>
              </c:extLst>
            </c:dLbl>
            <c:dLbl>
              <c:idx val="1"/>
              <c:layout>
                <c:manualLayout>
                  <c:x val="-4.5207435512873019E-2"/>
                  <c:y val="-7.0726915520628583E-2"/>
                </c:manualLayout>
              </c:layout>
              <c:tx>
                <c:rich>
                  <a:bodyPr/>
                  <a:lstStyle/>
                  <a:p>
                    <a:r>
                      <a:rPr lang="en-US"/>
                      <a:t>8,915.0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993-4EFD-A04A-87B206ED22C1}"/>
                </c:ext>
              </c:extLst>
            </c:dLbl>
            <c:dLbl>
              <c:idx val="2"/>
              <c:tx>
                <c:rich>
                  <a:bodyPr/>
                  <a:lstStyle/>
                  <a:p>
                    <a:r>
                      <a:rPr lang="en-US"/>
                      <a:t>2,136.2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2993-4EFD-A04A-87B206ED22C1}"/>
                </c:ext>
              </c:extLst>
            </c:dLbl>
            <c:dLbl>
              <c:idx val="3"/>
              <c:tx>
                <c:rich>
                  <a:bodyPr/>
                  <a:lstStyle/>
                  <a:p>
                    <a:r>
                      <a:rPr lang="en-US"/>
                      <a:t>99.0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993-4EFD-A04A-87B206ED22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Gotham Book" pitchFamily="50" charset="0"/>
                    <a:ea typeface="+mn-ea"/>
                    <a:cs typeface="Gotham Book" pitchFamily="50"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GGA Func.+Proy '!$B$27:$B$30</c:f>
              <c:strCache>
                <c:ptCount val="4"/>
                <c:pt idx="0">
                  <c:v>Servicios No Personales</c:v>
                </c:pt>
                <c:pt idx="1">
                  <c:v>Servicios Personales</c:v>
                </c:pt>
                <c:pt idx="2">
                  <c:v>Aportes Corrientes</c:v>
                </c:pt>
                <c:pt idx="3">
                  <c:v>Materiales y Suministros</c:v>
                </c:pt>
              </c:strCache>
            </c:strRef>
          </c:cat>
          <c:val>
            <c:numRef>
              <c:f>'Gráfico GGA Func.+Proy '!$D$27:$D$30</c:f>
              <c:numCache>
                <c:formatCode>#,##0.0</c:formatCode>
                <c:ptCount val="4"/>
                <c:pt idx="0">
                  <c:v>1552.0239999999999</c:v>
                </c:pt>
                <c:pt idx="1">
                  <c:v>7337.4111836800002</c:v>
                </c:pt>
                <c:pt idx="2">
                  <c:v>1839.2180000000001</c:v>
                </c:pt>
                <c:pt idx="3">
                  <c:v>113.047</c:v>
                </c:pt>
              </c:numCache>
            </c:numRef>
          </c:val>
          <c:extLst>
            <c:ext xmlns:c16="http://schemas.microsoft.com/office/drawing/2014/chart" uri="{C3380CC4-5D6E-409C-BE32-E72D297353CC}">
              <c16:uniqueId val="{00000009-2993-4EFD-A04A-87B206ED22C1}"/>
            </c:ext>
          </c:extLst>
        </c:ser>
        <c:dLbls>
          <c:showLegendKey val="0"/>
          <c:showVal val="0"/>
          <c:showCatName val="0"/>
          <c:showSerName val="0"/>
          <c:showPercent val="0"/>
          <c:showBubbleSize val="0"/>
        </c:dLbls>
        <c:gapWidth val="105"/>
        <c:overlap val="-11"/>
        <c:axId val="969300415"/>
        <c:axId val="967682767"/>
      </c:barChart>
      <c:catAx>
        <c:axId val="969300415"/>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otham Book" pitchFamily="50" charset="0"/>
                <a:ea typeface="+mn-ea"/>
                <a:cs typeface="Gotham Book" pitchFamily="50" charset="0"/>
              </a:defRPr>
            </a:pPr>
            <a:endParaRPr lang="es-DO"/>
          </a:p>
        </c:txPr>
        <c:crossAx val="967682767"/>
        <c:crosses val="autoZero"/>
        <c:auto val="1"/>
        <c:lblAlgn val="ctr"/>
        <c:lblOffset val="100"/>
        <c:noMultiLvlLbl val="0"/>
      </c:catAx>
      <c:valAx>
        <c:axId val="967682767"/>
        <c:scaling>
          <c:orientation val="minMax"/>
        </c:scaling>
        <c:delete val="1"/>
        <c:axPos val="t"/>
        <c:numFmt formatCode="#,##0.0" sourceLinked="1"/>
        <c:majorTickMark val="none"/>
        <c:minorTickMark val="none"/>
        <c:tickLblPos val="nextTo"/>
        <c:crossAx val="969300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Gotham Book" pitchFamily="50" charset="0"/>
              <a:ea typeface="+mn-ea"/>
              <a:cs typeface="Gotham Book" pitchFamily="50"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050" b="1">
                <a:solidFill>
                  <a:srgbClr val="4C4747"/>
                </a:solidFill>
                <a:latin typeface="Times New Roman" panose="02020603050405020304" pitchFamily="18" charset="0"/>
                <a:cs typeface="Times New Roman" panose="02020603050405020304" pitchFamily="18" charset="0"/>
              </a:rPr>
              <a:t>Resultado Operacional </a:t>
            </a:r>
          </a:p>
          <a:p>
            <a:pPr>
              <a:defRPr/>
            </a:pPr>
            <a:r>
              <a:rPr lang="es-DO" sz="1050" b="1">
                <a:solidFill>
                  <a:srgbClr val="4C4747"/>
                </a:solidFill>
                <a:latin typeface="Times New Roman" panose="02020603050405020304" pitchFamily="18" charset="0"/>
                <a:cs typeface="Times New Roman" panose="02020603050405020304" pitchFamily="18" charset="0"/>
              </a:rPr>
              <a:t>Enero-Diciembre 2025</a:t>
            </a:r>
          </a:p>
          <a:p>
            <a:pPr>
              <a:defRPr/>
            </a:pPr>
            <a:r>
              <a:rPr lang="es-DO" sz="1050" b="1">
                <a:solidFill>
                  <a:srgbClr val="4C4747"/>
                </a:solidFill>
                <a:latin typeface="Times New Roman" panose="02020603050405020304" pitchFamily="18" charset="0"/>
                <a:cs typeface="Times New Roman" panose="02020603050405020304" pitchFamily="18" charset="0"/>
              </a:rPr>
              <a:t>En millones de RD$</a:t>
            </a:r>
          </a:p>
        </c:rich>
      </c:tx>
      <c:layout>
        <c:manualLayout>
          <c:xMode val="edge"/>
          <c:yMode val="edge"/>
          <c:x val="0.33381844510815456"/>
          <c:y val="9.950248756218905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10007158196134575"/>
          <c:y val="0.18560578708149286"/>
          <c:w val="0.81793198310104287"/>
          <c:h val="0.71046232635554707"/>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11C50"/>
              </a:solidFill>
              <a:ln>
                <a:noFill/>
              </a:ln>
              <a:effectLst/>
            </c:spPr>
            <c:extLst>
              <c:ext xmlns:c16="http://schemas.microsoft.com/office/drawing/2014/chart" uri="{C3380CC4-5D6E-409C-BE32-E72D297353CC}">
                <c16:uniqueId val="{00000001-037F-4C1E-8E0F-1AB2D61C94D9}"/>
              </c:ext>
            </c:extLst>
          </c:dPt>
          <c:dPt>
            <c:idx val="1"/>
            <c:invertIfNegative val="0"/>
            <c:bubble3D val="0"/>
            <c:spPr>
              <a:solidFill>
                <a:srgbClr val="4780EA"/>
              </a:solidFill>
              <a:ln>
                <a:noFill/>
              </a:ln>
              <a:effectLst/>
            </c:spPr>
            <c:extLst>
              <c:ext xmlns:c16="http://schemas.microsoft.com/office/drawing/2014/chart" uri="{C3380CC4-5D6E-409C-BE32-E72D297353CC}">
                <c16:uniqueId val="{00000003-037F-4C1E-8E0F-1AB2D61C94D9}"/>
              </c:ext>
            </c:extLst>
          </c:dPt>
          <c:dLbls>
            <c:dLbl>
              <c:idx val="0"/>
              <c:tx>
                <c:rich>
                  <a:bodyPr/>
                  <a:lstStyle/>
                  <a:p>
                    <a:r>
                      <a:rPr lang="en-US"/>
                      <a:t>-67,524.1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37F-4C1E-8E0F-1AB2D61C94D9}"/>
                </c:ext>
              </c:extLst>
            </c:dLbl>
            <c:dLbl>
              <c:idx val="1"/>
              <c:tx>
                <c:rich>
                  <a:bodyPr/>
                  <a:lstStyle/>
                  <a:p>
                    <a:r>
                      <a:rPr lang="en-US"/>
                      <a:t>-39,448.2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37F-4C1E-8E0F-1AB2D61C94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Gotham Book" pitchFamily="50" charset="0"/>
                    <a:ea typeface="+mn-ea"/>
                    <a:cs typeface="Gotham Book" pitchFamily="50"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Result. Adm. y Oper.'!$C$62:$D$62</c:f>
              <c:strCache>
                <c:ptCount val="2"/>
                <c:pt idx="0">
                  <c:v>Presupuesto</c:v>
                </c:pt>
                <c:pt idx="1">
                  <c:v>Ejecución</c:v>
                </c:pt>
              </c:strCache>
            </c:strRef>
          </c:cat>
          <c:val>
            <c:numRef>
              <c:f>'Gráfico Result. Adm. y Oper.'!$C$63:$D$63</c:f>
              <c:numCache>
                <c:formatCode>#,##0.0</c:formatCode>
                <c:ptCount val="2"/>
                <c:pt idx="0">
                  <c:v>-75232.262999999948</c:v>
                </c:pt>
                <c:pt idx="1">
                  <c:v>-56511.771999999968</c:v>
                </c:pt>
              </c:numCache>
            </c:numRef>
          </c:val>
          <c:extLst>
            <c:ext xmlns:c16="http://schemas.microsoft.com/office/drawing/2014/chart" uri="{C3380CC4-5D6E-409C-BE32-E72D297353CC}">
              <c16:uniqueId val="{00000004-037F-4C1E-8E0F-1AB2D61C94D9}"/>
            </c:ext>
          </c:extLst>
        </c:ser>
        <c:dLbls>
          <c:showLegendKey val="0"/>
          <c:showVal val="0"/>
          <c:showCatName val="0"/>
          <c:showSerName val="0"/>
          <c:showPercent val="0"/>
          <c:showBubbleSize val="0"/>
        </c:dLbls>
        <c:gapWidth val="215"/>
        <c:overlap val="5"/>
        <c:axId val="1313757200"/>
        <c:axId val="1255117088"/>
      </c:barChart>
      <c:catAx>
        <c:axId val="1313757200"/>
        <c:scaling>
          <c:orientation val="minMax"/>
        </c:scaling>
        <c:delete val="1"/>
        <c:axPos val="b"/>
        <c:numFmt formatCode="General" sourceLinked="1"/>
        <c:majorTickMark val="out"/>
        <c:minorTickMark val="none"/>
        <c:tickLblPos val="nextTo"/>
        <c:crossAx val="1255117088"/>
        <c:crosses val="autoZero"/>
        <c:auto val="0"/>
        <c:lblAlgn val="ctr"/>
        <c:lblOffset val="100"/>
        <c:noMultiLvlLbl val="0"/>
      </c:catAx>
      <c:valAx>
        <c:axId val="1255117088"/>
        <c:scaling>
          <c:orientation val="minMax"/>
        </c:scaling>
        <c:delete val="1"/>
        <c:axPos val="l"/>
        <c:numFmt formatCode="#,##0.0" sourceLinked="1"/>
        <c:majorTickMark val="out"/>
        <c:minorTickMark val="none"/>
        <c:tickLblPos val="nextTo"/>
        <c:crossAx val="131375720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5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Entry>
      <c:legendEntry>
        <c:idx val="1"/>
        <c:txPr>
          <a:bodyPr rot="0" spcFirstLastPara="1" vertOverflow="ellipsis" vert="horz" wrap="square" anchor="ctr" anchorCtr="1"/>
          <a:lstStyle/>
          <a:p>
            <a:pPr>
              <a:defRPr sz="105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Entry>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otham Book" pitchFamily="50" charset="0"/>
              <a:ea typeface="+mn-ea"/>
              <a:cs typeface="Gotham Book" pitchFamily="50"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132</Pages>
  <Words>24678</Words>
  <Characters>135239</Characters>
  <Application>Microsoft Office Word</Application>
  <DocSecurity>0</DocSecurity>
  <Lines>2217</Lines>
  <Paragraphs>1300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Wandy Karina Matos Ramirez</cp:lastModifiedBy>
  <cp:revision>15</cp:revision>
  <cp:lastPrinted>2021-11-04T17:14:00Z</cp:lastPrinted>
  <dcterms:created xsi:type="dcterms:W3CDTF">2025-12-30T14:33:00Z</dcterms:created>
  <dcterms:modified xsi:type="dcterms:W3CDTF">2026-01-12T14:44:00Z</dcterms:modified>
</cp:coreProperties>
</file>