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0.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1.xml" ContentType="application/vnd.openxmlformats-officedocument.themeOverrid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2.xml" ContentType="application/vnd.openxmlformats-officedocument.themeOverrid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3.xml" ContentType="application/vnd.openxmlformats-officedocument.themeOverrid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4.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3F6AC242" w:rsidR="008D7F4E" w:rsidRPr="00232EBB" w:rsidRDefault="00DF0B54" w:rsidP="008D7F4E">
      <w:pPr>
        <w:rPr>
          <w:lang w:val="es-DO"/>
        </w:rPr>
      </w:pPr>
      <w:r w:rsidRPr="00232EBB">
        <w:rPr>
          <w:noProof/>
        </w:rPr>
        <w:drawing>
          <wp:anchor distT="0" distB="0" distL="114300" distR="114300" simplePos="0" relativeHeight="251658242" behindDoc="0" locked="0" layoutInCell="1" allowOverlap="1" wp14:anchorId="3F0A51DA" wp14:editId="2B472D15">
            <wp:simplePos x="0" y="0"/>
            <wp:positionH relativeFrom="margin">
              <wp:align>center</wp:align>
            </wp:positionH>
            <wp:positionV relativeFrom="paragraph">
              <wp:posOffset>267335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32EBB" w:rsidRDefault="008D7F4E" w:rsidP="008D7F4E">
      <w:pPr>
        <w:rPr>
          <w:lang w:val="es-DO"/>
        </w:rPr>
      </w:pPr>
    </w:p>
    <w:p w14:paraId="1AC5E2C3" w14:textId="77777777" w:rsidR="008D7F4E" w:rsidRPr="00232EBB" w:rsidRDefault="008D7F4E" w:rsidP="008D7F4E">
      <w:pPr>
        <w:rPr>
          <w:lang w:val="es-DO"/>
        </w:rPr>
      </w:pPr>
    </w:p>
    <w:p w14:paraId="34990FAF" w14:textId="52B5DA41" w:rsidR="008D7F4E" w:rsidRPr="00232EBB" w:rsidRDefault="008D7F4E" w:rsidP="008D7F4E">
      <w:pPr>
        <w:rPr>
          <w:lang w:val="es-DO"/>
        </w:rPr>
      </w:pPr>
      <w:bookmarkStart w:id="0" w:name="_Hlk86404256"/>
      <w:bookmarkEnd w:id="0"/>
    </w:p>
    <w:p w14:paraId="6EFB72EE" w14:textId="272B2AD6" w:rsidR="008D7F4E" w:rsidRPr="00232EBB" w:rsidRDefault="008D7F4E" w:rsidP="008D7F4E">
      <w:pPr>
        <w:rPr>
          <w:lang w:val="es-DO"/>
        </w:rPr>
      </w:pPr>
    </w:p>
    <w:p w14:paraId="3F7503CE" w14:textId="172B5CFE" w:rsidR="008D7F4E" w:rsidRPr="00232EBB" w:rsidRDefault="008D7F4E" w:rsidP="008D7F4E">
      <w:pPr>
        <w:rPr>
          <w:lang w:val="es-DO"/>
        </w:rPr>
      </w:pPr>
    </w:p>
    <w:p w14:paraId="071FCCAE" w14:textId="759B330B" w:rsidR="008D7F4E" w:rsidRPr="00232EBB" w:rsidRDefault="00A63A00" w:rsidP="008D7F4E">
      <w:pPr>
        <w:rPr>
          <w:lang w:val="es-DO"/>
        </w:rPr>
      </w:pPr>
      <w:r w:rsidRPr="00232EBB">
        <w:rPr>
          <w:noProof/>
        </w:rPr>
        <mc:AlternateContent>
          <mc:Choice Requires="wps">
            <w:drawing>
              <wp:anchor distT="0" distB="0" distL="114300" distR="114300" simplePos="0" relativeHeight="251658246" behindDoc="0" locked="0" layoutInCell="1" allowOverlap="1" wp14:anchorId="49B1C421" wp14:editId="760C6FE4">
                <wp:simplePos x="0" y="0"/>
                <wp:positionH relativeFrom="margin">
                  <wp:posOffset>1629410</wp:posOffset>
                </wp:positionH>
                <wp:positionV relativeFrom="paragraph">
                  <wp:posOffset>3810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8.3pt;margin-top:.3pt;width:148.4pt;height:13.9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32EBB" w:rsidRDefault="008D7F4E" w:rsidP="008D7F4E">
      <w:pPr>
        <w:rPr>
          <w:lang w:val="es-DO"/>
        </w:rPr>
      </w:pPr>
    </w:p>
    <w:p w14:paraId="0233C915" w14:textId="77777777" w:rsidR="008D7F4E" w:rsidRPr="00232EBB" w:rsidRDefault="008D7F4E" w:rsidP="008D7F4E">
      <w:pPr>
        <w:rPr>
          <w:lang w:val="es-DO"/>
        </w:rPr>
      </w:pPr>
    </w:p>
    <w:p w14:paraId="274DCED8" w14:textId="6B1D383D" w:rsidR="004F2DD5" w:rsidRPr="00232EBB" w:rsidRDefault="00CC3FE7" w:rsidP="004F2DD5">
      <w:r w:rsidRPr="00232EBB">
        <w:rPr>
          <w:noProof/>
        </w:rPr>
        <w:drawing>
          <wp:anchor distT="0" distB="0" distL="114300" distR="114300" simplePos="0" relativeHeight="251658262" behindDoc="0" locked="0" layoutInCell="1" allowOverlap="1" wp14:anchorId="3FB227F9" wp14:editId="323C1197">
            <wp:simplePos x="0" y="0"/>
            <wp:positionH relativeFrom="margin">
              <wp:posOffset>3748405</wp:posOffset>
            </wp:positionH>
            <wp:positionV relativeFrom="paragraph">
              <wp:posOffset>4816475</wp:posOffset>
            </wp:positionV>
            <wp:extent cx="1847850" cy="789305"/>
            <wp:effectExtent l="0" t="0" r="0" b="0"/>
            <wp:wrapNone/>
            <wp:docPr id="25" name="Picture 25" descr="A picture containing text, font, businesscard,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font, businesscard, graphic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7850" cy="789305"/>
                    </a:xfrm>
                    <a:prstGeom prst="rect">
                      <a:avLst/>
                    </a:prstGeom>
                  </pic:spPr>
                </pic:pic>
              </a:graphicData>
            </a:graphic>
          </wp:anchor>
        </w:drawing>
      </w:r>
      <w:r w:rsidR="00CD2766" w:rsidRPr="00232EBB">
        <w:rPr>
          <w:noProof/>
        </w:rPr>
        <mc:AlternateContent>
          <mc:Choice Requires="wpg">
            <w:drawing>
              <wp:anchor distT="0" distB="0" distL="114300" distR="114300" simplePos="0" relativeHeight="251670564" behindDoc="0" locked="0" layoutInCell="1" allowOverlap="1" wp14:anchorId="34509AE8" wp14:editId="75C6D1F0">
                <wp:simplePos x="0" y="0"/>
                <wp:positionH relativeFrom="column">
                  <wp:posOffset>-514350</wp:posOffset>
                </wp:positionH>
                <wp:positionV relativeFrom="paragraph">
                  <wp:posOffset>4593590</wp:posOffset>
                </wp:positionV>
                <wp:extent cx="2527300" cy="1005840"/>
                <wp:effectExtent l="0" t="0" r="0" b="3810"/>
                <wp:wrapNone/>
                <wp:docPr id="1883196255" name="Group 1883196255"/>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730919485" name="Text Box 730919485"/>
                        <wps:cNvSpPr txBox="1">
                          <a:spLocks/>
                        </wps:cNvSpPr>
                        <wps:spPr>
                          <a:xfrm>
                            <a:off x="0" y="600075"/>
                            <a:ext cx="2527539" cy="371475"/>
                          </a:xfrm>
                          <a:prstGeom prst="rect">
                            <a:avLst/>
                          </a:prstGeom>
                        </wps:spPr>
                        <wps:txbx>
                          <w:txbxContent>
                            <w:p w14:paraId="3F343A8C" w14:textId="77777777" w:rsidR="00CD2766" w:rsidRPr="003A00CC" w:rsidRDefault="00CD2766" w:rsidP="00CD2766">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1B6E2E0" w14:textId="77777777" w:rsidR="00CD2766" w:rsidRDefault="00CD2766" w:rsidP="00CD2766">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013129426" name="Group 1013129426"/>
                        <wpg:cNvGrpSpPr/>
                        <wpg:grpSpPr>
                          <a:xfrm>
                            <a:off x="0" y="0"/>
                            <a:ext cx="612775" cy="1005840"/>
                            <a:chOff x="0" y="0"/>
                            <a:chExt cx="612775" cy="1005840"/>
                          </a:xfrm>
                        </wpg:grpSpPr>
                        <wps:wsp>
                          <wps:cNvPr id="102724196" name="Freeform: Shape 102724196"/>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20090040" name="Picture 620090040"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34509AE8" id="Group 1883196255" o:spid="_x0000_s1027" style="position:absolute;margin-left:-40.5pt;margin-top:361.7pt;width:199pt;height:79.2pt;z-index:25167056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">
                <v:shape id="Text Box 730919485"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" filled="f" stroked="f">
                  <v:textbox inset="0,1.2pt,0,0">
                    <w:txbxContent>
                      <w:p w14:paraId="3F343A8C" w14:textId="77777777" w:rsidR="00CD2766" w:rsidRPr="003A00CC" w:rsidRDefault="00CD2766" w:rsidP="00CD2766">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1B6E2E0" w14:textId="77777777" w:rsidR="00CD2766" w:rsidRDefault="00CD2766" w:rsidP="00CD2766">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1013129426"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">
                  <v:shape id="Freeform: Shape 102724196"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0090040"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">
                    <v:imagedata r:id="rId14" o:title="Icon&#10;&#10;Description automatically generated"/>
                  </v:shape>
                </v:group>
              </v:group>
            </w:pict>
          </mc:Fallback>
        </mc:AlternateContent>
      </w:r>
      <w:r w:rsidR="001E0D49" w:rsidRPr="00232EBB">
        <w:rPr>
          <w:noProof/>
        </w:rPr>
        <mc:AlternateContent>
          <mc:Choice Requires="wps">
            <w:drawing>
              <wp:anchor distT="0" distB="0" distL="114300" distR="114300" simplePos="0" relativeHeight="251658245" behindDoc="0" locked="0" layoutInCell="1" allowOverlap="1" wp14:anchorId="6B2EB822" wp14:editId="0F57EF05">
                <wp:simplePos x="0" y="0"/>
                <wp:positionH relativeFrom="margin">
                  <wp:align>center</wp:align>
                </wp:positionH>
                <wp:positionV relativeFrom="paragraph">
                  <wp:posOffset>2543810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CDE395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B278C4">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0;margin-top:200.3pt;width:95.35pt;height:24.3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" filled="f" stroked="f">
                <v:textbox inset="0,1pt,0,0">
                  <w:txbxContent>
                    <w:p w14:paraId="50ABDE0F" w14:textId="5CDE395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B278C4">
                        <w:rPr>
                          <w:b/>
                          <w:bCs/>
                          <w:color w:val="D5B788"/>
                          <w:spacing w:val="68"/>
                          <w:kern w:val="24"/>
                          <w:sz w:val="28"/>
                          <w:szCs w:val="28"/>
                        </w:rPr>
                        <w:t>5</w:t>
                      </w:r>
                      <w:r w:rsidRPr="00F36012">
                        <w:rPr>
                          <w:b/>
                          <w:bCs/>
                          <w:color w:val="D5B788"/>
                          <w:spacing w:val="-21"/>
                          <w:kern w:val="24"/>
                          <w:sz w:val="28"/>
                          <w:szCs w:val="28"/>
                        </w:rPr>
                        <w:t xml:space="preserve"> </w:t>
                      </w:r>
                    </w:p>
                  </w:txbxContent>
                </v:textbox>
                <w10:wrap anchorx="margin"/>
              </v:shape>
            </w:pict>
          </mc:Fallback>
        </mc:AlternateContent>
      </w:r>
      <w:r w:rsidR="001E0D49" w:rsidRPr="00232EBB">
        <w:rPr>
          <w:noProof/>
        </w:rPr>
        <mc:AlternateContent>
          <mc:Choice Requires="wps">
            <w:drawing>
              <wp:anchor distT="4294967295" distB="4294967295" distL="114300" distR="114300" simplePos="0" relativeHeight="251658251" behindDoc="0" locked="0" layoutInCell="1" allowOverlap="1" wp14:anchorId="209AF3DE" wp14:editId="6BC02F34">
                <wp:simplePos x="0" y="0"/>
                <wp:positionH relativeFrom="margin">
                  <wp:align>center</wp:align>
                </wp:positionH>
                <wp:positionV relativeFrom="paragraph">
                  <wp:posOffset>2141855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6ED9B1B" id="Straight Connector 9"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8.65pt" to="36.5pt,1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" strokecolor="#c8b688" strokeweight="2.25pt">
                <v:stroke joinstyle="miter"/>
                <o:lock v:ext="edit" shapetype="f"/>
                <w10:wrap anchorx="margin"/>
              </v:line>
            </w:pict>
          </mc:Fallback>
        </mc:AlternateContent>
      </w:r>
      <w:r w:rsidR="001E0D49" w:rsidRPr="00232EBB">
        <w:rPr>
          <w:noProof/>
        </w:rPr>
        <mc:AlternateContent>
          <mc:Choice Requires="wps">
            <w:drawing>
              <wp:anchor distT="0" distB="0" distL="114300" distR="114300" simplePos="0" relativeHeight="251658243" behindDoc="0" locked="0" layoutInCell="1" allowOverlap="1" wp14:anchorId="0C109D41" wp14:editId="4D772B0C">
                <wp:simplePos x="0" y="0"/>
                <wp:positionH relativeFrom="margin">
                  <wp:align>center</wp:align>
                </wp:positionH>
                <wp:positionV relativeFrom="paragraph">
                  <wp:posOffset>1002030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0;margin-top:78.9pt;width:453.45pt;height:77.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sidRPr="00232EBB">
        <w:rPr>
          <w:noProof/>
        </w:rPr>
        <mc:AlternateContent>
          <mc:Choice Requires="wps">
            <w:drawing>
              <wp:anchor distT="0" distB="0" distL="114300" distR="114300" simplePos="0" relativeHeight="251658250" behindDoc="0" locked="0" layoutInCell="1" allowOverlap="1" wp14:anchorId="4B9C2ACC" wp14:editId="1F9849E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AEF2DA5">
              <v:shape id="Freeform: Shape 44"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spid="_x0000_s1026" fillcolor="#d5b788" stroked="f"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w14:anchorId="64CDA8F2">
                <v:path arrowok="t"/>
              </v:shape>
            </w:pict>
          </mc:Fallback>
        </mc:AlternateContent>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8D7F4E" w:rsidRPr="00232EBB">
        <w:rPr>
          <w:lang w:val="es-DO"/>
        </w:rPr>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r w:rsidR="004F2DD5" w:rsidRPr="00232EBB">
        <w:tab/>
      </w:r>
    </w:p>
    <w:p w14:paraId="6F050B88" w14:textId="09707BC8" w:rsidR="004F2DD5" w:rsidRPr="00232EBB" w:rsidRDefault="004F2DD5" w:rsidP="004F2DD5">
      <w:bookmarkStart w:id="1" w:name="_Hlk216097995"/>
      <w:bookmarkEnd w:id="1"/>
    </w:p>
    <w:p w14:paraId="17B5E9DF" w14:textId="7890F551" w:rsidR="008D7F4E" w:rsidRPr="00232EBB" w:rsidRDefault="008D7F4E" w:rsidP="008D7F4E">
      <w:pPr>
        <w:rPr>
          <w:lang w:val="es-DO"/>
        </w:rPr>
      </w:pPr>
      <w:r w:rsidRPr="00232EBB">
        <w:rPr>
          <w:lang w:val="es-DO"/>
        </w:rPr>
        <w:lastRenderedPageBreak/>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r w:rsidRPr="00232EBB">
        <w:rPr>
          <w:lang w:val="es-DO"/>
        </w:rPr>
        <w:tab/>
      </w:r>
    </w:p>
    <w:p w14:paraId="38D9CF2E" w14:textId="118B01A5" w:rsidR="008D7F4E" w:rsidRPr="00232EBB" w:rsidRDefault="008D7F4E" w:rsidP="008D7F4E">
      <w:pPr>
        <w:rPr>
          <w:lang w:val="es-DO"/>
        </w:rPr>
      </w:pPr>
    </w:p>
    <w:p w14:paraId="16EDE6EA" w14:textId="51136D97" w:rsidR="008D7F4E" w:rsidRPr="00232EBB" w:rsidRDefault="008D7F4E" w:rsidP="008D7F4E">
      <w:pPr>
        <w:rPr>
          <w:b/>
          <w:bCs/>
          <w:lang w:val="es-DO"/>
        </w:rPr>
      </w:pPr>
    </w:p>
    <w:p w14:paraId="3FC05242" w14:textId="77777777" w:rsidR="008D7F4E" w:rsidRPr="00232EBB" w:rsidRDefault="008D7F4E" w:rsidP="008D7F4E">
      <w:pPr>
        <w:rPr>
          <w:lang w:val="es-DO"/>
        </w:rPr>
      </w:pPr>
    </w:p>
    <w:p w14:paraId="52109915" w14:textId="77777777" w:rsidR="008D7F4E" w:rsidRPr="00232EBB" w:rsidRDefault="008D7F4E" w:rsidP="008D7F4E">
      <w:pPr>
        <w:rPr>
          <w:lang w:val="es-DO"/>
        </w:rPr>
      </w:pPr>
    </w:p>
    <w:p w14:paraId="26FC2ECF" w14:textId="1304E68D" w:rsidR="008D7F4E" w:rsidRPr="00232EBB" w:rsidRDefault="008D7F4E" w:rsidP="008D7F4E">
      <w:pPr>
        <w:rPr>
          <w:lang w:val="es-DO"/>
        </w:rPr>
      </w:pPr>
    </w:p>
    <w:p w14:paraId="339C9304" w14:textId="532ECEA5" w:rsidR="008D7F4E" w:rsidRPr="00232EBB" w:rsidRDefault="008D7F4E" w:rsidP="008D7F4E">
      <w:pPr>
        <w:rPr>
          <w:lang w:val="es-DO"/>
        </w:rPr>
      </w:pPr>
    </w:p>
    <w:p w14:paraId="45BA7FA9" w14:textId="77777777" w:rsidR="0087772C" w:rsidRPr="00232EBB" w:rsidRDefault="0087772C" w:rsidP="008D7F4E">
      <w:pPr>
        <w:rPr>
          <w:lang w:val="es-DO"/>
        </w:rPr>
      </w:pPr>
    </w:p>
    <w:p w14:paraId="18C0D5CD" w14:textId="3C9E19AE" w:rsidR="008D7F4E" w:rsidRPr="00232EBB" w:rsidRDefault="004945BF" w:rsidP="008D7F4E">
      <w:pPr>
        <w:rPr>
          <w:lang w:val="es-DO"/>
        </w:rPr>
      </w:pPr>
      <w:r w:rsidRPr="00232EBB">
        <w:rPr>
          <w:noProof/>
        </w:rPr>
        <mc:AlternateContent>
          <mc:Choice Requires="wps">
            <w:drawing>
              <wp:anchor distT="0" distB="0" distL="114300" distR="114300" simplePos="0" relativeHeight="251658241" behindDoc="0" locked="0" layoutInCell="1" allowOverlap="1" wp14:anchorId="611EEDAC" wp14:editId="356B604B">
                <wp:simplePos x="0" y="0"/>
                <wp:positionH relativeFrom="margin">
                  <wp:align>center</wp:align>
                </wp:positionH>
                <wp:positionV relativeFrom="paragraph">
                  <wp:posOffset>217170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0;margin-top:17.1pt;width:453.45pt;height:77.6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38D6C8AE" w14:textId="0C3AB746" w:rsidR="008D7F4E" w:rsidRPr="00232EBB" w:rsidRDefault="008D7F4E" w:rsidP="008D7F4E">
      <w:pPr>
        <w:rPr>
          <w:lang w:val="es-DO"/>
        </w:rPr>
      </w:pPr>
    </w:p>
    <w:p w14:paraId="22DD7F53" w14:textId="38F1DA9C" w:rsidR="008D7F4E" w:rsidRPr="00232EBB" w:rsidRDefault="008D7F4E" w:rsidP="008D7F4E">
      <w:pPr>
        <w:rPr>
          <w:lang w:val="es-DO"/>
        </w:rPr>
      </w:pPr>
    </w:p>
    <w:p w14:paraId="266A4AE7" w14:textId="5D666784" w:rsidR="008D7F4E" w:rsidRPr="00232EBB" w:rsidRDefault="008D7F4E" w:rsidP="008D7F4E">
      <w:pPr>
        <w:rPr>
          <w:lang w:val="es-DO"/>
        </w:rPr>
      </w:pPr>
    </w:p>
    <w:p w14:paraId="56C838CA" w14:textId="2DDF9386" w:rsidR="008D7F4E" w:rsidRPr="00232EBB" w:rsidRDefault="00157831" w:rsidP="008D7F4E">
      <w:pPr>
        <w:rPr>
          <w:lang w:val="es-DO"/>
        </w:rPr>
      </w:pPr>
      <w:r w:rsidRPr="00232EBB">
        <w:rPr>
          <w:noProof/>
        </w:rPr>
        <mc:AlternateContent>
          <mc:Choice Requires="wps">
            <w:drawing>
              <wp:anchor distT="4294967295" distB="4294967295" distL="114300" distR="114300" simplePos="0" relativeHeight="251658252" behindDoc="0" locked="0" layoutInCell="1" allowOverlap="1" wp14:anchorId="4E0C23B7" wp14:editId="752B4C00">
                <wp:simplePos x="0" y="0"/>
                <wp:positionH relativeFrom="margin">
                  <wp:align>center</wp:align>
                </wp:positionH>
                <wp:positionV relativeFrom="paragraph">
                  <wp:posOffset>130175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E821E65" id="Straight Connector 22"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0.25pt" to="36.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" strokecolor="#c8b688" strokeweight="2.25pt">
                <v:stroke joinstyle="miter"/>
                <o:lock v:ext="edit" shapetype="f"/>
                <w10:wrap anchorx="margin"/>
              </v:line>
            </w:pict>
          </mc:Fallback>
        </mc:AlternateContent>
      </w:r>
    </w:p>
    <w:p w14:paraId="5A37720D" w14:textId="64D3D6AD" w:rsidR="008D7F4E" w:rsidRPr="00232EBB" w:rsidRDefault="008D7F4E" w:rsidP="008D7F4E">
      <w:pPr>
        <w:rPr>
          <w:lang w:val="es-DO"/>
        </w:rPr>
      </w:pPr>
    </w:p>
    <w:p w14:paraId="1C1F404E" w14:textId="1F8753AE" w:rsidR="008D7F4E" w:rsidRPr="00232EBB" w:rsidRDefault="00157831" w:rsidP="008D7F4E">
      <w:pPr>
        <w:rPr>
          <w:lang w:val="es-DO"/>
        </w:rPr>
      </w:pPr>
      <w:r w:rsidRPr="00232EBB">
        <w:rPr>
          <w:noProof/>
        </w:rPr>
        <mc:AlternateContent>
          <mc:Choice Requires="wps">
            <w:drawing>
              <wp:anchor distT="0" distB="0" distL="114300" distR="114300" simplePos="0" relativeHeight="251658248" behindDoc="0" locked="0" layoutInCell="1" allowOverlap="1" wp14:anchorId="65361376" wp14:editId="25A1F871">
                <wp:simplePos x="0" y="0"/>
                <wp:positionH relativeFrom="margin">
                  <wp:align>center</wp:align>
                </wp:positionH>
                <wp:positionV relativeFrom="paragraph">
                  <wp:posOffset>5715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459771DB"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B278C4">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0;margin-top:.45pt;width:95.65pt;height:24.3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" filled="f" stroked="f">
                <v:textbox inset="0,1pt,0,0">
                  <w:txbxContent>
                    <w:p w14:paraId="6B362718" w14:textId="459771DB"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B278C4">
                        <w:rPr>
                          <w:b/>
                          <w:bCs/>
                          <w:color w:val="D5B788"/>
                          <w:spacing w:val="68"/>
                          <w:kern w:val="24"/>
                          <w:sz w:val="28"/>
                          <w:szCs w:val="28"/>
                        </w:rPr>
                        <w:t>5</w:t>
                      </w:r>
                      <w:r w:rsidRPr="005805BA">
                        <w:rPr>
                          <w:b/>
                          <w:bCs/>
                          <w:color w:val="D5B788"/>
                          <w:spacing w:val="-21"/>
                          <w:kern w:val="24"/>
                          <w:sz w:val="28"/>
                          <w:szCs w:val="28"/>
                        </w:rPr>
                        <w:t xml:space="preserve"> </w:t>
                      </w:r>
                    </w:p>
                  </w:txbxContent>
                </v:textbox>
                <w10:wrap anchorx="margin"/>
              </v:shape>
            </w:pict>
          </mc:Fallback>
        </mc:AlternateContent>
      </w:r>
    </w:p>
    <w:p w14:paraId="75F2B32B" w14:textId="14B2843A" w:rsidR="008D7F4E" w:rsidRPr="00232EBB" w:rsidRDefault="008D7F4E" w:rsidP="008D7F4E">
      <w:pPr>
        <w:rPr>
          <w:b/>
          <w:bCs/>
          <w:lang w:val="es-DO"/>
        </w:rPr>
      </w:pPr>
    </w:p>
    <w:p w14:paraId="7AD079B8" w14:textId="0858FED9" w:rsidR="008D7F4E" w:rsidRPr="00232EBB" w:rsidRDefault="008D7F4E" w:rsidP="008D7F4E">
      <w:pPr>
        <w:rPr>
          <w:lang w:val="es-DO"/>
        </w:rPr>
      </w:pPr>
    </w:p>
    <w:p w14:paraId="2ADA86D9" w14:textId="3F0A12A5" w:rsidR="008D7F4E" w:rsidRPr="00232EBB" w:rsidRDefault="008D7F4E" w:rsidP="008D7F4E">
      <w:pPr>
        <w:rPr>
          <w:b/>
          <w:bCs/>
          <w:lang w:val="es-DO"/>
        </w:rPr>
      </w:pPr>
    </w:p>
    <w:p w14:paraId="163CEF29" w14:textId="62191160" w:rsidR="00E739F8" w:rsidRPr="00232EBB" w:rsidRDefault="00E739F8" w:rsidP="008D7F4E">
      <w:pPr>
        <w:rPr>
          <w:b/>
          <w:bCs/>
          <w:lang w:val="es-DO"/>
        </w:rPr>
      </w:pPr>
    </w:p>
    <w:p w14:paraId="3A86A8D9" w14:textId="4768359D" w:rsidR="00E739F8" w:rsidRPr="00232EBB" w:rsidRDefault="00E739F8" w:rsidP="008D7F4E">
      <w:pPr>
        <w:rPr>
          <w:b/>
          <w:bCs/>
          <w:lang w:val="es-DO"/>
        </w:rPr>
      </w:pPr>
    </w:p>
    <w:p w14:paraId="1C74082E" w14:textId="28C0782E" w:rsidR="008D7F4E" w:rsidRPr="00232EBB" w:rsidRDefault="008D7F4E" w:rsidP="008D7F4E">
      <w:pPr>
        <w:tabs>
          <w:tab w:val="left" w:pos="5229"/>
        </w:tabs>
        <w:rPr>
          <w:lang w:val="es-DO"/>
        </w:rPr>
      </w:pPr>
      <w:r w:rsidRPr="00232EBB">
        <w:rPr>
          <w:lang w:val="es-DO"/>
        </w:rPr>
        <w:tab/>
      </w:r>
      <w:r w:rsidRPr="00232EBB">
        <w:rPr>
          <w:lang w:val="es-DO"/>
        </w:rPr>
        <w:tab/>
      </w:r>
      <w:r w:rsidRPr="00232EBB">
        <w:rPr>
          <w:lang w:val="es-DO"/>
        </w:rPr>
        <w:tab/>
      </w:r>
    </w:p>
    <w:p w14:paraId="4D465291" w14:textId="77777777" w:rsidR="00ED09EE" w:rsidRPr="00232EBB" w:rsidRDefault="00ED09EE" w:rsidP="03B8D929">
      <w:pPr>
        <w:tabs>
          <w:tab w:val="left" w:pos="5229"/>
        </w:tabs>
        <w:rPr>
          <w:lang w:val="es-DO"/>
        </w:rPr>
      </w:pPr>
    </w:p>
    <w:p w14:paraId="17523CE0" w14:textId="631F5043" w:rsidR="261A79E1" w:rsidRPr="00232EBB" w:rsidRDefault="00ED09EE" w:rsidP="03B8D929">
      <w:pPr>
        <w:tabs>
          <w:tab w:val="left" w:pos="5229"/>
        </w:tabs>
        <w:rPr>
          <w:lang w:val="es-ES"/>
        </w:rPr>
      </w:pPr>
      <w:r w:rsidRPr="00232EBB">
        <w:rPr>
          <w:noProof/>
          <w:lang w:val="es-ES"/>
        </w:rPr>
        <w:t xml:space="preserve">                      </w:t>
      </w:r>
    </w:p>
    <w:p w14:paraId="786F7F10" w14:textId="4A55EE84" w:rsidR="004465B7" w:rsidRPr="00232EBB" w:rsidRDefault="00CD2766" w:rsidP="03B8D929">
      <w:pPr>
        <w:tabs>
          <w:tab w:val="left" w:pos="5229"/>
        </w:tabs>
        <w:rPr>
          <w:lang w:val="es-ES"/>
        </w:rPr>
      </w:pPr>
      <w:r w:rsidRPr="00232EBB">
        <w:rPr>
          <w:noProof/>
        </w:rPr>
        <mc:AlternateContent>
          <mc:Choice Requires="wpg">
            <w:drawing>
              <wp:anchor distT="0" distB="0" distL="114300" distR="114300" simplePos="0" relativeHeight="251668516" behindDoc="0" locked="0" layoutInCell="1" allowOverlap="1" wp14:anchorId="6B80F4FD" wp14:editId="0387C1BB">
                <wp:simplePos x="0" y="0"/>
                <wp:positionH relativeFrom="column">
                  <wp:posOffset>-542925</wp:posOffset>
                </wp:positionH>
                <wp:positionV relativeFrom="paragraph">
                  <wp:posOffset>297180</wp:posOffset>
                </wp:positionV>
                <wp:extent cx="2695575" cy="996315"/>
                <wp:effectExtent l="0" t="0" r="0" b="0"/>
                <wp:wrapNone/>
                <wp:docPr id="37" name="Group 37"/>
                <wp:cNvGraphicFramePr/>
                <a:graphic xmlns:a="http://schemas.openxmlformats.org/drawingml/2006/main">
                  <a:graphicData uri="http://schemas.microsoft.com/office/word/2010/wordprocessingGroup">
                    <wpg:wgp>
                      <wpg:cNvGrpSpPr/>
                      <wpg:grpSpPr>
                        <a:xfrm>
                          <a:off x="0" y="0"/>
                          <a:ext cx="2695575" cy="996315"/>
                          <a:chOff x="0" y="0"/>
                          <a:chExt cx="2527539" cy="1005840"/>
                        </a:xfrm>
                      </wpg:grpSpPr>
                      <wps:wsp>
                        <wps:cNvPr id="38" name="Text Box 38"/>
                        <wps:cNvSpPr txBox="1">
                          <a:spLocks/>
                        </wps:cNvSpPr>
                        <wps:spPr>
                          <a:xfrm>
                            <a:off x="0" y="600075"/>
                            <a:ext cx="2527539" cy="371475"/>
                          </a:xfrm>
                          <a:prstGeom prst="rect">
                            <a:avLst/>
                          </a:prstGeom>
                        </wps:spPr>
                        <wps:txbx>
                          <w:txbxContent>
                            <w:p w14:paraId="7767B958" w14:textId="77777777" w:rsidR="00CD2766" w:rsidRPr="003A00CC" w:rsidRDefault="00CD2766" w:rsidP="00CD2766">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13E52F6" w14:textId="77777777" w:rsidR="00CD2766" w:rsidRDefault="00CD2766" w:rsidP="00CD2766">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B80F4FD" id="Group 37" o:spid="_x0000_s1036" style="position:absolute;margin-left:-42.75pt;margin-top:23.4pt;width:212.25pt;height:78.45pt;z-index:251668516;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">
                <v:shape id="Text Box 38"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767B958" w14:textId="77777777" w:rsidR="00CD2766" w:rsidRPr="003A00CC" w:rsidRDefault="00CD2766" w:rsidP="00CD2766">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13E52F6" w14:textId="77777777" w:rsidR="00CD2766" w:rsidRDefault="00CD2766" w:rsidP="00CD2766">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v:group>
            </w:pict>
          </mc:Fallback>
        </mc:AlternateContent>
      </w:r>
    </w:p>
    <w:p w14:paraId="1710A47C" w14:textId="49367C93" w:rsidR="261A79E1" w:rsidRPr="00232EBB" w:rsidRDefault="00157831" w:rsidP="03B8D929">
      <w:pPr>
        <w:tabs>
          <w:tab w:val="left" w:pos="5229"/>
        </w:tabs>
        <w:rPr>
          <w:lang w:val="es-DO"/>
        </w:rPr>
      </w:pPr>
      <w:r w:rsidRPr="00232EBB">
        <w:rPr>
          <w:noProof/>
        </w:rPr>
        <w:drawing>
          <wp:anchor distT="0" distB="0" distL="114300" distR="114300" simplePos="0" relativeHeight="251660324" behindDoc="0" locked="0" layoutInCell="1" allowOverlap="1" wp14:anchorId="132EA5E7" wp14:editId="78DC7CF0">
            <wp:simplePos x="0" y="0"/>
            <wp:positionH relativeFrom="margin">
              <wp:posOffset>3846830</wp:posOffset>
            </wp:positionH>
            <wp:positionV relativeFrom="paragraph">
              <wp:posOffset>213995</wp:posOffset>
            </wp:positionV>
            <wp:extent cx="1847850" cy="789305"/>
            <wp:effectExtent l="0" t="0" r="0" b="0"/>
            <wp:wrapNone/>
            <wp:docPr id="1209127369" name="Picture 1209127369" descr="A picture containing text, font, businesscard,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font, businesscard, graphic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7850" cy="789305"/>
                    </a:xfrm>
                    <a:prstGeom prst="rect">
                      <a:avLst/>
                    </a:prstGeom>
                  </pic:spPr>
                </pic:pic>
              </a:graphicData>
            </a:graphic>
          </wp:anchor>
        </w:drawing>
      </w:r>
    </w:p>
    <w:p w14:paraId="40372391" w14:textId="6E7DE27C" w:rsidR="03B8D929" w:rsidRPr="00232EBB" w:rsidRDefault="03B8D929" w:rsidP="03B8D929">
      <w:pPr>
        <w:tabs>
          <w:tab w:val="left" w:pos="5229"/>
        </w:tabs>
        <w:rPr>
          <w:lang w:val="es-DO"/>
        </w:rPr>
      </w:pPr>
    </w:p>
    <w:p w14:paraId="182A4D77" w14:textId="2430E1DF" w:rsidR="03B8D929" w:rsidRPr="00232EBB" w:rsidRDefault="03B8D929" w:rsidP="03B8D929">
      <w:pPr>
        <w:tabs>
          <w:tab w:val="left" w:pos="5229"/>
        </w:tabs>
        <w:rPr>
          <w:lang w:val="es-DO"/>
        </w:rPr>
      </w:pPr>
    </w:p>
    <w:p w14:paraId="31E2FE32" w14:textId="2317FF3C" w:rsidR="00545797" w:rsidRPr="00232EBB" w:rsidRDefault="00545797" w:rsidP="00545797">
      <w:pPr>
        <w:jc w:val="center"/>
        <w:rPr>
          <w:b/>
          <w:bCs/>
          <w:color w:val="4C4747"/>
          <w:sz w:val="28"/>
          <w:lang w:val="es-DO"/>
        </w:rPr>
      </w:pPr>
      <w:r w:rsidRPr="00232EBB">
        <w:rPr>
          <w:b/>
          <w:bCs/>
          <w:color w:val="4C4747"/>
          <w:sz w:val="28"/>
          <w:lang w:val="es-DO"/>
        </w:rPr>
        <w:lastRenderedPageBreak/>
        <w:t>TABLA DE CONTENIDOS</w:t>
      </w:r>
    </w:p>
    <w:p w14:paraId="6C3E8713" w14:textId="043AA35F" w:rsidR="00545797" w:rsidRPr="00232EBB" w:rsidRDefault="00545797" w:rsidP="00545797">
      <w:pPr>
        <w:rPr>
          <w:color w:val="4C4747"/>
          <w:lang w:val="es-DO"/>
        </w:rPr>
      </w:pPr>
      <w:r w:rsidRPr="00232EBB">
        <w:rPr>
          <w:noProof/>
          <w:color w:val="4C4747"/>
        </w:rPr>
        <mc:AlternateContent>
          <mc:Choice Requires="wps">
            <w:drawing>
              <wp:anchor distT="0" distB="0" distL="114300" distR="114300" simplePos="0" relativeHeight="251658249" behindDoc="0" locked="0" layoutInCell="1" allowOverlap="1" wp14:anchorId="1E07F231" wp14:editId="6E025B42">
                <wp:simplePos x="0" y="0"/>
                <wp:positionH relativeFrom="margin">
                  <wp:posOffset>2151304</wp:posOffset>
                </wp:positionH>
                <wp:positionV relativeFrom="paragraph">
                  <wp:posOffset>65049</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543721E8">
              <v:line id="Straight Connector 18"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69.4pt,5.1pt" to="205.9pt,5.1pt" w14:anchorId="510E4C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">
                <v:stroke joinstyle="miter"/>
                <w10:wrap anchorx="margin"/>
              </v:line>
            </w:pict>
          </mc:Fallback>
        </mc:AlternateContent>
      </w:r>
    </w:p>
    <w:p w14:paraId="2539C61E" w14:textId="01E8C40F" w:rsidR="00545797" w:rsidRPr="00232EBB" w:rsidRDefault="00654164" w:rsidP="004945BF">
      <w:pPr>
        <w:jc w:val="center"/>
        <w:rPr>
          <w:lang w:val="es-DO"/>
        </w:rPr>
      </w:pPr>
      <w:r w:rsidRPr="00232EBB">
        <w:rPr>
          <w:lang w:val="es-DO"/>
        </w:rPr>
        <w:t xml:space="preserve">Memoria </w:t>
      </w:r>
      <w:r w:rsidR="00D837AC" w:rsidRPr="00232EBB">
        <w:rPr>
          <w:lang w:val="es-DO"/>
        </w:rPr>
        <w:t>I</w:t>
      </w:r>
      <w:r w:rsidRPr="00232EBB">
        <w:rPr>
          <w:lang w:val="es-DO"/>
        </w:rPr>
        <w:t>nstitucional</w:t>
      </w:r>
      <w:r w:rsidR="00545797" w:rsidRPr="00232EBB">
        <w:rPr>
          <w:lang w:val="es-DO"/>
        </w:rPr>
        <w:t xml:space="preserve"> </w:t>
      </w:r>
      <w:r w:rsidR="000025D4" w:rsidRPr="00232EBB">
        <w:rPr>
          <w:lang w:val="es-DO"/>
        </w:rPr>
        <w:t>202</w:t>
      </w:r>
      <w:r w:rsidR="00B278C4" w:rsidRPr="00232EBB">
        <w:rPr>
          <w:lang w:val="es-DO"/>
        </w:rPr>
        <w:t>5</w:t>
      </w:r>
    </w:p>
    <w:sdt>
      <w:sdtPr>
        <w:rPr>
          <w:rFonts w:ascii="Times New Roman" w:eastAsiaTheme="minorEastAsia" w:hAnsi="Times New Roman" w:cs="Times New Roman"/>
          <w:b/>
          <w:bCs/>
          <w:noProof/>
          <w:color w:val="4C4747"/>
          <w:sz w:val="24"/>
          <w:szCs w:val="24"/>
          <w:lang w:val="es-DO"/>
        </w:rPr>
        <w:id w:val="-1111128147"/>
        <w:docPartObj>
          <w:docPartGallery w:val="Table of Contents"/>
          <w:docPartUnique/>
        </w:docPartObj>
      </w:sdtPr>
      <w:sdtEndPr/>
      <w:sdtContent>
        <w:p w14:paraId="13CA098D" w14:textId="2CC93254" w:rsidR="00A630BC" w:rsidRPr="00232EBB" w:rsidRDefault="00A630BC" w:rsidP="00A24B7D">
          <w:pPr>
            <w:pStyle w:val="TOCHeading"/>
            <w:jc w:val="both"/>
            <w:rPr>
              <w:rFonts w:ascii="Times New Roman" w:hAnsi="Times New Roman" w:cs="Times New Roman"/>
              <w:color w:val="4C4747"/>
            </w:rPr>
          </w:pPr>
        </w:p>
        <w:p w14:paraId="61500173" w14:textId="1EE01BBA" w:rsidR="004C50A7" w:rsidRPr="00232EBB" w:rsidRDefault="00A630BC" w:rsidP="00A24B7D">
          <w:pPr>
            <w:pStyle w:val="TOC1"/>
            <w:jc w:val="both"/>
            <w:rPr>
              <w:rFonts w:eastAsiaTheme="minorEastAsia" w:cs="Times New Roman"/>
              <w:b w:val="0"/>
              <w:bCs w:val="0"/>
              <w:color w:val="auto"/>
              <w:spacing w:val="0"/>
              <w:kern w:val="2"/>
              <w:lang w:val="en-US"/>
              <w14:ligatures w14:val="standardContextual"/>
            </w:rPr>
          </w:pPr>
          <w:r w:rsidRPr="00232EBB">
            <w:rPr>
              <w:rFonts w:cs="Times New Roman"/>
              <w:b w:val="0"/>
              <w:bCs w:val="0"/>
              <w:noProof w:val="0"/>
              <w:color w:val="4C4747"/>
            </w:rPr>
            <w:fldChar w:fldCharType="begin"/>
          </w:r>
          <w:r w:rsidRPr="00232EBB">
            <w:rPr>
              <w:rFonts w:cs="Times New Roman"/>
              <w:b w:val="0"/>
              <w:bCs w:val="0"/>
              <w:color w:val="4C4747"/>
            </w:rPr>
            <w:instrText xml:space="preserve"> TOC \o "1-3" \h \z \u </w:instrText>
          </w:r>
          <w:r w:rsidRPr="00232EBB">
            <w:rPr>
              <w:rFonts w:cs="Times New Roman"/>
              <w:b w:val="0"/>
              <w:bCs w:val="0"/>
              <w:noProof w:val="0"/>
              <w:color w:val="4C4747"/>
            </w:rPr>
            <w:fldChar w:fldCharType="separate"/>
          </w:r>
          <w:hyperlink w:anchor="_Toc216952199" w:history="1">
            <w:r w:rsidR="004C50A7" w:rsidRPr="00232EBB">
              <w:rPr>
                <w:rStyle w:val="Hyperlink"/>
                <w:rFonts w:cs="Times New Roman"/>
                <w:b w:val="0"/>
                <w:bCs w:val="0"/>
                <w:lang w:val="es-ES"/>
              </w:rPr>
              <w:t>PRESENTACIÓN</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_Toc216952199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6</w:t>
            </w:r>
            <w:r w:rsidR="004C50A7" w:rsidRPr="00232EBB">
              <w:rPr>
                <w:rFonts w:cs="Times New Roman"/>
                <w:b w:val="0"/>
                <w:bCs w:val="0"/>
                <w:webHidden/>
              </w:rPr>
              <w:fldChar w:fldCharType="end"/>
            </w:r>
          </w:hyperlink>
        </w:p>
        <w:p w14:paraId="5554814D" w14:textId="0C57AD86"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00" w:history="1">
            <w:r w:rsidR="004C50A7" w:rsidRPr="00232EBB">
              <w:rPr>
                <w:rStyle w:val="Hyperlink"/>
                <w:rFonts w:eastAsia="Calibri" w:cs="Times New Roman"/>
                <w:b w:val="0"/>
                <w:bCs w:val="0"/>
              </w:rPr>
              <w:t>I. RESUMEN EJECUTIVO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_Toc216952200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w:t>
            </w:r>
            <w:r w:rsidR="004C50A7" w:rsidRPr="00232EBB">
              <w:rPr>
                <w:rFonts w:cs="Times New Roman"/>
                <w:b w:val="0"/>
                <w:bCs w:val="0"/>
                <w:webHidden/>
              </w:rPr>
              <w:fldChar w:fldCharType="end"/>
            </w:r>
          </w:hyperlink>
        </w:p>
        <w:p w14:paraId="25F15B30" w14:textId="6ADB3A8A"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01" w:history="1">
            <w:r w:rsidR="004C50A7" w:rsidRPr="00232EBB">
              <w:rPr>
                <w:rStyle w:val="Hyperlink"/>
                <w:rFonts w:cs="Times New Roman"/>
                <w:b w:val="0"/>
                <w:bCs w:val="0"/>
              </w:rPr>
              <w:t>II. INFORMACIÓN INSTITUCIONAL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_Toc216952201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w:t>
            </w:r>
            <w:r w:rsidR="004C50A7" w:rsidRPr="00232EBB">
              <w:rPr>
                <w:rFonts w:cs="Times New Roman"/>
                <w:b w:val="0"/>
                <w:bCs w:val="0"/>
                <w:webHidden/>
              </w:rPr>
              <w:fldChar w:fldCharType="end"/>
            </w:r>
          </w:hyperlink>
        </w:p>
        <w:p w14:paraId="37440FB6" w14:textId="717E90CD"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02" w:history="1">
            <w:r w:rsidR="004C50A7" w:rsidRPr="00232EBB">
              <w:rPr>
                <w:rStyle w:val="Hyperlink"/>
                <w:rFonts w:cs="Times New Roman"/>
                <w:b w:val="0"/>
                <w:bCs w:val="0"/>
              </w:rPr>
              <w:t>2.1 Marco Filosófico Institucional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_Toc216952202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w:t>
            </w:r>
            <w:r w:rsidR="004C50A7" w:rsidRPr="00232EBB">
              <w:rPr>
                <w:rFonts w:cs="Times New Roman"/>
                <w:b w:val="0"/>
                <w:bCs w:val="0"/>
                <w:webHidden/>
              </w:rPr>
              <w:fldChar w:fldCharType="end"/>
            </w:r>
          </w:hyperlink>
        </w:p>
        <w:p w14:paraId="491B99B3" w14:textId="2C03265E"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03" w:history="1">
            <w:r w:rsidR="004C50A7" w:rsidRPr="00232EBB">
              <w:rPr>
                <w:rStyle w:val="Hyperlink"/>
                <w:rFonts w:cs="Times New Roman"/>
                <w:b w:val="0"/>
                <w:bCs w:val="0"/>
              </w:rPr>
              <w:t>Misión</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_Toc216952203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w:t>
            </w:r>
            <w:r w:rsidR="004C50A7" w:rsidRPr="00232EBB">
              <w:rPr>
                <w:rFonts w:cs="Times New Roman"/>
                <w:b w:val="0"/>
                <w:bCs w:val="0"/>
                <w:webHidden/>
              </w:rPr>
              <w:fldChar w:fldCharType="end"/>
            </w:r>
          </w:hyperlink>
        </w:p>
        <w:p w14:paraId="4A860A65" w14:textId="66D09090"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05" w:history="1">
            <w:r w:rsidR="004C50A7" w:rsidRPr="00232EBB">
              <w:rPr>
                <w:rStyle w:val="Hyperlink"/>
                <w:rFonts w:cs="Times New Roman"/>
                <w:b w:val="0"/>
                <w:bCs w:val="0"/>
              </w:rPr>
              <w:t>Visión</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_Toc216952205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w:t>
            </w:r>
            <w:r w:rsidR="004C50A7" w:rsidRPr="00232EBB">
              <w:rPr>
                <w:rFonts w:cs="Times New Roman"/>
                <w:b w:val="0"/>
                <w:bCs w:val="0"/>
                <w:webHidden/>
              </w:rPr>
              <w:fldChar w:fldCharType="end"/>
            </w:r>
          </w:hyperlink>
        </w:p>
        <w:p w14:paraId="0DA392EE" w14:textId="0E8B06C5"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07" w:history="1">
            <w:r w:rsidR="004C50A7" w:rsidRPr="00232EBB">
              <w:rPr>
                <w:rStyle w:val="Hyperlink"/>
                <w:rFonts w:cs="Times New Roman"/>
                <w:b w:val="0"/>
                <w:bCs w:val="0"/>
              </w:rPr>
              <w:t>Valores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_Toc216952207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w:t>
            </w:r>
            <w:r w:rsidR="004C50A7" w:rsidRPr="00232EBB">
              <w:rPr>
                <w:rFonts w:cs="Times New Roman"/>
                <w:b w:val="0"/>
                <w:bCs w:val="0"/>
                <w:webHidden/>
              </w:rPr>
              <w:fldChar w:fldCharType="end"/>
            </w:r>
          </w:hyperlink>
        </w:p>
        <w:p w14:paraId="57487366" w14:textId="72A10DF7"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08" w:history="1">
            <w:r w:rsidR="004C50A7" w:rsidRPr="00232EBB">
              <w:rPr>
                <w:rStyle w:val="Hyperlink"/>
                <w:rFonts w:cs="Times New Roman"/>
                <w:b w:val="0"/>
                <w:bCs w:val="0"/>
              </w:rPr>
              <w:t>2.2 Normativa Reguladora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_Toc216952208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w:t>
            </w:r>
            <w:r w:rsidR="004C50A7" w:rsidRPr="00232EBB">
              <w:rPr>
                <w:rFonts w:cs="Times New Roman"/>
                <w:b w:val="0"/>
                <w:bCs w:val="0"/>
                <w:webHidden/>
              </w:rPr>
              <w:fldChar w:fldCharType="end"/>
            </w:r>
          </w:hyperlink>
        </w:p>
        <w:p w14:paraId="11800013" w14:textId="1BEE2B49"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09" w:history="1">
            <w:r w:rsidR="004C50A7" w:rsidRPr="00232EBB">
              <w:rPr>
                <w:rStyle w:val="Hyperlink"/>
                <w:rFonts w:cs="Times New Roman"/>
                <w:b w:val="0"/>
                <w:bCs w:val="0"/>
              </w:rPr>
              <w:t>2.4 Listado de los Principales funcionarios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_Toc216952209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19</w:t>
            </w:r>
            <w:r w:rsidR="004C50A7" w:rsidRPr="00232EBB">
              <w:rPr>
                <w:rFonts w:cs="Times New Roman"/>
                <w:b w:val="0"/>
                <w:bCs w:val="0"/>
                <w:webHidden/>
              </w:rPr>
              <w:fldChar w:fldCharType="end"/>
            </w:r>
          </w:hyperlink>
        </w:p>
        <w:p w14:paraId="768FA194" w14:textId="472AEE6A"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0" w:history="1">
            <w:r w:rsidR="004C50A7" w:rsidRPr="00232EBB">
              <w:rPr>
                <w:rStyle w:val="Hyperlink"/>
                <w:rFonts w:cs="Times New Roman"/>
                <w:b w:val="0"/>
                <w:bCs w:val="0"/>
              </w:rPr>
              <w:t>2.5 Planificación Estratégica Institucional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20</w:t>
            </w:r>
            <w:r w:rsidR="004C50A7" w:rsidRPr="00232EBB">
              <w:rPr>
                <w:rFonts w:cs="Times New Roman"/>
                <w:b w:val="0"/>
                <w:bCs w:val="0"/>
                <w:webHidden/>
              </w:rPr>
              <w:fldChar w:fldCharType="end"/>
            </w:r>
          </w:hyperlink>
        </w:p>
        <w:p w14:paraId="7063712A" w14:textId="55F3FE90"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2" w:history="1">
            <w:r w:rsidR="004C50A7" w:rsidRPr="00232EBB">
              <w:rPr>
                <w:rStyle w:val="Hyperlink"/>
                <w:rFonts w:cs="Times New Roman"/>
                <w:b w:val="0"/>
                <w:bCs w:val="0"/>
              </w:rPr>
              <w:t>III. RESULTADOS MISIONALES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24</w:t>
            </w:r>
            <w:r w:rsidR="004C50A7" w:rsidRPr="00232EBB">
              <w:rPr>
                <w:rFonts w:cs="Times New Roman"/>
                <w:b w:val="0"/>
                <w:bCs w:val="0"/>
                <w:webHidden/>
              </w:rPr>
              <w:fldChar w:fldCharType="end"/>
            </w:r>
          </w:hyperlink>
        </w:p>
        <w:p w14:paraId="31F94AD3" w14:textId="3F28CBDD"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3" w:history="1">
            <w:r w:rsidR="004C50A7" w:rsidRPr="00232EBB">
              <w:rPr>
                <w:rStyle w:val="Hyperlink"/>
                <w:rFonts w:cs="Times New Roman"/>
                <w:b w:val="0"/>
                <w:bCs w:val="0"/>
              </w:rPr>
              <w:t>3.1 Información Cuantitativa, Cualitativa e Indicadores de los Procesos Misionales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_Toc216952213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24</w:t>
            </w:r>
            <w:r w:rsidR="004C50A7" w:rsidRPr="00232EBB">
              <w:rPr>
                <w:rFonts w:cs="Times New Roman"/>
                <w:b w:val="0"/>
                <w:bCs w:val="0"/>
                <w:webHidden/>
              </w:rPr>
              <w:fldChar w:fldCharType="end"/>
            </w:r>
          </w:hyperlink>
        </w:p>
        <w:p w14:paraId="43B85027" w14:textId="3A919026"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4" w:history="1">
            <w:r w:rsidR="004C50A7" w:rsidRPr="00232EBB">
              <w:rPr>
                <w:rStyle w:val="Hyperlink"/>
                <w:rFonts w:eastAsia="Calibri" w:cs="Times New Roman"/>
                <w:b w:val="0"/>
                <w:bCs w:val="0"/>
                <w:lang w:val="es-ES"/>
              </w:rPr>
              <w:t>Régimen Subsidiado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_Toc216952214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27</w:t>
            </w:r>
            <w:r w:rsidR="004C50A7" w:rsidRPr="00232EBB">
              <w:rPr>
                <w:rFonts w:cs="Times New Roman"/>
                <w:b w:val="0"/>
                <w:bCs w:val="0"/>
                <w:webHidden/>
              </w:rPr>
              <w:fldChar w:fldCharType="end"/>
            </w:r>
          </w:hyperlink>
        </w:p>
        <w:p w14:paraId="10E7B74C" w14:textId="31C637D0"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5" w:history="1">
            <w:r w:rsidR="004C50A7" w:rsidRPr="00232EBB">
              <w:rPr>
                <w:rStyle w:val="Hyperlink"/>
                <w:rFonts w:eastAsia="Calibri" w:cs="Times New Roman"/>
                <w:b w:val="0"/>
                <w:bCs w:val="0"/>
                <w:lang w:val="es-ES"/>
              </w:rPr>
              <w:t>Aportes del Estado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_Toc216952215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27</w:t>
            </w:r>
            <w:r w:rsidR="004C50A7" w:rsidRPr="00232EBB">
              <w:rPr>
                <w:rFonts w:cs="Times New Roman"/>
                <w:b w:val="0"/>
                <w:bCs w:val="0"/>
                <w:webHidden/>
              </w:rPr>
              <w:fldChar w:fldCharType="end"/>
            </w:r>
          </w:hyperlink>
        </w:p>
        <w:p w14:paraId="246F8AE5" w14:textId="09B8C928"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6" w:history="1">
            <w:r w:rsidR="004C50A7" w:rsidRPr="00232EBB">
              <w:rPr>
                <w:rStyle w:val="Hyperlink"/>
                <w:rFonts w:eastAsia="Calibri" w:cs="Times New Roman"/>
                <w:b w:val="0"/>
                <w:bCs w:val="0"/>
                <w:lang w:val="es-ES"/>
              </w:rPr>
              <w:t>Pagos Realizados a SENASA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_Toc216952216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27</w:t>
            </w:r>
            <w:r w:rsidR="004C50A7" w:rsidRPr="00232EBB">
              <w:rPr>
                <w:rFonts w:cs="Times New Roman"/>
                <w:b w:val="0"/>
                <w:bCs w:val="0"/>
                <w:webHidden/>
              </w:rPr>
              <w:fldChar w:fldCharType="end"/>
            </w:r>
          </w:hyperlink>
        </w:p>
        <w:p w14:paraId="66303414" w14:textId="3449AED8"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7" w:history="1">
            <w:r w:rsidR="004C50A7" w:rsidRPr="00232EBB">
              <w:rPr>
                <w:rStyle w:val="Hyperlink"/>
                <w:rFonts w:cs="Times New Roman"/>
                <w:b w:val="0"/>
                <w:bCs w:val="0"/>
              </w:rPr>
              <w:t>Certificaciones Manuales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_Toc216952217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37</w:t>
            </w:r>
            <w:r w:rsidR="004C50A7" w:rsidRPr="00232EBB">
              <w:rPr>
                <w:rFonts w:cs="Times New Roman"/>
                <w:b w:val="0"/>
                <w:bCs w:val="0"/>
                <w:webHidden/>
              </w:rPr>
              <w:fldChar w:fldCharType="end"/>
            </w:r>
          </w:hyperlink>
        </w:p>
        <w:p w14:paraId="624AC8A4" w14:textId="5D457BA4"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8" w:history="1">
            <w:r w:rsidR="004C50A7" w:rsidRPr="00232EBB">
              <w:rPr>
                <w:rStyle w:val="Hyperlink"/>
                <w:rFonts w:cs="Times New Roman"/>
                <w:b w:val="0"/>
                <w:bCs w:val="0"/>
              </w:rPr>
              <w:t>Asignación de Números de Seguridad Social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_Toc216952218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38</w:t>
            </w:r>
            <w:r w:rsidR="004C50A7" w:rsidRPr="00232EBB">
              <w:rPr>
                <w:rFonts w:cs="Times New Roman"/>
                <w:b w:val="0"/>
                <w:bCs w:val="0"/>
                <w:webHidden/>
              </w:rPr>
              <w:fldChar w:fldCharType="end"/>
            </w:r>
          </w:hyperlink>
        </w:p>
        <w:p w14:paraId="6A003290" w14:textId="088A8CB3"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19" w:history="1">
            <w:r w:rsidR="004C50A7" w:rsidRPr="00232EBB">
              <w:rPr>
                <w:rStyle w:val="Hyperlink"/>
                <w:rFonts w:cs="Times New Roman"/>
                <w:b w:val="0"/>
                <w:bCs w:val="0"/>
              </w:rPr>
              <w:t>Contexto y Función del Número de Seguridad Social (NSS)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_Toc216952219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38</w:t>
            </w:r>
            <w:r w:rsidR="004C50A7" w:rsidRPr="00232EBB">
              <w:rPr>
                <w:rFonts w:cs="Times New Roman"/>
                <w:b w:val="0"/>
                <w:bCs w:val="0"/>
                <w:webHidden/>
              </w:rPr>
              <w:fldChar w:fldCharType="end"/>
            </w:r>
          </w:hyperlink>
        </w:p>
        <w:p w14:paraId="24A0A93D" w14:textId="579217CE"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0" w:history="1">
            <w:r w:rsidR="004C50A7" w:rsidRPr="00232EBB">
              <w:rPr>
                <w:rStyle w:val="Hyperlink"/>
                <w:rFonts w:cs="Times New Roman"/>
                <w:b w:val="0"/>
                <w:bCs w:val="0"/>
              </w:rPr>
              <w:t>Datos de Asignación de NSS en 2025</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39</w:t>
            </w:r>
            <w:r w:rsidR="004C50A7" w:rsidRPr="00232EBB">
              <w:rPr>
                <w:rFonts w:cs="Times New Roman"/>
                <w:b w:val="0"/>
                <w:bCs w:val="0"/>
                <w:webHidden/>
              </w:rPr>
              <w:fldChar w:fldCharType="end"/>
            </w:r>
          </w:hyperlink>
        </w:p>
        <w:p w14:paraId="4289445B" w14:textId="1BEF5F25"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1" w:history="1">
            <w:r w:rsidR="004C50A7" w:rsidRPr="00232EBB">
              <w:rPr>
                <w:rStyle w:val="Hyperlink"/>
                <w:rFonts w:cs="Times New Roman"/>
                <w:b w:val="0"/>
                <w:bCs w:val="0"/>
              </w:rPr>
              <w:t>Asignación Número de Seguridad Social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_Toc216952221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39</w:t>
            </w:r>
            <w:r w:rsidR="004C50A7" w:rsidRPr="00232EBB">
              <w:rPr>
                <w:rFonts w:cs="Times New Roman"/>
                <w:b w:val="0"/>
                <w:bCs w:val="0"/>
                <w:webHidden/>
              </w:rPr>
              <w:fldChar w:fldCharType="end"/>
            </w:r>
          </w:hyperlink>
        </w:p>
        <w:p w14:paraId="27101D91" w14:textId="78BA4CFC"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2" w:history="1">
            <w:r w:rsidR="004C50A7" w:rsidRPr="00232EBB">
              <w:rPr>
                <w:rStyle w:val="Hyperlink"/>
                <w:rFonts w:cs="Times New Roman"/>
                <w:b w:val="0"/>
                <w:bCs w:val="0"/>
              </w:rPr>
              <w:t>Importancia de la Asignación de NSS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40</w:t>
            </w:r>
            <w:r w:rsidR="004C50A7" w:rsidRPr="00232EBB">
              <w:rPr>
                <w:rFonts w:cs="Times New Roman"/>
                <w:b w:val="0"/>
                <w:bCs w:val="0"/>
                <w:webHidden/>
              </w:rPr>
              <w:fldChar w:fldCharType="end"/>
            </w:r>
          </w:hyperlink>
        </w:p>
        <w:p w14:paraId="304B1A98" w14:textId="6E89C18A"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3" w:history="1">
            <w:r w:rsidR="004C50A7" w:rsidRPr="00232EBB">
              <w:rPr>
                <w:rStyle w:val="Hyperlink"/>
                <w:rFonts w:cs="Times New Roman"/>
                <w:b w:val="0"/>
                <w:bCs w:val="0"/>
              </w:rPr>
              <w:t>Capacitaciones a empleadores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_Toc216952223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40</w:t>
            </w:r>
            <w:r w:rsidR="004C50A7" w:rsidRPr="00232EBB">
              <w:rPr>
                <w:rFonts w:cs="Times New Roman"/>
                <w:b w:val="0"/>
                <w:bCs w:val="0"/>
                <w:webHidden/>
              </w:rPr>
              <w:fldChar w:fldCharType="end"/>
            </w:r>
          </w:hyperlink>
        </w:p>
        <w:p w14:paraId="4C4807AB" w14:textId="07538A76"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4" w:history="1">
            <w:r w:rsidR="004C50A7" w:rsidRPr="00232EBB">
              <w:rPr>
                <w:rStyle w:val="Hyperlink"/>
                <w:rFonts w:cs="Times New Roman"/>
                <w:b w:val="0"/>
                <w:bCs w:val="0"/>
              </w:rPr>
              <w:t>IV. RESULTADOS DE LAS ÁREAS TRANSVERSALES Y DE APOYO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_Toc216952224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45</w:t>
            </w:r>
            <w:r w:rsidR="004C50A7" w:rsidRPr="00232EBB">
              <w:rPr>
                <w:rFonts w:cs="Times New Roman"/>
                <w:b w:val="0"/>
                <w:bCs w:val="0"/>
                <w:webHidden/>
              </w:rPr>
              <w:fldChar w:fldCharType="end"/>
            </w:r>
          </w:hyperlink>
        </w:p>
        <w:p w14:paraId="025B0BC8" w14:textId="20DB9152"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5" w:history="1">
            <w:r w:rsidR="004C50A7" w:rsidRPr="00232EBB">
              <w:rPr>
                <w:rStyle w:val="Hyperlink"/>
                <w:rFonts w:cs="Times New Roman"/>
                <w:b w:val="0"/>
                <w:bCs w:val="0"/>
              </w:rPr>
              <w:t>4.1 Desempeño Área Administrativa y Financiera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_Toc216952225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45</w:t>
            </w:r>
            <w:r w:rsidR="004C50A7" w:rsidRPr="00232EBB">
              <w:rPr>
                <w:rFonts w:cs="Times New Roman"/>
                <w:b w:val="0"/>
                <w:bCs w:val="0"/>
                <w:webHidden/>
              </w:rPr>
              <w:fldChar w:fldCharType="end"/>
            </w:r>
          </w:hyperlink>
        </w:p>
        <w:p w14:paraId="79DFB744" w14:textId="49C130A0"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6" w:history="1">
            <w:r w:rsidR="004C50A7" w:rsidRPr="00232EBB">
              <w:rPr>
                <w:rStyle w:val="Hyperlink"/>
                <w:rFonts w:cs="Times New Roman"/>
                <w:b w:val="0"/>
                <w:bCs w:val="0"/>
                <w:lang w:val="es-ES"/>
              </w:rPr>
              <w:t>Imagen 1: Calificación Portal SISCOMPRAS a diciembre 2025.</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_Toc216952226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51</w:t>
            </w:r>
            <w:r w:rsidR="004C50A7" w:rsidRPr="00232EBB">
              <w:rPr>
                <w:rFonts w:cs="Times New Roman"/>
                <w:b w:val="0"/>
                <w:bCs w:val="0"/>
                <w:webHidden/>
              </w:rPr>
              <w:fldChar w:fldCharType="end"/>
            </w:r>
          </w:hyperlink>
        </w:p>
        <w:p w14:paraId="1686B414" w14:textId="2469FC12"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7" w:history="1">
            <w:r w:rsidR="004C50A7" w:rsidRPr="00232EBB">
              <w:rPr>
                <w:rStyle w:val="Hyperlink"/>
                <w:rFonts w:cs="Times New Roman"/>
                <w:b w:val="0"/>
                <w:bCs w:val="0"/>
                <w:lang w:val="es-MX"/>
              </w:rPr>
              <w:t>Gestión Documental.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_Toc216952227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51</w:t>
            </w:r>
            <w:r w:rsidR="004C50A7" w:rsidRPr="00232EBB">
              <w:rPr>
                <w:rFonts w:cs="Times New Roman"/>
                <w:b w:val="0"/>
                <w:bCs w:val="0"/>
                <w:webHidden/>
              </w:rPr>
              <w:fldChar w:fldCharType="end"/>
            </w:r>
          </w:hyperlink>
        </w:p>
        <w:p w14:paraId="48B71DEF" w14:textId="237025FA"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8" w:history="1">
            <w:r w:rsidR="004C50A7" w:rsidRPr="00232EBB">
              <w:rPr>
                <w:rStyle w:val="Hyperlink"/>
                <w:rFonts w:cs="Times New Roman"/>
                <w:b w:val="0"/>
                <w:bCs w:val="0"/>
              </w:rPr>
              <w:t>4.2 Desempeño de los Recursos Humanos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_Toc216952228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57</w:t>
            </w:r>
            <w:r w:rsidR="004C50A7" w:rsidRPr="00232EBB">
              <w:rPr>
                <w:rFonts w:cs="Times New Roman"/>
                <w:b w:val="0"/>
                <w:bCs w:val="0"/>
                <w:webHidden/>
              </w:rPr>
              <w:fldChar w:fldCharType="end"/>
            </w:r>
          </w:hyperlink>
        </w:p>
        <w:p w14:paraId="34043C48" w14:textId="0435C149"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29" w:history="1">
            <w:r w:rsidR="004C50A7" w:rsidRPr="00232EBB">
              <w:rPr>
                <w:rStyle w:val="Hyperlink"/>
                <w:rFonts w:eastAsiaTheme="minorHAnsi" w:cs="Times New Roman"/>
                <w:b w:val="0"/>
                <w:bCs w:val="0"/>
                <w:lang w:val="es-MX"/>
              </w:rPr>
              <w:t>Índice de Reclutamiento y Selección de Personal.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_Toc216952229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58</w:t>
            </w:r>
            <w:r w:rsidR="004C50A7" w:rsidRPr="00232EBB">
              <w:rPr>
                <w:rFonts w:cs="Times New Roman"/>
                <w:b w:val="0"/>
                <w:bCs w:val="0"/>
                <w:webHidden/>
              </w:rPr>
              <w:fldChar w:fldCharType="end"/>
            </w:r>
          </w:hyperlink>
        </w:p>
        <w:p w14:paraId="2189638F" w14:textId="60ABA3A4"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30" w:history="1">
            <w:r w:rsidR="004C50A7" w:rsidRPr="00232EBB">
              <w:rPr>
                <w:rStyle w:val="Hyperlink"/>
                <w:rFonts w:eastAsiaTheme="minorHAnsi" w:cs="Times New Roman"/>
                <w:b w:val="0"/>
                <w:bCs w:val="0"/>
                <w:lang w:val="es-MX"/>
              </w:rPr>
              <w:t>Crecimiento TSS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_Toc216952230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61</w:t>
            </w:r>
            <w:r w:rsidR="004C50A7" w:rsidRPr="00232EBB">
              <w:rPr>
                <w:rFonts w:cs="Times New Roman"/>
                <w:b w:val="0"/>
                <w:bCs w:val="0"/>
                <w:webHidden/>
              </w:rPr>
              <w:fldChar w:fldCharType="end"/>
            </w:r>
          </w:hyperlink>
        </w:p>
        <w:p w14:paraId="2EBD30C7" w14:textId="7E3EBE63"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31" w:history="1">
            <w:r w:rsidR="004C50A7" w:rsidRPr="00232EBB">
              <w:rPr>
                <w:rStyle w:val="Hyperlink"/>
                <w:rFonts w:eastAsiaTheme="minorHAnsi" w:cs="Times New Roman"/>
                <w:b w:val="0"/>
                <w:bCs w:val="0"/>
                <w:lang w:val="es-MX"/>
              </w:rPr>
              <w:t>Implementación Proceso de Debida Diligencia.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_Toc216952231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62</w:t>
            </w:r>
            <w:r w:rsidR="004C50A7" w:rsidRPr="00232EBB">
              <w:rPr>
                <w:rFonts w:cs="Times New Roman"/>
                <w:b w:val="0"/>
                <w:bCs w:val="0"/>
                <w:webHidden/>
              </w:rPr>
              <w:fldChar w:fldCharType="end"/>
            </w:r>
          </w:hyperlink>
        </w:p>
        <w:p w14:paraId="2B05153D" w14:textId="53D4F244"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32" w:history="1">
            <w:r w:rsidR="004C50A7" w:rsidRPr="00232EBB">
              <w:rPr>
                <w:rStyle w:val="Hyperlink"/>
                <w:rFonts w:eastAsiaTheme="minorHAnsi" w:cs="Times New Roman"/>
                <w:b w:val="0"/>
                <w:bCs w:val="0"/>
                <w:lang w:val="es-MX"/>
              </w:rPr>
              <w:t>Gestión del desempeño.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_Toc216952232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69</w:t>
            </w:r>
            <w:r w:rsidR="004C50A7" w:rsidRPr="00232EBB">
              <w:rPr>
                <w:rFonts w:cs="Times New Roman"/>
                <w:b w:val="0"/>
                <w:bCs w:val="0"/>
                <w:webHidden/>
              </w:rPr>
              <w:fldChar w:fldCharType="end"/>
            </w:r>
          </w:hyperlink>
        </w:p>
        <w:p w14:paraId="7D0CA1EB" w14:textId="2A229665" w:rsidR="004C50A7" w:rsidRPr="00232EBB" w:rsidRDefault="00E223B8" w:rsidP="00A24B7D">
          <w:pPr>
            <w:pStyle w:val="TOC1"/>
            <w:jc w:val="both"/>
            <w:rPr>
              <w:rStyle w:val="Hyperlink"/>
              <w:rFonts w:eastAsiaTheme="minorHAnsi" w:cs="Times New Roman"/>
              <w:lang w:val="es-MX"/>
            </w:rPr>
          </w:pPr>
          <w:hyperlink w:anchor="_Toc216952233" w:history="1">
            <w:r w:rsidR="004C50A7" w:rsidRPr="00232EBB">
              <w:rPr>
                <w:rStyle w:val="Hyperlink"/>
                <w:rFonts w:eastAsiaTheme="minorHAnsi" w:cs="Times New Roman"/>
                <w:b w:val="0"/>
                <w:bCs w:val="0"/>
                <w:lang w:val="es-MX"/>
              </w:rPr>
              <w:t>Programa de Mentoring TSS</w:t>
            </w:r>
            <w:r w:rsidR="004C50A7" w:rsidRPr="00232EBB">
              <w:rPr>
                <w:rStyle w:val="Hyperlink"/>
                <w:rFonts w:eastAsiaTheme="minorHAnsi" w:cs="Times New Roman"/>
                <w:webHidden/>
                <w:lang w:val="es-MX"/>
              </w:rPr>
              <w:tab/>
            </w:r>
            <w:r w:rsidR="004C50A7" w:rsidRPr="00232EBB">
              <w:rPr>
                <w:rStyle w:val="Hyperlink"/>
                <w:rFonts w:eastAsiaTheme="minorHAnsi" w:cs="Times New Roman"/>
                <w:webHidden/>
                <w:lang w:val="es-MX"/>
              </w:rPr>
              <w:fldChar w:fldCharType="begin"/>
            </w:r>
            <w:r w:rsidR="004C50A7" w:rsidRPr="00232EBB">
              <w:rPr>
                <w:rStyle w:val="Hyperlink"/>
                <w:rFonts w:eastAsiaTheme="minorHAnsi" w:cs="Times New Roman"/>
                <w:webHidden/>
                <w:lang w:val="es-MX"/>
              </w:rPr>
              <w:instrText xml:space="preserve"> PAGEREF _Toc216952233 \h </w:instrText>
            </w:r>
            <w:r w:rsidR="004C50A7" w:rsidRPr="00232EBB">
              <w:rPr>
                <w:rStyle w:val="Hyperlink"/>
                <w:rFonts w:eastAsiaTheme="minorHAnsi" w:cs="Times New Roman"/>
                <w:webHidden/>
                <w:lang w:val="es-MX"/>
              </w:rPr>
            </w:r>
            <w:r w:rsidR="004C50A7" w:rsidRPr="00232EBB">
              <w:rPr>
                <w:rStyle w:val="Hyperlink"/>
                <w:rFonts w:eastAsiaTheme="minorHAnsi" w:cs="Times New Roman"/>
                <w:webHidden/>
                <w:lang w:val="es-MX"/>
              </w:rPr>
              <w:fldChar w:fldCharType="separate"/>
            </w:r>
            <w:r w:rsidR="003F456A" w:rsidRPr="00232EBB">
              <w:rPr>
                <w:rStyle w:val="Hyperlink"/>
                <w:rFonts w:eastAsiaTheme="minorHAnsi" w:cs="Times New Roman"/>
                <w:webHidden/>
                <w:lang w:val="es-MX"/>
              </w:rPr>
              <w:t>74</w:t>
            </w:r>
            <w:r w:rsidR="004C50A7" w:rsidRPr="00232EBB">
              <w:rPr>
                <w:rStyle w:val="Hyperlink"/>
                <w:rFonts w:eastAsiaTheme="minorHAnsi" w:cs="Times New Roman"/>
                <w:webHidden/>
                <w:lang w:val="es-MX"/>
              </w:rPr>
              <w:fldChar w:fldCharType="end"/>
            </w:r>
          </w:hyperlink>
        </w:p>
        <w:p w14:paraId="68ACAFA0" w14:textId="44E2F129" w:rsidR="004C50A7" w:rsidRPr="00232EBB" w:rsidRDefault="00E223B8" w:rsidP="00A24B7D">
          <w:pPr>
            <w:pStyle w:val="TOC1"/>
            <w:jc w:val="both"/>
            <w:rPr>
              <w:rStyle w:val="Hyperlink"/>
              <w:rFonts w:eastAsiaTheme="minorHAnsi" w:cs="Times New Roman"/>
              <w:lang w:val="es-MX"/>
            </w:rPr>
          </w:pPr>
          <w:hyperlink w:anchor="_Toc216952234" w:history="1">
            <w:r w:rsidR="004C50A7" w:rsidRPr="00232EBB">
              <w:rPr>
                <w:rStyle w:val="Hyperlink"/>
                <w:rFonts w:eastAsiaTheme="minorHAnsi" w:cs="Times New Roman"/>
                <w:b w:val="0"/>
                <w:bCs w:val="0"/>
                <w:lang w:val="es-MX"/>
              </w:rPr>
              <w:t>Plan de Acción Encuesta de Comunicación y Liderazgo</w:t>
            </w:r>
            <w:r w:rsidR="004C50A7" w:rsidRPr="00232EBB">
              <w:rPr>
                <w:rStyle w:val="Hyperlink"/>
                <w:rFonts w:eastAsiaTheme="minorHAnsi" w:cs="Times New Roman"/>
                <w:webHidden/>
                <w:lang w:val="es-MX"/>
              </w:rPr>
              <w:tab/>
            </w:r>
            <w:r w:rsidR="004C50A7" w:rsidRPr="00232EBB">
              <w:rPr>
                <w:rStyle w:val="Hyperlink"/>
                <w:rFonts w:eastAsiaTheme="minorHAnsi" w:cs="Times New Roman"/>
                <w:webHidden/>
                <w:lang w:val="es-MX"/>
              </w:rPr>
              <w:fldChar w:fldCharType="begin"/>
            </w:r>
            <w:r w:rsidR="004C50A7" w:rsidRPr="00232EBB">
              <w:rPr>
                <w:rStyle w:val="Hyperlink"/>
                <w:rFonts w:eastAsiaTheme="minorHAnsi" w:cs="Times New Roman"/>
                <w:webHidden/>
                <w:lang w:val="es-MX"/>
              </w:rPr>
              <w:instrText xml:space="preserve"> PAGEREF _Toc216952234 \h </w:instrText>
            </w:r>
            <w:r w:rsidR="004C50A7" w:rsidRPr="00232EBB">
              <w:rPr>
                <w:rStyle w:val="Hyperlink"/>
                <w:rFonts w:eastAsiaTheme="minorHAnsi" w:cs="Times New Roman"/>
                <w:webHidden/>
                <w:lang w:val="es-MX"/>
              </w:rPr>
            </w:r>
            <w:r w:rsidR="004C50A7" w:rsidRPr="00232EBB">
              <w:rPr>
                <w:rStyle w:val="Hyperlink"/>
                <w:rFonts w:eastAsiaTheme="minorHAnsi" w:cs="Times New Roman"/>
                <w:webHidden/>
                <w:lang w:val="es-MX"/>
              </w:rPr>
              <w:fldChar w:fldCharType="separate"/>
            </w:r>
            <w:r w:rsidR="003F456A" w:rsidRPr="00232EBB">
              <w:rPr>
                <w:rStyle w:val="Hyperlink"/>
                <w:rFonts w:eastAsiaTheme="minorHAnsi" w:cs="Times New Roman"/>
                <w:webHidden/>
                <w:lang w:val="es-MX"/>
              </w:rPr>
              <w:t>74</w:t>
            </w:r>
            <w:r w:rsidR="004C50A7" w:rsidRPr="00232EBB">
              <w:rPr>
                <w:rStyle w:val="Hyperlink"/>
                <w:rFonts w:eastAsiaTheme="minorHAnsi" w:cs="Times New Roman"/>
                <w:webHidden/>
                <w:lang w:val="es-MX"/>
              </w:rPr>
              <w:fldChar w:fldCharType="end"/>
            </w:r>
          </w:hyperlink>
        </w:p>
        <w:p w14:paraId="43DA85AF" w14:textId="12C265A1"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35" w:history="1">
            <w:r w:rsidR="004C50A7" w:rsidRPr="00232EBB">
              <w:rPr>
                <w:rStyle w:val="Hyperlink"/>
                <w:rFonts w:cs="Times New Roman"/>
                <w:b w:val="0"/>
                <w:bCs w:val="0"/>
                <w:lang w:val="es-MX"/>
              </w:rPr>
              <w:t>Capacitación y Adiestramiento TSS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_Toc216952235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75</w:t>
            </w:r>
            <w:r w:rsidR="004C50A7" w:rsidRPr="00232EBB">
              <w:rPr>
                <w:rFonts w:cs="Times New Roman"/>
                <w:b w:val="0"/>
                <w:bCs w:val="0"/>
                <w:webHidden/>
              </w:rPr>
              <w:fldChar w:fldCharType="end"/>
            </w:r>
          </w:hyperlink>
        </w:p>
        <w:p w14:paraId="31476E61" w14:textId="4B50E735" w:rsidR="004C50A7" w:rsidRPr="00232EBB" w:rsidRDefault="00E223B8" w:rsidP="00A24B7D">
          <w:pPr>
            <w:pStyle w:val="TOC1"/>
            <w:jc w:val="both"/>
            <w:rPr>
              <w:rStyle w:val="Hyperlink"/>
              <w:rFonts w:eastAsiaTheme="minorHAnsi" w:cs="Times New Roman"/>
              <w:lang w:val="es-MX"/>
            </w:rPr>
          </w:pPr>
          <w:hyperlink w:anchor="_Toc216952236" w:history="1">
            <w:r w:rsidR="004C50A7" w:rsidRPr="00232EBB">
              <w:rPr>
                <w:rStyle w:val="Hyperlink"/>
                <w:rFonts w:eastAsiaTheme="minorHAnsi" w:cs="Times New Roman"/>
                <w:b w:val="0"/>
                <w:bCs w:val="0"/>
                <w:lang w:val="es-MX"/>
              </w:rPr>
              <w:t>Capacitaciones Impartidas por Grupo Ocupacional</w:t>
            </w:r>
            <w:r w:rsidR="004C50A7" w:rsidRPr="00232EBB">
              <w:rPr>
                <w:rStyle w:val="Hyperlink"/>
                <w:rFonts w:eastAsiaTheme="minorHAnsi" w:cs="Times New Roman"/>
                <w:webHidden/>
                <w:lang w:val="es-MX"/>
              </w:rPr>
              <w:tab/>
            </w:r>
            <w:r w:rsidR="004C50A7" w:rsidRPr="00232EBB">
              <w:rPr>
                <w:rStyle w:val="Hyperlink"/>
                <w:rFonts w:eastAsiaTheme="minorHAnsi" w:cs="Times New Roman"/>
                <w:webHidden/>
                <w:lang w:val="es-MX"/>
              </w:rPr>
              <w:fldChar w:fldCharType="begin"/>
            </w:r>
            <w:r w:rsidR="004C50A7" w:rsidRPr="00232EBB">
              <w:rPr>
                <w:rStyle w:val="Hyperlink"/>
                <w:rFonts w:eastAsiaTheme="minorHAnsi" w:cs="Times New Roman"/>
                <w:webHidden/>
                <w:lang w:val="es-MX"/>
              </w:rPr>
              <w:instrText xml:space="preserve"> PAGEREF _Toc216952236 \h </w:instrText>
            </w:r>
            <w:r w:rsidR="004C50A7" w:rsidRPr="00232EBB">
              <w:rPr>
                <w:rStyle w:val="Hyperlink"/>
                <w:rFonts w:eastAsiaTheme="minorHAnsi" w:cs="Times New Roman"/>
                <w:webHidden/>
                <w:lang w:val="es-MX"/>
              </w:rPr>
            </w:r>
            <w:r w:rsidR="004C50A7" w:rsidRPr="00232EBB">
              <w:rPr>
                <w:rStyle w:val="Hyperlink"/>
                <w:rFonts w:eastAsiaTheme="minorHAnsi" w:cs="Times New Roman"/>
                <w:webHidden/>
                <w:lang w:val="es-MX"/>
              </w:rPr>
              <w:fldChar w:fldCharType="separate"/>
            </w:r>
            <w:r w:rsidR="003F456A" w:rsidRPr="00232EBB">
              <w:rPr>
                <w:rStyle w:val="Hyperlink"/>
                <w:rFonts w:eastAsiaTheme="minorHAnsi" w:cs="Times New Roman"/>
                <w:webHidden/>
                <w:lang w:val="es-MX"/>
              </w:rPr>
              <w:t>77</w:t>
            </w:r>
            <w:r w:rsidR="004C50A7" w:rsidRPr="00232EBB">
              <w:rPr>
                <w:rStyle w:val="Hyperlink"/>
                <w:rFonts w:eastAsiaTheme="minorHAnsi" w:cs="Times New Roman"/>
                <w:webHidden/>
                <w:lang w:val="es-MX"/>
              </w:rPr>
              <w:fldChar w:fldCharType="end"/>
            </w:r>
          </w:hyperlink>
        </w:p>
        <w:p w14:paraId="1C6256FB" w14:textId="4846B550" w:rsidR="004C50A7" w:rsidRPr="00232EBB" w:rsidRDefault="00E223B8" w:rsidP="00A24B7D">
          <w:pPr>
            <w:pStyle w:val="TOC1"/>
            <w:jc w:val="both"/>
            <w:rPr>
              <w:rStyle w:val="Hyperlink"/>
              <w:rFonts w:eastAsiaTheme="minorHAnsi" w:cs="Times New Roman"/>
              <w:lang w:val="es-MX"/>
            </w:rPr>
          </w:pPr>
          <w:hyperlink w:anchor="_Toc216952237" w:history="1">
            <w:r w:rsidR="004C50A7" w:rsidRPr="00232EBB">
              <w:rPr>
                <w:rStyle w:val="Hyperlink"/>
                <w:rFonts w:eastAsiaTheme="minorHAnsi" w:cs="Times New Roman"/>
                <w:b w:val="0"/>
                <w:bCs w:val="0"/>
                <w:lang w:val="es-MX"/>
              </w:rPr>
              <w:t>Competencias Blandas y Duras</w:t>
            </w:r>
            <w:r w:rsidR="004C50A7" w:rsidRPr="00232EBB">
              <w:rPr>
                <w:rStyle w:val="Hyperlink"/>
                <w:rFonts w:eastAsiaTheme="minorHAnsi" w:cs="Times New Roman"/>
                <w:webHidden/>
                <w:lang w:val="es-MX"/>
              </w:rPr>
              <w:tab/>
            </w:r>
            <w:r w:rsidR="004C50A7" w:rsidRPr="00232EBB">
              <w:rPr>
                <w:rStyle w:val="Hyperlink"/>
                <w:rFonts w:eastAsiaTheme="minorHAnsi" w:cs="Times New Roman"/>
                <w:webHidden/>
                <w:lang w:val="es-MX"/>
              </w:rPr>
              <w:fldChar w:fldCharType="begin"/>
            </w:r>
            <w:r w:rsidR="004C50A7" w:rsidRPr="00232EBB">
              <w:rPr>
                <w:rStyle w:val="Hyperlink"/>
                <w:rFonts w:eastAsiaTheme="minorHAnsi" w:cs="Times New Roman"/>
                <w:webHidden/>
                <w:lang w:val="es-MX"/>
              </w:rPr>
              <w:instrText xml:space="preserve"> PAGEREF _Toc216952237 \h </w:instrText>
            </w:r>
            <w:r w:rsidR="004C50A7" w:rsidRPr="00232EBB">
              <w:rPr>
                <w:rStyle w:val="Hyperlink"/>
                <w:rFonts w:eastAsiaTheme="minorHAnsi" w:cs="Times New Roman"/>
                <w:webHidden/>
                <w:lang w:val="es-MX"/>
              </w:rPr>
            </w:r>
            <w:r w:rsidR="004C50A7" w:rsidRPr="00232EBB">
              <w:rPr>
                <w:rStyle w:val="Hyperlink"/>
                <w:rFonts w:eastAsiaTheme="minorHAnsi" w:cs="Times New Roman"/>
                <w:webHidden/>
                <w:lang w:val="es-MX"/>
              </w:rPr>
              <w:fldChar w:fldCharType="separate"/>
            </w:r>
            <w:r w:rsidR="003F456A" w:rsidRPr="00232EBB">
              <w:rPr>
                <w:rStyle w:val="Hyperlink"/>
                <w:rFonts w:eastAsiaTheme="minorHAnsi" w:cs="Times New Roman"/>
                <w:webHidden/>
                <w:lang w:val="es-MX"/>
              </w:rPr>
              <w:t>77</w:t>
            </w:r>
            <w:r w:rsidR="004C50A7" w:rsidRPr="00232EBB">
              <w:rPr>
                <w:rStyle w:val="Hyperlink"/>
                <w:rFonts w:eastAsiaTheme="minorHAnsi" w:cs="Times New Roman"/>
                <w:webHidden/>
                <w:lang w:val="es-MX"/>
              </w:rPr>
              <w:fldChar w:fldCharType="end"/>
            </w:r>
          </w:hyperlink>
        </w:p>
        <w:p w14:paraId="03AFA990" w14:textId="2EC4F8E7" w:rsidR="004C50A7" w:rsidRPr="00232EBB" w:rsidRDefault="00E223B8" w:rsidP="00A24B7D">
          <w:pPr>
            <w:pStyle w:val="TOC1"/>
            <w:jc w:val="both"/>
            <w:rPr>
              <w:rStyle w:val="Hyperlink"/>
              <w:rFonts w:eastAsiaTheme="minorHAnsi" w:cs="Times New Roman"/>
              <w:lang w:val="es-MX"/>
            </w:rPr>
          </w:pPr>
          <w:hyperlink w:anchor="_Toc216952238" w:history="1">
            <w:r w:rsidR="004C50A7" w:rsidRPr="00232EBB">
              <w:rPr>
                <w:rStyle w:val="Hyperlink"/>
                <w:rFonts w:eastAsiaTheme="minorHAnsi" w:cs="Times New Roman"/>
                <w:b w:val="0"/>
                <w:bCs w:val="0"/>
                <w:lang w:val="es-MX"/>
              </w:rPr>
              <w:t>Donación solidaria</w:t>
            </w:r>
            <w:r w:rsidR="004C50A7" w:rsidRPr="00232EBB">
              <w:rPr>
                <w:rStyle w:val="Hyperlink"/>
                <w:rFonts w:eastAsiaTheme="minorHAnsi" w:cs="Times New Roman"/>
                <w:webHidden/>
                <w:lang w:val="es-MX"/>
              </w:rPr>
              <w:tab/>
            </w:r>
            <w:r w:rsidR="004C50A7" w:rsidRPr="00232EBB">
              <w:rPr>
                <w:rStyle w:val="Hyperlink"/>
                <w:rFonts w:eastAsiaTheme="minorHAnsi" w:cs="Times New Roman"/>
                <w:webHidden/>
                <w:lang w:val="es-MX"/>
              </w:rPr>
              <w:fldChar w:fldCharType="begin"/>
            </w:r>
            <w:r w:rsidR="004C50A7" w:rsidRPr="00232EBB">
              <w:rPr>
                <w:rStyle w:val="Hyperlink"/>
                <w:rFonts w:eastAsiaTheme="minorHAnsi" w:cs="Times New Roman"/>
                <w:webHidden/>
                <w:lang w:val="es-MX"/>
              </w:rPr>
              <w:instrText xml:space="preserve"> PAGEREF _Toc216952238 \h </w:instrText>
            </w:r>
            <w:r w:rsidR="004C50A7" w:rsidRPr="00232EBB">
              <w:rPr>
                <w:rStyle w:val="Hyperlink"/>
                <w:rFonts w:eastAsiaTheme="minorHAnsi" w:cs="Times New Roman"/>
                <w:webHidden/>
                <w:lang w:val="es-MX"/>
              </w:rPr>
            </w:r>
            <w:r w:rsidR="004C50A7" w:rsidRPr="00232EBB">
              <w:rPr>
                <w:rStyle w:val="Hyperlink"/>
                <w:rFonts w:eastAsiaTheme="minorHAnsi" w:cs="Times New Roman"/>
                <w:webHidden/>
                <w:lang w:val="es-MX"/>
              </w:rPr>
              <w:fldChar w:fldCharType="separate"/>
            </w:r>
            <w:r w:rsidR="003F456A" w:rsidRPr="00232EBB">
              <w:rPr>
                <w:rStyle w:val="Hyperlink"/>
                <w:rFonts w:eastAsiaTheme="minorHAnsi" w:cs="Times New Roman"/>
                <w:webHidden/>
                <w:lang w:val="es-MX"/>
              </w:rPr>
              <w:t>79</w:t>
            </w:r>
            <w:r w:rsidR="004C50A7" w:rsidRPr="00232EBB">
              <w:rPr>
                <w:rStyle w:val="Hyperlink"/>
                <w:rFonts w:eastAsiaTheme="minorHAnsi" w:cs="Times New Roman"/>
                <w:webHidden/>
                <w:lang w:val="es-MX"/>
              </w:rPr>
              <w:fldChar w:fldCharType="end"/>
            </w:r>
          </w:hyperlink>
        </w:p>
        <w:p w14:paraId="0508ACA4" w14:textId="2A24DB21" w:rsidR="004C50A7" w:rsidRPr="00232EBB" w:rsidRDefault="00E223B8" w:rsidP="00A24B7D">
          <w:pPr>
            <w:pStyle w:val="TOC1"/>
            <w:jc w:val="both"/>
            <w:rPr>
              <w:rStyle w:val="Hyperlink"/>
              <w:rFonts w:eastAsiaTheme="minorHAnsi" w:cs="Times New Roman"/>
              <w:lang w:val="es-MX"/>
            </w:rPr>
          </w:pPr>
          <w:hyperlink w:anchor="_Toc216952239" w:history="1">
            <w:r w:rsidR="004C50A7" w:rsidRPr="00232EBB">
              <w:rPr>
                <w:rStyle w:val="Hyperlink"/>
                <w:rFonts w:eastAsiaTheme="minorHAnsi" w:cs="Times New Roman"/>
                <w:b w:val="0"/>
                <w:bCs w:val="0"/>
                <w:lang w:val="es-MX"/>
              </w:rPr>
              <w:t>Jornada de Donación de Sangre</w:t>
            </w:r>
            <w:r w:rsidR="004C50A7" w:rsidRPr="00232EBB">
              <w:rPr>
                <w:rStyle w:val="Hyperlink"/>
                <w:rFonts w:eastAsiaTheme="minorHAnsi" w:cs="Times New Roman"/>
                <w:webHidden/>
                <w:lang w:val="es-MX"/>
              </w:rPr>
              <w:tab/>
            </w:r>
            <w:r w:rsidR="004C50A7" w:rsidRPr="00232EBB">
              <w:rPr>
                <w:rStyle w:val="Hyperlink"/>
                <w:rFonts w:eastAsiaTheme="minorHAnsi" w:cs="Times New Roman"/>
                <w:webHidden/>
                <w:lang w:val="es-MX"/>
              </w:rPr>
              <w:fldChar w:fldCharType="begin"/>
            </w:r>
            <w:r w:rsidR="004C50A7" w:rsidRPr="00232EBB">
              <w:rPr>
                <w:rStyle w:val="Hyperlink"/>
                <w:rFonts w:eastAsiaTheme="minorHAnsi" w:cs="Times New Roman"/>
                <w:webHidden/>
                <w:lang w:val="es-MX"/>
              </w:rPr>
              <w:instrText xml:space="preserve"> PAGEREF _Toc216952239 \h </w:instrText>
            </w:r>
            <w:r w:rsidR="004C50A7" w:rsidRPr="00232EBB">
              <w:rPr>
                <w:rStyle w:val="Hyperlink"/>
                <w:rFonts w:eastAsiaTheme="minorHAnsi" w:cs="Times New Roman"/>
                <w:webHidden/>
                <w:lang w:val="es-MX"/>
              </w:rPr>
            </w:r>
            <w:r w:rsidR="004C50A7" w:rsidRPr="00232EBB">
              <w:rPr>
                <w:rStyle w:val="Hyperlink"/>
                <w:rFonts w:eastAsiaTheme="minorHAnsi" w:cs="Times New Roman"/>
                <w:webHidden/>
                <w:lang w:val="es-MX"/>
              </w:rPr>
              <w:fldChar w:fldCharType="separate"/>
            </w:r>
            <w:r w:rsidR="003F456A" w:rsidRPr="00232EBB">
              <w:rPr>
                <w:rStyle w:val="Hyperlink"/>
                <w:rFonts w:eastAsiaTheme="minorHAnsi" w:cs="Times New Roman"/>
                <w:webHidden/>
                <w:lang w:val="es-MX"/>
              </w:rPr>
              <w:t>79</w:t>
            </w:r>
            <w:r w:rsidR="004C50A7" w:rsidRPr="00232EBB">
              <w:rPr>
                <w:rStyle w:val="Hyperlink"/>
                <w:rFonts w:eastAsiaTheme="minorHAnsi" w:cs="Times New Roman"/>
                <w:webHidden/>
                <w:lang w:val="es-MX"/>
              </w:rPr>
              <w:fldChar w:fldCharType="end"/>
            </w:r>
          </w:hyperlink>
        </w:p>
        <w:p w14:paraId="38D3D350" w14:textId="05CF1651"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0" w:history="1">
            <w:r w:rsidR="004C50A7" w:rsidRPr="00232EBB">
              <w:rPr>
                <w:rStyle w:val="Hyperlink"/>
                <w:rFonts w:cs="Times New Roman"/>
                <w:b w:val="0"/>
                <w:bCs w:val="0"/>
              </w:rPr>
              <w:t>4.3 Desempeño de los Procesos Jurídicos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80</w:t>
            </w:r>
            <w:r w:rsidR="004C50A7" w:rsidRPr="00232EBB">
              <w:rPr>
                <w:rFonts w:cs="Times New Roman"/>
                <w:b w:val="0"/>
                <w:bCs w:val="0"/>
                <w:webHidden/>
              </w:rPr>
              <w:fldChar w:fldCharType="end"/>
            </w:r>
          </w:hyperlink>
        </w:p>
        <w:p w14:paraId="315E85B2" w14:textId="18808539"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1" w:history="1">
            <w:r w:rsidR="004C50A7" w:rsidRPr="00232EBB">
              <w:rPr>
                <w:rStyle w:val="Hyperlink"/>
                <w:rFonts w:cs="Times New Roman"/>
                <w:b w:val="0"/>
                <w:bCs w:val="0"/>
              </w:rPr>
              <w:t>4.4 Desempeño de la Tecnología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_Toc216952241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85</w:t>
            </w:r>
            <w:r w:rsidR="004C50A7" w:rsidRPr="00232EBB">
              <w:rPr>
                <w:rFonts w:cs="Times New Roman"/>
                <w:b w:val="0"/>
                <w:bCs w:val="0"/>
                <w:webHidden/>
              </w:rPr>
              <w:fldChar w:fldCharType="end"/>
            </w:r>
          </w:hyperlink>
        </w:p>
        <w:p w14:paraId="123BCB25" w14:textId="7829A325"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2" w:history="1">
            <w:r w:rsidR="004C50A7" w:rsidRPr="00232EBB">
              <w:rPr>
                <w:rStyle w:val="Hyperlink"/>
                <w:rFonts w:cs="Times New Roman"/>
                <w:b w:val="0"/>
                <w:bCs w:val="0"/>
              </w:rPr>
              <w:t>Nuevo Módulo de Interoperabilidad y Gestión de Credenciales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85</w:t>
            </w:r>
            <w:r w:rsidR="004C50A7" w:rsidRPr="00232EBB">
              <w:rPr>
                <w:rFonts w:cs="Times New Roman"/>
                <w:b w:val="0"/>
                <w:bCs w:val="0"/>
                <w:webHidden/>
              </w:rPr>
              <w:fldChar w:fldCharType="end"/>
            </w:r>
          </w:hyperlink>
        </w:p>
        <w:p w14:paraId="1AECF6E0" w14:textId="4F3DEC9A"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3" w:history="1">
            <w:r w:rsidR="004C50A7" w:rsidRPr="00232EBB">
              <w:rPr>
                <w:rStyle w:val="Hyperlink"/>
                <w:rFonts w:cs="Times New Roman"/>
                <w:b w:val="0"/>
                <w:bCs w:val="0"/>
              </w:rPr>
              <w:t>Modernización de la Infraestructura Tecnológica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_Toc216952243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86</w:t>
            </w:r>
            <w:r w:rsidR="004C50A7" w:rsidRPr="00232EBB">
              <w:rPr>
                <w:rFonts w:cs="Times New Roman"/>
                <w:b w:val="0"/>
                <w:bCs w:val="0"/>
                <w:webHidden/>
              </w:rPr>
              <w:fldChar w:fldCharType="end"/>
            </w:r>
          </w:hyperlink>
        </w:p>
        <w:p w14:paraId="0FC7BE34" w14:textId="0C9E3502"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4" w:history="1">
            <w:r w:rsidR="004C50A7" w:rsidRPr="00232EBB">
              <w:rPr>
                <w:rStyle w:val="Hyperlink"/>
                <w:rFonts w:cs="Times New Roman"/>
                <w:b w:val="0"/>
                <w:bCs w:val="0"/>
              </w:rPr>
              <w:t>Mejoras en la Oficina Virtual y el Portal Web</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_Toc216952244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87</w:t>
            </w:r>
            <w:r w:rsidR="004C50A7" w:rsidRPr="00232EBB">
              <w:rPr>
                <w:rFonts w:cs="Times New Roman"/>
                <w:b w:val="0"/>
                <w:bCs w:val="0"/>
                <w:webHidden/>
              </w:rPr>
              <w:fldChar w:fldCharType="end"/>
            </w:r>
          </w:hyperlink>
        </w:p>
        <w:p w14:paraId="7CD887A9" w14:textId="24E68FD9"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5" w:history="1">
            <w:r w:rsidR="004C50A7" w:rsidRPr="00232EBB">
              <w:rPr>
                <w:rStyle w:val="Hyperlink"/>
                <w:rFonts w:cs="Times New Roman"/>
                <w:b w:val="0"/>
                <w:bCs w:val="0"/>
              </w:rPr>
              <w:t>Unificación de Canales y Mejora de la Atención al Ciudadano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_Toc216952245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88</w:t>
            </w:r>
            <w:r w:rsidR="004C50A7" w:rsidRPr="00232EBB">
              <w:rPr>
                <w:rFonts w:cs="Times New Roman"/>
                <w:b w:val="0"/>
                <w:bCs w:val="0"/>
                <w:webHidden/>
              </w:rPr>
              <w:fldChar w:fldCharType="end"/>
            </w:r>
          </w:hyperlink>
        </w:p>
        <w:p w14:paraId="19D95622" w14:textId="363E9524"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6" w:history="1">
            <w:r w:rsidR="004C50A7" w:rsidRPr="00232EBB">
              <w:rPr>
                <w:rStyle w:val="Hyperlink"/>
                <w:rFonts w:cs="Times New Roman"/>
                <w:b w:val="0"/>
                <w:bCs w:val="0"/>
              </w:rPr>
              <w:t>Implementación de Sistema de Inventario Digital con Código QR</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_Toc216952246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89</w:t>
            </w:r>
            <w:r w:rsidR="004C50A7" w:rsidRPr="00232EBB">
              <w:rPr>
                <w:rFonts w:cs="Times New Roman"/>
                <w:b w:val="0"/>
                <w:bCs w:val="0"/>
                <w:webHidden/>
              </w:rPr>
              <w:fldChar w:fldCharType="end"/>
            </w:r>
          </w:hyperlink>
        </w:p>
        <w:p w14:paraId="41CA1405" w14:textId="5A394834"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7" w:history="1">
            <w:r w:rsidR="004C50A7" w:rsidRPr="00232EBB">
              <w:rPr>
                <w:rStyle w:val="Hyperlink"/>
                <w:rFonts w:cs="Times New Roman"/>
                <w:b w:val="0"/>
                <w:bCs w:val="0"/>
              </w:rPr>
              <w:t>Desarrollo De Aplicaciones Internas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_Toc216952247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90</w:t>
            </w:r>
            <w:r w:rsidR="004C50A7" w:rsidRPr="00232EBB">
              <w:rPr>
                <w:rFonts w:cs="Times New Roman"/>
                <w:b w:val="0"/>
                <w:bCs w:val="0"/>
                <w:webHidden/>
              </w:rPr>
              <w:fldChar w:fldCharType="end"/>
            </w:r>
          </w:hyperlink>
        </w:p>
        <w:p w14:paraId="006ECA1A" w14:textId="5B725CFC"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8" w:history="1">
            <w:r w:rsidR="004C50A7" w:rsidRPr="00232EBB">
              <w:rPr>
                <w:rStyle w:val="Hyperlink"/>
                <w:rFonts w:cs="Times New Roman"/>
                <w:b w:val="0"/>
                <w:bCs w:val="0"/>
              </w:rPr>
              <w:t>Estadísticas de Desempeño de los procesos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_Toc216952248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90</w:t>
            </w:r>
            <w:r w:rsidR="004C50A7" w:rsidRPr="00232EBB">
              <w:rPr>
                <w:rFonts w:cs="Times New Roman"/>
                <w:b w:val="0"/>
                <w:bCs w:val="0"/>
                <w:webHidden/>
              </w:rPr>
              <w:fldChar w:fldCharType="end"/>
            </w:r>
          </w:hyperlink>
        </w:p>
        <w:p w14:paraId="354C0975" w14:textId="6FAE1A0D"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49" w:history="1">
            <w:r w:rsidR="004C50A7" w:rsidRPr="00232EBB">
              <w:rPr>
                <w:rStyle w:val="Hyperlink"/>
                <w:rFonts w:cs="Times New Roman"/>
                <w:b w:val="0"/>
                <w:bCs w:val="0"/>
              </w:rPr>
              <w:t>Replicación de Ambientes y Procesos de Pruebas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_Toc216952249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90</w:t>
            </w:r>
            <w:r w:rsidR="004C50A7" w:rsidRPr="00232EBB">
              <w:rPr>
                <w:rFonts w:cs="Times New Roman"/>
                <w:b w:val="0"/>
                <w:bCs w:val="0"/>
                <w:webHidden/>
              </w:rPr>
              <w:fldChar w:fldCharType="end"/>
            </w:r>
          </w:hyperlink>
        </w:p>
        <w:p w14:paraId="4113A852" w14:textId="2E154480"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0" w:history="1">
            <w:r w:rsidR="004C50A7" w:rsidRPr="00232EBB">
              <w:rPr>
                <w:rStyle w:val="Hyperlink"/>
                <w:rFonts w:cs="Times New Roman"/>
                <w:b w:val="0"/>
                <w:bCs w:val="0"/>
              </w:rPr>
              <w:t>Nuevos Servicios en Línea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91</w:t>
            </w:r>
            <w:r w:rsidR="004C50A7" w:rsidRPr="00232EBB">
              <w:rPr>
                <w:rFonts w:cs="Times New Roman"/>
                <w:b w:val="0"/>
                <w:bCs w:val="0"/>
                <w:webHidden/>
              </w:rPr>
              <w:fldChar w:fldCharType="end"/>
            </w:r>
          </w:hyperlink>
        </w:p>
        <w:p w14:paraId="2A2D1676" w14:textId="69A6FC14"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1" w:history="1">
            <w:r w:rsidR="004C50A7" w:rsidRPr="00232EBB">
              <w:rPr>
                <w:rStyle w:val="Hyperlink"/>
                <w:rFonts w:cs="Times New Roman"/>
                <w:b w:val="0"/>
                <w:bCs w:val="0"/>
              </w:rPr>
              <w:t>10. Análisis Estadístico y Gestión de Información Institucional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_Toc216952251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91</w:t>
            </w:r>
            <w:r w:rsidR="004C50A7" w:rsidRPr="00232EBB">
              <w:rPr>
                <w:rFonts w:cs="Times New Roman"/>
                <w:b w:val="0"/>
                <w:bCs w:val="0"/>
                <w:webHidden/>
              </w:rPr>
              <w:fldChar w:fldCharType="end"/>
            </w:r>
          </w:hyperlink>
        </w:p>
        <w:p w14:paraId="1EC385BC" w14:textId="0EFBB688"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2" w:history="1">
            <w:r w:rsidR="004C50A7" w:rsidRPr="00232EBB">
              <w:rPr>
                <w:rStyle w:val="Hyperlink"/>
                <w:rFonts w:cs="Times New Roman"/>
                <w:b w:val="0"/>
                <w:bCs w:val="0"/>
              </w:rPr>
              <w:t>Resultados obtenidos en el Índice de Uso de TIC e Implementación de Gobierno Electrónico (ITICGE) durante el año y justificación en caso de incumplimiento.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92</w:t>
            </w:r>
            <w:r w:rsidR="004C50A7" w:rsidRPr="00232EBB">
              <w:rPr>
                <w:rFonts w:cs="Times New Roman"/>
                <w:b w:val="0"/>
                <w:bCs w:val="0"/>
                <w:webHidden/>
              </w:rPr>
              <w:fldChar w:fldCharType="end"/>
            </w:r>
          </w:hyperlink>
        </w:p>
        <w:p w14:paraId="4DEE411B" w14:textId="7423F430"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3" w:history="1">
            <w:r w:rsidR="004C50A7" w:rsidRPr="00232EBB">
              <w:rPr>
                <w:rStyle w:val="Hyperlink"/>
                <w:rFonts w:eastAsia="Calibri" w:cs="Times New Roman"/>
                <w:b w:val="0"/>
                <w:bCs w:val="0"/>
                <w:lang w:val="es-ES"/>
              </w:rPr>
              <w:t>Departamento de Ciberseguridad</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_Toc216952253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96</w:t>
            </w:r>
            <w:r w:rsidR="004C50A7" w:rsidRPr="00232EBB">
              <w:rPr>
                <w:rFonts w:cs="Times New Roman"/>
                <w:b w:val="0"/>
                <w:bCs w:val="0"/>
                <w:webHidden/>
              </w:rPr>
              <w:fldChar w:fldCharType="end"/>
            </w:r>
          </w:hyperlink>
        </w:p>
        <w:p w14:paraId="48449169" w14:textId="6AF901D7"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4" w:history="1">
            <w:r w:rsidR="004C50A7" w:rsidRPr="00232EBB">
              <w:rPr>
                <w:rStyle w:val="Hyperlink"/>
                <w:rFonts w:eastAsia="Calibri" w:cs="Times New Roman"/>
                <w:b w:val="0"/>
                <w:bCs w:val="0"/>
                <w:lang w:val="es-ES"/>
              </w:rPr>
              <w:t>Dicho plan tuvo como objetivos específicos: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_Toc216952254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97</w:t>
            </w:r>
            <w:r w:rsidR="004C50A7" w:rsidRPr="00232EBB">
              <w:rPr>
                <w:rFonts w:cs="Times New Roman"/>
                <w:b w:val="0"/>
                <w:bCs w:val="0"/>
                <w:webHidden/>
              </w:rPr>
              <w:fldChar w:fldCharType="end"/>
            </w:r>
          </w:hyperlink>
        </w:p>
        <w:p w14:paraId="098B3281" w14:textId="610A8608"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5" w:history="1">
            <w:r w:rsidR="004C50A7" w:rsidRPr="00232EBB">
              <w:rPr>
                <w:rStyle w:val="Hyperlink"/>
                <w:rFonts w:cs="Times New Roman"/>
                <w:b w:val="0"/>
                <w:bCs w:val="0"/>
              </w:rPr>
              <w:t>Fase 1. Situación Actual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_Toc216952255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98</w:t>
            </w:r>
            <w:r w:rsidR="004C50A7" w:rsidRPr="00232EBB">
              <w:rPr>
                <w:rFonts w:cs="Times New Roman"/>
                <w:b w:val="0"/>
                <w:bCs w:val="0"/>
                <w:webHidden/>
              </w:rPr>
              <w:fldChar w:fldCharType="end"/>
            </w:r>
          </w:hyperlink>
        </w:p>
        <w:p w14:paraId="3C1D2BAC" w14:textId="41A1452B"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6" w:history="1">
            <w:r w:rsidR="004C50A7" w:rsidRPr="00232EBB">
              <w:rPr>
                <w:rStyle w:val="Hyperlink"/>
                <w:rFonts w:cs="Times New Roman"/>
                <w:b w:val="0"/>
                <w:bCs w:val="0"/>
              </w:rPr>
              <w:t>Fase 2. Situación Deseada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_Toc216952256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98</w:t>
            </w:r>
            <w:r w:rsidR="004C50A7" w:rsidRPr="00232EBB">
              <w:rPr>
                <w:rFonts w:cs="Times New Roman"/>
                <w:b w:val="0"/>
                <w:bCs w:val="0"/>
                <w:webHidden/>
              </w:rPr>
              <w:fldChar w:fldCharType="end"/>
            </w:r>
          </w:hyperlink>
        </w:p>
        <w:p w14:paraId="462130CA" w14:textId="656274FB"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7" w:history="1">
            <w:r w:rsidR="004C50A7" w:rsidRPr="00232EBB">
              <w:rPr>
                <w:rStyle w:val="Hyperlink"/>
                <w:rFonts w:cs="Times New Roman"/>
                <w:b w:val="0"/>
                <w:bCs w:val="0"/>
              </w:rPr>
              <w:t>Fase 3. Plan Estratégico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_Toc216952257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99</w:t>
            </w:r>
            <w:r w:rsidR="004C50A7" w:rsidRPr="00232EBB">
              <w:rPr>
                <w:rFonts w:cs="Times New Roman"/>
                <w:b w:val="0"/>
                <w:bCs w:val="0"/>
                <w:webHidden/>
              </w:rPr>
              <w:fldChar w:fldCharType="end"/>
            </w:r>
          </w:hyperlink>
        </w:p>
        <w:p w14:paraId="02597DEB" w14:textId="7677E027"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8" w:history="1">
            <w:r w:rsidR="004C50A7" w:rsidRPr="00232EBB">
              <w:rPr>
                <w:rStyle w:val="Hyperlink"/>
                <w:rFonts w:cs="Times New Roman"/>
                <w:b w:val="0"/>
                <w:bCs w:val="0"/>
              </w:rPr>
              <w:t>Departamento de Gestión Integral de Riesgos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_Toc216952258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99</w:t>
            </w:r>
            <w:r w:rsidR="004C50A7" w:rsidRPr="00232EBB">
              <w:rPr>
                <w:rFonts w:cs="Times New Roman"/>
                <w:b w:val="0"/>
                <w:bCs w:val="0"/>
                <w:webHidden/>
              </w:rPr>
              <w:fldChar w:fldCharType="end"/>
            </w:r>
          </w:hyperlink>
        </w:p>
        <w:p w14:paraId="3E404D41" w14:textId="7DB71E3F"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59" w:history="1">
            <w:r w:rsidR="004C50A7" w:rsidRPr="00232EBB">
              <w:rPr>
                <w:rStyle w:val="Hyperlink"/>
                <w:rFonts w:cs="Times New Roman"/>
                <w:b w:val="0"/>
                <w:bCs w:val="0"/>
              </w:rPr>
              <w:t>Visión 360°: La Gestión de Riesgos como Pilar Estratégico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_Toc216952259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100</w:t>
            </w:r>
            <w:r w:rsidR="004C50A7" w:rsidRPr="00232EBB">
              <w:rPr>
                <w:rFonts w:cs="Times New Roman"/>
                <w:b w:val="0"/>
                <w:bCs w:val="0"/>
                <w:webHidden/>
              </w:rPr>
              <w:fldChar w:fldCharType="end"/>
            </w:r>
          </w:hyperlink>
        </w:p>
        <w:p w14:paraId="43E088E3" w14:textId="384C5954"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0" w:history="1">
            <w:r w:rsidR="004C50A7" w:rsidRPr="00232EBB">
              <w:rPr>
                <w:rStyle w:val="Hyperlink"/>
                <w:rFonts w:cs="Times New Roman"/>
                <w:b w:val="0"/>
                <w:bCs w:val="0"/>
              </w:rPr>
              <w:t>I. Consolidación de Metas Anuales (100% de Cumplimiento)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100</w:t>
            </w:r>
            <w:r w:rsidR="004C50A7" w:rsidRPr="00232EBB">
              <w:rPr>
                <w:rFonts w:cs="Times New Roman"/>
                <w:b w:val="0"/>
                <w:bCs w:val="0"/>
                <w:webHidden/>
              </w:rPr>
              <w:fldChar w:fldCharType="end"/>
            </w:r>
          </w:hyperlink>
        </w:p>
        <w:p w14:paraId="17F047E1" w14:textId="4DB4CD20"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1" w:history="1">
            <w:r w:rsidR="004C50A7" w:rsidRPr="00232EBB">
              <w:rPr>
                <w:rStyle w:val="Hyperlink"/>
                <w:rFonts w:cs="Times New Roman"/>
                <w:b w:val="0"/>
                <w:bCs w:val="0"/>
              </w:rPr>
              <w:t>II. Innovación y Desarrollo Metodológico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_Toc216952261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100</w:t>
            </w:r>
            <w:r w:rsidR="004C50A7" w:rsidRPr="00232EBB">
              <w:rPr>
                <w:rFonts w:cs="Times New Roman"/>
                <w:b w:val="0"/>
                <w:bCs w:val="0"/>
                <w:webHidden/>
              </w:rPr>
              <w:fldChar w:fldCharType="end"/>
            </w:r>
          </w:hyperlink>
        </w:p>
        <w:p w14:paraId="78024D4A" w14:textId="5B43AB8E"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2" w:history="1">
            <w:r w:rsidR="004C50A7" w:rsidRPr="00232EBB">
              <w:rPr>
                <w:rStyle w:val="Hyperlink"/>
                <w:rFonts w:cs="Times New Roman"/>
                <w:b w:val="0"/>
                <w:bCs w:val="0"/>
              </w:rPr>
              <w:t>III. Fortalecimiento del Capital Humano y Enlace Externo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101</w:t>
            </w:r>
            <w:r w:rsidR="004C50A7" w:rsidRPr="00232EBB">
              <w:rPr>
                <w:rFonts w:cs="Times New Roman"/>
                <w:b w:val="0"/>
                <w:bCs w:val="0"/>
                <w:webHidden/>
              </w:rPr>
              <w:fldChar w:fldCharType="end"/>
            </w:r>
          </w:hyperlink>
        </w:p>
        <w:p w14:paraId="0B5C05D3" w14:textId="1C7429D8"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3" w:history="1">
            <w:r w:rsidR="004C50A7" w:rsidRPr="00232EBB">
              <w:rPr>
                <w:rStyle w:val="Hyperlink"/>
                <w:rFonts w:cs="Times New Roman"/>
                <w:b w:val="0"/>
                <w:bCs w:val="0"/>
              </w:rPr>
              <w:t>IV. Aseguramiento de la Calidad de la Información</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_Toc216952263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101</w:t>
            </w:r>
            <w:r w:rsidR="004C50A7" w:rsidRPr="00232EBB">
              <w:rPr>
                <w:rFonts w:cs="Times New Roman"/>
                <w:b w:val="0"/>
                <w:bCs w:val="0"/>
                <w:webHidden/>
              </w:rPr>
              <w:fldChar w:fldCharType="end"/>
            </w:r>
          </w:hyperlink>
        </w:p>
        <w:p w14:paraId="64581F88" w14:textId="1320B296"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4" w:history="1">
            <w:r w:rsidR="004C50A7" w:rsidRPr="00232EBB">
              <w:rPr>
                <w:rStyle w:val="Hyperlink"/>
                <w:rFonts w:cs="Times New Roman"/>
                <w:b w:val="0"/>
                <w:bCs w:val="0"/>
              </w:rPr>
              <w:t>Resultados de las Normas Básicas de Control Interno (NOBACI) T3.</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_Toc216952264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102</w:t>
            </w:r>
            <w:r w:rsidR="004C50A7" w:rsidRPr="00232EBB">
              <w:rPr>
                <w:rFonts w:cs="Times New Roman"/>
                <w:b w:val="0"/>
                <w:bCs w:val="0"/>
                <w:webHidden/>
              </w:rPr>
              <w:fldChar w:fldCharType="end"/>
            </w:r>
          </w:hyperlink>
        </w:p>
        <w:p w14:paraId="23BE80DF" w14:textId="091B4CA5"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5" w:history="1">
            <w:r w:rsidR="004C50A7" w:rsidRPr="00232EBB">
              <w:rPr>
                <w:rStyle w:val="Hyperlink"/>
                <w:rFonts w:cs="Times New Roman"/>
                <w:b w:val="0"/>
                <w:bCs w:val="0"/>
              </w:rPr>
              <w:t>4.5. Desempeño del Sistema de Planificación y Desarrollo Institucional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_Toc216952265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104</w:t>
            </w:r>
            <w:r w:rsidR="004C50A7" w:rsidRPr="00232EBB">
              <w:rPr>
                <w:rFonts w:cs="Times New Roman"/>
                <w:b w:val="0"/>
                <w:bCs w:val="0"/>
                <w:webHidden/>
              </w:rPr>
              <w:fldChar w:fldCharType="end"/>
            </w:r>
          </w:hyperlink>
        </w:p>
        <w:p w14:paraId="5E62A408" w14:textId="7BE025DB"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6" w:history="1">
            <w:r w:rsidR="004C50A7" w:rsidRPr="00232EBB">
              <w:rPr>
                <w:rStyle w:val="Hyperlink"/>
                <w:rFonts w:cs="Times New Roman"/>
                <w:b w:val="0"/>
                <w:bCs w:val="0"/>
              </w:rPr>
              <w:t>4.6 Desempeño del Área de Comunicaciones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_Toc216952266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114</w:t>
            </w:r>
            <w:r w:rsidR="004C50A7" w:rsidRPr="00232EBB">
              <w:rPr>
                <w:rFonts w:cs="Times New Roman"/>
                <w:b w:val="0"/>
                <w:bCs w:val="0"/>
                <w:webHidden/>
              </w:rPr>
              <w:fldChar w:fldCharType="end"/>
            </w:r>
          </w:hyperlink>
        </w:p>
        <w:p w14:paraId="093BA984" w14:textId="0CBB8A87"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7" w:history="1">
            <w:r w:rsidR="004C50A7" w:rsidRPr="00232EBB">
              <w:rPr>
                <w:rStyle w:val="Hyperlink"/>
                <w:rFonts w:cs="Times New Roman"/>
                <w:b w:val="0"/>
                <w:bCs w:val="0"/>
              </w:rPr>
              <w:t>V. SERVICIO AL CIUDADANO Y TRANSPARENCIA INSTITUCIONAL</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_Toc216952267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119</w:t>
            </w:r>
            <w:r w:rsidR="004C50A7" w:rsidRPr="00232EBB">
              <w:rPr>
                <w:rFonts w:cs="Times New Roman"/>
                <w:b w:val="0"/>
                <w:bCs w:val="0"/>
                <w:webHidden/>
              </w:rPr>
              <w:fldChar w:fldCharType="end"/>
            </w:r>
          </w:hyperlink>
        </w:p>
        <w:p w14:paraId="50E2E1ED" w14:textId="5B9F9AB7"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8" w:history="1">
            <w:r w:rsidR="004C50A7" w:rsidRPr="00232EBB">
              <w:rPr>
                <w:rStyle w:val="Hyperlink"/>
                <w:rFonts w:cs="Times New Roman"/>
                <w:b w:val="0"/>
                <w:bCs w:val="0"/>
              </w:rPr>
              <w:t>5.1 Nivel de la Satisfacción con el Servicio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_Toc216952268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119</w:t>
            </w:r>
            <w:r w:rsidR="004C50A7" w:rsidRPr="00232EBB">
              <w:rPr>
                <w:rFonts w:cs="Times New Roman"/>
                <w:b w:val="0"/>
                <w:bCs w:val="0"/>
                <w:webHidden/>
              </w:rPr>
              <w:fldChar w:fldCharType="end"/>
            </w:r>
          </w:hyperlink>
        </w:p>
        <w:p w14:paraId="2B022B0C" w14:textId="75FC8666"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69" w:history="1">
            <w:r w:rsidR="004C50A7" w:rsidRPr="00232EBB">
              <w:rPr>
                <w:rStyle w:val="Hyperlink"/>
                <w:rFonts w:cs="Times New Roman"/>
                <w:b w:val="0"/>
                <w:bCs w:val="0"/>
              </w:rPr>
              <w:t>Importancia del Servicio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_Toc216952269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119</w:t>
            </w:r>
            <w:r w:rsidR="004C50A7" w:rsidRPr="00232EBB">
              <w:rPr>
                <w:rFonts w:cs="Times New Roman"/>
                <w:b w:val="0"/>
                <w:bCs w:val="0"/>
                <w:webHidden/>
              </w:rPr>
              <w:fldChar w:fldCharType="end"/>
            </w:r>
          </w:hyperlink>
        </w:p>
        <w:p w14:paraId="0D3A3F0F" w14:textId="2A5E64B6"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0" w:history="1">
            <w:r w:rsidR="004C50A7" w:rsidRPr="00232EBB">
              <w:rPr>
                <w:rStyle w:val="Hyperlink"/>
                <w:rFonts w:cs="Times New Roman"/>
                <w:b w:val="0"/>
                <w:bCs w:val="0"/>
              </w:rPr>
              <w:t>Actualización de Credenciales de la Tesorería de la Seguridad Social Dominicana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120</w:t>
            </w:r>
            <w:r w:rsidR="004C50A7" w:rsidRPr="00232EBB">
              <w:rPr>
                <w:rFonts w:cs="Times New Roman"/>
                <w:b w:val="0"/>
                <w:bCs w:val="0"/>
                <w:webHidden/>
              </w:rPr>
              <w:fldChar w:fldCharType="end"/>
            </w:r>
          </w:hyperlink>
        </w:p>
        <w:p w14:paraId="0E91D1CF" w14:textId="6E674407"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1" w:history="1">
            <w:r w:rsidR="004C50A7" w:rsidRPr="00232EBB">
              <w:rPr>
                <w:rStyle w:val="Hyperlink"/>
                <w:rFonts w:cs="Times New Roman"/>
                <w:b w:val="0"/>
                <w:bCs w:val="0"/>
              </w:rPr>
              <w:t>Centro de Asistencia al Usuario.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_Toc216952271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122</w:t>
            </w:r>
            <w:r w:rsidR="004C50A7" w:rsidRPr="00232EBB">
              <w:rPr>
                <w:rFonts w:cs="Times New Roman"/>
                <w:b w:val="0"/>
                <w:bCs w:val="0"/>
                <w:webHidden/>
              </w:rPr>
              <w:fldChar w:fldCharType="end"/>
            </w:r>
          </w:hyperlink>
        </w:p>
        <w:p w14:paraId="0B2A9DE3" w14:textId="1040C1C9"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2" w:history="1">
            <w:r w:rsidR="004C50A7" w:rsidRPr="00232EBB">
              <w:rPr>
                <w:rStyle w:val="Hyperlink"/>
                <w:rFonts w:cs="Times New Roman"/>
                <w:b w:val="0"/>
                <w:bCs w:val="0"/>
              </w:rPr>
              <w:t>5.2 Nivel de Cumplimiento Acceso a la Información</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123</w:t>
            </w:r>
            <w:r w:rsidR="004C50A7" w:rsidRPr="00232EBB">
              <w:rPr>
                <w:rFonts w:cs="Times New Roman"/>
                <w:b w:val="0"/>
                <w:bCs w:val="0"/>
                <w:webHidden/>
              </w:rPr>
              <w:fldChar w:fldCharType="end"/>
            </w:r>
          </w:hyperlink>
        </w:p>
        <w:p w14:paraId="7CF7BCF7" w14:textId="00D73D74"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3" w:history="1">
            <w:r w:rsidR="004C50A7" w:rsidRPr="00232EBB">
              <w:rPr>
                <w:rStyle w:val="Hyperlink"/>
                <w:rFonts w:cs="Times New Roman"/>
                <w:b w:val="0"/>
                <w:bCs w:val="0"/>
              </w:rPr>
              <w:t>5.3 Resultados Sistema de Quejas, Reclamos y Sugerencias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_Toc216952273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127</w:t>
            </w:r>
            <w:r w:rsidR="004C50A7" w:rsidRPr="00232EBB">
              <w:rPr>
                <w:rFonts w:cs="Times New Roman"/>
                <w:b w:val="0"/>
                <w:bCs w:val="0"/>
                <w:webHidden/>
              </w:rPr>
              <w:fldChar w:fldCharType="end"/>
            </w:r>
          </w:hyperlink>
        </w:p>
        <w:p w14:paraId="47195614" w14:textId="3AEE0459"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4" w:history="1">
            <w:r w:rsidR="004C50A7" w:rsidRPr="00232EBB">
              <w:rPr>
                <w:rStyle w:val="Hyperlink"/>
                <w:rFonts w:cs="Times New Roman"/>
                <w:b w:val="0"/>
                <w:bCs w:val="0"/>
              </w:rPr>
              <w:t>5.4 Resultados, Mediciones del Portal de Transparencia</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_Toc216952274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128</w:t>
            </w:r>
            <w:r w:rsidR="004C50A7" w:rsidRPr="00232EBB">
              <w:rPr>
                <w:rFonts w:cs="Times New Roman"/>
                <w:b w:val="0"/>
                <w:bCs w:val="0"/>
                <w:webHidden/>
              </w:rPr>
              <w:fldChar w:fldCharType="end"/>
            </w:r>
          </w:hyperlink>
        </w:p>
        <w:p w14:paraId="32080AF8" w14:textId="0B4DB1AE"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5" w:history="1">
            <w:r w:rsidR="004C50A7" w:rsidRPr="00232EBB">
              <w:rPr>
                <w:rStyle w:val="Hyperlink"/>
                <w:rFonts w:cs="Times New Roman"/>
                <w:b w:val="0"/>
                <w:bCs w:val="0"/>
                <w:lang w:val="es-ES"/>
              </w:rPr>
              <w:t>Tabla 29: Capacitaciones impartidas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_Toc216952275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129</w:t>
            </w:r>
            <w:r w:rsidR="004C50A7" w:rsidRPr="00232EBB">
              <w:rPr>
                <w:rFonts w:cs="Times New Roman"/>
                <w:b w:val="0"/>
                <w:bCs w:val="0"/>
                <w:webHidden/>
              </w:rPr>
              <w:fldChar w:fldCharType="end"/>
            </w:r>
          </w:hyperlink>
        </w:p>
        <w:p w14:paraId="79998D6E" w14:textId="5362468E"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6" w:history="1">
            <w:r w:rsidR="004C50A7" w:rsidRPr="00232EBB">
              <w:rPr>
                <w:rStyle w:val="Hyperlink"/>
                <w:rFonts w:cs="Times New Roman"/>
                <w:b w:val="0"/>
                <w:bCs w:val="0"/>
              </w:rPr>
              <w:t>VI. PROYECCIONES AL PRÓXIMO AÑO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_Toc216952276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130</w:t>
            </w:r>
            <w:r w:rsidR="004C50A7" w:rsidRPr="00232EBB">
              <w:rPr>
                <w:rFonts w:cs="Times New Roman"/>
                <w:b w:val="0"/>
                <w:bCs w:val="0"/>
                <w:webHidden/>
              </w:rPr>
              <w:fldChar w:fldCharType="end"/>
            </w:r>
          </w:hyperlink>
        </w:p>
        <w:p w14:paraId="12D39DCA" w14:textId="1635799E"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7" w:history="1">
            <w:r w:rsidR="004C50A7" w:rsidRPr="00232EBB">
              <w:rPr>
                <w:rStyle w:val="Hyperlink"/>
                <w:rFonts w:cs="Times New Roman"/>
                <w:b w:val="0"/>
                <w:bCs w:val="0"/>
              </w:rPr>
              <w:t>Memoria Institucional 2025</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_Toc216952277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130</w:t>
            </w:r>
            <w:r w:rsidR="004C50A7" w:rsidRPr="00232EBB">
              <w:rPr>
                <w:rFonts w:cs="Times New Roman"/>
                <w:b w:val="0"/>
                <w:bCs w:val="0"/>
                <w:webHidden/>
              </w:rPr>
              <w:fldChar w:fldCharType="end"/>
            </w:r>
          </w:hyperlink>
        </w:p>
        <w:p w14:paraId="5B59065A" w14:textId="0C70931E"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8" w:history="1">
            <w:r w:rsidR="004C50A7" w:rsidRPr="00232EBB">
              <w:rPr>
                <w:rStyle w:val="Hyperlink"/>
                <w:rFonts w:cs="Times New Roman"/>
                <w:b w:val="0"/>
                <w:bCs w:val="0"/>
              </w:rPr>
              <w:t>VII. ANEXOS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_Toc216952278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131</w:t>
            </w:r>
            <w:r w:rsidR="004C50A7" w:rsidRPr="00232EBB">
              <w:rPr>
                <w:rFonts w:cs="Times New Roman"/>
                <w:b w:val="0"/>
                <w:bCs w:val="0"/>
                <w:webHidden/>
              </w:rPr>
              <w:fldChar w:fldCharType="end"/>
            </w:r>
          </w:hyperlink>
        </w:p>
        <w:p w14:paraId="01559ED7" w14:textId="6D9A1EEF"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79" w:history="1">
            <w:r w:rsidR="004C50A7" w:rsidRPr="00232EBB">
              <w:rPr>
                <w:rStyle w:val="Hyperlink"/>
                <w:rFonts w:cs="Times New Roman"/>
                <w:b w:val="0"/>
                <w:bCs w:val="0"/>
              </w:rPr>
              <w:t>7.1 Anexo 1: Matriz Logros Relevantes – Datos Cuantitativos (RD$)</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_Toc216952279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131</w:t>
            </w:r>
            <w:r w:rsidR="004C50A7" w:rsidRPr="00232EBB">
              <w:rPr>
                <w:rFonts w:cs="Times New Roman"/>
                <w:b w:val="0"/>
                <w:bCs w:val="0"/>
                <w:webHidden/>
              </w:rPr>
              <w:fldChar w:fldCharType="end"/>
            </w:r>
          </w:hyperlink>
        </w:p>
        <w:p w14:paraId="4CBB400C" w14:textId="3C58A87B"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80" w:history="1">
            <w:r w:rsidR="004C50A7" w:rsidRPr="00232EBB">
              <w:rPr>
                <w:rStyle w:val="Hyperlink"/>
                <w:rFonts w:cs="Times New Roman"/>
                <w:b w:val="0"/>
                <w:bCs w:val="0"/>
              </w:rPr>
              <w:t>7.1 Anexo 1: Matriz Logros Relevantes – Datos Cuantitativos (RD$)</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_Toc216952280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132</w:t>
            </w:r>
            <w:r w:rsidR="004C50A7" w:rsidRPr="00232EBB">
              <w:rPr>
                <w:rFonts w:cs="Times New Roman"/>
                <w:b w:val="0"/>
                <w:bCs w:val="0"/>
                <w:webHidden/>
              </w:rPr>
              <w:fldChar w:fldCharType="end"/>
            </w:r>
          </w:hyperlink>
        </w:p>
        <w:p w14:paraId="4694F110" w14:textId="1A245B5D"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81" w:history="1">
            <w:r w:rsidR="004C50A7" w:rsidRPr="00232EBB">
              <w:rPr>
                <w:rStyle w:val="Hyperlink"/>
                <w:rFonts w:cs="Times New Roman"/>
                <w:b w:val="0"/>
                <w:bCs w:val="0"/>
              </w:rPr>
              <w:t>7.2 Anexo 2: Matriz de los Principales Indicadores de la Gestión por Procesos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_Toc216952281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133</w:t>
            </w:r>
            <w:r w:rsidR="004C50A7" w:rsidRPr="00232EBB">
              <w:rPr>
                <w:rFonts w:cs="Times New Roman"/>
                <w:b w:val="0"/>
                <w:bCs w:val="0"/>
                <w:webHidden/>
              </w:rPr>
              <w:fldChar w:fldCharType="end"/>
            </w:r>
          </w:hyperlink>
        </w:p>
        <w:p w14:paraId="5AF0DCE9" w14:textId="58B5306B"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82" w:history="1">
            <w:r w:rsidR="004C50A7" w:rsidRPr="00232EBB">
              <w:rPr>
                <w:rStyle w:val="Hyperlink"/>
                <w:rFonts w:cs="Times New Roman"/>
                <w:b w:val="0"/>
                <w:bCs w:val="0"/>
              </w:rPr>
              <w:t>7.3 Anexo 3: Matriz Índice de Gestión Presupuestaria Anual (IGP)</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_Toc216952282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134</w:t>
            </w:r>
            <w:r w:rsidR="004C50A7" w:rsidRPr="00232EBB">
              <w:rPr>
                <w:rFonts w:cs="Times New Roman"/>
                <w:b w:val="0"/>
                <w:bCs w:val="0"/>
                <w:webHidden/>
              </w:rPr>
              <w:fldChar w:fldCharType="end"/>
            </w:r>
          </w:hyperlink>
        </w:p>
        <w:p w14:paraId="6557B846" w14:textId="33608132" w:rsidR="004C50A7" w:rsidRPr="00232EBB" w:rsidRDefault="00E223B8" w:rsidP="00A24B7D">
          <w:pPr>
            <w:pStyle w:val="TOC1"/>
            <w:jc w:val="both"/>
            <w:rPr>
              <w:rFonts w:eastAsiaTheme="minorEastAsia" w:cs="Times New Roman"/>
              <w:b w:val="0"/>
              <w:bCs w:val="0"/>
              <w:color w:val="auto"/>
              <w:spacing w:val="0"/>
              <w:kern w:val="2"/>
              <w:lang w:val="en-US"/>
              <w14:ligatures w14:val="standardContextual"/>
            </w:rPr>
          </w:pPr>
          <w:hyperlink w:anchor="_Toc216952283" w:history="1">
            <w:r w:rsidR="004C50A7" w:rsidRPr="00232EBB">
              <w:rPr>
                <w:rStyle w:val="Hyperlink"/>
                <w:rFonts w:cs="Times New Roman"/>
                <w:b w:val="0"/>
                <w:bCs w:val="0"/>
              </w:rPr>
              <w:t>7.4 Anexo 4: Matriz Ejecución Presupuestaria por Objeto del Gasto</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_Toc216952283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135</w:t>
            </w:r>
            <w:r w:rsidR="004C50A7" w:rsidRPr="00232EBB">
              <w:rPr>
                <w:rFonts w:cs="Times New Roman"/>
                <w:b w:val="0"/>
                <w:bCs w:val="0"/>
                <w:webHidden/>
              </w:rPr>
              <w:fldChar w:fldCharType="end"/>
            </w:r>
          </w:hyperlink>
        </w:p>
        <w:p w14:paraId="4242FE2D" w14:textId="4C3F667B" w:rsidR="001240D0" w:rsidRPr="00232EBB" w:rsidRDefault="00E223B8" w:rsidP="00A24B7D">
          <w:pPr>
            <w:pStyle w:val="TOC1"/>
            <w:jc w:val="both"/>
            <w:rPr>
              <w:rFonts w:cs="Times New Roman"/>
              <w:b w:val="0"/>
              <w:bCs w:val="0"/>
              <w:noProof w:val="0"/>
              <w:color w:val="4C4747"/>
              <w:lang w:val="en-US"/>
            </w:rPr>
          </w:pPr>
          <w:hyperlink w:anchor="_Toc216952284" w:history="1">
            <w:r w:rsidR="004C50A7" w:rsidRPr="00232EBB">
              <w:rPr>
                <w:rStyle w:val="Hyperlink"/>
                <w:rFonts w:cs="Times New Roman"/>
                <w:b w:val="0"/>
                <w:bCs w:val="0"/>
              </w:rPr>
              <w:t>7.5 Anexo 5: Resumen Plan Anual de Compras</w:t>
            </w:r>
            <w:r w:rsidR="004C50A7" w:rsidRPr="00232EBB">
              <w:rPr>
                <w:rFonts w:cs="Times New Roman"/>
                <w:b w:val="0"/>
                <w:bCs w:val="0"/>
                <w:webHidden/>
              </w:rPr>
              <w:tab/>
            </w:r>
            <w:r w:rsidR="004C50A7" w:rsidRPr="00232EBB">
              <w:rPr>
                <w:rFonts w:cs="Times New Roman"/>
                <w:b w:val="0"/>
                <w:bCs w:val="0"/>
                <w:webHidden/>
              </w:rPr>
              <w:fldChar w:fldCharType="begin"/>
            </w:r>
            <w:r w:rsidR="004C50A7" w:rsidRPr="00232EBB">
              <w:rPr>
                <w:rFonts w:cs="Times New Roman"/>
                <w:b w:val="0"/>
                <w:bCs w:val="0"/>
                <w:webHidden/>
              </w:rPr>
              <w:instrText xml:space="preserve"> PAGEREF _Toc216952284 \h </w:instrText>
            </w:r>
            <w:r w:rsidR="004C50A7" w:rsidRPr="00232EBB">
              <w:rPr>
                <w:rFonts w:cs="Times New Roman"/>
                <w:b w:val="0"/>
                <w:bCs w:val="0"/>
                <w:webHidden/>
              </w:rPr>
            </w:r>
            <w:r w:rsidR="004C50A7" w:rsidRPr="00232EBB">
              <w:rPr>
                <w:rFonts w:cs="Times New Roman"/>
                <w:b w:val="0"/>
                <w:bCs w:val="0"/>
                <w:webHidden/>
              </w:rPr>
              <w:fldChar w:fldCharType="separate"/>
            </w:r>
            <w:r w:rsidR="003F456A" w:rsidRPr="00232EBB">
              <w:rPr>
                <w:rFonts w:cs="Times New Roman"/>
                <w:b w:val="0"/>
                <w:bCs w:val="0"/>
                <w:webHidden/>
              </w:rPr>
              <w:t>136</w:t>
            </w:r>
            <w:r w:rsidR="004C50A7" w:rsidRPr="00232EBB">
              <w:rPr>
                <w:rFonts w:cs="Times New Roman"/>
                <w:b w:val="0"/>
                <w:bCs w:val="0"/>
                <w:webHidden/>
              </w:rPr>
              <w:fldChar w:fldCharType="end"/>
            </w:r>
          </w:hyperlink>
          <w:r w:rsidR="00A630BC" w:rsidRPr="00232EBB">
            <w:rPr>
              <w:rFonts w:cs="Times New Roman"/>
              <w:b w:val="0"/>
              <w:bCs w:val="0"/>
              <w:color w:val="4C4747"/>
            </w:rPr>
            <w:fldChar w:fldCharType="end"/>
          </w:r>
        </w:p>
      </w:sdtContent>
    </w:sdt>
    <w:bookmarkStart w:id="2" w:name="_Toc154736671"/>
    <w:bookmarkStart w:id="3" w:name="_Toc216952199"/>
    <w:p w14:paraId="1AABEC87" w14:textId="77777777" w:rsidR="000946F8" w:rsidRPr="00232EBB" w:rsidRDefault="000946F8" w:rsidP="000946F8">
      <w:pPr>
        <w:pStyle w:val="Heading1"/>
        <w:spacing w:after="240"/>
        <w:rPr>
          <w:rFonts w:cs="Times New Roman"/>
          <w:b w:val="0"/>
          <w:lang w:val="es-ES"/>
        </w:rPr>
      </w:pPr>
      <w:r w:rsidRPr="00232EBB">
        <w:rPr>
          <w:rFonts w:eastAsia="Calibri" w:cs="Times New Roman"/>
          <w:noProof/>
          <w:color w:val="767171"/>
          <w:sz w:val="18"/>
          <w:lang w:val="es-DO" w:eastAsia="es-DO"/>
        </w:rPr>
        <w:lastRenderedPageBreak/>
        <mc:AlternateContent>
          <mc:Choice Requires="wps">
            <w:drawing>
              <wp:anchor distT="0" distB="0" distL="114300" distR="114300" simplePos="0" relativeHeight="251658259" behindDoc="0" locked="0" layoutInCell="1" allowOverlap="1" wp14:anchorId="612B1DF3" wp14:editId="4E28EBC3">
                <wp:simplePos x="0" y="0"/>
                <wp:positionH relativeFrom="margin">
                  <wp:align>center</wp:align>
                </wp:positionH>
                <wp:positionV relativeFrom="paragraph">
                  <wp:posOffset>372745</wp:posOffset>
                </wp:positionV>
                <wp:extent cx="463550" cy="0"/>
                <wp:effectExtent l="0" t="19050" r="31750" b="19050"/>
                <wp:wrapNone/>
                <wp:docPr id="991846603" name="Straight Connector 991846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269131F7">
              <v:line id="Straight Connector 991846603" style="position:absolute;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29.35pt" to="36.5pt,29.35pt" w14:anchorId="344D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">
                <v:stroke joinstyle="miter"/>
                <w10:wrap anchorx="margin"/>
              </v:line>
            </w:pict>
          </mc:Fallback>
        </mc:AlternateContent>
      </w:r>
      <w:r w:rsidRPr="00232EBB">
        <w:rPr>
          <w:rFonts w:cs="Times New Roman"/>
          <w:lang w:val="es-ES"/>
        </w:rPr>
        <w:t>PRESENTACIÓN</w:t>
      </w:r>
      <w:bookmarkEnd w:id="2"/>
      <w:bookmarkEnd w:id="3"/>
      <w:r w:rsidRPr="00232EBB">
        <w:rPr>
          <w:rFonts w:cs="Times New Roman"/>
          <w:lang w:val="es-ES"/>
        </w:rPr>
        <w:t xml:space="preserve"> </w:t>
      </w:r>
    </w:p>
    <w:p w14:paraId="509DC471" w14:textId="3E338A6D" w:rsidR="000946F8" w:rsidRPr="00232EBB" w:rsidRDefault="000946F8" w:rsidP="000946F8">
      <w:pPr>
        <w:jc w:val="center"/>
        <w:rPr>
          <w:lang w:val="es-DO"/>
        </w:rPr>
      </w:pPr>
      <w:r w:rsidRPr="00232EBB">
        <w:rPr>
          <w:lang w:val="es-DO"/>
        </w:rPr>
        <w:t>Memoria Institucional 202</w:t>
      </w:r>
      <w:r w:rsidR="00B278C4" w:rsidRPr="00232EBB">
        <w:rPr>
          <w:lang w:val="es-DO"/>
        </w:rPr>
        <w:t>5</w:t>
      </w:r>
    </w:p>
    <w:p w14:paraId="47C0DB0B" w14:textId="77777777" w:rsidR="00FE325A" w:rsidRPr="00232EBB" w:rsidRDefault="00FE325A" w:rsidP="000946F8">
      <w:pPr>
        <w:jc w:val="center"/>
        <w:rPr>
          <w:lang w:val="es-DO"/>
        </w:rPr>
      </w:pPr>
    </w:p>
    <w:p w14:paraId="4F86153E" w14:textId="205C0645" w:rsidR="000946F8" w:rsidRPr="00232EBB" w:rsidRDefault="000946F8" w:rsidP="00FE325A">
      <w:pPr>
        <w:spacing w:line="360" w:lineRule="auto"/>
        <w:jc w:val="both"/>
        <w:rPr>
          <w:rFonts w:eastAsia="Calibri"/>
          <w:noProof/>
          <w:lang w:val="es-DO"/>
        </w:rPr>
      </w:pPr>
      <w:r w:rsidRPr="00232EBB">
        <w:rPr>
          <w:rFonts w:eastAsia="Calibri"/>
          <w:noProof/>
          <w:lang w:val="es-DO"/>
        </w:rPr>
        <w:t>A través de la siguiente memoria, se realiza un recorrido por los logros, desafíos y avances significativos que ha presentado la Tesorería de la Seguridad Social (TSS) durante el año 202</w:t>
      </w:r>
      <w:r w:rsidR="00B278C4" w:rsidRPr="00232EBB">
        <w:rPr>
          <w:rFonts w:eastAsia="Calibri"/>
          <w:noProof/>
          <w:lang w:val="es-DO"/>
        </w:rPr>
        <w:t>5</w:t>
      </w:r>
      <w:r w:rsidRPr="00232EBB">
        <w:rPr>
          <w:rFonts w:eastAsia="Calibri"/>
          <w:noProof/>
          <w:lang w:val="es-DO"/>
        </w:rPr>
        <w:t>, como la institución responsable de administrar el Sistema Único de Información y Recaudo (SUIR), la distribución y pago de los recursos del Sistema Dominicano de Seguridad Social (SDSS).</w:t>
      </w:r>
    </w:p>
    <w:p w14:paraId="65E9BE78" w14:textId="2207230E" w:rsidR="000946F8" w:rsidRPr="00232EBB" w:rsidRDefault="000946F8" w:rsidP="00FE325A">
      <w:pPr>
        <w:spacing w:line="360" w:lineRule="auto"/>
        <w:jc w:val="both"/>
        <w:rPr>
          <w:rFonts w:eastAsia="Calibri"/>
          <w:noProof/>
          <w:lang w:val="es-DO"/>
        </w:rPr>
      </w:pPr>
      <w:r w:rsidRPr="00232EBB">
        <w:rPr>
          <w:rFonts w:eastAsia="Calibri"/>
          <w:noProof/>
          <w:lang w:val="es-DO"/>
        </w:rPr>
        <w:t>La Tesorería de la Seguridad Social (TSS) ha considerado para esta memoria el logro de los productos con sus respectivas metas para el cumplimiento de lo establecido en el Plan Estratégico Institucional 202</w:t>
      </w:r>
      <w:r w:rsidR="00B278C4" w:rsidRPr="00232EBB">
        <w:rPr>
          <w:rFonts w:eastAsia="Calibri"/>
          <w:noProof/>
          <w:lang w:val="es-DO"/>
        </w:rPr>
        <w:t>5</w:t>
      </w:r>
      <w:r w:rsidRPr="00232EBB">
        <w:rPr>
          <w:rFonts w:eastAsia="Calibri"/>
          <w:noProof/>
          <w:lang w:val="es-DO"/>
        </w:rPr>
        <w:t>-202</w:t>
      </w:r>
      <w:r w:rsidR="00B278C4" w:rsidRPr="00232EBB">
        <w:rPr>
          <w:rFonts w:eastAsia="Calibri"/>
          <w:noProof/>
          <w:lang w:val="es-DO"/>
        </w:rPr>
        <w:t>8</w:t>
      </w:r>
      <w:r w:rsidRPr="00232EBB">
        <w:rPr>
          <w:rFonts w:eastAsia="Calibri"/>
          <w:noProof/>
          <w:lang w:val="es-DO"/>
        </w:rPr>
        <w:t>, así como el Plan Operativo Anual, los cuales están alineados con la Estrategia Nacional de Desarrollo 2030, el Plan Nacional Plurianual del Sector Público, los Objetivos de Desarrollo Sostenible (ODS) y el Plan Estratégico Sectorial, adicional a esto se identificaron las iniciativas y actividades de impacto asociadas a la gestión.</w:t>
      </w:r>
    </w:p>
    <w:p w14:paraId="533CDE5B" w14:textId="3E2FFAF9" w:rsidR="000946F8" w:rsidRPr="00232EBB" w:rsidRDefault="000946F8" w:rsidP="00FE325A">
      <w:pPr>
        <w:spacing w:line="360" w:lineRule="auto"/>
        <w:jc w:val="both"/>
        <w:rPr>
          <w:rFonts w:eastAsia="Calibri"/>
          <w:noProof/>
          <w:lang w:val="es-DO"/>
        </w:rPr>
      </w:pPr>
      <w:r w:rsidRPr="00232EBB">
        <w:rPr>
          <w:rFonts w:eastAsia="Calibri"/>
          <w:noProof/>
          <w:lang w:val="es-DO"/>
        </w:rPr>
        <w:t>Invitamos cordialmente a adentrarse en esta memoria para compartir el orgullo de formar parte de una institución que trabaja incansablemente en construir un futuro más seguro y próspero para todos. Cada logro y desafío enfrentado en el año 202</w:t>
      </w:r>
      <w:r w:rsidR="00B278C4" w:rsidRPr="00232EBB">
        <w:rPr>
          <w:rFonts w:eastAsia="Calibri"/>
          <w:noProof/>
          <w:lang w:val="es-DO"/>
        </w:rPr>
        <w:t>5</w:t>
      </w:r>
      <w:r w:rsidRPr="00232EBB">
        <w:rPr>
          <w:rFonts w:eastAsia="Calibri"/>
          <w:noProof/>
          <w:lang w:val="es-DO"/>
        </w:rPr>
        <w:t xml:space="preserve"> fortalece nuestro compromiso con el bienestar social y nos impulsa a seguir contribuyendo al desarrollo sostenible de esta nación.</w:t>
      </w:r>
    </w:p>
    <w:p w14:paraId="1DBDA006" w14:textId="4D806799" w:rsidR="000946F8" w:rsidRPr="00232EBB" w:rsidRDefault="000946F8">
      <w:pPr>
        <w:rPr>
          <w:color w:val="4C4747"/>
          <w:lang w:val="es-DO"/>
        </w:rPr>
        <w:sectPr w:rsidR="000946F8" w:rsidRPr="00232EBB" w:rsidSect="00C44B5A">
          <w:footerReference w:type="first" r:id="rId15"/>
          <w:pgSz w:w="12240" w:h="15840"/>
          <w:pgMar w:top="1440" w:right="2160" w:bottom="1440" w:left="2160" w:header="720" w:footer="720" w:gutter="0"/>
          <w:cols w:space="720"/>
          <w:docGrid w:linePitch="360"/>
        </w:sectPr>
      </w:pPr>
    </w:p>
    <w:p w14:paraId="649D29AD" w14:textId="0E3656F9" w:rsidR="001240D0" w:rsidRPr="00232EBB" w:rsidRDefault="00CC305A" w:rsidP="00416CA5">
      <w:pPr>
        <w:pStyle w:val="Heading1"/>
        <w:spacing w:before="0"/>
        <w:rPr>
          <w:rFonts w:cs="Times New Roman"/>
          <w:color w:val="4C4747"/>
          <w:sz w:val="32"/>
          <w:szCs w:val="36"/>
          <w:lang w:val="es-ES"/>
        </w:rPr>
      </w:pPr>
      <w:bookmarkStart w:id="4" w:name="_Toc216952200"/>
      <w:bookmarkStart w:id="5" w:name="_Hlk86403204"/>
      <w:r w:rsidRPr="00232EBB">
        <w:rPr>
          <w:rFonts w:eastAsia="Calibri" w:cs="Times New Roman"/>
          <w:bCs/>
          <w:color w:val="767171"/>
          <w:szCs w:val="28"/>
          <w:lang w:val="es-DO"/>
        </w:rPr>
        <w:lastRenderedPageBreak/>
        <w:t>I.</w:t>
      </w:r>
      <w:r w:rsidRPr="00232EBB">
        <w:rPr>
          <w:rFonts w:eastAsia="Calibri" w:cs="Times New Roman"/>
          <w:bCs/>
          <w:color w:val="767171"/>
          <w:sz w:val="24"/>
          <w:szCs w:val="24"/>
          <w:lang w:val="es-DO"/>
        </w:rPr>
        <w:t xml:space="preserve"> </w:t>
      </w:r>
      <w:r w:rsidR="001240D0" w:rsidRPr="00232EBB">
        <w:rPr>
          <w:rFonts w:eastAsia="Calibri" w:cs="Times New Roman"/>
          <w:bCs/>
          <w:color w:val="767171"/>
          <w:szCs w:val="28"/>
          <w:lang w:val="es-DO"/>
        </w:rPr>
        <w:t>RESUMEN EJECUTIVO</w:t>
      </w:r>
      <w:bookmarkEnd w:id="4"/>
    </w:p>
    <w:p w14:paraId="7C54AF21" w14:textId="26B7214D" w:rsidR="001240D0" w:rsidRPr="00232EBB" w:rsidRDefault="00125D46" w:rsidP="00416CA5">
      <w:pPr>
        <w:spacing w:line="360" w:lineRule="auto"/>
        <w:jc w:val="both"/>
        <w:rPr>
          <w:rFonts w:eastAsia="Calibri"/>
          <w:color w:val="4C4747"/>
          <w:sz w:val="18"/>
          <w:lang w:val="es-ES"/>
        </w:rPr>
      </w:pPr>
      <w:r w:rsidRPr="00232EBB">
        <w:rPr>
          <w:rFonts w:eastAsia="Calibri"/>
          <w:noProof/>
          <w:color w:val="4C4747"/>
          <w:sz w:val="18"/>
        </w:rPr>
        <mc:AlternateContent>
          <mc:Choice Requires="wps">
            <w:drawing>
              <wp:anchor distT="0" distB="0" distL="114300" distR="114300" simplePos="0" relativeHeight="251658240" behindDoc="0" locked="0" layoutInCell="1" allowOverlap="1" wp14:anchorId="5383067F" wp14:editId="6787EBB7">
                <wp:simplePos x="0" y="0"/>
                <wp:positionH relativeFrom="margin">
                  <wp:posOffset>2271668</wp:posOffset>
                </wp:positionH>
                <wp:positionV relativeFrom="paragraph">
                  <wp:posOffset>48895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8B1075A"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85pt,3.85pt" to="215.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" strokecolor="#ee2a24" strokeweight="2.25pt">
                <v:stroke joinstyle="miter"/>
                <w10:wrap anchorx="margin"/>
              </v:line>
            </w:pict>
          </mc:Fallback>
        </mc:AlternateContent>
      </w:r>
    </w:p>
    <w:p w14:paraId="57CF8AA9" w14:textId="3246B2BE" w:rsidR="001240D0" w:rsidRPr="00232EBB" w:rsidRDefault="00654164" w:rsidP="00416CA5">
      <w:pPr>
        <w:spacing w:line="360" w:lineRule="auto"/>
        <w:jc w:val="center"/>
        <w:rPr>
          <w:lang w:val="es-DO"/>
        </w:rPr>
      </w:pPr>
      <w:r w:rsidRPr="00232EBB">
        <w:rPr>
          <w:lang w:val="es-DO"/>
        </w:rPr>
        <w:t xml:space="preserve">Memoria </w:t>
      </w:r>
      <w:r w:rsidR="00D837AC" w:rsidRPr="00232EBB">
        <w:rPr>
          <w:lang w:val="es-DO"/>
        </w:rPr>
        <w:t>I</w:t>
      </w:r>
      <w:r w:rsidRPr="00232EBB">
        <w:rPr>
          <w:lang w:val="es-DO"/>
        </w:rPr>
        <w:t>nstitucional</w:t>
      </w:r>
      <w:r w:rsidR="001240D0" w:rsidRPr="00232EBB">
        <w:rPr>
          <w:lang w:val="es-DO"/>
        </w:rPr>
        <w:t xml:space="preserve"> </w:t>
      </w:r>
      <w:r w:rsidR="000025D4" w:rsidRPr="00232EBB">
        <w:rPr>
          <w:lang w:val="es-DO"/>
        </w:rPr>
        <w:t>202</w:t>
      </w:r>
      <w:r w:rsidR="00B278C4" w:rsidRPr="00232EBB">
        <w:rPr>
          <w:lang w:val="es-DO"/>
        </w:rPr>
        <w:t>5</w:t>
      </w:r>
    </w:p>
    <w:bookmarkEnd w:id="5"/>
    <w:p w14:paraId="073D5DA1" w14:textId="1BC043C2" w:rsidR="009463BF" w:rsidRPr="00232EBB" w:rsidRDefault="009463BF" w:rsidP="00383FBE">
      <w:pPr>
        <w:spacing w:line="360" w:lineRule="auto"/>
        <w:jc w:val="both"/>
        <w:rPr>
          <w:rFonts w:eastAsia="Calibri"/>
          <w:noProof/>
          <w:lang w:val="es-DO"/>
        </w:rPr>
      </w:pPr>
      <w:r w:rsidRPr="00232EBB">
        <w:rPr>
          <w:rFonts w:eastAsia="Calibri"/>
          <w:noProof/>
          <w:lang w:val="es-DO"/>
        </w:rPr>
        <w:t xml:space="preserve">En el ejercicio de nuestras responsabilidades para la recaudación, distribución y pago de las cotizaciones del Sistema Dominicano de Seguridad Social, en calidad de administradores del Sistema Único de Información y Recaudo (SUIR), informamos que al </w:t>
      </w:r>
      <w:r w:rsidR="00635047" w:rsidRPr="00232EBB">
        <w:rPr>
          <w:rFonts w:eastAsia="Calibri"/>
          <w:noProof/>
          <w:lang w:val="es-DO"/>
        </w:rPr>
        <w:t>cierre</w:t>
      </w:r>
      <w:r w:rsidRPr="00232EBB">
        <w:rPr>
          <w:rFonts w:eastAsia="Calibri"/>
          <w:noProof/>
          <w:lang w:val="es-DO"/>
        </w:rPr>
        <w:t xml:space="preserve"> de</w:t>
      </w:r>
      <w:r w:rsidR="00635047" w:rsidRPr="00232EBB">
        <w:rPr>
          <w:rFonts w:eastAsia="Calibri"/>
          <w:noProof/>
          <w:lang w:val="es-DO"/>
        </w:rPr>
        <w:t>l</w:t>
      </w:r>
      <w:r w:rsidRPr="00232EBB">
        <w:rPr>
          <w:rFonts w:eastAsia="Calibri"/>
          <w:noProof/>
          <w:lang w:val="es-DO"/>
        </w:rPr>
        <w:t xml:space="preserve"> 2025, los ingresos recaudados por la Tesorería de la Seguridad Social han alcanzado la cifra histórica de Ciento Noventa y un  Mil  Ochocientos ocho Millones Seiscientos Veintiocho mil  Seiscientos Veintisiete con 28/100 (RD$191,808,628,627.28). Para el cierre de 2025, se proyecta que la recaudación total se coloque en torno a los RD$ </w:t>
      </w:r>
      <w:r w:rsidR="005E4061" w:rsidRPr="00232EBB">
        <w:rPr>
          <w:rFonts w:eastAsia="Calibri"/>
          <w:noProof/>
          <w:lang w:val="es-DO"/>
        </w:rPr>
        <w:t>234</w:t>
      </w:r>
      <w:r w:rsidRPr="00232EBB">
        <w:rPr>
          <w:rFonts w:eastAsia="Calibri"/>
          <w:noProof/>
          <w:lang w:val="es-DO"/>
        </w:rPr>
        <w:t xml:space="preserve"> mil millones. Este cierre anual se espera con la participación de más de 100,000 empleadores.</w:t>
      </w:r>
    </w:p>
    <w:p w14:paraId="75D2F8E1" w14:textId="089C8872" w:rsidR="003248DE" w:rsidRPr="00232EBB" w:rsidRDefault="003248DE" w:rsidP="00383FBE">
      <w:pPr>
        <w:spacing w:line="360" w:lineRule="auto"/>
        <w:jc w:val="both"/>
        <w:rPr>
          <w:rFonts w:eastAsia="Calibri"/>
          <w:noProof/>
          <w:lang w:val="es-DO"/>
        </w:rPr>
      </w:pPr>
      <w:r w:rsidRPr="00232EBB">
        <w:rPr>
          <w:rFonts w:eastAsia="Calibri"/>
          <w:noProof/>
          <w:lang w:val="es-DO"/>
        </w:rPr>
        <w:t xml:space="preserve">Con el fin de asegurar la cobertura de los afiliados al Sistema Dominicano de Seguridad Social (SDSS), los pagos efectuados a las unidades receptoras de fondos hasta </w:t>
      </w:r>
      <w:r w:rsidR="007868E5" w:rsidRPr="00232EBB">
        <w:rPr>
          <w:rFonts w:eastAsia="Calibri"/>
          <w:noProof/>
          <w:lang w:val="es-DO"/>
        </w:rPr>
        <w:t>al cierre del 2025</w:t>
      </w:r>
      <w:r w:rsidRPr="00232EBB">
        <w:rPr>
          <w:rFonts w:eastAsia="Calibri"/>
          <w:noProof/>
          <w:lang w:val="es-DO"/>
        </w:rPr>
        <w:t xml:space="preserve"> ascendieron a la suma de Ciento Ochenta y Siete Mil Cuatrocientos Noventa y Cinco Millones Ochocientos Dieciocho Mil Veinte pesos dominicanos con 37/100 RD$187,495,818,020.37.</w:t>
      </w:r>
    </w:p>
    <w:p w14:paraId="03CFC067" w14:textId="4F5A090C" w:rsidR="003248DE" w:rsidRPr="00232EBB" w:rsidRDefault="009463BF" w:rsidP="00383FBE">
      <w:pPr>
        <w:spacing w:line="360" w:lineRule="auto"/>
        <w:jc w:val="both"/>
        <w:rPr>
          <w:rFonts w:eastAsia="Calibri"/>
          <w:noProof/>
          <w:lang w:val="es-DO"/>
        </w:rPr>
      </w:pPr>
      <w:r w:rsidRPr="00232EBB">
        <w:rPr>
          <w:rFonts w:eastAsia="Calibri"/>
          <w:noProof/>
          <w:lang w:val="es-DO"/>
        </w:rPr>
        <w:t xml:space="preserve">En el transcurso del año 2025, hemos realizado la devolución de los aportes a empleadores y trabajadores correspondientes a pagos en exceso efectuados durante el período 2024, por la suma de Doscientos treinta y cinco millones setecientos noventa y ocho mil trescientos veintiuno </w:t>
      </w:r>
      <w:r w:rsidR="00D02347" w:rsidRPr="00232EBB">
        <w:rPr>
          <w:rFonts w:eastAsia="Calibri"/>
          <w:noProof/>
          <w:lang w:val="es-DO"/>
        </w:rPr>
        <w:t xml:space="preserve">con </w:t>
      </w:r>
      <w:r w:rsidRPr="00232EBB">
        <w:rPr>
          <w:rFonts w:eastAsia="Calibri"/>
          <w:noProof/>
          <w:lang w:val="es-DO"/>
        </w:rPr>
        <w:t>82/100 (RD$235,798,321.82), que, comparado a la devolución de aportes realizada en el año 2024 asciende a Doscientos once Millones Doscientos Veinticinco mil Trescientos Siete pesos dominicanos con 10/100 (RD$211,225,307.10) representando un incremento de 10.00%.</w:t>
      </w:r>
    </w:p>
    <w:p w14:paraId="4783EF70" w14:textId="20C029A2" w:rsidR="00567A02" w:rsidRPr="00232EBB" w:rsidRDefault="00567A02" w:rsidP="003F456A">
      <w:pPr>
        <w:spacing w:line="360" w:lineRule="auto"/>
        <w:jc w:val="both"/>
        <w:rPr>
          <w:rFonts w:eastAsia="Calibri"/>
          <w:noProof/>
          <w:lang w:val="es-DO"/>
        </w:rPr>
      </w:pPr>
      <w:r w:rsidRPr="00232EBB">
        <w:rPr>
          <w:rFonts w:eastAsia="Calibri"/>
          <w:noProof/>
          <w:lang w:val="es-DO"/>
        </w:rPr>
        <w:lastRenderedPageBreak/>
        <w:t>Los soportes brindados por nuestro equipo gestor suman al cierre del 2025 un total de 156,309 llamadas y chats con un cierre de brecha significativo en comparación con el año 2022 y 2023 donde la tasa de abandono del Centro de Asistencia al Usuario se ha ido reduciendo de un 53% en 2022 a un 11% en 2023 y en este 2025 a solo un 2%.</w:t>
      </w:r>
    </w:p>
    <w:p w14:paraId="579560A4" w14:textId="77777777" w:rsidR="00671F4B" w:rsidRPr="00232EBB" w:rsidRDefault="00671F4B" w:rsidP="00671F4B">
      <w:pPr>
        <w:spacing w:line="360" w:lineRule="auto"/>
        <w:jc w:val="both"/>
        <w:rPr>
          <w:rFonts w:eastAsia="Calibri"/>
          <w:noProof/>
          <w:lang w:val="es-DO"/>
        </w:rPr>
      </w:pPr>
      <w:r w:rsidRPr="00232EBB">
        <w:rPr>
          <w:rFonts w:eastAsia="Calibri"/>
          <w:noProof/>
          <w:lang w:val="es-DO"/>
        </w:rPr>
        <w:t>La TSS mantiene un nivel de eficiencia en las recaudaciones de un  96.2% que se obtiene al comparar las notificaciones de pago generadas en el período versus las notificaciones pagadas, el cual se ha logrado mediante la gestión oportuna de las cobranzas y la sensibilización a tráves de los diferentes canales de difusión de información disponibles para que los empleadores puedan dar cumplimiento de sus obligaciones.</w:t>
      </w:r>
    </w:p>
    <w:p w14:paraId="18A94D58" w14:textId="5445E37B" w:rsidR="00671F4B" w:rsidRPr="00232EBB" w:rsidRDefault="00671F4B" w:rsidP="00671F4B">
      <w:pPr>
        <w:spacing w:line="360" w:lineRule="auto"/>
        <w:jc w:val="both"/>
        <w:rPr>
          <w:rFonts w:eastAsia="Calibri"/>
          <w:noProof/>
          <w:lang w:val="es-DO"/>
        </w:rPr>
      </w:pPr>
      <w:r w:rsidRPr="00232EBB">
        <w:rPr>
          <w:rFonts w:eastAsia="Calibri"/>
          <w:noProof/>
          <w:lang w:val="es-DO"/>
        </w:rPr>
        <w:t xml:space="preserve">El incremento de las recaudaciones </w:t>
      </w:r>
      <w:r w:rsidR="007868E5" w:rsidRPr="00232EBB">
        <w:rPr>
          <w:rFonts w:eastAsia="Calibri"/>
          <w:noProof/>
          <w:lang w:val="es-DO"/>
        </w:rPr>
        <w:t xml:space="preserve">al cierre del </w:t>
      </w:r>
      <w:r w:rsidRPr="00232EBB">
        <w:rPr>
          <w:rFonts w:eastAsia="Calibri"/>
          <w:noProof/>
          <w:lang w:val="es-DO"/>
        </w:rPr>
        <w:t xml:space="preserve"> 2025 ha sido de un 9.1%  en comparación al mismo período 2024, percibidos con el aumento de los topes salariales, que contribuye a una mayor cobertura para los afiliados en las prestaciones de servicios de salud y aumento en los fondos de pensiones, además, se ha fortalecido la gestión de cobros y sometimientos a empleadores morosos. </w:t>
      </w:r>
    </w:p>
    <w:p w14:paraId="3208F3AC" w14:textId="6043E170" w:rsidR="00671F4B" w:rsidRPr="00232EBB" w:rsidRDefault="007868E5" w:rsidP="00671F4B">
      <w:pPr>
        <w:spacing w:line="360" w:lineRule="auto"/>
        <w:jc w:val="both"/>
        <w:rPr>
          <w:rFonts w:eastAsia="Calibri"/>
          <w:noProof/>
          <w:lang w:val="es-DO"/>
        </w:rPr>
      </w:pPr>
      <w:r w:rsidRPr="00232EBB">
        <w:rPr>
          <w:rFonts w:eastAsia="Calibri"/>
          <w:noProof/>
          <w:lang w:val="es-DO"/>
        </w:rPr>
        <w:t>Al cierre</w:t>
      </w:r>
      <w:r w:rsidR="00671F4B" w:rsidRPr="00232EBB">
        <w:rPr>
          <w:rFonts w:eastAsia="Calibri"/>
          <w:noProof/>
          <w:lang w:val="es-DO"/>
        </w:rPr>
        <w:t xml:space="preserve"> de</w:t>
      </w:r>
      <w:r w:rsidRPr="00232EBB">
        <w:rPr>
          <w:rFonts w:eastAsia="Calibri"/>
          <w:noProof/>
          <w:lang w:val="es-DO"/>
        </w:rPr>
        <w:t>l</w:t>
      </w:r>
      <w:r w:rsidR="00671F4B" w:rsidRPr="00232EBB">
        <w:rPr>
          <w:rFonts w:eastAsia="Calibri"/>
          <w:noProof/>
          <w:lang w:val="es-DO"/>
        </w:rPr>
        <w:t xml:space="preserve"> 2025, se encuentran registrados en el Sistema Dominicano de Seguridad Social un promedio de  trabajadores cotizantes con un salario promedio de RD$ 37,960. Respecto al período 2024, se observa un ligero crecimiento de los trabajadores cotizantes en el SUIR y un 7.2%</w:t>
      </w:r>
      <w:r w:rsidR="00671F4B" w:rsidRPr="00232EBB">
        <w:rPr>
          <w:rFonts w:eastAsia="Calibri"/>
          <w:noProof/>
          <w:color w:val="auto"/>
          <w:lang w:val="es-DO"/>
        </w:rPr>
        <w:t xml:space="preserve"> </w:t>
      </w:r>
      <w:r w:rsidR="00671F4B" w:rsidRPr="00232EBB">
        <w:rPr>
          <w:rFonts w:eastAsia="Calibri"/>
          <w:noProof/>
          <w:lang w:val="es-DO"/>
        </w:rPr>
        <w:t>de incremento en el salario pomedio. La cobertura de salud en el régimen subsidiado incluía 5,657,160 afiliados de los cuales 4,797,567 eran titulares y 859,593 dependientes al incio del cuarto trimestre 2025.  </w:t>
      </w:r>
    </w:p>
    <w:p w14:paraId="1C78EAFF" w14:textId="77777777" w:rsidR="00671F4B" w:rsidRPr="00232EBB" w:rsidRDefault="00671F4B" w:rsidP="00671F4B">
      <w:pPr>
        <w:spacing w:line="360" w:lineRule="auto"/>
        <w:jc w:val="both"/>
        <w:rPr>
          <w:rFonts w:eastAsia="Calibri"/>
          <w:noProof/>
          <w:lang w:val="es-DO"/>
        </w:rPr>
      </w:pPr>
      <w:r w:rsidRPr="00232EBB">
        <w:rPr>
          <w:rFonts w:eastAsia="Calibri"/>
          <w:noProof/>
          <w:lang w:val="es-DO"/>
        </w:rPr>
        <w:t xml:space="preserve">Los pagos realizados a las Administradoras de Riesgos de Salud (ARS) del Régimen Contributivo ascienden, en lo que va de año, a cerca de RD$98,118,114,477 correspondientes a 2,251,354 títulares, </w:t>
      </w:r>
      <w:r w:rsidRPr="00232EBB">
        <w:rPr>
          <w:rFonts w:eastAsia="Calibri"/>
          <w:noProof/>
          <w:lang w:val="es-DO"/>
        </w:rPr>
        <w:lastRenderedPageBreak/>
        <w:t xml:space="preserve">2,334,078 dependientes y 269,476 adicionales, lo que refleja un incremento interanual aproximado de 2.0%. </w:t>
      </w:r>
    </w:p>
    <w:p w14:paraId="65DC067C" w14:textId="77777777" w:rsidR="00671F4B" w:rsidRPr="00232EBB" w:rsidRDefault="00671F4B" w:rsidP="00B91ED4">
      <w:pPr>
        <w:spacing w:line="360" w:lineRule="auto"/>
        <w:jc w:val="both"/>
        <w:rPr>
          <w:rFonts w:eastAsia="Calibri"/>
          <w:noProof/>
          <w:lang w:val="es-DO"/>
        </w:rPr>
      </w:pPr>
      <w:r w:rsidRPr="00232EBB">
        <w:rPr>
          <w:rFonts w:eastAsia="Calibri"/>
          <w:noProof/>
          <w:lang w:val="es-DO"/>
        </w:rPr>
        <w:t>Adicional, se observa en los registros del SDSS, que de los cotizantes, el 0.4% perciben salarios</w:t>
      </w:r>
      <w:r w:rsidRPr="00232EBB" w:rsidDel="003472A1">
        <w:rPr>
          <w:rFonts w:eastAsia="Calibri"/>
          <w:noProof/>
          <w:lang w:val="es-DO"/>
        </w:rPr>
        <w:t xml:space="preserve"> </w:t>
      </w:r>
      <w:r w:rsidRPr="00232EBB">
        <w:rPr>
          <w:rFonts w:eastAsia="Calibri"/>
          <w:noProof/>
          <w:lang w:val="es-DO"/>
        </w:rPr>
        <w:t>inferiores a RD$ 5,000, y que un 3.3% de los cotizantes en el mercado laboral perciben salarios entre RD$5,000 a RD$10,000 pesos, seguido por el 5.9% que  oscila entre RD$10,000 a RD$15,000 pesos, un 53.6% perciben salarios</w:t>
      </w:r>
      <w:r w:rsidRPr="00232EBB" w:rsidDel="003472A1">
        <w:rPr>
          <w:rFonts w:eastAsia="Calibri"/>
          <w:noProof/>
          <w:lang w:val="es-DO"/>
        </w:rPr>
        <w:t xml:space="preserve"> </w:t>
      </w:r>
      <w:r w:rsidRPr="00232EBB">
        <w:rPr>
          <w:rFonts w:eastAsia="Calibri"/>
          <w:noProof/>
          <w:lang w:val="es-DO"/>
        </w:rPr>
        <w:t>entre RD$15,000 y RD$30,000, un 19.5% oscila entre RD$30,000 y RD$50,000 y el resto de los cotizantes, un 17.3% perciben salarios</w:t>
      </w:r>
      <w:r w:rsidRPr="00232EBB" w:rsidDel="003472A1">
        <w:rPr>
          <w:rFonts w:eastAsia="Calibri"/>
          <w:noProof/>
          <w:lang w:val="es-DO"/>
        </w:rPr>
        <w:t xml:space="preserve"> </w:t>
      </w:r>
      <w:r w:rsidRPr="00232EBB">
        <w:rPr>
          <w:rFonts w:eastAsia="Calibri"/>
          <w:noProof/>
          <w:lang w:val="es-DO"/>
        </w:rPr>
        <w:t>superiores a los RD$50,000.</w:t>
      </w:r>
    </w:p>
    <w:p w14:paraId="44F1B8AF" w14:textId="1A991315" w:rsidR="00671F4B" w:rsidRPr="00232EBB" w:rsidRDefault="00671F4B" w:rsidP="00671F4B">
      <w:pPr>
        <w:spacing w:line="360" w:lineRule="auto"/>
        <w:jc w:val="both"/>
        <w:rPr>
          <w:rFonts w:eastAsia="Calibri"/>
          <w:noProof/>
          <w:lang w:val="es-DO"/>
        </w:rPr>
      </w:pPr>
      <w:r w:rsidRPr="00232EBB">
        <w:rPr>
          <w:rFonts w:eastAsia="Calibri"/>
          <w:noProof/>
          <w:lang w:val="es-DO"/>
        </w:rPr>
        <w:t xml:space="preserve">En cuanto al producto de Disponibilidad del Sistema Único de Información y Recaudo </w:t>
      </w:r>
      <w:r w:rsidR="00524D62">
        <w:rPr>
          <w:rFonts w:eastAsia="Calibri"/>
          <w:noProof/>
          <w:lang w:val="es-DO"/>
        </w:rPr>
        <w:t>(</w:t>
      </w:r>
      <w:r w:rsidRPr="00232EBB">
        <w:rPr>
          <w:rFonts w:eastAsia="Calibri"/>
          <w:noProof/>
          <w:lang w:val="es-DO"/>
        </w:rPr>
        <w:t>SUIR</w:t>
      </w:r>
      <w:r w:rsidR="00524D62">
        <w:rPr>
          <w:rFonts w:eastAsia="Calibri"/>
          <w:noProof/>
          <w:lang w:val="es-DO"/>
        </w:rPr>
        <w:t>)</w:t>
      </w:r>
      <w:r w:rsidRPr="00232EBB">
        <w:rPr>
          <w:rFonts w:eastAsia="Calibri"/>
          <w:noProof/>
          <w:lang w:val="es-DO"/>
        </w:rPr>
        <w:t>, la disponibilidad mantuvo un resultado de un 9</w:t>
      </w:r>
      <w:r w:rsidR="002D7ADF" w:rsidRPr="00232EBB">
        <w:rPr>
          <w:rFonts w:eastAsia="Calibri"/>
          <w:noProof/>
          <w:lang w:val="es-DO"/>
        </w:rPr>
        <w:t>8.90</w:t>
      </w:r>
      <w:r w:rsidRPr="00232EBB">
        <w:rPr>
          <w:rFonts w:eastAsia="Calibri"/>
          <w:noProof/>
          <w:lang w:val="es-DO"/>
        </w:rPr>
        <w:t xml:space="preserve">%, lo que garantizó a los empleadores y partes interesadas poder tener accesibilidad en todo momento para realizar novedades y carga de nóminas al sistema o realizar consultas. </w:t>
      </w:r>
    </w:p>
    <w:p w14:paraId="66FF2E2A" w14:textId="77777777" w:rsidR="00211D0E" w:rsidRPr="00232EBB" w:rsidRDefault="00211D0E" w:rsidP="0083386F">
      <w:pPr>
        <w:spacing w:line="360" w:lineRule="auto"/>
        <w:jc w:val="both"/>
        <w:rPr>
          <w:rFonts w:eastAsia="Calibri"/>
          <w:noProof/>
          <w:lang w:val="es-DO"/>
        </w:rPr>
      </w:pPr>
      <w:r w:rsidRPr="00232EBB">
        <w:rPr>
          <w:rFonts w:eastAsia="Calibri"/>
          <w:noProof/>
          <w:lang w:val="es-DO"/>
        </w:rPr>
        <w:t>A través de nuestros Centros de Servicios ubicados en Distrito Nacional, Bávaro, Puerto Plata, San Francisco de Macorís y los Punto GOB Santiago, Sambil, Mega Centro y Occidental Mall hemos recibido un total de 23,377 y 14,625 usuarios respectivamente, asistiéndoles en los diferentes procesos de nuestra cartera de servicios institucionales.</w:t>
      </w:r>
    </w:p>
    <w:p w14:paraId="634EE0A4" w14:textId="77777777" w:rsidR="00211D0E" w:rsidRPr="00232EBB" w:rsidRDefault="00211D0E" w:rsidP="0007713D">
      <w:pPr>
        <w:spacing w:line="360" w:lineRule="auto"/>
        <w:jc w:val="both"/>
        <w:rPr>
          <w:rFonts w:eastAsia="Calibri"/>
          <w:noProof/>
          <w:lang w:val="es-DO"/>
        </w:rPr>
      </w:pPr>
      <w:r w:rsidRPr="00232EBB">
        <w:rPr>
          <w:rFonts w:eastAsia="Calibri"/>
          <w:noProof/>
          <w:lang w:val="es-DO"/>
        </w:rPr>
        <w:t>Como parte de nuestro compromiso con la innovación y la excelencia, hemos implementado un nuevo portal de servicios online, el cual permite que el proceso de registro de empresas pueda ser realizado completamente en línea y sin necesidad de desplazamiento del ciudadano.</w:t>
      </w:r>
    </w:p>
    <w:p w14:paraId="3EAA2761" w14:textId="77777777" w:rsidR="0053054F" w:rsidRPr="00232EBB" w:rsidRDefault="0053054F" w:rsidP="0053054F">
      <w:pPr>
        <w:spacing w:after="0" w:line="360" w:lineRule="auto"/>
        <w:jc w:val="both"/>
        <w:rPr>
          <w:rFonts w:eastAsia="Calibri"/>
          <w:noProof/>
          <w:lang w:val="es-DO"/>
        </w:rPr>
      </w:pPr>
      <w:r w:rsidRPr="00232EBB">
        <w:rPr>
          <w:rFonts w:eastAsia="Calibri"/>
          <w:noProof/>
          <w:lang w:val="es-DO"/>
        </w:rPr>
        <w:t xml:space="preserve">De los servicios tramitados a nuestros usuarios, hemos gestionado un total de 11,400 solicitudes de registro de empleadores vía los distintos canales de comunicación, logrando un impresionante </w:t>
      </w:r>
      <w:r w:rsidRPr="00232EBB">
        <w:rPr>
          <w:rFonts w:eastAsia="Calibri"/>
          <w:noProof/>
          <w:lang w:val="es-DO"/>
        </w:rPr>
        <w:lastRenderedPageBreak/>
        <w:t>porcentaje de cumplimiento del 99% de respuesta en menos de 3 días laborables y hemos entregado al cierre de diciembre 1,536,314  certificaciones automáticas y manuales sobre aporte empleado, aporte personal, balance al día, NSS a extranjero, registro sin nómina, entre otras con un porcentaje de cumplimiento sostenible del 100% dentro del plazo comprometido.</w:t>
      </w:r>
    </w:p>
    <w:p w14:paraId="0B376CAF" w14:textId="77777777" w:rsidR="00EE13EB" w:rsidRPr="00232EBB" w:rsidRDefault="00EE13EB" w:rsidP="0053054F">
      <w:pPr>
        <w:spacing w:after="0" w:line="360" w:lineRule="auto"/>
        <w:jc w:val="both"/>
        <w:rPr>
          <w:rFonts w:eastAsia="Calibri"/>
          <w:noProof/>
          <w:lang w:val="es-DO"/>
        </w:rPr>
      </w:pPr>
    </w:p>
    <w:p w14:paraId="5A8CB17E" w14:textId="77777777" w:rsidR="00211D0E" w:rsidRPr="00232EBB" w:rsidRDefault="00211D0E" w:rsidP="0053054F">
      <w:pPr>
        <w:spacing w:line="360" w:lineRule="auto"/>
        <w:jc w:val="both"/>
        <w:rPr>
          <w:rFonts w:eastAsia="Calibri"/>
          <w:noProof/>
          <w:lang w:val="es-DO"/>
        </w:rPr>
      </w:pPr>
      <w:r w:rsidRPr="00232EBB">
        <w:rPr>
          <w:rFonts w:eastAsia="Calibri"/>
          <w:noProof/>
          <w:lang w:val="es-DO"/>
        </w:rPr>
        <w:t>Hemos optimizado nuestros tiempos de atención a las solicitudes vía el Centro de Asistencia a Empleador gestionando respuestas a llamadas, chats y correo de servicio al usuario con una tasa de éxito histórica del 97.89% y con tiempos de espera que antes superaban los quince (15) minutos a un tiempo no mayor de un (1) minuto en promedio.</w:t>
      </w:r>
    </w:p>
    <w:p w14:paraId="31A27FEF" w14:textId="77777777" w:rsidR="00211D0E" w:rsidRPr="00232EBB" w:rsidRDefault="00211D0E" w:rsidP="00211D0E">
      <w:pPr>
        <w:spacing w:line="360" w:lineRule="auto"/>
        <w:jc w:val="both"/>
        <w:rPr>
          <w:rFonts w:eastAsia="Calibri"/>
          <w:noProof/>
          <w:lang w:val="es-DO"/>
        </w:rPr>
      </w:pPr>
      <w:r w:rsidRPr="00232EBB">
        <w:rPr>
          <w:rFonts w:eastAsia="Calibri"/>
          <w:noProof/>
          <w:lang w:val="es-DO"/>
        </w:rPr>
        <w:t xml:space="preserve">Nuestra institución ha gestionado un total de 132,304 llamadas y chats para la tramitación de servicios. Durante este período, se registró una reducción significativa de la tasa de abandono de servicios, en comparación con el año 2024 que fue de 2%. </w:t>
      </w:r>
    </w:p>
    <w:p w14:paraId="142F983B" w14:textId="77777777" w:rsidR="007100F9" w:rsidRPr="00232EBB" w:rsidRDefault="005F0428" w:rsidP="005F0428">
      <w:pPr>
        <w:spacing w:line="360" w:lineRule="auto"/>
        <w:jc w:val="both"/>
        <w:rPr>
          <w:rFonts w:eastAsia="Calibri"/>
          <w:noProof/>
          <w:lang w:val="es-DO"/>
        </w:rPr>
      </w:pPr>
      <w:r w:rsidRPr="00232EBB">
        <w:rPr>
          <w:rFonts w:eastAsia="Calibri"/>
          <w:noProof/>
          <w:lang w:val="es-DO"/>
        </w:rPr>
        <w:t>Estos soportes brindados por nuestro equipo gestor suman al cierre del 2025 un total de 156,309 llamadas y chats con un cierre de brecha significativo en comparación con el año 2022 y 2023 donde la tasa de abandono del Centro de Asistencia al Usuario se ha ido reduciendo de un 53% en 2022 a un 11% en 2023 y en este 2025 a solo un 2%.</w:t>
      </w:r>
    </w:p>
    <w:p w14:paraId="06A9BA33" w14:textId="53A18D30" w:rsidR="00720E40" w:rsidRPr="00232EBB" w:rsidRDefault="007100F9" w:rsidP="007100F9">
      <w:pPr>
        <w:spacing w:line="360" w:lineRule="auto"/>
        <w:jc w:val="both"/>
        <w:rPr>
          <w:rFonts w:eastAsia="Calibri"/>
          <w:noProof/>
          <w:lang w:val="es-DO"/>
        </w:rPr>
      </w:pPr>
      <w:r w:rsidRPr="00232EBB">
        <w:rPr>
          <w:rFonts w:eastAsia="Calibri"/>
          <w:noProof/>
          <w:lang w:val="es-DO"/>
        </w:rPr>
        <w:t>Con el objetivo de reducir las brechas en el reporte y pago de aportes a la seguridad social y promover el uso adecuado de nuestras plataformas, desarrollamos más de 80 jornadas de capacitación, impactando a 6,200 representantes, estudiantes universitarios y afiliados del SDSS. Estas acciones representaron un total de 24,309 horas/hombre dedicadas a fortalecer sus conocimientos sobre el manejo del Sistema Único de Información y Recaudo (SUIR),</w:t>
      </w:r>
      <w:r w:rsidR="00720E40" w:rsidRPr="00232EBB">
        <w:rPr>
          <w:rFonts w:eastAsia="Calibri"/>
          <w:noProof/>
          <w:lang w:val="es-DO"/>
        </w:rPr>
        <w:t xml:space="preserve"> la </w:t>
      </w:r>
    </w:p>
    <w:p w14:paraId="120914D2" w14:textId="621E4A50" w:rsidR="007100F9" w:rsidRPr="00232EBB" w:rsidRDefault="007100F9" w:rsidP="007100F9">
      <w:pPr>
        <w:spacing w:line="360" w:lineRule="auto"/>
        <w:jc w:val="both"/>
        <w:rPr>
          <w:rFonts w:eastAsia="Calibri"/>
          <w:noProof/>
          <w:lang w:val="es-DO"/>
        </w:rPr>
      </w:pPr>
      <w:r w:rsidRPr="00232EBB">
        <w:rPr>
          <w:rFonts w:eastAsia="Calibri"/>
          <w:noProof/>
          <w:lang w:val="es-DO"/>
        </w:rPr>
        <w:lastRenderedPageBreak/>
        <w:t>Oficina Virtual TSS, la Plataforma de Servicios en Línea y sus responsabilidades dentro del Sistema Dominicano de Seguridad Social.</w:t>
      </w:r>
    </w:p>
    <w:p w14:paraId="5FE63079" w14:textId="62C65B2C" w:rsidR="00E06A41" w:rsidRPr="00232EBB" w:rsidRDefault="00E06A41" w:rsidP="00865274">
      <w:pPr>
        <w:spacing w:before="240" w:after="240" w:line="360" w:lineRule="auto"/>
        <w:rPr>
          <w:rFonts w:eastAsia="Calibri"/>
          <w:b/>
          <w:bCs/>
          <w:lang w:val="es-DO"/>
        </w:rPr>
      </w:pPr>
      <w:r w:rsidRPr="00232EBB">
        <w:rPr>
          <w:rFonts w:eastAsia="Calibri"/>
          <w:b/>
          <w:bCs/>
          <w:lang w:val="es-DO"/>
        </w:rPr>
        <w:t>Logros Acumulados de la Gestión</w:t>
      </w:r>
    </w:p>
    <w:p w14:paraId="26D6AD15" w14:textId="27D5D3B7" w:rsidR="00671F4B" w:rsidRPr="00232EBB" w:rsidRDefault="00671F4B"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Al </w:t>
      </w:r>
      <w:r w:rsidR="005F051C" w:rsidRPr="00232EBB">
        <w:rPr>
          <w:rFonts w:ascii="Times New Roman" w:hAnsi="Times New Roman"/>
          <w:noProof/>
          <w:color w:val="767171"/>
          <w:spacing w:val="20"/>
          <w:sz w:val="24"/>
          <w:szCs w:val="24"/>
        </w:rPr>
        <w:t>cierre de</w:t>
      </w:r>
      <w:r w:rsidRPr="00232EBB">
        <w:rPr>
          <w:rFonts w:ascii="Times New Roman" w:hAnsi="Times New Roman"/>
          <w:noProof/>
          <w:color w:val="767171"/>
          <w:spacing w:val="20"/>
          <w:sz w:val="24"/>
          <w:szCs w:val="24"/>
        </w:rPr>
        <w:t xml:space="preserve"> diciembre de 2025, los ingresos  recaudados acumulados por la Tesorería de la Seguridad Social </w:t>
      </w:r>
      <w:r w:rsidR="009B2F63" w:rsidRPr="00232EBB">
        <w:rPr>
          <w:rFonts w:ascii="Times New Roman" w:hAnsi="Times New Roman"/>
          <w:noProof/>
          <w:color w:val="767171"/>
          <w:spacing w:val="20"/>
          <w:sz w:val="24"/>
          <w:szCs w:val="24"/>
        </w:rPr>
        <w:t xml:space="preserve">se proyectan al cierre con el monto de </w:t>
      </w:r>
      <w:r w:rsidRPr="00232EBB">
        <w:rPr>
          <w:rFonts w:ascii="Times New Roman" w:hAnsi="Times New Roman"/>
          <w:noProof/>
          <w:color w:val="767171"/>
          <w:spacing w:val="20"/>
          <w:sz w:val="24"/>
          <w:szCs w:val="24"/>
        </w:rPr>
        <w:t>RD$</w:t>
      </w:r>
      <w:r w:rsidR="009B2F63" w:rsidRPr="00232EBB">
        <w:rPr>
          <w:rFonts w:ascii="Times New Roman" w:hAnsi="Times New Roman"/>
          <w:noProof/>
          <w:color w:val="767171"/>
          <w:spacing w:val="20"/>
          <w:sz w:val="24"/>
          <w:szCs w:val="24"/>
        </w:rPr>
        <w:t>2</w:t>
      </w:r>
      <w:r w:rsidR="00ED2929" w:rsidRPr="00232EBB">
        <w:rPr>
          <w:rFonts w:ascii="Times New Roman" w:hAnsi="Times New Roman"/>
          <w:noProof/>
          <w:color w:val="767171"/>
          <w:spacing w:val="20"/>
          <w:sz w:val="24"/>
          <w:szCs w:val="24"/>
        </w:rPr>
        <w:t>34</w:t>
      </w:r>
      <w:r w:rsidR="009B2F63" w:rsidRPr="00232EBB">
        <w:rPr>
          <w:rFonts w:ascii="Times New Roman" w:hAnsi="Times New Roman"/>
          <w:noProof/>
          <w:color w:val="767171"/>
          <w:spacing w:val="20"/>
          <w:sz w:val="24"/>
          <w:szCs w:val="24"/>
        </w:rPr>
        <w:t>,000,000.00</w:t>
      </w:r>
      <w:r w:rsidRPr="00232EBB">
        <w:rPr>
          <w:rFonts w:ascii="Times New Roman" w:hAnsi="Times New Roman"/>
          <w:noProof/>
          <w:color w:val="767171"/>
          <w:spacing w:val="20"/>
          <w:sz w:val="24"/>
          <w:szCs w:val="24"/>
        </w:rPr>
        <w:t xml:space="preserve"> a diferencia del 2024 que, a esta fecha, las recaudaciones acumuladas </w:t>
      </w:r>
      <w:r w:rsidR="00524D62">
        <w:rPr>
          <w:rFonts w:ascii="Times New Roman" w:hAnsi="Times New Roman"/>
          <w:noProof/>
          <w:color w:val="767171"/>
          <w:spacing w:val="20"/>
          <w:sz w:val="24"/>
          <w:szCs w:val="24"/>
        </w:rPr>
        <w:t xml:space="preserve">fueron </w:t>
      </w:r>
      <w:r w:rsidRPr="00232EBB">
        <w:rPr>
          <w:rFonts w:ascii="Times New Roman" w:hAnsi="Times New Roman"/>
          <w:noProof/>
          <w:color w:val="767171"/>
          <w:spacing w:val="20"/>
          <w:sz w:val="24"/>
          <w:szCs w:val="24"/>
        </w:rPr>
        <w:t>un total de RD$188,122,730,672.</w:t>
      </w:r>
    </w:p>
    <w:p w14:paraId="4AF41018" w14:textId="0D73F92B" w:rsidR="00D17C5C" w:rsidRPr="00232EBB" w:rsidRDefault="00D17C5C"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Disponibilidad de la plataforma Sistema Único de Información y Recaudo (SUIR) para el </w:t>
      </w:r>
      <w:r w:rsidR="00444FB5" w:rsidRPr="00232EBB">
        <w:rPr>
          <w:rFonts w:ascii="Times New Roman" w:hAnsi="Times New Roman"/>
          <w:noProof/>
          <w:color w:val="767171"/>
          <w:spacing w:val="20"/>
          <w:sz w:val="24"/>
          <w:szCs w:val="24"/>
        </w:rPr>
        <w:t>per</w:t>
      </w:r>
      <w:r w:rsidR="00285F62" w:rsidRPr="00232EBB">
        <w:rPr>
          <w:rFonts w:ascii="Times New Roman" w:hAnsi="Times New Roman"/>
          <w:noProof/>
          <w:color w:val="767171"/>
          <w:spacing w:val="20"/>
          <w:sz w:val="24"/>
          <w:szCs w:val="24"/>
        </w:rPr>
        <w:t>í</w:t>
      </w:r>
      <w:r w:rsidR="00444FB5" w:rsidRPr="00232EBB">
        <w:rPr>
          <w:rFonts w:ascii="Times New Roman" w:hAnsi="Times New Roman"/>
          <w:noProof/>
          <w:color w:val="767171"/>
          <w:spacing w:val="20"/>
          <w:sz w:val="24"/>
          <w:szCs w:val="24"/>
        </w:rPr>
        <w:t>odo</w:t>
      </w:r>
      <w:r w:rsidRPr="00232EBB">
        <w:rPr>
          <w:rFonts w:ascii="Times New Roman" w:hAnsi="Times New Roman"/>
          <w:noProof/>
          <w:color w:val="767171"/>
          <w:spacing w:val="20"/>
          <w:sz w:val="24"/>
          <w:szCs w:val="24"/>
        </w:rPr>
        <w:t xml:space="preserve"> 202</w:t>
      </w:r>
      <w:r w:rsidR="00601C63" w:rsidRPr="00232EBB">
        <w:rPr>
          <w:rFonts w:ascii="Times New Roman" w:hAnsi="Times New Roman"/>
          <w:noProof/>
          <w:color w:val="767171"/>
          <w:spacing w:val="20"/>
          <w:sz w:val="24"/>
          <w:szCs w:val="24"/>
        </w:rPr>
        <w:t>5</w:t>
      </w:r>
      <w:r w:rsidRPr="00232EBB">
        <w:rPr>
          <w:rFonts w:ascii="Times New Roman" w:hAnsi="Times New Roman"/>
          <w:noProof/>
          <w:color w:val="767171"/>
          <w:spacing w:val="20"/>
          <w:sz w:val="24"/>
          <w:szCs w:val="24"/>
        </w:rPr>
        <w:t xml:space="preserve"> ha sido un 9</w:t>
      </w:r>
      <w:r w:rsidR="00ED147E" w:rsidRPr="00232EBB">
        <w:rPr>
          <w:rFonts w:ascii="Times New Roman" w:hAnsi="Times New Roman"/>
          <w:noProof/>
          <w:color w:val="767171"/>
          <w:spacing w:val="20"/>
          <w:sz w:val="24"/>
          <w:szCs w:val="24"/>
        </w:rPr>
        <w:t>8.</w:t>
      </w:r>
      <w:r w:rsidR="00D85904" w:rsidRPr="00232EBB">
        <w:rPr>
          <w:rFonts w:ascii="Times New Roman" w:hAnsi="Times New Roman"/>
          <w:noProof/>
          <w:color w:val="767171"/>
          <w:spacing w:val="20"/>
          <w:sz w:val="24"/>
          <w:szCs w:val="24"/>
        </w:rPr>
        <w:t>9</w:t>
      </w:r>
      <w:r w:rsidR="0076561C" w:rsidRPr="00232EBB">
        <w:rPr>
          <w:rFonts w:ascii="Times New Roman" w:hAnsi="Times New Roman"/>
          <w:noProof/>
          <w:color w:val="767171"/>
          <w:spacing w:val="20"/>
          <w:sz w:val="24"/>
          <w:szCs w:val="24"/>
        </w:rPr>
        <w:t>3</w:t>
      </w:r>
      <w:r w:rsidRPr="00232EBB">
        <w:rPr>
          <w:rFonts w:ascii="Times New Roman" w:hAnsi="Times New Roman"/>
          <w:noProof/>
          <w:color w:val="767171"/>
          <w:spacing w:val="20"/>
          <w:sz w:val="24"/>
          <w:szCs w:val="24"/>
        </w:rPr>
        <w:t>% permitiendo que los empleadores realicen las diferentes gestiones.</w:t>
      </w:r>
    </w:p>
    <w:p w14:paraId="7E2E5AD8" w14:textId="423D2021"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De los servicios tramitados a nuestros usuarios, al </w:t>
      </w:r>
      <w:r w:rsidR="007868E5" w:rsidRPr="00232EBB">
        <w:rPr>
          <w:rFonts w:ascii="Times New Roman" w:hAnsi="Times New Roman"/>
          <w:noProof/>
          <w:color w:val="767171"/>
          <w:spacing w:val="20"/>
          <w:sz w:val="24"/>
          <w:szCs w:val="24"/>
        </w:rPr>
        <w:t>cierre</w:t>
      </w:r>
      <w:r w:rsidRPr="00232EBB">
        <w:rPr>
          <w:rFonts w:ascii="Times New Roman" w:hAnsi="Times New Roman"/>
          <w:noProof/>
          <w:color w:val="767171"/>
          <w:spacing w:val="20"/>
          <w:sz w:val="24"/>
          <w:szCs w:val="24"/>
        </w:rPr>
        <w:t xml:space="preserve"> del año 2025, hemos gestionado un total de 11,400 solicitudes de registro de empleadores vía los distintos canales de comunicación, logrando un impresionante porcentaje de cumplimiento del 99% de respuesta en menos de 3 días laborables y hemos entregado al 30 de octubre 1,275,934 certificaciones automáticas y manuales sobre aporte empleado, aporte personal, balance al día, NSS a extranjero, registro sin nómina, entre otras con un porcentaje de cumplimiento sostenible del 100% dentro del plazo comprometido.</w:t>
      </w:r>
    </w:p>
    <w:p w14:paraId="02BEDE13" w14:textId="77777777"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Hemos optimizado nuestros tiempos de atención a las solicitudes vía el Centro de Asistencia a Empleador gestionando respuestas a llamadas, chats y correo de servicio al usuario con una tasa de éxito histórica del 97.89% y con tiempos de espera que antes superaban los quince (15) minutos a un tiempo no mayor de un (1) minuto en promedio.</w:t>
      </w:r>
    </w:p>
    <w:p w14:paraId="4AB461DD" w14:textId="0C594407" w:rsidR="00DE17AD" w:rsidRPr="00232EBB" w:rsidRDefault="00524D62" w:rsidP="00567A02">
      <w:pPr>
        <w:pStyle w:val="ListParagraph"/>
        <w:numPr>
          <w:ilvl w:val="0"/>
          <w:numId w:val="1"/>
        </w:numPr>
        <w:spacing w:before="240" w:line="360" w:lineRule="auto"/>
        <w:ind w:left="432"/>
        <w:rPr>
          <w:rFonts w:ascii="Times New Roman" w:hAnsi="Times New Roman"/>
          <w:noProof/>
          <w:color w:val="767171"/>
          <w:spacing w:val="20"/>
          <w:sz w:val="24"/>
          <w:szCs w:val="24"/>
        </w:rPr>
      </w:pPr>
      <w:r>
        <w:rPr>
          <w:rFonts w:ascii="Times New Roman" w:hAnsi="Times New Roman"/>
          <w:noProof/>
          <w:color w:val="767171"/>
          <w:spacing w:val="20"/>
          <w:sz w:val="24"/>
          <w:szCs w:val="24"/>
        </w:rPr>
        <w:lastRenderedPageBreak/>
        <w:t>L</w:t>
      </w:r>
      <w:r w:rsidR="008B2563" w:rsidRPr="00232EBB">
        <w:rPr>
          <w:rFonts w:ascii="Times New Roman" w:hAnsi="Times New Roman"/>
          <w:noProof/>
          <w:color w:val="767171"/>
          <w:spacing w:val="20"/>
          <w:sz w:val="24"/>
          <w:szCs w:val="24"/>
        </w:rPr>
        <w:t>os</w:t>
      </w:r>
      <w:r w:rsidR="00DE17AD" w:rsidRPr="00232EBB">
        <w:rPr>
          <w:rFonts w:ascii="Times New Roman" w:hAnsi="Times New Roman"/>
          <w:noProof/>
          <w:color w:val="767171"/>
          <w:spacing w:val="20"/>
          <w:sz w:val="24"/>
          <w:szCs w:val="24"/>
        </w:rPr>
        <w:t xml:space="preserve"> soportes brindados por nuestro equipo gestor suman al cierre del 2025 un total de 156,309 llamadas y chats con un cierre de brecha significativo en comparación con el año 2022 y 2023 donde la tasa de abandono del Centro de Asistencia al Usuario se ha ido reduciendo de un 53% en 2022 a un 11% en 2023 y en este 2025 a solo un 2%.</w:t>
      </w:r>
    </w:p>
    <w:p w14:paraId="6FF0EAD7" w14:textId="5DD26128" w:rsidR="002F2EFE" w:rsidRPr="00232EBB" w:rsidRDefault="00BA1429" w:rsidP="00BA1429">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Con el objetivo de reducir las brechas en el reporte y pago de aportes a la seguridad social y promover el uso adecuado de nuestras plataformas, desarrollamos más de 80 jornadas de capacitación, impactando a 6,200 representantes, estudiantes universitarios y afiliados del SDSS. Estas acciones representaron un total de 24,309 horas/hombre dedicadas a fortalecer sus conocimientos sobre el manejo del Sistema Único de Información y Recaudo (SUIR), la Oficina Virtual TSS, la Plataforma de Servicios en Línea y sus responsabilidades dentro del Sistema Dominicano de Seguridad Social.</w:t>
      </w:r>
    </w:p>
    <w:p w14:paraId="1BB2C1CF" w14:textId="7447BFDB"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Al </w:t>
      </w:r>
      <w:r w:rsidR="007868E5" w:rsidRPr="00232EBB">
        <w:rPr>
          <w:rFonts w:ascii="Times New Roman" w:hAnsi="Times New Roman"/>
          <w:noProof/>
          <w:color w:val="767171"/>
          <w:spacing w:val="20"/>
          <w:sz w:val="24"/>
          <w:szCs w:val="24"/>
        </w:rPr>
        <w:t>cierre del 2025</w:t>
      </w:r>
      <w:r w:rsidRPr="00232EBB">
        <w:rPr>
          <w:rFonts w:ascii="Times New Roman" w:hAnsi="Times New Roman"/>
          <w:noProof/>
          <w:color w:val="767171"/>
          <w:spacing w:val="20"/>
          <w:sz w:val="24"/>
          <w:szCs w:val="24"/>
        </w:rPr>
        <w:t>, hemos generado 1,309 Acuerdos de Pagos a empleadores con deudas, alcanzando a modo general un recaudo de Trescientos Veinticuatro Millones Treinta y Tres Mil Novecientos Treinta y Nueve pesos dominicanos con 00/100 (RD$324,033,939.00), con proyección de superar los 400 Millones de pesos dominicanos al cierre del año 2025. Mediante esta modalidad de pago concedida por la TSS a los empleadores, cerca de 13 mil trabajadores y sus dependientes lograron acceder nuevamente a los beneficios que brinda el Seguro Familiar de Salud (SFS) del Régimen Contributivo.</w:t>
      </w:r>
    </w:p>
    <w:p w14:paraId="6ED26410" w14:textId="060C9658"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 tramitaron 90 Contratos y se gestionaron exitosamente 66 certificaciones en la Contraloría General de la República (CGR).</w:t>
      </w:r>
    </w:p>
    <w:p w14:paraId="74F721B4" w14:textId="77777777" w:rsidR="00AB7BF4"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La TSS apoderó al Tribunal Superior Administrativo (TSA), de 16 demandas en cobro de cotizaciones y recargos vencidos y no </w:t>
      </w:r>
    </w:p>
    <w:p w14:paraId="2AE8078C" w14:textId="03732FA3"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lastRenderedPageBreak/>
        <w:t>pagados al SDSS, en contra de empleadores que presentan atrasos en sus deberes con el Sistema Dominicano de Seguridad Social. </w:t>
      </w:r>
    </w:p>
    <w:p w14:paraId="227656A2" w14:textId="78C61B24"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 realizaron 418 intimaciones de pago a empleadores situados en el Gran Santo Domingo, San Cristóbal, Santiago, San Pedro de Macorís, La Romana e Higüey, cuya deuda total frente al SDSS asciende a un monto de Cuatrocientos Ochenta y Cuatro Millones Novecientos Cuarenta y Dos Mil Cincuenta y Nueve pesos dominicanos con 45/100 (RD$484,942,059.45), logrando que los empleadores se acerquen a la TSS para saldar cuentas o regularizar su estatus mediante Acuerdos de Pag</w:t>
      </w:r>
      <w:r w:rsidR="00285F62" w:rsidRPr="00232EBB">
        <w:rPr>
          <w:rFonts w:ascii="Times New Roman" w:hAnsi="Times New Roman"/>
          <w:noProof/>
          <w:color w:val="767171"/>
          <w:spacing w:val="20"/>
          <w:sz w:val="24"/>
          <w:szCs w:val="24"/>
        </w:rPr>
        <w:t>o,</w:t>
      </w:r>
      <w:r w:rsidRPr="00232EBB">
        <w:rPr>
          <w:rFonts w:ascii="Times New Roman" w:hAnsi="Times New Roman"/>
          <w:noProof/>
          <w:color w:val="767171"/>
          <w:spacing w:val="20"/>
          <w:sz w:val="24"/>
          <w:szCs w:val="24"/>
        </w:rPr>
        <w:t> </w:t>
      </w:r>
      <w:r w:rsidR="00285F62" w:rsidRPr="00232EBB">
        <w:rPr>
          <w:rFonts w:ascii="Times New Roman" w:hAnsi="Times New Roman"/>
          <w:noProof/>
          <w:color w:val="767171"/>
          <w:spacing w:val="20"/>
          <w:sz w:val="24"/>
          <w:szCs w:val="24"/>
        </w:rPr>
        <w:t>f</w:t>
      </w:r>
      <w:r w:rsidRPr="00232EBB">
        <w:rPr>
          <w:rFonts w:ascii="Times New Roman" w:hAnsi="Times New Roman"/>
          <w:noProof/>
          <w:color w:val="767171"/>
          <w:spacing w:val="20"/>
          <w:sz w:val="24"/>
          <w:szCs w:val="24"/>
        </w:rPr>
        <w:t>ruto de esta gestión fueron recuperados más de Veintidós Millones de pesos dominicanos.</w:t>
      </w:r>
    </w:p>
    <w:p w14:paraId="32B80990" w14:textId="4CB98C85"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En cumplimiento de nuestras responsabilidades recaudatorias, el área de cobranzas alcanzó la gestión del 100% de las carteras en atraso asignadas, contribuyendo con la eficiencia en el recaudo institucional que alcanzó el 9</w:t>
      </w:r>
      <w:r w:rsidR="009C7DCA" w:rsidRPr="00232EBB">
        <w:rPr>
          <w:rFonts w:ascii="Times New Roman" w:hAnsi="Times New Roman"/>
          <w:noProof/>
          <w:color w:val="767171"/>
          <w:spacing w:val="20"/>
          <w:sz w:val="24"/>
          <w:szCs w:val="24"/>
        </w:rPr>
        <w:t>6.2</w:t>
      </w:r>
      <w:r w:rsidRPr="00232EBB">
        <w:rPr>
          <w:rFonts w:ascii="Times New Roman" w:hAnsi="Times New Roman"/>
          <w:noProof/>
          <w:color w:val="767171"/>
          <w:spacing w:val="20"/>
          <w:sz w:val="24"/>
          <w:szCs w:val="24"/>
        </w:rPr>
        <w:t>%.</w:t>
      </w:r>
    </w:p>
    <w:p w14:paraId="798E6209" w14:textId="025E0001"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En la auditoría de pre-certificación de las Normas ISO 27001 y 27301 resaltó en su informe final como una de las principales fortalezas la elaboración y correcta implementación de la Tabla de Amortización para los acuerdos de pago por multas. Este instrumento permitió evidenciar un control más eficiente, transparente y sistemático sobre los compromisos de pago asumidos por los empleadores.</w:t>
      </w:r>
    </w:p>
    <w:p w14:paraId="3F458865" w14:textId="38779DBA" w:rsidR="002F2EFE"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En acuerdos de pago se incorporó el sistema automatizado vía la plataforma de servicios y se incluyeron los primeros acuerdos de pago por multa contribuyendo al proceso de recuperación de los recursos adeudados.</w:t>
      </w:r>
    </w:p>
    <w:p w14:paraId="3C14DA4E" w14:textId="4660ABBB" w:rsidR="00406F55" w:rsidRPr="00232EBB" w:rsidRDefault="002F2EFE"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Se gestionó la cobranza de un monto aproximado a Tres Millones Doscientos Cincuenta y Siete Mil Trescientos Setenta pesos dominicanos con 05/100 (RD$3,257,370.05), correspondiente a </w:t>
      </w:r>
      <w:r w:rsidRPr="00232EBB">
        <w:rPr>
          <w:rFonts w:ascii="Times New Roman" w:hAnsi="Times New Roman"/>
          <w:noProof/>
          <w:color w:val="767171"/>
          <w:spacing w:val="20"/>
          <w:sz w:val="24"/>
          <w:szCs w:val="24"/>
        </w:rPr>
        <w:lastRenderedPageBreak/>
        <w:t xml:space="preserve">las multas impuestas por la SISALRIL, en ocasión a las </w:t>
      </w:r>
      <w:r w:rsidR="00406F55" w:rsidRPr="00232EBB">
        <w:rPr>
          <w:rFonts w:ascii="Times New Roman" w:hAnsi="Times New Roman"/>
          <w:noProof/>
          <w:color w:val="767171"/>
          <w:spacing w:val="20"/>
          <w:sz w:val="24"/>
          <w:szCs w:val="24"/>
        </w:rPr>
        <w:t>infraccio</w:t>
      </w:r>
    </w:p>
    <w:p w14:paraId="698E5E76" w14:textId="1E6D8A95" w:rsidR="002F2EFE" w:rsidRPr="00232EBB" w:rsidRDefault="002F2EFE" w:rsidP="00406F55">
      <w:pPr>
        <w:pStyle w:val="ListParagraph"/>
        <w:spacing w:before="240" w:line="360" w:lineRule="auto"/>
        <w:ind w:left="432" w:firstLine="0"/>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nes cometidas por las Administradoras de Riesgos de Salud (ARS) en perjuicio del Sistema Dominicano de Seguridad Social (SDSS), reafirmando el compromiso con el cumplimiento del marco regulatorio vigente.</w:t>
      </w:r>
    </w:p>
    <w:p w14:paraId="4A85C3D6" w14:textId="76589EED" w:rsidR="00B16BD0" w:rsidRPr="00232EBB" w:rsidRDefault="00B16BD0" w:rsidP="00862F3D">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Durante este año logramos la recertificación en la NORTIC A4. En esta evaluación se incorporó el nuevo estándar de interoperabilidad gubernamental mediante la plataforma X-Road, lo que fortalece el intercambio seguro de información entre las entidades del Estado. Asimismo, recibimos la certificación en la NORTIC A6, reafirmando nuestro compromiso con la mejora continua y el cumplimiento de las normativas tecnológicas nacionales.</w:t>
      </w:r>
    </w:p>
    <w:p w14:paraId="01245EE4" w14:textId="77777777" w:rsidR="003F456A"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Como parte de nuestro compromiso con la innovación y la excelencia, hemos implementado un nuevo portal de servicios online, el cual permite que el proceso de registro de empresas pueda ser realizado completamente en línea y sin necesidad de desplazamiento del ciudadano.</w:t>
      </w:r>
    </w:p>
    <w:p w14:paraId="7D386F1E" w14:textId="77777777" w:rsidR="003F456A" w:rsidRPr="00232EBB" w:rsidRDefault="003F456A" w:rsidP="009823C1">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En acuerdos de pago se incorporó el sistema automatizado vía la plataforma de servicios y se incluyeron los primeros acuerdos de pago por multa contribuyendo al proceso de recuperación de los recursos adeudados por un monto de Trece Millones Ochocientos Tres Mil Seiscientos Setenta pesos dominicanos con 05/100 (RD$13,803,670.05, correspondiente a las multas impuestas por</w:t>
      </w:r>
    </w:p>
    <w:p w14:paraId="23FD3AC0" w14:textId="06A16888" w:rsidR="003F456A" w:rsidRPr="00232EBB" w:rsidRDefault="003F456A" w:rsidP="00461AAE">
      <w:pPr>
        <w:pStyle w:val="ListParagraph"/>
        <w:spacing w:before="240" w:line="360" w:lineRule="auto"/>
        <w:ind w:left="432" w:firstLine="0"/>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la SISALRIL, en ocasión a las infracciones cometidas por las Administradoras de Riesgos de Salud (ARS) en perjuicio del Sistema Dominicano de Seguridad Social (SDSS), reafirmando el compromiso con el cumplimiento del marco regulatorio vigente.</w:t>
      </w:r>
    </w:p>
    <w:p w14:paraId="351ED9FB" w14:textId="77777777" w:rsidR="00382670"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Desarrollo e implementación de un módulo especializado para la creación y gestión de credenciales digitales. Este sistema permite </w:t>
      </w:r>
      <w:r w:rsidRPr="00232EBB">
        <w:rPr>
          <w:rFonts w:ascii="Times New Roman" w:hAnsi="Times New Roman"/>
          <w:noProof/>
          <w:color w:val="767171"/>
          <w:spacing w:val="20"/>
          <w:sz w:val="24"/>
          <w:szCs w:val="24"/>
        </w:rPr>
        <w:lastRenderedPageBreak/>
        <w:t>automatizar la asignación segura de credenciales para el acceso a</w:t>
      </w:r>
      <w:r w:rsidR="00382670" w:rsidRPr="00232EBB">
        <w:rPr>
          <w:rFonts w:ascii="Times New Roman" w:hAnsi="Times New Roman"/>
          <w:noProof/>
          <w:color w:val="767171"/>
          <w:spacing w:val="20"/>
          <w:sz w:val="24"/>
          <w:szCs w:val="24"/>
        </w:rPr>
        <w:t xml:space="preserve"> </w:t>
      </w:r>
    </w:p>
    <w:p w14:paraId="53A95FBE" w14:textId="3C9B83DF" w:rsidR="003F456A" w:rsidRPr="00232EBB" w:rsidRDefault="00382670" w:rsidP="00382670">
      <w:pPr>
        <w:pStyle w:val="ListParagraph"/>
        <w:spacing w:before="240" w:line="360" w:lineRule="auto"/>
        <w:ind w:left="432" w:firstLine="0"/>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servicios </w:t>
      </w:r>
      <w:r w:rsidR="003F456A" w:rsidRPr="00232EBB">
        <w:rPr>
          <w:rFonts w:ascii="Times New Roman" w:hAnsi="Times New Roman"/>
          <w:noProof/>
          <w:color w:val="767171"/>
          <w:spacing w:val="20"/>
          <w:sz w:val="24"/>
          <w:szCs w:val="24"/>
        </w:rPr>
        <w:t>interoperables a través de la plataforma X-Road, garantizando autenticación confiable y auditoría de los accesos.</w:t>
      </w:r>
    </w:p>
    <w:p w14:paraId="23CAE6E0" w14:textId="049B407D" w:rsidR="003F456A"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Integración con Carpeta Ciudadana de la OGTIC y con Seguridad</w:t>
      </w:r>
      <w:r w:rsidR="00B609BF" w:rsidRPr="00232EBB">
        <w:rPr>
          <w:rFonts w:ascii="Times New Roman" w:hAnsi="Times New Roman"/>
          <w:noProof/>
          <w:color w:val="767171"/>
          <w:spacing w:val="20"/>
          <w:sz w:val="24"/>
          <w:szCs w:val="24"/>
        </w:rPr>
        <w:t xml:space="preserve"> Ciudadana donde s</w:t>
      </w:r>
      <w:r w:rsidRPr="00232EBB">
        <w:rPr>
          <w:rFonts w:ascii="Times New Roman" w:hAnsi="Times New Roman"/>
          <w:noProof/>
          <w:color w:val="767171"/>
          <w:spacing w:val="20"/>
          <w:sz w:val="24"/>
          <w:szCs w:val="24"/>
        </w:rPr>
        <w:t>e avanzó en los procesos de interoperabilidad para validar información de manera más ágil y segura.</w:t>
      </w:r>
    </w:p>
    <w:p w14:paraId="3A07D39A" w14:textId="7FC47169" w:rsidR="003F456A"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Integración con el MAP a través del portal Concursa</w:t>
      </w:r>
      <w:r w:rsidRPr="00232EBB">
        <w:rPr>
          <w:rFonts w:ascii="Times New Roman" w:hAnsi="Times New Roman"/>
          <w:noProof/>
          <w:color w:val="767171"/>
          <w:spacing w:val="20"/>
          <w:sz w:val="24"/>
          <w:szCs w:val="24"/>
        </w:rPr>
        <w:br/>
        <w:t>para la conexión que permite validar el estatus laboral de los ciudadanos directamente en línea.</w:t>
      </w:r>
    </w:p>
    <w:p w14:paraId="594D8593" w14:textId="5FE2AFAA" w:rsidR="003F456A"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 rediseñó la interfaz de usuario con un enfoque centrado en la experiencia del usuario (UX/UI), garantizando accesibilidad, facilidad de uso y compatibilidad con dispositivos móviles.</w:t>
      </w:r>
    </w:p>
    <w:p w14:paraId="0E0A2EF3" w14:textId="77777777" w:rsidR="003F456A"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Migración a la nube del 75% de los sistemas de monitoreo</w:t>
      </w:r>
      <w:r w:rsidRPr="00232EBB">
        <w:rPr>
          <w:rFonts w:ascii="Times New Roman" w:hAnsi="Times New Roman"/>
          <w:noProof/>
          <w:color w:val="767171"/>
          <w:spacing w:val="20"/>
          <w:sz w:val="24"/>
          <w:szCs w:val="24"/>
        </w:rPr>
        <w:br/>
        <w:t>Esta migración permite un monitoreo descentralizado y más resiliente de los datacenters institucionales.</w:t>
      </w:r>
    </w:p>
    <w:p w14:paraId="2115925E" w14:textId="49D50257" w:rsidR="003F456A" w:rsidRPr="00232EBB" w:rsidRDefault="003F456A" w:rsidP="006735A9">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En el marco de su compromiso con la mejora continua y la transformación digital, la Tesorería de la Seguridad Social (TSS) lanzó su nueva página web institucional, completamente rediseñada para ofrecer una experiencia más moderna, intuitiva y eficiente. Este rediseño responde a las necesidades actuales de los usuarios, ofreciendo una interfaz visual más clara y atractiva, compatible con dispositivos móviles y adaptada a los estándares internacionales de accesibilidad y usabilidad.</w:t>
      </w:r>
    </w:p>
    <w:p w14:paraId="43F94114" w14:textId="77777777" w:rsidR="003F456A"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Fueron incorporados chatbots las llamadas y el chat del Centro de Asistencia al Empleador (implementación completada al 98%) ha permitido ofrecer respuestas rápidas y precisas, disminuyendo tiempos de espera.</w:t>
      </w:r>
    </w:p>
    <w:p w14:paraId="4C428085" w14:textId="77777777" w:rsidR="003F456A"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 integró el servicio de mensajería a través de WhatsApp, ampliando los puntos de contacto y facilitando el acceso de empleadores y ciudadanos.</w:t>
      </w:r>
    </w:p>
    <w:p w14:paraId="7C0875E0" w14:textId="77777777" w:rsidR="00B609BF"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lastRenderedPageBreak/>
        <w:t xml:space="preserve">Puesto en funcionamiento del servicio de emisión automatizada  </w:t>
      </w:r>
    </w:p>
    <w:p w14:paraId="4C95B5E0" w14:textId="2469705D" w:rsidR="003F456A" w:rsidRPr="00232EBB" w:rsidRDefault="00B609BF" w:rsidP="00B609BF">
      <w:pPr>
        <w:pStyle w:val="ListParagraph"/>
        <w:spacing w:before="240" w:line="360" w:lineRule="auto"/>
        <w:ind w:left="432" w:firstLine="0"/>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de </w:t>
      </w:r>
      <w:r w:rsidR="003F456A" w:rsidRPr="00232EBB">
        <w:rPr>
          <w:rFonts w:ascii="Times New Roman" w:hAnsi="Times New Roman"/>
          <w:noProof/>
          <w:color w:val="767171"/>
          <w:spacing w:val="20"/>
          <w:sz w:val="24"/>
          <w:szCs w:val="24"/>
        </w:rPr>
        <w:t>notificaciones de pago por multa, fortaleciendo los procesos de control institucional.</w:t>
      </w:r>
    </w:p>
    <w:p w14:paraId="266F2E50" w14:textId="77777777" w:rsidR="003F456A" w:rsidRPr="00232EBB" w:rsidRDefault="003F456A" w:rsidP="003F456A">
      <w:pPr>
        <w:pStyle w:val="ListParagraph"/>
        <w:numPr>
          <w:ilvl w:val="0"/>
          <w:numId w:val="1"/>
        </w:numPr>
        <w:spacing w:before="240" w:line="360" w:lineRule="auto"/>
        <w:ind w:left="432"/>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Implementación de Asistentes Virtuales Inteligentes para la Atención y Análisis Institucional Durante el período, la TSS introdujo dos innovaciones tecnológicas clave: Tessa, la nueva asistente virtual de servicios, y Newton, el asistente de análisis de datos.</w:t>
      </w:r>
    </w:p>
    <w:p w14:paraId="1B9692A2" w14:textId="2D00AB00" w:rsidR="003F456A" w:rsidRPr="00232EBB" w:rsidRDefault="003F456A">
      <w:pPr>
        <w:rPr>
          <w:rFonts w:eastAsia="Calibri"/>
          <w:noProof/>
          <w:lang w:val="es-DO"/>
        </w:rPr>
      </w:pPr>
      <w:r w:rsidRPr="00232EBB">
        <w:rPr>
          <w:noProof/>
          <w:lang w:val="es-DO"/>
        </w:rPr>
        <w:br w:type="page"/>
      </w:r>
    </w:p>
    <w:p w14:paraId="6384D0D4" w14:textId="30046C3A" w:rsidR="00654164" w:rsidRPr="00232EBB" w:rsidRDefault="00CC305A" w:rsidP="00654164">
      <w:pPr>
        <w:pStyle w:val="Heading1"/>
        <w:rPr>
          <w:rFonts w:cs="Times New Roman"/>
          <w:color w:val="4C4747"/>
          <w:lang w:val="es-DO"/>
        </w:rPr>
      </w:pPr>
      <w:bookmarkStart w:id="6" w:name="_Toc216952201"/>
      <w:r w:rsidRPr="00232EBB">
        <w:rPr>
          <w:rFonts w:cs="Times New Roman"/>
          <w:spacing w:val="0"/>
          <w:lang w:val="es-DO"/>
        </w:rPr>
        <w:lastRenderedPageBreak/>
        <w:t xml:space="preserve">II. </w:t>
      </w:r>
      <w:r w:rsidR="00654164" w:rsidRPr="00232EBB">
        <w:rPr>
          <w:rFonts w:cs="Times New Roman"/>
          <w:spacing w:val="0"/>
          <w:lang w:val="es-DO"/>
        </w:rPr>
        <w:t>INFORMACIÓN INSTITUCIONAL</w:t>
      </w:r>
      <w:bookmarkEnd w:id="6"/>
    </w:p>
    <w:p w14:paraId="794C2FD3" w14:textId="133793BD" w:rsidR="00654164" w:rsidRPr="00232EBB" w:rsidRDefault="009E3A89" w:rsidP="00654164">
      <w:pPr>
        <w:jc w:val="both"/>
        <w:rPr>
          <w:rFonts w:eastAsia="Calibri"/>
          <w:color w:val="4C4747"/>
          <w:sz w:val="18"/>
          <w:lang w:val="es-DO"/>
        </w:rPr>
      </w:pPr>
      <w:r w:rsidRPr="00232EBB">
        <w:rPr>
          <w:rFonts w:eastAsia="Calibri"/>
          <w:noProof/>
          <w:color w:val="4C4747"/>
          <w:sz w:val="18"/>
        </w:rPr>
        <mc:AlternateContent>
          <mc:Choice Requires="wps">
            <w:drawing>
              <wp:anchor distT="0" distB="0" distL="114300" distR="114300" simplePos="0" relativeHeight="251658244" behindDoc="0" locked="0" layoutInCell="1" allowOverlap="1" wp14:anchorId="2735667A" wp14:editId="25480F7D">
                <wp:simplePos x="0" y="0"/>
                <wp:positionH relativeFrom="margin">
                  <wp:align>center</wp:align>
                </wp:positionH>
                <wp:positionV relativeFrom="paragraph">
                  <wp:posOffset>24536</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47F244C" id="Straight Connector 8" o:spid="_x0000_s1026" style="position:absolute;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margin"/>
              </v:line>
            </w:pict>
          </mc:Fallback>
        </mc:AlternateContent>
      </w:r>
    </w:p>
    <w:p w14:paraId="7AD3B78C" w14:textId="2A0C8CE3" w:rsidR="00654164" w:rsidRPr="00232EBB" w:rsidRDefault="00654164" w:rsidP="006C48BC">
      <w:pPr>
        <w:pStyle w:val="ListParagraph"/>
        <w:spacing w:line="259" w:lineRule="auto"/>
        <w:ind w:firstLine="0"/>
        <w:jc w:val="center"/>
        <w:rPr>
          <w:rFonts w:ascii="Times New Roman" w:eastAsiaTheme="minorHAnsi" w:hAnsi="Times New Roman"/>
          <w:color w:val="767171"/>
          <w:spacing w:val="20"/>
          <w:sz w:val="24"/>
          <w:szCs w:val="24"/>
        </w:rPr>
      </w:pPr>
      <w:r w:rsidRPr="00232EBB">
        <w:rPr>
          <w:rFonts w:ascii="Times New Roman" w:eastAsiaTheme="minorHAnsi" w:hAnsi="Times New Roman"/>
          <w:color w:val="767171"/>
          <w:spacing w:val="20"/>
          <w:sz w:val="24"/>
          <w:szCs w:val="24"/>
        </w:rPr>
        <w:t xml:space="preserve">Memoria </w:t>
      </w:r>
      <w:r w:rsidR="00D837AC" w:rsidRPr="00232EBB">
        <w:rPr>
          <w:rFonts w:ascii="Times New Roman" w:eastAsiaTheme="minorHAnsi" w:hAnsi="Times New Roman"/>
          <w:color w:val="767171"/>
          <w:spacing w:val="20"/>
          <w:sz w:val="24"/>
          <w:szCs w:val="24"/>
        </w:rPr>
        <w:t>I</w:t>
      </w:r>
      <w:r w:rsidRPr="00232EBB">
        <w:rPr>
          <w:rFonts w:ascii="Times New Roman" w:eastAsiaTheme="minorHAnsi" w:hAnsi="Times New Roman"/>
          <w:color w:val="767171"/>
          <w:spacing w:val="20"/>
          <w:sz w:val="24"/>
          <w:szCs w:val="24"/>
        </w:rPr>
        <w:t xml:space="preserve">nstitucional </w:t>
      </w:r>
      <w:r w:rsidR="000025D4" w:rsidRPr="00232EBB">
        <w:rPr>
          <w:rFonts w:ascii="Times New Roman" w:eastAsiaTheme="minorHAnsi" w:hAnsi="Times New Roman"/>
          <w:color w:val="767171"/>
          <w:spacing w:val="20"/>
          <w:sz w:val="24"/>
          <w:szCs w:val="24"/>
        </w:rPr>
        <w:t>202</w:t>
      </w:r>
      <w:r w:rsidR="002874E6" w:rsidRPr="00232EBB">
        <w:rPr>
          <w:rFonts w:ascii="Times New Roman" w:eastAsiaTheme="minorHAnsi" w:hAnsi="Times New Roman"/>
          <w:color w:val="767171"/>
          <w:spacing w:val="20"/>
          <w:sz w:val="24"/>
          <w:szCs w:val="24"/>
        </w:rPr>
        <w:t>5</w:t>
      </w:r>
    </w:p>
    <w:p w14:paraId="4B827E01" w14:textId="65F794A5" w:rsidR="003A6D2F" w:rsidRPr="00232EBB" w:rsidRDefault="00CC305A" w:rsidP="009E3A89">
      <w:pPr>
        <w:pStyle w:val="Heading1"/>
        <w:spacing w:after="240" w:line="259" w:lineRule="auto"/>
        <w:jc w:val="left"/>
        <w:rPr>
          <w:rFonts w:cs="Times New Roman"/>
          <w:spacing w:val="0"/>
          <w:lang w:val="es-DO"/>
        </w:rPr>
      </w:pPr>
      <w:bookmarkStart w:id="7" w:name="_Toc154736674"/>
      <w:bookmarkStart w:id="8" w:name="_Toc216952202"/>
      <w:r w:rsidRPr="00232EBB">
        <w:rPr>
          <w:rFonts w:cs="Times New Roman"/>
          <w:spacing w:val="0"/>
          <w:lang w:val="es-DO"/>
        </w:rPr>
        <w:t>2.</w:t>
      </w:r>
      <w:r w:rsidR="00AF6623" w:rsidRPr="00232EBB">
        <w:rPr>
          <w:rFonts w:cs="Times New Roman"/>
          <w:spacing w:val="0"/>
          <w:lang w:val="es-DO"/>
        </w:rPr>
        <w:t>1</w:t>
      </w:r>
      <w:r w:rsidRPr="00232EBB">
        <w:rPr>
          <w:rFonts w:cs="Times New Roman"/>
          <w:spacing w:val="0"/>
          <w:lang w:val="es-DO"/>
        </w:rPr>
        <w:t xml:space="preserve"> </w:t>
      </w:r>
      <w:r w:rsidR="003A6D2F" w:rsidRPr="00232EBB">
        <w:rPr>
          <w:rFonts w:cs="Times New Roman"/>
          <w:spacing w:val="0"/>
          <w:lang w:val="es-DO"/>
        </w:rPr>
        <w:t>Marco Filosófico Institucional</w:t>
      </w:r>
      <w:bookmarkEnd w:id="7"/>
      <w:bookmarkEnd w:id="8"/>
    </w:p>
    <w:p w14:paraId="6828D2A3" w14:textId="585721B2" w:rsidR="003A6D2F" w:rsidRPr="00232EBB" w:rsidRDefault="4C9CBB1A" w:rsidP="003A6D2F">
      <w:pPr>
        <w:spacing w:before="240" w:after="240" w:line="360" w:lineRule="auto"/>
        <w:jc w:val="both"/>
        <w:rPr>
          <w:rFonts w:eastAsia="Calibri"/>
          <w:lang w:val="es-DO"/>
        </w:rPr>
      </w:pPr>
      <w:r w:rsidRPr="00232EBB">
        <w:rPr>
          <w:rFonts w:eastAsia="Calibri"/>
          <w:lang w:val="es-DO"/>
        </w:rPr>
        <w:t>La Tesorería de la Seguridad Social (TSS) es una entidad autónoma y descentralizada del Estado, adscrita al Ministerio de</w:t>
      </w:r>
      <w:r w:rsidR="006E754B" w:rsidRPr="00232EBB">
        <w:rPr>
          <w:rFonts w:eastAsia="Calibri"/>
          <w:lang w:val="es-DO"/>
        </w:rPr>
        <w:t xml:space="preserve"> </w:t>
      </w:r>
      <w:r w:rsidRPr="00232EBB">
        <w:rPr>
          <w:rFonts w:eastAsia="Calibri"/>
          <w:lang w:val="es-DO"/>
        </w:rPr>
        <w:t>Trabajo, dotada de personalidad jurídica, según establece el Art. 28 de la Ley 87-01 modificado mediante el Art. 3 de la Ley 13-20.</w:t>
      </w:r>
    </w:p>
    <w:p w14:paraId="0125B519" w14:textId="77777777" w:rsidR="003A6D2F" w:rsidRPr="00232EBB" w:rsidRDefault="003A6D2F" w:rsidP="003A6D2F">
      <w:pPr>
        <w:spacing w:before="240" w:after="240" w:line="360" w:lineRule="auto"/>
        <w:jc w:val="both"/>
        <w:rPr>
          <w:rFonts w:eastAsia="Calibri"/>
          <w:lang w:val="es-DO"/>
        </w:rPr>
      </w:pPr>
      <w:r w:rsidRPr="00232EBB">
        <w:rPr>
          <w:rFonts w:eastAsia="Calibri"/>
          <w:lang w:val="es-DO"/>
        </w:rPr>
        <w:t>La TSS es la institución responsable de administrar el Sistema Único de Información y Recaudo (SUIR), y la distribución y pago de los recursos del Sistema Dominicano de Seguridad Social (SDSS), mediante una gestión modelo, confiable, enfocada en el servicio y compromiso, con eficiencia y transparencia.</w:t>
      </w:r>
    </w:p>
    <w:p w14:paraId="1EA1398E" w14:textId="77777777" w:rsidR="003A6D2F" w:rsidRPr="00232EBB" w:rsidRDefault="003A6D2F" w:rsidP="009E3A89">
      <w:pPr>
        <w:keepNext/>
        <w:keepLines/>
        <w:spacing w:before="240" w:after="240"/>
        <w:outlineLvl w:val="0"/>
        <w:rPr>
          <w:rFonts w:eastAsiaTheme="majorEastAsia"/>
          <w:b/>
          <w:color w:val="767171" w:themeColor="background2" w:themeShade="80"/>
          <w:spacing w:val="0"/>
          <w:lang w:val="es-DO"/>
        </w:rPr>
      </w:pPr>
      <w:bookmarkStart w:id="9" w:name="_Toc154736675"/>
      <w:bookmarkStart w:id="10" w:name="_Toc216952203"/>
      <w:r w:rsidRPr="00232EBB">
        <w:rPr>
          <w:rFonts w:eastAsiaTheme="majorEastAsia"/>
          <w:b/>
          <w:color w:val="767171" w:themeColor="background2" w:themeShade="80"/>
          <w:spacing w:val="0"/>
          <w:lang w:val="es-DO"/>
        </w:rPr>
        <w:t>Misión</w:t>
      </w:r>
      <w:bookmarkEnd w:id="9"/>
      <w:bookmarkEnd w:id="10"/>
      <w:r w:rsidRPr="00232EBB">
        <w:rPr>
          <w:rFonts w:eastAsiaTheme="majorEastAsia"/>
          <w:b/>
          <w:color w:val="767171" w:themeColor="background2" w:themeShade="80"/>
          <w:spacing w:val="0"/>
          <w:lang w:val="es-DO"/>
        </w:rPr>
        <w:t xml:space="preserve"> </w:t>
      </w:r>
    </w:p>
    <w:p w14:paraId="5DF72434" w14:textId="390D250D" w:rsidR="00BF403A" w:rsidRPr="00232EBB" w:rsidRDefault="00BF403A" w:rsidP="00536A57">
      <w:pPr>
        <w:keepNext/>
        <w:keepLines/>
        <w:spacing w:before="240" w:after="240" w:line="360" w:lineRule="auto"/>
        <w:jc w:val="both"/>
        <w:outlineLvl w:val="0"/>
        <w:rPr>
          <w:rFonts w:eastAsia="Calibri"/>
          <w:lang w:val="es-DO"/>
        </w:rPr>
      </w:pPr>
      <w:bookmarkStart w:id="11" w:name="_Toc216952204"/>
      <w:bookmarkStart w:id="12" w:name="_Toc154736676"/>
      <w:r w:rsidRPr="00232EBB">
        <w:rPr>
          <w:rFonts w:eastAsia="Calibri"/>
          <w:lang w:val="es-DO"/>
        </w:rPr>
        <w:t>Administrar la información y gestionar los recursos financieros del SDSS de forma oportuna, eficiente y transparente, en beneficio de la población afiliada, conforme al marco legal vigente</w:t>
      </w:r>
      <w:r w:rsidR="00C016FC" w:rsidRPr="00232EBB">
        <w:rPr>
          <w:rFonts w:eastAsia="Calibri"/>
          <w:lang w:val="es-DO"/>
        </w:rPr>
        <w:t>.</w:t>
      </w:r>
      <w:bookmarkEnd w:id="11"/>
      <w:r w:rsidRPr="00232EBB">
        <w:rPr>
          <w:rFonts w:eastAsia="Calibri"/>
          <w:lang w:val="es-DO"/>
        </w:rPr>
        <w:t xml:space="preserve"> </w:t>
      </w:r>
    </w:p>
    <w:p w14:paraId="1E28BDE8" w14:textId="40C84475" w:rsidR="003A6D2F" w:rsidRPr="00232EBB" w:rsidRDefault="003A6D2F" w:rsidP="009E3A89">
      <w:pPr>
        <w:keepNext/>
        <w:keepLines/>
        <w:spacing w:before="240" w:after="240"/>
        <w:outlineLvl w:val="0"/>
        <w:rPr>
          <w:rFonts w:eastAsiaTheme="majorEastAsia"/>
          <w:b/>
          <w:color w:val="767171" w:themeColor="background2" w:themeShade="80"/>
          <w:spacing w:val="0"/>
          <w:lang w:val="es-DO"/>
        </w:rPr>
      </w:pPr>
      <w:bookmarkStart w:id="13" w:name="_Toc216952205"/>
      <w:r w:rsidRPr="00232EBB">
        <w:rPr>
          <w:rFonts w:eastAsiaTheme="majorEastAsia"/>
          <w:b/>
          <w:color w:val="767171" w:themeColor="background2" w:themeShade="80"/>
          <w:spacing w:val="0"/>
          <w:lang w:val="es-DO"/>
        </w:rPr>
        <w:t>Visión</w:t>
      </w:r>
      <w:bookmarkEnd w:id="12"/>
      <w:bookmarkEnd w:id="13"/>
      <w:r w:rsidRPr="00232EBB">
        <w:rPr>
          <w:rFonts w:eastAsiaTheme="majorEastAsia"/>
          <w:b/>
          <w:color w:val="767171" w:themeColor="background2" w:themeShade="80"/>
          <w:spacing w:val="0"/>
          <w:lang w:val="es-DO"/>
        </w:rPr>
        <w:t xml:space="preserve"> </w:t>
      </w:r>
    </w:p>
    <w:p w14:paraId="33D4F9EF" w14:textId="02635FDA" w:rsidR="00BF403A" w:rsidRPr="00232EBB" w:rsidRDefault="00BF403A" w:rsidP="00536A57">
      <w:pPr>
        <w:keepNext/>
        <w:keepLines/>
        <w:spacing w:before="240" w:after="240" w:line="360" w:lineRule="auto"/>
        <w:jc w:val="both"/>
        <w:outlineLvl w:val="0"/>
        <w:rPr>
          <w:rFonts w:eastAsia="Calibri"/>
          <w:lang w:val="es-DO"/>
        </w:rPr>
      </w:pPr>
      <w:bookmarkStart w:id="14" w:name="_Toc216952206"/>
      <w:bookmarkStart w:id="15" w:name="_Toc154736677"/>
      <w:r w:rsidRPr="00232EBB">
        <w:rPr>
          <w:rFonts w:eastAsia="Calibri"/>
          <w:lang w:val="es-DO"/>
        </w:rPr>
        <w:t>Ser una entidad resiliente, vanguardista y accesible, reconocida por el manejo transparente y confiable de sus operaciones y recursos, mediante la aplicación de altos estándares de gestión institucional que impacten la calidad de vida de la población</w:t>
      </w:r>
      <w:r w:rsidR="00C016FC" w:rsidRPr="00232EBB">
        <w:rPr>
          <w:rFonts w:eastAsia="Calibri"/>
          <w:lang w:val="es-DO"/>
        </w:rPr>
        <w:t>.</w:t>
      </w:r>
      <w:bookmarkEnd w:id="14"/>
    </w:p>
    <w:p w14:paraId="5089BB2E" w14:textId="2F1AD7C9" w:rsidR="003A6D2F" w:rsidRPr="00232EBB" w:rsidRDefault="003A6D2F" w:rsidP="009E3A89">
      <w:pPr>
        <w:keepNext/>
        <w:keepLines/>
        <w:spacing w:before="240" w:after="240"/>
        <w:outlineLvl w:val="0"/>
        <w:rPr>
          <w:rFonts w:eastAsiaTheme="majorEastAsia"/>
          <w:b/>
          <w:color w:val="767171" w:themeColor="background2" w:themeShade="80"/>
          <w:spacing w:val="0"/>
          <w:lang w:val="es-DO"/>
        </w:rPr>
      </w:pPr>
      <w:bookmarkStart w:id="16" w:name="_Toc216952207"/>
      <w:r w:rsidRPr="00232EBB">
        <w:rPr>
          <w:rFonts w:eastAsiaTheme="majorEastAsia"/>
          <w:b/>
          <w:color w:val="767171" w:themeColor="background2" w:themeShade="80"/>
          <w:spacing w:val="0"/>
          <w:lang w:val="es-DO"/>
        </w:rPr>
        <w:t>Valores</w:t>
      </w:r>
      <w:bookmarkEnd w:id="15"/>
      <w:bookmarkEnd w:id="16"/>
      <w:r w:rsidRPr="00232EBB">
        <w:rPr>
          <w:rFonts w:eastAsiaTheme="majorEastAsia"/>
          <w:b/>
          <w:color w:val="767171" w:themeColor="background2" w:themeShade="80"/>
          <w:spacing w:val="0"/>
          <w:lang w:val="es-DO"/>
        </w:rPr>
        <w:t xml:space="preserve"> </w:t>
      </w:r>
    </w:p>
    <w:p w14:paraId="4EDEB408" w14:textId="77777777" w:rsidR="003A6D2F" w:rsidRPr="00232EBB" w:rsidRDefault="003A6D2F" w:rsidP="003A6D2F">
      <w:pPr>
        <w:spacing w:before="240" w:after="240" w:line="360" w:lineRule="auto"/>
        <w:jc w:val="both"/>
        <w:rPr>
          <w:rFonts w:eastAsia="Calibri"/>
          <w:b/>
          <w:bCs/>
          <w:lang w:val="es-DO"/>
        </w:rPr>
      </w:pPr>
      <w:r w:rsidRPr="00232EBB">
        <w:rPr>
          <w:rFonts w:eastAsia="Calibri"/>
          <w:b/>
          <w:bCs/>
          <w:lang w:val="es-DO"/>
        </w:rPr>
        <w:t>Transparencia:</w:t>
      </w:r>
    </w:p>
    <w:p w14:paraId="737ED31D" w14:textId="6EB9FE0D" w:rsidR="00BF403A" w:rsidRPr="00232EBB" w:rsidRDefault="00BF403A" w:rsidP="009E3A89">
      <w:pPr>
        <w:spacing w:before="240" w:after="240" w:line="360" w:lineRule="auto"/>
        <w:jc w:val="both"/>
        <w:rPr>
          <w:rFonts w:eastAsia="Calibri"/>
          <w:lang w:val="es-DO"/>
        </w:rPr>
      </w:pPr>
      <w:r w:rsidRPr="00232EBB">
        <w:rPr>
          <w:rFonts w:eastAsia="Calibri"/>
          <w:lang w:val="es-DO"/>
        </w:rPr>
        <w:t xml:space="preserve">Promovemos un enfoque de comunicación abierta que le permite a la población acceder a información sin restricciones, aumentando la </w:t>
      </w:r>
      <w:r w:rsidRPr="00232EBB">
        <w:rPr>
          <w:rFonts w:eastAsia="Calibri"/>
          <w:lang w:val="es-DO"/>
        </w:rPr>
        <w:lastRenderedPageBreak/>
        <w:t>visibilidad y promoviendo una presentación clara y concisa de nuestras operaciones que fortalecen la confianza y vínculo con la comunidad</w:t>
      </w:r>
      <w:r w:rsidR="00536A57" w:rsidRPr="00232EBB">
        <w:rPr>
          <w:rFonts w:eastAsia="Calibri"/>
          <w:lang w:val="es-DO"/>
        </w:rPr>
        <w:t>.</w:t>
      </w:r>
    </w:p>
    <w:p w14:paraId="2579ABF3" w14:textId="5891FC09" w:rsidR="003A6D2F" w:rsidRPr="00232EBB" w:rsidRDefault="00BF403A" w:rsidP="009E3A89">
      <w:pPr>
        <w:spacing w:before="240" w:after="240" w:line="360" w:lineRule="auto"/>
        <w:jc w:val="both"/>
        <w:rPr>
          <w:rFonts w:eastAsia="Calibri"/>
          <w:b/>
          <w:bCs/>
          <w:lang w:val="es-DO"/>
        </w:rPr>
      </w:pPr>
      <w:r w:rsidRPr="00232EBB">
        <w:rPr>
          <w:rFonts w:eastAsia="Calibri"/>
          <w:b/>
          <w:bCs/>
          <w:lang w:val="es-DO"/>
        </w:rPr>
        <w:t>Resiliencia:</w:t>
      </w:r>
    </w:p>
    <w:p w14:paraId="18D4BADC" w14:textId="77777777" w:rsidR="00BF403A" w:rsidRPr="00232EBB" w:rsidRDefault="00BF403A" w:rsidP="009E3A89">
      <w:pPr>
        <w:spacing w:before="240" w:after="240" w:line="360" w:lineRule="auto"/>
        <w:jc w:val="both"/>
        <w:rPr>
          <w:rFonts w:eastAsia="Calibri"/>
          <w:lang w:val="es-DO"/>
        </w:rPr>
      </w:pPr>
      <w:r w:rsidRPr="00232EBB">
        <w:rPr>
          <w:rFonts w:eastAsia="Calibri"/>
          <w:lang w:val="es-DO"/>
        </w:rPr>
        <w:t>Asumimos un compromiso inquebrantable para enfrentar los desafíos con valentía y determinación, impulsando iniciativas que fortalezcan nuestra capacidad de adaptación y robustez, mientras fomentamos sinergias y anticipamos cambios para convertir adversidades en oportunidades y gestionar riesgos de manera proactiva.</w:t>
      </w:r>
    </w:p>
    <w:p w14:paraId="44847ABE" w14:textId="1BC04A9D" w:rsidR="003A6D2F" w:rsidRPr="00232EBB" w:rsidRDefault="003A6D2F" w:rsidP="009E3A89">
      <w:pPr>
        <w:spacing w:before="240" w:after="240" w:line="360" w:lineRule="auto"/>
        <w:jc w:val="both"/>
        <w:rPr>
          <w:rFonts w:eastAsia="Calibri"/>
          <w:b/>
          <w:bCs/>
          <w:lang w:val="es-DO"/>
        </w:rPr>
      </w:pPr>
      <w:r w:rsidRPr="00232EBB">
        <w:rPr>
          <w:rFonts w:eastAsia="Calibri"/>
          <w:b/>
          <w:bCs/>
          <w:lang w:val="es-DO"/>
        </w:rPr>
        <w:t> </w:t>
      </w:r>
      <w:r w:rsidR="00BF403A" w:rsidRPr="00232EBB">
        <w:rPr>
          <w:rFonts w:eastAsia="Calibri"/>
          <w:b/>
          <w:bCs/>
          <w:lang w:val="es-DO"/>
        </w:rPr>
        <w:t>Credibilidad:</w:t>
      </w:r>
    </w:p>
    <w:p w14:paraId="45893C73" w14:textId="77777777" w:rsidR="00BF403A" w:rsidRPr="00232EBB" w:rsidRDefault="00BF403A" w:rsidP="009E3A89">
      <w:pPr>
        <w:spacing w:before="240" w:after="240" w:line="360" w:lineRule="auto"/>
        <w:jc w:val="both"/>
        <w:rPr>
          <w:rFonts w:eastAsia="Calibri"/>
          <w:lang w:val="es-DO"/>
        </w:rPr>
      </w:pPr>
      <w:r w:rsidRPr="00232EBB">
        <w:rPr>
          <w:rFonts w:eastAsia="Calibri"/>
          <w:lang w:val="es-DO"/>
        </w:rPr>
        <w:t>Cultivamos nuestra credibilidad mediante la confianza que forjamos a través de la transparencia, la coherencia y el cumplimiento diligente de nuestros compromisos, lo que se traduce en un desempeño institucional caracterizado por integridad y responsabilidad, asegurando que cada acción y decisión esté alineada con nuestros altos estándares de excelencia.</w:t>
      </w:r>
    </w:p>
    <w:p w14:paraId="5858FD76" w14:textId="4D40AF13" w:rsidR="003A6D2F" w:rsidRPr="00232EBB" w:rsidRDefault="003A6D2F" w:rsidP="009E3A89">
      <w:pPr>
        <w:spacing w:before="240" w:after="240" w:line="360" w:lineRule="auto"/>
        <w:jc w:val="both"/>
        <w:rPr>
          <w:rFonts w:eastAsia="Calibri"/>
          <w:b/>
          <w:bCs/>
          <w:lang w:val="es-DO"/>
        </w:rPr>
      </w:pPr>
      <w:r w:rsidRPr="00232EBB">
        <w:rPr>
          <w:rFonts w:eastAsia="Calibri"/>
          <w:b/>
          <w:bCs/>
          <w:lang w:val="es-DO"/>
        </w:rPr>
        <w:t> Innovación:</w:t>
      </w:r>
    </w:p>
    <w:p w14:paraId="62DB136F" w14:textId="77777777" w:rsidR="002766E0" w:rsidRPr="00232EBB" w:rsidRDefault="00BF403A" w:rsidP="00BF403A">
      <w:pPr>
        <w:spacing w:before="240" w:after="240" w:line="360" w:lineRule="auto"/>
        <w:jc w:val="both"/>
        <w:rPr>
          <w:rFonts w:eastAsia="Calibri"/>
          <w:lang w:val="es-DO"/>
        </w:rPr>
      </w:pPr>
      <w:r w:rsidRPr="00232EBB">
        <w:rPr>
          <w:rFonts w:eastAsia="Calibri"/>
          <w:lang w:val="es-DO"/>
        </w:rPr>
        <w:t>Nos encaminamos hacia un futuro audaz y vanguardista, donde las ideas innovadoras se traducen en soluciones efectivas que abordan las necesidades emergentes de nuestros afiliados y beneficiarios, consolidando así nuestro firme compromiso con la excelencia en cada paso del trayecto</w:t>
      </w:r>
      <w:r w:rsidR="00536A57" w:rsidRPr="00232EBB">
        <w:rPr>
          <w:rFonts w:eastAsia="Calibri"/>
          <w:lang w:val="es-DO"/>
        </w:rPr>
        <w:t>.</w:t>
      </w:r>
    </w:p>
    <w:p w14:paraId="27DA30E5" w14:textId="2523A0C3" w:rsidR="00BF403A" w:rsidRPr="00232EBB" w:rsidRDefault="00BF403A" w:rsidP="00BF403A">
      <w:pPr>
        <w:spacing w:before="240" w:after="240" w:line="360" w:lineRule="auto"/>
        <w:jc w:val="both"/>
        <w:rPr>
          <w:rFonts w:eastAsia="Calibri"/>
          <w:lang w:val="es-DO"/>
        </w:rPr>
      </w:pPr>
      <w:r w:rsidRPr="00232EBB">
        <w:rPr>
          <w:rFonts w:eastAsia="Calibri"/>
          <w:b/>
          <w:bCs/>
          <w:lang w:val="es-DO"/>
        </w:rPr>
        <w:t>Compromiso:</w:t>
      </w:r>
    </w:p>
    <w:p w14:paraId="4414CE92" w14:textId="7183A53F" w:rsidR="00BF403A" w:rsidRPr="00232EBB" w:rsidRDefault="00BF403A" w:rsidP="002766E0">
      <w:pPr>
        <w:spacing w:before="240" w:after="240" w:line="360" w:lineRule="auto"/>
        <w:jc w:val="both"/>
        <w:rPr>
          <w:rFonts w:eastAsia="Calibri"/>
          <w:lang w:val="es-DO"/>
        </w:rPr>
      </w:pPr>
      <w:r w:rsidRPr="00232EBB">
        <w:rPr>
          <w:rFonts w:eastAsia="Calibri"/>
          <w:lang w:val="es-DO"/>
        </w:rPr>
        <w:t xml:space="preserve">Es la guía que orienta nuestra misión, reflejándose en una dedicación firme a nuestras responsabilidades, donde cada acción y decisión está </w:t>
      </w:r>
      <w:r w:rsidRPr="00232EBB">
        <w:rPr>
          <w:rFonts w:eastAsia="Calibri"/>
          <w:lang w:val="es-DO"/>
        </w:rPr>
        <w:lastRenderedPageBreak/>
        <w:t>conectada al bienestar de la comunidad que servimos y contribuye a elevar su calidad de vida, sustentándose en principios éticos</w:t>
      </w:r>
      <w:r w:rsidR="00C016FC" w:rsidRPr="00232EBB">
        <w:rPr>
          <w:rFonts w:eastAsia="Calibri"/>
          <w:lang w:val="es-DO"/>
        </w:rPr>
        <w:t>.</w:t>
      </w:r>
    </w:p>
    <w:p w14:paraId="4DEEB57D" w14:textId="34A54A01" w:rsidR="003A6D2F" w:rsidRPr="00232EBB" w:rsidRDefault="00CC305A" w:rsidP="009E3A89">
      <w:pPr>
        <w:pStyle w:val="Heading1"/>
        <w:spacing w:after="240" w:line="259" w:lineRule="auto"/>
        <w:jc w:val="left"/>
        <w:rPr>
          <w:rFonts w:cs="Times New Roman"/>
          <w:spacing w:val="0"/>
          <w:lang w:val="es-DO"/>
        </w:rPr>
      </w:pPr>
      <w:bookmarkStart w:id="17" w:name="_Toc216952208"/>
      <w:r w:rsidRPr="00232EBB">
        <w:rPr>
          <w:rFonts w:cs="Times New Roman"/>
          <w:spacing w:val="0"/>
          <w:lang w:val="es-DO"/>
        </w:rPr>
        <w:t>2.2</w:t>
      </w:r>
      <w:r w:rsidR="003A6D2F" w:rsidRPr="00232EBB">
        <w:rPr>
          <w:rFonts w:cs="Times New Roman"/>
          <w:spacing w:val="0"/>
          <w:lang w:val="es-DO"/>
        </w:rPr>
        <w:t xml:space="preserve"> </w:t>
      </w:r>
      <w:bookmarkStart w:id="18" w:name="_Toc154736678"/>
      <w:r w:rsidR="003A6D2F" w:rsidRPr="00232EBB">
        <w:rPr>
          <w:rFonts w:cs="Times New Roman"/>
          <w:spacing w:val="0"/>
          <w:lang w:val="es-DO"/>
        </w:rPr>
        <w:t>Normativa Reguladora</w:t>
      </w:r>
      <w:bookmarkEnd w:id="17"/>
      <w:bookmarkEnd w:id="18"/>
    </w:p>
    <w:p w14:paraId="59B55653" w14:textId="77777777" w:rsidR="003A6D2F" w:rsidRPr="00232EBB" w:rsidRDefault="003A6D2F" w:rsidP="00865274">
      <w:pPr>
        <w:tabs>
          <w:tab w:val="left" w:pos="90"/>
        </w:tabs>
        <w:spacing w:before="240" w:after="240" w:line="360" w:lineRule="auto"/>
        <w:jc w:val="both"/>
        <w:rPr>
          <w:rFonts w:eastAsia="Calibri"/>
          <w:b/>
          <w:bCs/>
          <w:lang w:val="es-DO"/>
        </w:rPr>
      </w:pPr>
      <w:r w:rsidRPr="00232EBB">
        <w:rPr>
          <w:rFonts w:eastAsia="Calibri"/>
          <w:b/>
          <w:bCs/>
          <w:lang w:val="es-DO"/>
        </w:rPr>
        <w:t>Leyes:</w:t>
      </w:r>
    </w:p>
    <w:p w14:paraId="27A71859"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Constitución de la República Dominicana, proclamada el 27 de octubre del 2024.</w:t>
      </w:r>
    </w:p>
    <w:p w14:paraId="4BB1D347"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87-01, de fecha 09 de mayo del 2001, que crea el Sistema Dominicano de Seguridad Social (SDSS), modificada por la Ley No. 13-20, de fecha 07 de febrero del 2020, que fortalece la Tesorería de la Seguridad Social (TSS).</w:t>
      </w:r>
    </w:p>
    <w:p w14:paraId="13704EBA"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126-02, de fecha 04 de septiembre del 2002, sobre Comercio Electrónico, Documento y firma Digital.</w:t>
      </w:r>
    </w:p>
    <w:p w14:paraId="5C503D24"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200-04, de fecha 28 de julio del 2004, General de Libre Acceso a la Información Pública.</w:t>
      </w:r>
    </w:p>
    <w:p w14:paraId="623B4676"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 xml:space="preserve">Ley No. 340-06, de fecha 18 de agosto del 2006, sobre Compras y Contrataciones de Bienes, Servicios, Obras y Concesiones y sus modificaciones. </w:t>
      </w:r>
    </w:p>
    <w:p w14:paraId="1EBAC07C"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423-06, de fecha 14 de noviembre del 2006, Orgánica de Presupuesto para el Sector Público.</w:t>
      </w:r>
    </w:p>
    <w:p w14:paraId="5A862EBD"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188-07, de fecha 09 de agosto del 2007, que introduce modificaciones a la Ley 87-01, que crea el Sistema Dominicano de la Seguridad Social (SDSS).</w:t>
      </w:r>
    </w:p>
    <w:p w14:paraId="5F0547C2" w14:textId="2E7C9C6B" w:rsidR="00553C11"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189-07, de fecha 09 de agosto del 2007, que facilita el pago a los empleadores con deudas pendientes con el Sistema Dominicano de la Seguridad Social (SDSS).</w:t>
      </w:r>
    </w:p>
    <w:p w14:paraId="69FEC88A" w14:textId="3854D738"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 xml:space="preserve">Ley No. 41-08, de fecha 16 de enero del 2008, </w:t>
      </w:r>
      <w:r w:rsidR="00553C11" w:rsidRPr="00232EBB">
        <w:rPr>
          <w:rFonts w:ascii="Times New Roman" w:hAnsi="Times New Roman"/>
          <w:color w:val="767171"/>
          <w:spacing w:val="20"/>
          <w:sz w:val="24"/>
          <w:szCs w:val="24"/>
        </w:rPr>
        <w:t>d</w:t>
      </w:r>
      <w:r w:rsidRPr="00232EBB">
        <w:rPr>
          <w:rFonts w:ascii="Times New Roman" w:hAnsi="Times New Roman"/>
          <w:color w:val="767171"/>
          <w:spacing w:val="20"/>
          <w:sz w:val="24"/>
          <w:szCs w:val="24"/>
        </w:rPr>
        <w:t>e</w:t>
      </w:r>
      <w:r w:rsidR="00553C11" w:rsidRPr="00232EBB">
        <w:rPr>
          <w:rFonts w:ascii="Times New Roman" w:hAnsi="Times New Roman"/>
          <w:color w:val="767171"/>
          <w:spacing w:val="20"/>
          <w:sz w:val="24"/>
          <w:szCs w:val="24"/>
        </w:rPr>
        <w:t xml:space="preserve"> </w:t>
      </w:r>
      <w:r w:rsidRPr="00232EBB">
        <w:rPr>
          <w:rFonts w:ascii="Times New Roman" w:hAnsi="Times New Roman"/>
          <w:color w:val="767171"/>
          <w:spacing w:val="20"/>
          <w:sz w:val="24"/>
          <w:szCs w:val="24"/>
        </w:rPr>
        <w:t>Función Pública y crea el hoy denominado Ministerio de Administración Pública.</w:t>
      </w:r>
    </w:p>
    <w:p w14:paraId="008C768A"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lastRenderedPageBreak/>
        <w:t>Ley No. 177-09, de fecha 22 de junio del 2009, que otorga amnistía a todos los empleadores públicos y privados, sean personas físicas o morales, con atrasos u omisiones en el pago de las cotizaciones relativas a los aportes del trabajador y las contribuciones del empleador al Sistema Dominicano de Seguridad Social, que hayan estado operando durante la vigencia de la Ley No. 87-01.</w:t>
      </w:r>
    </w:p>
    <w:p w14:paraId="16111559"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247-12, de fecha 09 de agosto del 2012, Orgánica de la Administración Pública.</w:t>
      </w:r>
    </w:p>
    <w:p w14:paraId="6D8995CB" w14:textId="77777777" w:rsidR="00972A03"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107-13, de fecha 06 de agosto del 2013, sobre los Derechos de las Personas en sus Relaciones con la Administración y de Procedimiento Administrativo.</w:t>
      </w:r>
    </w:p>
    <w:p w14:paraId="0CF4D449" w14:textId="76AE5A80" w:rsidR="001E7917" w:rsidRPr="00232EBB" w:rsidRDefault="00972A03" w:rsidP="000E2299">
      <w:pPr>
        <w:pStyle w:val="ListParagraph"/>
        <w:numPr>
          <w:ilvl w:val="0"/>
          <w:numId w:val="7"/>
        </w:numPr>
        <w:tabs>
          <w:tab w:val="left" w:pos="284"/>
        </w:tabs>
        <w:spacing w:before="240" w:after="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Ley No. 167-21, de fecha 12 de agosto del 2021, sobre Mejora Regulatoria y Simplificación de Trámites.</w:t>
      </w:r>
    </w:p>
    <w:p w14:paraId="0EF134A7" w14:textId="77777777" w:rsidR="003A6D2F" w:rsidRPr="00232EBB" w:rsidRDefault="003A6D2F" w:rsidP="003A6D2F">
      <w:pPr>
        <w:spacing w:before="240" w:after="240" w:line="360" w:lineRule="auto"/>
        <w:jc w:val="both"/>
        <w:rPr>
          <w:rFonts w:eastAsia="Calibri"/>
          <w:b/>
          <w:bCs/>
          <w:lang w:val="es-DO"/>
        </w:rPr>
      </w:pPr>
      <w:r w:rsidRPr="00232EBB">
        <w:rPr>
          <w:rFonts w:eastAsia="Calibri"/>
          <w:b/>
          <w:bCs/>
          <w:lang w:val="es-DO"/>
        </w:rPr>
        <w:t>Decretos:</w:t>
      </w:r>
    </w:p>
    <w:p w14:paraId="567DAD94" w14:textId="77777777"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477-20 que designa al Tesorero de la Tesorería de la Seguridad Social.</w:t>
      </w:r>
    </w:p>
    <w:p w14:paraId="2E78E879" w14:textId="6EB581DE"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18-19 de fecha 7 de enero de 2019 que crea el Plan de Servicios de Salud Especial Transitorio para los Pensionados y Jubilados del Estado que se encuentran inscritos en la Dirección General de Jubilaciones y Pensiones a cargo del estado (DGJP), a partir del 1ro de enero de 2010.</w:t>
      </w:r>
    </w:p>
    <w:p w14:paraId="6F7B3E66" w14:textId="022FF843"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159-17 de fecha 11 de mayo de 2011, que crea el Plan Especial Transitorio de Servicios de Salud para Pensionados y Jubilados de las Fuerzas Armadas y sus Dependientes Directos.</w:t>
      </w:r>
    </w:p>
    <w:p w14:paraId="6615C417" w14:textId="7D949535"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 xml:space="preserve">Decreto No. 371-16 de fecha 28 de diciembre de 2016 que crea un Plan Especial Transitorio de Servicios de Salud para los pensionados y jubilados del sector salud y sus dependientes </w:t>
      </w:r>
      <w:r w:rsidRPr="00232EBB">
        <w:rPr>
          <w:rFonts w:eastAsia="Calibri"/>
          <w:lang w:val="es-DO"/>
        </w:rPr>
        <w:lastRenderedPageBreak/>
        <w:t>directos que reciban su prensión a través de la Dirección General de Jubilaciones y Pensiones del Ministerio de Hacienda, en virtud de los Decretos Núm. 208-16, 209-16 y 210-16, todos del 23 de agosto de 2016 que conceden el beneficio de jubilación y asignan pensiones a servidores públicos del sector de salud.</w:t>
      </w:r>
    </w:p>
    <w:p w14:paraId="6C109C11" w14:textId="030A152D"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96-16 que permite inclusión de extranjeros en el SDSS.</w:t>
      </w:r>
    </w:p>
    <w:p w14:paraId="54401FBA" w14:textId="529C23C4"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543-12, que aprueba el Reglamento de aplicación de la Ley</w:t>
      </w:r>
      <w:r w:rsidRPr="00232EBB">
        <w:rPr>
          <w:color w:val="auto"/>
          <w:spacing w:val="0"/>
          <w:sz w:val="22"/>
          <w:szCs w:val="22"/>
          <w:lang w:val="es-DO"/>
        </w:rPr>
        <w:t xml:space="preserve"> </w:t>
      </w:r>
      <w:r w:rsidRPr="00232EBB">
        <w:rPr>
          <w:rFonts w:eastAsia="Calibri"/>
          <w:lang w:val="es-DO"/>
        </w:rPr>
        <w:t>No. 340-06 sobre Compras y Contrataciones de Bienes, Servicios, Obras y Concesiones, de fecha 6 de septiembre de 2012.</w:t>
      </w:r>
    </w:p>
    <w:p w14:paraId="3B0DFD9C" w14:textId="7FC20B36"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327-11 de fecha 17 de mayo de 2011, que establece el incremento del per cápita para los Pensionados y Jubilados afiliados al Seguro Nacional de Salud (SENASA), beneficiarios del Plan de Servicios de Salud Especial Transitorio para los Pensionados y Jubilados del Estado, creado mediante Decreto No. 342-09, de fecha 28 de abril de 2009.</w:t>
      </w:r>
    </w:p>
    <w:p w14:paraId="22C717C0" w14:textId="5BC4707F"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213-10 de fecha 15 de abril de 2010, que modifica el Artículo 1 el Decreto 342-09 del 28 de abril de 2009 que creó el Plan de Servicios de Salud Especial Transitorio para los Pensionados y Jubilados del Estado, para incluir nuevos pensionados y jubilados e incrementa el per cápita del Seguro Familiar de Salud del Plan.</w:t>
      </w:r>
    </w:p>
    <w:p w14:paraId="4AE6DE91" w14:textId="58A82C7F"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342-09 de fecha 28 de abril de 2009, que crea el Plan de Servicios de Salud Especial Transitorio para los Pensionados y Jubilados del Estado.</w:t>
      </w:r>
    </w:p>
    <w:p w14:paraId="15F534E6" w14:textId="4954B5C2"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w:t>
      </w:r>
      <w:r w:rsidRPr="00232EBB">
        <w:rPr>
          <w:color w:val="auto"/>
          <w:spacing w:val="0"/>
          <w:sz w:val="22"/>
          <w:szCs w:val="22"/>
          <w:lang w:val="es-DO"/>
        </w:rPr>
        <w:t xml:space="preserve"> </w:t>
      </w:r>
      <w:r w:rsidRPr="00232EBB">
        <w:rPr>
          <w:rFonts w:eastAsia="Calibri"/>
          <w:lang w:val="es-DO"/>
        </w:rPr>
        <w:t xml:space="preserve">No. 528-09, que crea el Reglamento Orgánico Funcional del Ministerio de Administración Pública, de fecha </w:t>
      </w:r>
      <w:r w:rsidRPr="00232EBB">
        <w:rPr>
          <w:rFonts w:eastAsia="Calibri"/>
          <w:lang w:val="es-DO"/>
        </w:rPr>
        <w:lastRenderedPageBreak/>
        <w:t>21 de julio de 2009.</w:t>
      </w:r>
    </w:p>
    <w:p w14:paraId="7AFB1552" w14:textId="5D8F8ACA"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No.527-09, que crea el Reglamento Estructura Orgánica, Cargos y Política Salarial, de fecha 21 de julio de 2009.</w:t>
      </w:r>
    </w:p>
    <w:p w14:paraId="0D6DECB8" w14:textId="48BD6D8A"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 xml:space="preserve">Decreto No. 525-09, que crea el Reglamento de Evaluación del Desempeño y Promoción de los </w:t>
      </w:r>
      <w:r w:rsidR="003D03F0" w:rsidRPr="00232EBB">
        <w:rPr>
          <w:rFonts w:eastAsia="Calibri"/>
          <w:lang w:val="es-DO"/>
        </w:rPr>
        <w:t>s</w:t>
      </w:r>
      <w:r w:rsidRPr="00232EBB">
        <w:rPr>
          <w:rFonts w:eastAsia="Calibri"/>
          <w:lang w:val="es-DO"/>
        </w:rPr>
        <w:t xml:space="preserve">ervidores y </w:t>
      </w:r>
      <w:r w:rsidR="003D03F0" w:rsidRPr="00232EBB">
        <w:rPr>
          <w:rFonts w:eastAsia="Calibri"/>
          <w:lang w:val="es-DO"/>
        </w:rPr>
        <w:t>funcionarios</w:t>
      </w:r>
      <w:r w:rsidRPr="00232EBB">
        <w:rPr>
          <w:rFonts w:eastAsia="Calibri"/>
          <w:lang w:val="es-DO"/>
        </w:rPr>
        <w:t xml:space="preserve"> Públicos, de fecha 21 de julio 2009.</w:t>
      </w:r>
    </w:p>
    <w:p w14:paraId="4D1F011F" w14:textId="37283E74"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524-09, que crea del Reglamento de Reclutamiento y Selección de Personal en la Administración Pública, de fecha 21 de julio 2009.</w:t>
      </w:r>
    </w:p>
    <w:p w14:paraId="397AD788" w14:textId="3582CC0F"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 No. 523-09, que crea el Reglamento de Relaciones Laborales en la Administración Pública, de fecha 21 de julio de 2009.</w:t>
      </w:r>
    </w:p>
    <w:p w14:paraId="38AB4B02" w14:textId="74141B03"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Decreto</w:t>
      </w:r>
      <w:r w:rsidRPr="00232EBB">
        <w:rPr>
          <w:color w:val="auto"/>
          <w:spacing w:val="0"/>
          <w:sz w:val="22"/>
          <w:szCs w:val="22"/>
          <w:lang w:val="es-DO"/>
        </w:rPr>
        <w:t xml:space="preserve"> </w:t>
      </w:r>
      <w:r w:rsidRPr="00232EBB">
        <w:rPr>
          <w:rFonts w:eastAsia="Calibri"/>
          <w:lang w:val="es-DO"/>
        </w:rPr>
        <w:t>No. 491-07, que establece el Reglamento de Aplicación del Sistema Nacional de Control Interno, de fecha 30 de agostos de 2007.</w:t>
      </w:r>
    </w:p>
    <w:p w14:paraId="1E6953F6" w14:textId="0BD9AA9F" w:rsidR="003A6D2F" w:rsidRPr="00232EBB" w:rsidRDefault="003A6D2F" w:rsidP="00862F3D">
      <w:pPr>
        <w:numPr>
          <w:ilvl w:val="0"/>
          <w:numId w:val="2"/>
        </w:numPr>
        <w:spacing w:before="240" w:after="240" w:line="360" w:lineRule="auto"/>
        <w:contextualSpacing/>
        <w:jc w:val="both"/>
        <w:rPr>
          <w:rFonts w:eastAsia="Calibri"/>
          <w:b/>
          <w:bCs/>
          <w:lang w:val="es-DO"/>
        </w:rPr>
      </w:pPr>
      <w:r w:rsidRPr="00232EBB">
        <w:rPr>
          <w:rFonts w:eastAsia="Calibri"/>
          <w:lang w:val="es-DO"/>
        </w:rPr>
        <w:t>Decreto No. 130-05, que aprueba el Reglamento de Aplicación de la Ley No. 200-04, de fecha 25 de febrero de 2005.</w:t>
      </w:r>
    </w:p>
    <w:p w14:paraId="49C6BBBD" w14:textId="77777777" w:rsidR="003A6D2F" w:rsidRPr="00232EBB" w:rsidRDefault="003A6D2F" w:rsidP="003A6D2F">
      <w:pPr>
        <w:spacing w:before="240" w:after="240" w:line="360" w:lineRule="auto"/>
        <w:jc w:val="both"/>
        <w:rPr>
          <w:rFonts w:eastAsia="Calibri"/>
          <w:b/>
          <w:bCs/>
          <w:lang w:val="es-DO"/>
        </w:rPr>
      </w:pPr>
      <w:r w:rsidRPr="00232EBB">
        <w:rPr>
          <w:rFonts w:eastAsia="Calibri"/>
          <w:b/>
          <w:bCs/>
          <w:lang w:val="es-DO"/>
        </w:rPr>
        <w:t>Reglamentos:</w:t>
      </w:r>
    </w:p>
    <w:p w14:paraId="681D246A" w14:textId="3A5423B8"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Reglamento Orgánico de la TSS aprobado mediante Decreto No. 775-03 de fecha 12 de agosto de 2003.</w:t>
      </w:r>
    </w:p>
    <w:p w14:paraId="410ADFC8" w14:textId="7C71E886"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Reglamento de Pensiones, aprobado mediante Decreto No. 969-02 de fecha 19 de diciembre del 2002.</w:t>
      </w:r>
    </w:p>
    <w:p w14:paraId="5937DD5D" w14:textId="43A5EA13" w:rsidR="003A6D2F" w:rsidRPr="00232EBB" w:rsidRDefault="003A6D2F" w:rsidP="00862F3D">
      <w:pPr>
        <w:numPr>
          <w:ilvl w:val="0"/>
          <w:numId w:val="2"/>
        </w:numPr>
        <w:spacing w:before="240" w:after="240" w:line="360" w:lineRule="auto"/>
        <w:contextualSpacing/>
        <w:jc w:val="both"/>
        <w:rPr>
          <w:rFonts w:eastAsia="Calibri"/>
          <w:lang w:val="es-DO"/>
        </w:rPr>
      </w:pPr>
      <w:r w:rsidRPr="00232EBB">
        <w:rPr>
          <w:rFonts w:eastAsia="Calibri"/>
          <w:lang w:val="es-DO"/>
        </w:rPr>
        <w:t>Reglamento del Régimen Subsidiado Modificado, aprobado mediante Decreto No. 136-13, de fecha 02 de octubre de 2013.</w:t>
      </w:r>
    </w:p>
    <w:p w14:paraId="594DBFBD" w14:textId="77777777" w:rsidR="007039C6" w:rsidRPr="00232EBB" w:rsidRDefault="003A6D2F" w:rsidP="007039C6">
      <w:pPr>
        <w:numPr>
          <w:ilvl w:val="0"/>
          <w:numId w:val="2"/>
        </w:numPr>
        <w:spacing w:before="240" w:after="240" w:line="360" w:lineRule="auto"/>
        <w:contextualSpacing/>
        <w:jc w:val="both"/>
        <w:rPr>
          <w:rFonts w:eastAsia="Calibri"/>
          <w:lang w:val="es-DO"/>
        </w:rPr>
      </w:pPr>
      <w:r w:rsidRPr="00232EBB">
        <w:rPr>
          <w:rFonts w:eastAsia="Calibri"/>
          <w:lang w:val="es-DO"/>
        </w:rPr>
        <w:t>Reglamento del Seguro Familiar de Salud, aprobado mediante Decreto No. 234-07 de fecha 4 de mayo de 2007.</w:t>
      </w:r>
    </w:p>
    <w:p w14:paraId="1AEC5F1C" w14:textId="0A46CDB1" w:rsidR="003A6D2F" w:rsidRPr="00232EBB" w:rsidRDefault="003A6D2F" w:rsidP="007039C6">
      <w:pPr>
        <w:numPr>
          <w:ilvl w:val="0"/>
          <w:numId w:val="2"/>
        </w:numPr>
        <w:spacing w:before="240" w:after="240" w:line="360" w:lineRule="auto"/>
        <w:contextualSpacing/>
        <w:jc w:val="both"/>
        <w:rPr>
          <w:rFonts w:eastAsia="Calibri"/>
          <w:lang w:val="es-DO"/>
        </w:rPr>
      </w:pPr>
      <w:r w:rsidRPr="00232EBB">
        <w:rPr>
          <w:rFonts w:eastAsia="Calibri"/>
          <w:lang w:val="es-DO"/>
        </w:rPr>
        <w:t xml:space="preserve">Reglamento Interno del Consejo Nacional de la Seguridad Social, aprobado mediante Decreto No. 707-02 de fecha 4 de </w:t>
      </w:r>
      <w:r w:rsidRPr="00232EBB">
        <w:rPr>
          <w:rFonts w:eastAsia="Calibri"/>
          <w:lang w:val="es-DO"/>
        </w:rPr>
        <w:lastRenderedPageBreak/>
        <w:t>septiembre de 2002.</w:t>
      </w:r>
    </w:p>
    <w:p w14:paraId="7649A32F" w14:textId="08267535" w:rsidR="00776592" w:rsidRPr="00232EBB" w:rsidRDefault="00E223B8" w:rsidP="003B28E6">
      <w:pPr>
        <w:numPr>
          <w:ilvl w:val="0"/>
          <w:numId w:val="2"/>
        </w:numPr>
        <w:spacing w:before="240" w:after="240" w:line="360" w:lineRule="auto"/>
        <w:contextualSpacing/>
        <w:jc w:val="both"/>
        <w:rPr>
          <w:rFonts w:eastAsia="Calibri"/>
          <w:lang w:val="es-DO"/>
        </w:rPr>
      </w:pPr>
      <w:hyperlink r:id="rId16" w:tgtFrame="_blank" w:history="1">
        <w:r w:rsidR="003A6D2F" w:rsidRPr="00232EBB">
          <w:rPr>
            <w:rFonts w:eastAsia="Calibri"/>
            <w:lang w:val="es-DO"/>
          </w:rPr>
          <w:t>Reglamento del Seguro de Riesgos Laborales</w:t>
        </w:r>
      </w:hyperlink>
      <w:r w:rsidR="003A6D2F" w:rsidRPr="00232EBB">
        <w:rPr>
          <w:rFonts w:eastAsia="Calibri"/>
          <w:lang w:val="es-DO"/>
        </w:rPr>
        <w:t xml:space="preserve"> Modificado, aprobado mediante Decreto No. 255-07, de fecha 14 de mayo de 2007.</w:t>
      </w:r>
    </w:p>
    <w:p w14:paraId="419198ED" w14:textId="77777777" w:rsidR="00776592" w:rsidRPr="00232EBB" w:rsidRDefault="00776592" w:rsidP="003A6D2F">
      <w:pPr>
        <w:spacing w:before="240" w:after="240" w:line="360" w:lineRule="auto"/>
        <w:jc w:val="both"/>
        <w:rPr>
          <w:rFonts w:eastAsia="Calibri"/>
          <w:lang w:val="es-DO"/>
        </w:rPr>
      </w:pPr>
    </w:p>
    <w:p w14:paraId="46DE4442" w14:textId="77777777" w:rsidR="00776592" w:rsidRPr="00232EBB" w:rsidRDefault="00776592" w:rsidP="003A6D2F">
      <w:pPr>
        <w:spacing w:before="240" w:after="240" w:line="360" w:lineRule="auto"/>
        <w:jc w:val="both"/>
        <w:rPr>
          <w:rFonts w:eastAsia="Calibri"/>
          <w:lang w:val="es-DO"/>
        </w:rPr>
        <w:sectPr w:rsidR="00776592" w:rsidRPr="00232EBB" w:rsidSect="00553C11">
          <w:headerReference w:type="default" r:id="rId17"/>
          <w:footerReference w:type="default" r:id="rId18"/>
          <w:pgSz w:w="12240" w:h="15840"/>
          <w:pgMar w:top="1440" w:right="2160" w:bottom="1440" w:left="2160" w:header="720" w:footer="720" w:gutter="0"/>
          <w:pgNumType w:start="1"/>
          <w:cols w:space="720"/>
          <w:docGrid w:linePitch="360"/>
        </w:sectPr>
      </w:pPr>
    </w:p>
    <w:p w14:paraId="7A98CFE0" w14:textId="19000BDB" w:rsidR="00B76DB7" w:rsidRPr="00232EBB" w:rsidRDefault="004B301B" w:rsidP="003A6D2F">
      <w:pPr>
        <w:spacing w:before="240" w:after="240" w:line="360" w:lineRule="auto"/>
        <w:jc w:val="both"/>
        <w:rPr>
          <w:rFonts w:eastAsiaTheme="majorEastAsia"/>
          <w:b/>
          <w:color w:val="767171" w:themeColor="background2" w:themeShade="80"/>
          <w:spacing w:val="0"/>
          <w:sz w:val="28"/>
          <w:szCs w:val="32"/>
          <w:lang w:val="es-DO"/>
        </w:rPr>
      </w:pPr>
      <w:r w:rsidRPr="00232EBB">
        <w:rPr>
          <w:noProof/>
          <w:sz w:val="28"/>
          <w:szCs w:val="28"/>
          <w:lang w:val="es-DO"/>
        </w:rPr>
        <w:lastRenderedPageBreak/>
        <w:drawing>
          <wp:anchor distT="0" distB="0" distL="114300" distR="114300" simplePos="0" relativeHeight="251664420" behindDoc="1" locked="0" layoutInCell="1" allowOverlap="1" wp14:anchorId="07514E1F" wp14:editId="5F28E8AF">
            <wp:simplePos x="0" y="0"/>
            <wp:positionH relativeFrom="margin">
              <wp:posOffset>-694503</wp:posOffset>
            </wp:positionH>
            <wp:positionV relativeFrom="paragraph">
              <wp:posOffset>173841</wp:posOffset>
            </wp:positionV>
            <wp:extent cx="8963025" cy="6293173"/>
            <wp:effectExtent l="0" t="0" r="0" b="0"/>
            <wp:wrapNone/>
            <wp:docPr id="50" name="Picture 50"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diagram of a compan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63025" cy="62931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05A" w:rsidRPr="00232EBB">
        <w:rPr>
          <w:rFonts w:eastAsia="Calibri"/>
          <w:b/>
          <w:bCs/>
          <w:sz w:val="28"/>
          <w:szCs w:val="28"/>
          <w:lang w:val="es-DO"/>
        </w:rPr>
        <w:t>2</w:t>
      </w:r>
      <w:r w:rsidR="00CC305A" w:rsidRPr="00232EBB">
        <w:rPr>
          <w:rFonts w:eastAsiaTheme="majorEastAsia"/>
          <w:b/>
          <w:color w:val="767171" w:themeColor="background2" w:themeShade="80"/>
          <w:spacing w:val="0"/>
          <w:sz w:val="28"/>
          <w:szCs w:val="28"/>
          <w:lang w:val="es-DO"/>
        </w:rPr>
        <w:t>.</w:t>
      </w:r>
      <w:r w:rsidR="00CC305A" w:rsidRPr="00232EBB">
        <w:rPr>
          <w:rFonts w:eastAsiaTheme="majorEastAsia"/>
          <w:b/>
          <w:color w:val="767171" w:themeColor="background2" w:themeShade="80"/>
          <w:spacing w:val="0"/>
          <w:sz w:val="28"/>
          <w:szCs w:val="32"/>
          <w:lang w:val="es-DO"/>
        </w:rPr>
        <w:t>3</w:t>
      </w:r>
      <w:r w:rsidR="00B76DB7" w:rsidRPr="00232EBB">
        <w:rPr>
          <w:rFonts w:eastAsiaTheme="majorEastAsia"/>
          <w:b/>
          <w:color w:val="767171" w:themeColor="background2" w:themeShade="80"/>
          <w:spacing w:val="0"/>
          <w:sz w:val="28"/>
          <w:szCs w:val="32"/>
          <w:lang w:val="es-DO"/>
        </w:rPr>
        <w:t xml:space="preserve"> Estructura Organizacional</w:t>
      </w:r>
    </w:p>
    <w:p w14:paraId="0ED9DAF8" w14:textId="4D2B80FB" w:rsidR="00955A30" w:rsidRPr="00232EBB" w:rsidRDefault="00955A30" w:rsidP="003A6D2F">
      <w:pPr>
        <w:spacing w:before="240" w:after="240" w:line="360" w:lineRule="auto"/>
        <w:jc w:val="both"/>
        <w:rPr>
          <w:rFonts w:eastAsia="Calibri"/>
          <w:lang w:val="es-DO"/>
        </w:rPr>
      </w:pPr>
    </w:p>
    <w:p w14:paraId="533CBF4C" w14:textId="459056D8" w:rsidR="004B301B" w:rsidRPr="00232EBB" w:rsidRDefault="004B301B" w:rsidP="003A6D2F">
      <w:pPr>
        <w:spacing w:before="240" w:after="240" w:line="360" w:lineRule="auto"/>
        <w:jc w:val="both"/>
        <w:rPr>
          <w:rFonts w:eastAsia="Calibri"/>
          <w:lang w:val="es-DO"/>
        </w:rPr>
        <w:sectPr w:rsidR="004B301B" w:rsidRPr="00232EBB" w:rsidSect="004B301B">
          <w:pgSz w:w="15840" w:h="12240" w:orient="landscape"/>
          <w:pgMar w:top="1440" w:right="2160" w:bottom="1440" w:left="2160" w:header="720" w:footer="720" w:gutter="0"/>
          <w:cols w:space="720"/>
          <w:docGrid w:linePitch="360"/>
        </w:sectPr>
      </w:pPr>
    </w:p>
    <w:p w14:paraId="23D8D414" w14:textId="2699F513" w:rsidR="00776592" w:rsidRPr="00232EBB" w:rsidRDefault="00CC305A" w:rsidP="009E3A89">
      <w:pPr>
        <w:pStyle w:val="Heading1"/>
        <w:spacing w:after="240" w:line="259" w:lineRule="auto"/>
        <w:jc w:val="left"/>
        <w:rPr>
          <w:rFonts w:cs="Times New Roman"/>
          <w:spacing w:val="0"/>
          <w:lang w:val="es-DO"/>
        </w:rPr>
      </w:pPr>
      <w:bookmarkStart w:id="19" w:name="_Toc154736680"/>
      <w:bookmarkStart w:id="20" w:name="_Toc216952209"/>
      <w:r w:rsidRPr="00232EBB">
        <w:rPr>
          <w:rFonts w:cs="Times New Roman"/>
          <w:spacing w:val="0"/>
          <w:lang w:val="es-DO"/>
        </w:rPr>
        <w:lastRenderedPageBreak/>
        <w:t xml:space="preserve">2.4 </w:t>
      </w:r>
      <w:r w:rsidR="00776592" w:rsidRPr="00232EBB">
        <w:rPr>
          <w:rFonts w:cs="Times New Roman"/>
          <w:spacing w:val="0"/>
          <w:lang w:val="es-DO"/>
        </w:rPr>
        <w:t xml:space="preserve">Listado de los Principales </w:t>
      </w:r>
      <w:bookmarkEnd w:id="19"/>
      <w:r w:rsidR="00247D12" w:rsidRPr="00232EBB">
        <w:rPr>
          <w:rFonts w:cs="Times New Roman"/>
          <w:spacing w:val="0"/>
          <w:lang w:val="es-DO"/>
        </w:rPr>
        <w:t>funcionarios</w:t>
      </w:r>
      <w:bookmarkEnd w:id="20"/>
    </w:p>
    <w:p w14:paraId="504CC2A7"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HENRY SAHDALÁ DUMIT</w:t>
      </w:r>
    </w:p>
    <w:p w14:paraId="2BD47422"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Tesorero de la Seguridad Social</w:t>
      </w:r>
    </w:p>
    <w:p w14:paraId="107812AC" w14:textId="77777777" w:rsidR="00776592" w:rsidRPr="00232EBB" w:rsidRDefault="00776592" w:rsidP="009E3A89">
      <w:pPr>
        <w:pStyle w:val="Index1"/>
        <w:rPr>
          <w:rFonts w:ascii="Times New Roman" w:hAnsi="Times New Roman" w:cs="Times New Roman"/>
          <w:b w:val="0"/>
          <w:bCs w:val="0"/>
          <w:color w:val="767171"/>
          <w:spacing w:val="20"/>
          <w:sz w:val="24"/>
          <w:szCs w:val="24"/>
        </w:rPr>
      </w:pPr>
    </w:p>
    <w:p w14:paraId="69710D8C" w14:textId="63F1CDFF"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MARÍA DEL PILAR PEÑA DE ÁLVAREZ</w:t>
      </w:r>
    </w:p>
    <w:p w14:paraId="3121B57D"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Directora de Recursos Humanos</w:t>
      </w:r>
    </w:p>
    <w:p w14:paraId="753C3906" w14:textId="77777777" w:rsidR="00776592" w:rsidRPr="00232EBB" w:rsidRDefault="00776592" w:rsidP="009E3A89">
      <w:pPr>
        <w:pStyle w:val="Index1"/>
        <w:rPr>
          <w:rFonts w:ascii="Times New Roman" w:hAnsi="Times New Roman" w:cs="Times New Roman"/>
          <w:b w:val="0"/>
          <w:bCs w:val="0"/>
          <w:color w:val="767171"/>
          <w:spacing w:val="20"/>
          <w:sz w:val="24"/>
          <w:szCs w:val="24"/>
        </w:rPr>
      </w:pPr>
    </w:p>
    <w:p w14:paraId="2264995C"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MARINA INÉS FIALLO CABRAL</w:t>
      </w:r>
    </w:p>
    <w:p w14:paraId="085C33C5" w14:textId="4E78A1FA"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Directora Administrativa</w:t>
      </w:r>
    </w:p>
    <w:p w14:paraId="543ABBC5" w14:textId="77777777" w:rsidR="00776592" w:rsidRPr="00232EBB" w:rsidRDefault="00776592" w:rsidP="009E3A89">
      <w:pPr>
        <w:pStyle w:val="Index1"/>
        <w:rPr>
          <w:rFonts w:ascii="Times New Roman" w:hAnsi="Times New Roman" w:cs="Times New Roman"/>
          <w:b w:val="0"/>
          <w:bCs w:val="0"/>
          <w:color w:val="767171"/>
          <w:spacing w:val="20"/>
          <w:sz w:val="24"/>
          <w:szCs w:val="24"/>
        </w:rPr>
      </w:pPr>
    </w:p>
    <w:p w14:paraId="6C425F0A"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JOSÉ ISRAEL DEL ORBE ANTONIO</w:t>
      </w:r>
    </w:p>
    <w:p w14:paraId="4944E0BE" w14:textId="04EAD4B5"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Director de Finanzas</w:t>
      </w:r>
    </w:p>
    <w:p w14:paraId="726EB841" w14:textId="77777777" w:rsidR="00776592" w:rsidRPr="00232EBB" w:rsidRDefault="00776592" w:rsidP="009E3A89">
      <w:pPr>
        <w:pStyle w:val="Index1"/>
        <w:rPr>
          <w:rFonts w:ascii="Times New Roman" w:hAnsi="Times New Roman" w:cs="Times New Roman"/>
          <w:b w:val="0"/>
          <w:bCs w:val="0"/>
          <w:color w:val="767171"/>
          <w:spacing w:val="20"/>
          <w:sz w:val="24"/>
          <w:szCs w:val="24"/>
        </w:rPr>
      </w:pPr>
    </w:p>
    <w:p w14:paraId="1C9F90A6"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HÉCTOR EMILIO MOTA PORTES</w:t>
      </w:r>
    </w:p>
    <w:p w14:paraId="307CEDAC" w14:textId="10BA978E"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 xml:space="preserve">Director de Tecnología de la Información y </w:t>
      </w:r>
      <w:r w:rsidR="001403FB" w:rsidRPr="00232EBB">
        <w:rPr>
          <w:rFonts w:ascii="Times New Roman" w:hAnsi="Times New Roman" w:cs="Times New Roman"/>
          <w:b w:val="0"/>
          <w:bCs w:val="0"/>
          <w:color w:val="767171"/>
          <w:spacing w:val="20"/>
          <w:sz w:val="24"/>
          <w:szCs w:val="24"/>
        </w:rPr>
        <w:t>Comunicaciones</w:t>
      </w:r>
    </w:p>
    <w:p w14:paraId="43B6B042" w14:textId="77777777" w:rsidR="00776592" w:rsidRPr="00232EBB" w:rsidRDefault="00776592" w:rsidP="009E3A89">
      <w:pPr>
        <w:pStyle w:val="Index1"/>
        <w:rPr>
          <w:rFonts w:ascii="Times New Roman" w:hAnsi="Times New Roman" w:cs="Times New Roman"/>
          <w:b w:val="0"/>
          <w:bCs w:val="0"/>
          <w:color w:val="767171"/>
          <w:spacing w:val="20"/>
          <w:sz w:val="24"/>
          <w:szCs w:val="24"/>
        </w:rPr>
      </w:pPr>
    </w:p>
    <w:p w14:paraId="5294A679"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NERMIS CESARINA ANDÚJAR TRONCOSO</w:t>
      </w:r>
    </w:p>
    <w:p w14:paraId="2BC34946"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Directora Jurídica</w:t>
      </w:r>
    </w:p>
    <w:p w14:paraId="7DDEC9AF" w14:textId="77777777" w:rsidR="00776592" w:rsidRPr="00232EBB" w:rsidRDefault="00776592" w:rsidP="009E3A89">
      <w:pPr>
        <w:pStyle w:val="Index1"/>
        <w:rPr>
          <w:rFonts w:ascii="Times New Roman" w:hAnsi="Times New Roman" w:cs="Times New Roman"/>
          <w:b w:val="0"/>
          <w:bCs w:val="0"/>
          <w:color w:val="767171"/>
          <w:spacing w:val="20"/>
          <w:sz w:val="24"/>
          <w:szCs w:val="24"/>
        </w:rPr>
      </w:pPr>
    </w:p>
    <w:p w14:paraId="66EC34CF"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SAHADIA ERCILIA CRUZ ABREU</w:t>
      </w:r>
    </w:p>
    <w:p w14:paraId="0EB2DB51" w14:textId="6154EA84"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 xml:space="preserve">Directora de </w:t>
      </w:r>
      <w:r w:rsidR="001403FB" w:rsidRPr="00232EBB">
        <w:rPr>
          <w:rFonts w:ascii="Times New Roman" w:hAnsi="Times New Roman" w:cs="Times New Roman"/>
          <w:b w:val="0"/>
          <w:bCs w:val="0"/>
          <w:color w:val="767171"/>
          <w:spacing w:val="20"/>
          <w:sz w:val="24"/>
          <w:szCs w:val="24"/>
        </w:rPr>
        <w:t>Servicios</w:t>
      </w:r>
    </w:p>
    <w:p w14:paraId="7E947E66" w14:textId="77777777" w:rsidR="00776592" w:rsidRPr="00232EBB" w:rsidRDefault="00776592" w:rsidP="009E3A89">
      <w:pPr>
        <w:pStyle w:val="Index1"/>
        <w:rPr>
          <w:rFonts w:ascii="Times New Roman" w:hAnsi="Times New Roman" w:cs="Times New Roman"/>
          <w:b w:val="0"/>
          <w:bCs w:val="0"/>
          <w:color w:val="767171"/>
          <w:spacing w:val="20"/>
          <w:sz w:val="24"/>
          <w:szCs w:val="24"/>
        </w:rPr>
      </w:pPr>
    </w:p>
    <w:p w14:paraId="21C2164D"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JULIA ALBERTY CREALES</w:t>
      </w:r>
    </w:p>
    <w:p w14:paraId="2DDE5C91"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Directora de Fiscalización Externa</w:t>
      </w:r>
    </w:p>
    <w:p w14:paraId="46920349" w14:textId="77777777" w:rsidR="00776592" w:rsidRPr="00232EBB" w:rsidRDefault="00776592" w:rsidP="009E3A89">
      <w:pPr>
        <w:pStyle w:val="Index1"/>
        <w:rPr>
          <w:rFonts w:ascii="Times New Roman" w:hAnsi="Times New Roman" w:cs="Times New Roman"/>
          <w:b w:val="0"/>
          <w:bCs w:val="0"/>
          <w:color w:val="767171"/>
          <w:spacing w:val="20"/>
          <w:sz w:val="24"/>
          <w:szCs w:val="24"/>
        </w:rPr>
      </w:pPr>
    </w:p>
    <w:p w14:paraId="6A94F4D6" w14:textId="77777777" w:rsidR="00776592" w:rsidRPr="00232EBB" w:rsidRDefault="00776592" w:rsidP="009E3A89">
      <w:pPr>
        <w:pStyle w:val="Index1"/>
        <w:rPr>
          <w:rFonts w:ascii="Times New Roman" w:hAnsi="Times New Roman" w:cs="Times New Roman"/>
          <w:b w:val="0"/>
          <w:bCs w:val="0"/>
          <w:color w:val="767171"/>
          <w:spacing w:val="20"/>
          <w:sz w:val="24"/>
          <w:szCs w:val="24"/>
        </w:rPr>
      </w:pPr>
      <w:r w:rsidRPr="00232EBB">
        <w:rPr>
          <w:rFonts w:ascii="Times New Roman" w:hAnsi="Times New Roman" w:cs="Times New Roman"/>
          <w:b w:val="0"/>
          <w:bCs w:val="0"/>
          <w:color w:val="767171"/>
          <w:spacing w:val="20"/>
          <w:sz w:val="24"/>
          <w:szCs w:val="24"/>
        </w:rPr>
        <w:t>LAURA PATRICIA HERNÁNDEZ CABRERA</w:t>
      </w:r>
    </w:p>
    <w:p w14:paraId="371B7390" w14:textId="47F7AD4A" w:rsidR="00B76DB7" w:rsidRPr="00232EBB" w:rsidRDefault="00776592" w:rsidP="009E3A89">
      <w:pPr>
        <w:spacing w:before="240" w:after="240" w:line="360" w:lineRule="auto"/>
        <w:rPr>
          <w:rFonts w:eastAsia="Calibri"/>
          <w:lang w:val="es-ES"/>
        </w:rPr>
      </w:pPr>
      <w:r w:rsidRPr="00232EBB">
        <w:rPr>
          <w:lang w:val="es-ES"/>
        </w:rPr>
        <w:t>Directora de Planificación y Desarrollo</w:t>
      </w:r>
    </w:p>
    <w:p w14:paraId="14FE93C5" w14:textId="163A1341" w:rsidR="00DA205F" w:rsidRPr="00232EBB" w:rsidRDefault="004544B4" w:rsidP="009E3A89">
      <w:pPr>
        <w:pStyle w:val="Heading1"/>
        <w:spacing w:after="240" w:line="259" w:lineRule="auto"/>
        <w:jc w:val="left"/>
        <w:rPr>
          <w:rFonts w:cs="Times New Roman"/>
          <w:spacing w:val="0"/>
          <w:lang w:val="es-DO"/>
        </w:rPr>
      </w:pPr>
      <w:bookmarkStart w:id="21" w:name="_Toc154736681"/>
      <w:bookmarkStart w:id="22" w:name="_Toc216952210"/>
      <w:r w:rsidRPr="00232EBB">
        <w:rPr>
          <w:rFonts w:cs="Times New Roman"/>
          <w:spacing w:val="0"/>
          <w:lang w:val="es-DO"/>
        </w:rPr>
        <w:lastRenderedPageBreak/>
        <w:t xml:space="preserve">2.5 </w:t>
      </w:r>
      <w:r w:rsidR="00DA205F" w:rsidRPr="00232EBB">
        <w:rPr>
          <w:rFonts w:cs="Times New Roman"/>
          <w:spacing w:val="0"/>
          <w:lang w:val="es-DO"/>
        </w:rPr>
        <w:t>Planificación Estratégica Institucional</w:t>
      </w:r>
      <w:bookmarkEnd w:id="21"/>
      <w:bookmarkEnd w:id="22"/>
    </w:p>
    <w:p w14:paraId="38153FFB" w14:textId="0E480FEF" w:rsidR="009C7DCA" w:rsidRPr="00232EBB" w:rsidRDefault="009C7DCA" w:rsidP="009C7DCA">
      <w:pPr>
        <w:spacing w:before="240" w:after="240" w:line="360" w:lineRule="auto"/>
        <w:jc w:val="both"/>
        <w:rPr>
          <w:rFonts w:eastAsia="Calibri"/>
          <w:lang w:val="es-DO"/>
        </w:rPr>
      </w:pPr>
      <w:r w:rsidRPr="00232EBB">
        <w:rPr>
          <w:rFonts w:eastAsia="Calibri"/>
          <w:lang w:val="es-DO"/>
        </w:rPr>
        <w:t xml:space="preserve">La Tesorería de Seguridad Social realizó la </w:t>
      </w:r>
      <w:r w:rsidR="007E4EA7" w:rsidRPr="00232EBB">
        <w:rPr>
          <w:rFonts w:eastAsia="Calibri"/>
          <w:lang w:val="es-DO"/>
        </w:rPr>
        <w:t>validación</w:t>
      </w:r>
      <w:r w:rsidRPr="00232EBB">
        <w:rPr>
          <w:rFonts w:eastAsia="Calibri"/>
          <w:lang w:val="es-DO"/>
        </w:rPr>
        <w:t xml:space="preserve"> de su Plan Estratégico Institucional 2025-2028, en cumplimiento </w:t>
      </w:r>
      <w:r w:rsidR="003802C5" w:rsidRPr="00232EBB">
        <w:rPr>
          <w:rFonts w:eastAsia="Calibri"/>
          <w:lang w:val="es-DO"/>
        </w:rPr>
        <w:t>con</w:t>
      </w:r>
      <w:r w:rsidRPr="00232EBB">
        <w:rPr>
          <w:rFonts w:eastAsia="Calibri"/>
          <w:lang w:val="es-DO"/>
        </w:rPr>
        <w:t xml:space="preserve"> los lineamientos que establece la Ley 498-06, así como el nuevo manual de Formulación del PEI implementado en el año 2024.</w:t>
      </w:r>
    </w:p>
    <w:p w14:paraId="224457ED" w14:textId="59C1735F" w:rsidR="009C7DCA" w:rsidRPr="00232EBB" w:rsidRDefault="009C7DCA" w:rsidP="009C7DCA">
      <w:pPr>
        <w:spacing w:before="240" w:after="240" w:line="360" w:lineRule="auto"/>
        <w:jc w:val="both"/>
        <w:rPr>
          <w:rFonts w:eastAsia="Calibri"/>
          <w:lang w:val="es-DO"/>
        </w:rPr>
      </w:pPr>
      <w:r w:rsidRPr="00232EBB">
        <w:rPr>
          <w:rFonts w:eastAsia="Calibri"/>
          <w:lang w:val="es-DO"/>
        </w:rPr>
        <w:t>Dicho plan establece las principales directrices que estará orientando a la Tesorería para ejecutar las acciones, programas y proyectos enmarcad</w:t>
      </w:r>
      <w:r w:rsidR="003802C5" w:rsidRPr="00232EBB">
        <w:rPr>
          <w:rFonts w:eastAsia="Calibri"/>
          <w:lang w:val="es-DO"/>
        </w:rPr>
        <w:t>o</w:t>
      </w:r>
      <w:r w:rsidRPr="00232EBB">
        <w:rPr>
          <w:rFonts w:eastAsia="Calibri"/>
          <w:lang w:val="es-DO"/>
        </w:rPr>
        <w:t xml:space="preserve"> en 5 ejes </w:t>
      </w:r>
      <w:r w:rsidR="003802C5" w:rsidRPr="00232EBB">
        <w:rPr>
          <w:rFonts w:eastAsia="Calibri"/>
          <w:lang w:val="es-DO"/>
        </w:rPr>
        <w:t xml:space="preserve">estratégicos </w:t>
      </w:r>
      <w:r w:rsidRPr="00232EBB">
        <w:rPr>
          <w:rFonts w:eastAsia="Calibri"/>
          <w:lang w:val="es-DO"/>
        </w:rPr>
        <w:t>durante este cuatrienio para garantizar el cumplimiento de las metas establecidas</w:t>
      </w:r>
      <w:r w:rsidR="007E4EA7" w:rsidRPr="00232EBB">
        <w:rPr>
          <w:rFonts w:eastAsia="Calibri"/>
          <w:lang w:val="es-DO"/>
        </w:rPr>
        <w:t xml:space="preserve"> y posicionarnos como una entidad </w:t>
      </w:r>
      <w:r w:rsidR="00EE5C9D" w:rsidRPr="00232EBB">
        <w:rPr>
          <w:rFonts w:eastAsia="Calibri"/>
          <w:lang w:val="es-DO"/>
        </w:rPr>
        <w:t>confiable y transparente</w:t>
      </w:r>
      <w:r w:rsidRPr="00232EBB">
        <w:rPr>
          <w:rFonts w:eastAsia="Calibri"/>
          <w:lang w:val="es-DO"/>
        </w:rPr>
        <w:t>.</w:t>
      </w:r>
    </w:p>
    <w:p w14:paraId="0577A464" w14:textId="5CD2B96A" w:rsidR="00DA205F" w:rsidRPr="00232EBB" w:rsidRDefault="00DA205F" w:rsidP="00DA205F">
      <w:pPr>
        <w:spacing w:before="240" w:after="240" w:line="360" w:lineRule="auto"/>
        <w:jc w:val="both"/>
        <w:rPr>
          <w:rFonts w:eastAsia="Calibri"/>
          <w:b/>
          <w:bCs/>
          <w:lang w:val="es-DO"/>
        </w:rPr>
      </w:pPr>
      <w:r w:rsidRPr="00232EBB">
        <w:rPr>
          <w:rFonts w:eastAsia="Calibri"/>
          <w:b/>
          <w:bCs/>
          <w:lang w:val="es-DO"/>
        </w:rPr>
        <w:t>Filosofía</w:t>
      </w:r>
    </w:p>
    <w:p w14:paraId="59EA502A" w14:textId="77777777" w:rsidR="00DA205F" w:rsidRPr="00232EBB" w:rsidRDefault="00DA205F" w:rsidP="0007713D">
      <w:pPr>
        <w:spacing w:before="240" w:after="240" w:line="360" w:lineRule="auto"/>
        <w:jc w:val="both"/>
        <w:rPr>
          <w:rFonts w:eastAsia="Calibri"/>
          <w:lang w:val="es-DO"/>
        </w:rPr>
      </w:pPr>
      <w:r w:rsidRPr="00232EBB">
        <w:rPr>
          <w:rFonts w:eastAsia="Calibri"/>
          <w:lang w:val="es-DO"/>
        </w:rPr>
        <w:t>Servir con excelencia y transparencia, siendo modelo en la gestión de la información y los recursos financieros del SDSS, dando fiel cumplimiento a las normativas vigentes, actuando con altos estándares de ética, calidad e innovación.</w:t>
      </w:r>
    </w:p>
    <w:p w14:paraId="0D12522C" w14:textId="77777777" w:rsidR="00DA205F" w:rsidRPr="00232EBB" w:rsidRDefault="00DA205F" w:rsidP="00DA205F">
      <w:pPr>
        <w:spacing w:before="240" w:after="240" w:line="360" w:lineRule="auto"/>
        <w:jc w:val="both"/>
        <w:rPr>
          <w:rFonts w:eastAsia="Calibri"/>
          <w:b/>
          <w:bCs/>
          <w:lang w:val="es-DO"/>
        </w:rPr>
      </w:pPr>
      <w:r w:rsidRPr="00232EBB">
        <w:rPr>
          <w:rFonts w:eastAsia="Calibri"/>
          <w:b/>
          <w:bCs/>
          <w:lang w:val="es-DO"/>
        </w:rPr>
        <w:t>Propuesta de Valor Externa</w:t>
      </w:r>
    </w:p>
    <w:p w14:paraId="2576BC15" w14:textId="77777777" w:rsidR="00872F78" w:rsidRPr="00232EBB" w:rsidRDefault="00872F78" w:rsidP="00DA205F">
      <w:pPr>
        <w:spacing w:before="240" w:after="240" w:line="360" w:lineRule="auto"/>
        <w:jc w:val="both"/>
        <w:rPr>
          <w:rFonts w:eastAsia="Calibri"/>
          <w:lang w:val="es-DO"/>
        </w:rPr>
      </w:pPr>
      <w:r w:rsidRPr="00232EBB">
        <w:rPr>
          <w:rFonts w:eastAsia="Calibri"/>
          <w:lang w:val="es-DO"/>
        </w:rPr>
        <w:t>La TSS está comprometida a impactar positivamente la calidad de vida de la población, con el manejo totalmente transparente de sus operaciones y los recursos, con un servicio de altos estándares adaptado a las necesidades de sus usuarios, garantizando una plataforma accesible, con los debidos niveles de seguridad e integridad de la información.</w:t>
      </w:r>
    </w:p>
    <w:p w14:paraId="47B33014" w14:textId="4704FD50" w:rsidR="00DA205F" w:rsidRPr="00232EBB" w:rsidRDefault="00DA205F" w:rsidP="00DA205F">
      <w:pPr>
        <w:spacing w:before="240" w:after="240" w:line="360" w:lineRule="auto"/>
        <w:jc w:val="both"/>
        <w:rPr>
          <w:rFonts w:eastAsia="Calibri"/>
          <w:b/>
          <w:bCs/>
          <w:lang w:val="es-DO"/>
        </w:rPr>
      </w:pPr>
      <w:r w:rsidRPr="00232EBB">
        <w:rPr>
          <w:rFonts w:eastAsia="Calibri"/>
          <w:lang w:val="es-DO"/>
        </w:rPr>
        <w:t> </w:t>
      </w:r>
      <w:r w:rsidRPr="00232EBB">
        <w:rPr>
          <w:rFonts w:eastAsia="Calibri"/>
          <w:b/>
          <w:bCs/>
          <w:lang w:val="es-DO"/>
        </w:rPr>
        <w:t>Propuesta de Valor Interna</w:t>
      </w:r>
    </w:p>
    <w:p w14:paraId="2A863682" w14:textId="48A3D59D" w:rsidR="002874E6" w:rsidRPr="00232EBB" w:rsidRDefault="00872F78" w:rsidP="00DA205F">
      <w:pPr>
        <w:spacing w:before="240" w:after="240" w:line="360" w:lineRule="auto"/>
        <w:jc w:val="both"/>
        <w:rPr>
          <w:rFonts w:eastAsia="Calibri"/>
          <w:lang w:val="es-DO"/>
        </w:rPr>
      </w:pPr>
      <w:r w:rsidRPr="00232EBB">
        <w:rPr>
          <w:rFonts w:eastAsia="Calibri"/>
          <w:lang w:val="es-DO"/>
        </w:rPr>
        <w:t xml:space="preserve">La TSS está comprometida con el bienestar y desarrollo de sus colaboradores, procurando el balance vida-trabajo, con una cultura </w:t>
      </w:r>
      <w:r w:rsidRPr="00232EBB">
        <w:rPr>
          <w:rFonts w:eastAsia="Calibri"/>
          <w:lang w:val="es-DO"/>
        </w:rPr>
        <w:lastRenderedPageBreak/>
        <w:t>enfocada en el reconocimiento basado en resultados, en un ambiente de estabilidad laboral, inclusividad y crecimiento.</w:t>
      </w:r>
      <w:r w:rsidR="002874E6" w:rsidRPr="00232EBB">
        <w:rPr>
          <w:rFonts w:eastAsia="Calibri"/>
          <w:lang w:val="es-DO"/>
        </w:rPr>
        <w:t xml:space="preserve"> </w:t>
      </w:r>
    </w:p>
    <w:p w14:paraId="32F52248" w14:textId="1375D557" w:rsidR="00DA205F" w:rsidRPr="00232EBB" w:rsidRDefault="00DA205F" w:rsidP="00872F78">
      <w:pPr>
        <w:spacing w:before="240" w:after="240" w:line="360" w:lineRule="auto"/>
        <w:jc w:val="both"/>
        <w:rPr>
          <w:rFonts w:eastAsia="Calibri"/>
          <w:b/>
          <w:bCs/>
          <w:lang w:val="es-DO"/>
        </w:rPr>
      </w:pPr>
      <w:r w:rsidRPr="00232EBB">
        <w:rPr>
          <w:rFonts w:eastAsia="Calibri"/>
          <w:b/>
          <w:bCs/>
          <w:lang w:val="es-DO"/>
        </w:rPr>
        <w:t>Política de Calidad y Seguridad de la Información</w:t>
      </w:r>
    </w:p>
    <w:p w14:paraId="047107CE" w14:textId="77777777" w:rsidR="00872F78" w:rsidRPr="00232EBB" w:rsidRDefault="00872F78" w:rsidP="00872F78">
      <w:pPr>
        <w:spacing w:before="240" w:after="240" w:line="360" w:lineRule="auto"/>
        <w:jc w:val="both"/>
        <w:rPr>
          <w:rFonts w:eastAsia="Calibri"/>
          <w:lang w:val="es-DO"/>
        </w:rPr>
      </w:pPr>
      <w:r w:rsidRPr="00232EBB">
        <w:rPr>
          <w:rFonts w:eastAsia="Calibri"/>
          <w:lang w:val="es-DO"/>
        </w:rPr>
        <w:t>La Tesorería de la Seguridad Social como entidad a cargo del proceso de recaudo, distribución y pago de las cotizaciones del Sistema Dominicano Seguridad Social (SDSS) y de la administración del Sistema Único de Información y Recaudo (SUIR), ejecuta de forma transparente los fondos y sus procesos mediante el fomento de  una cultura de cumplimiento normativo, en la cual se prohíbe el soborno y se promueven los valores éticos, reforzada por un ambiente de confianza para las denuncias libre de represalias, aplicando un sistema de consecuencias bajo la Ley de Función Pública y el Código Penal, desarrollando una efectiva gestión de riesgos que asegure la continuidad del negocio, así como la legalidad, confidencialidad, integridad y disponibilidad de los activos de información. Promueve la innovación y mejora continua de los procesos de su Sistema de Gestión Integrado, así como la satisfacción de las partes interesadas, mediante el uso de una plataforma tecnológica eficiente y un capital humano competente, para lo cual designa un equipo independiente, dotado de recursos, autoridad y con acceso a la MAE.</w:t>
      </w:r>
    </w:p>
    <w:p w14:paraId="4B2EC39E" w14:textId="7B6C4A73" w:rsidR="00DA205F" w:rsidRPr="00232EBB" w:rsidRDefault="00DA205F" w:rsidP="00DA205F">
      <w:pPr>
        <w:spacing w:before="240" w:after="240" w:line="360" w:lineRule="auto"/>
        <w:rPr>
          <w:rFonts w:eastAsia="Calibri"/>
          <w:b/>
          <w:bCs/>
          <w:lang w:val="es-DO"/>
        </w:rPr>
      </w:pPr>
      <w:r w:rsidRPr="00232EBB">
        <w:rPr>
          <w:rFonts w:eastAsia="Calibri"/>
          <w:b/>
          <w:bCs/>
          <w:lang w:val="es-DO"/>
        </w:rPr>
        <w:t>Ejes y Objetivos Estratégicos</w:t>
      </w:r>
    </w:p>
    <w:p w14:paraId="5C13559F" w14:textId="144911EC" w:rsidR="00DA205F" w:rsidRPr="00232EBB" w:rsidRDefault="00DA205F" w:rsidP="00DA205F">
      <w:pPr>
        <w:spacing w:before="240" w:after="240" w:line="360" w:lineRule="auto"/>
        <w:jc w:val="both"/>
        <w:rPr>
          <w:rFonts w:eastAsia="Calibri"/>
          <w:b/>
          <w:bCs/>
          <w:lang w:val="es-DO"/>
        </w:rPr>
      </w:pPr>
      <w:r w:rsidRPr="00232EBB">
        <w:rPr>
          <w:rFonts w:eastAsia="Calibri"/>
          <w:b/>
          <w:bCs/>
          <w:lang w:val="es-DO"/>
        </w:rPr>
        <w:t xml:space="preserve">Primer Eje: </w:t>
      </w:r>
      <w:r w:rsidR="00486049" w:rsidRPr="00232EBB">
        <w:rPr>
          <w:rFonts w:eastAsia="Calibri"/>
          <w:b/>
          <w:bCs/>
          <w:lang w:val="es-DO"/>
        </w:rPr>
        <w:t>Regulación y Supervisión</w:t>
      </w:r>
    </w:p>
    <w:p w14:paraId="20805BC9" w14:textId="77777777" w:rsidR="00486049" w:rsidRPr="00232EBB" w:rsidRDefault="00486049" w:rsidP="00DA205F">
      <w:pPr>
        <w:spacing w:before="240" w:after="240" w:line="360" w:lineRule="auto"/>
        <w:jc w:val="both"/>
        <w:rPr>
          <w:rFonts w:eastAsia="Calibri"/>
          <w:lang w:val="es-DO"/>
        </w:rPr>
      </w:pPr>
      <w:r w:rsidRPr="00232EBB">
        <w:rPr>
          <w:rFonts w:eastAsia="Calibri"/>
          <w:lang w:val="es-DO"/>
        </w:rPr>
        <w:t>Promover la efectividad de los servicios a través de la adecuada utilización del marco legal vigente, creando un entorno de cumplimiento normativo que fomenta la transparencia y responsabilidad en la gestión de los actores involucrados</w:t>
      </w:r>
    </w:p>
    <w:p w14:paraId="390D0C53" w14:textId="77777777" w:rsidR="005E4024" w:rsidRPr="00232EBB" w:rsidRDefault="005E4024" w:rsidP="00DA205F">
      <w:pPr>
        <w:spacing w:before="240" w:after="240" w:line="360" w:lineRule="auto"/>
        <w:jc w:val="both"/>
        <w:rPr>
          <w:rFonts w:eastAsia="Calibri"/>
          <w:lang w:val="es-DO"/>
        </w:rPr>
      </w:pPr>
    </w:p>
    <w:p w14:paraId="338CD8F6" w14:textId="77777777" w:rsidR="00DA205F" w:rsidRPr="00232EBB" w:rsidRDefault="00DA205F" w:rsidP="00DA205F">
      <w:pPr>
        <w:spacing w:before="240" w:after="240" w:line="360" w:lineRule="auto"/>
        <w:jc w:val="both"/>
        <w:rPr>
          <w:rFonts w:eastAsia="Calibri"/>
          <w:b/>
          <w:bCs/>
          <w:i/>
          <w:iCs/>
          <w:lang w:val="es-DO"/>
        </w:rPr>
      </w:pPr>
      <w:r w:rsidRPr="00232EBB">
        <w:rPr>
          <w:rFonts w:eastAsia="Calibri"/>
          <w:b/>
          <w:bCs/>
          <w:lang w:val="es-DO"/>
        </w:rPr>
        <w:lastRenderedPageBreak/>
        <w:t>Objetivos Estratégicos</w:t>
      </w:r>
      <w:r w:rsidRPr="00232EBB">
        <w:rPr>
          <w:rFonts w:eastAsia="Calibri"/>
          <w:b/>
          <w:bCs/>
          <w:i/>
          <w:iCs/>
          <w:lang w:val="es-DO"/>
        </w:rPr>
        <w:t>:</w:t>
      </w:r>
    </w:p>
    <w:p w14:paraId="54B1534D" w14:textId="59760963" w:rsidR="00486049" w:rsidRPr="00232EBB" w:rsidRDefault="00486049" w:rsidP="000E2299">
      <w:pPr>
        <w:pStyle w:val="ListParagraph"/>
        <w:numPr>
          <w:ilvl w:val="0"/>
          <w:numId w:val="11"/>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Mejorar la calidad del recaudo.</w:t>
      </w:r>
    </w:p>
    <w:p w14:paraId="52EC9490" w14:textId="3BEFB9C7" w:rsidR="00486049" w:rsidRPr="00232EBB" w:rsidRDefault="00486049" w:rsidP="000E2299">
      <w:pPr>
        <w:pStyle w:val="ListParagraph"/>
        <w:numPr>
          <w:ilvl w:val="0"/>
          <w:numId w:val="11"/>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Asegurar el cumplimiento normativo del uso de la data.</w:t>
      </w:r>
    </w:p>
    <w:p w14:paraId="191D88E5" w14:textId="268060CD" w:rsidR="00DA205F" w:rsidRPr="00232EBB" w:rsidRDefault="00DA205F" w:rsidP="00DA205F">
      <w:pPr>
        <w:spacing w:before="240" w:after="240" w:line="360" w:lineRule="auto"/>
        <w:jc w:val="both"/>
        <w:rPr>
          <w:rFonts w:eastAsia="Calibri"/>
          <w:b/>
          <w:bCs/>
          <w:lang w:val="es-DO"/>
        </w:rPr>
      </w:pPr>
      <w:r w:rsidRPr="00232EBB">
        <w:rPr>
          <w:rFonts w:eastAsia="Calibri"/>
          <w:b/>
          <w:bCs/>
          <w:lang w:val="es-DO"/>
        </w:rPr>
        <w:t xml:space="preserve">Segundo Eje: </w:t>
      </w:r>
      <w:r w:rsidR="00486049" w:rsidRPr="00232EBB">
        <w:rPr>
          <w:rFonts w:eastAsia="Calibri"/>
          <w:b/>
          <w:bCs/>
          <w:lang w:val="es-DO"/>
        </w:rPr>
        <w:t>Servicios y Posicionamiento Institucional</w:t>
      </w:r>
    </w:p>
    <w:p w14:paraId="2957677D" w14:textId="77777777" w:rsidR="00486049" w:rsidRPr="00232EBB" w:rsidRDefault="00486049" w:rsidP="00DA205F">
      <w:pPr>
        <w:spacing w:before="240" w:after="240" w:line="360" w:lineRule="auto"/>
        <w:jc w:val="both"/>
        <w:rPr>
          <w:rFonts w:eastAsia="Calibri"/>
          <w:lang w:val="es-DO"/>
        </w:rPr>
      </w:pPr>
      <w:r w:rsidRPr="00232EBB">
        <w:rPr>
          <w:rFonts w:eastAsia="Calibri"/>
          <w:lang w:val="es-DO"/>
        </w:rPr>
        <w:t>Consolidar la imagen como una entidad transparente, accesible y eficiente, fortaleciendo las relaciones interinstitucionales y mejorando la accesibilidad de los servicios para los usuarios, así como elevar la conciencia de las obligaciones de la población con el SDSS.</w:t>
      </w:r>
    </w:p>
    <w:p w14:paraId="00EB7CCA" w14:textId="1929E8E0" w:rsidR="00DA205F" w:rsidRPr="00232EBB" w:rsidRDefault="00DA205F" w:rsidP="00DA205F">
      <w:pPr>
        <w:spacing w:before="240" w:after="240" w:line="360" w:lineRule="auto"/>
        <w:jc w:val="both"/>
        <w:rPr>
          <w:rFonts w:eastAsia="Calibri"/>
          <w:b/>
          <w:bCs/>
          <w:lang w:val="es-DO"/>
        </w:rPr>
      </w:pPr>
      <w:r w:rsidRPr="00232EBB">
        <w:rPr>
          <w:rFonts w:eastAsia="Calibri"/>
          <w:b/>
          <w:bCs/>
          <w:lang w:val="es-DO"/>
        </w:rPr>
        <w:t>Objetivos Estratégicos:</w:t>
      </w:r>
    </w:p>
    <w:p w14:paraId="559BAE97" w14:textId="2F376C76" w:rsidR="00486049" w:rsidRPr="00232EBB" w:rsidRDefault="00486049" w:rsidP="00862F3D">
      <w:pPr>
        <w:pStyle w:val="ListParagraph"/>
        <w:numPr>
          <w:ilvl w:val="0"/>
          <w:numId w:val="4"/>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Fortalecer la experiencia del usuario.</w:t>
      </w:r>
    </w:p>
    <w:p w14:paraId="0C42415D" w14:textId="1F739563" w:rsidR="00486049" w:rsidRPr="00232EBB" w:rsidRDefault="00486049" w:rsidP="00862F3D">
      <w:pPr>
        <w:pStyle w:val="ListParagraph"/>
        <w:numPr>
          <w:ilvl w:val="0"/>
          <w:numId w:val="4"/>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Potenciar la imagen y la percepción pública de la TSS como una entidad transparente, accesible y eficiente.</w:t>
      </w:r>
    </w:p>
    <w:p w14:paraId="1DE904A5" w14:textId="56C65B33" w:rsidR="00DA205F" w:rsidRPr="00232EBB" w:rsidRDefault="00DA205F" w:rsidP="00DA205F">
      <w:pPr>
        <w:spacing w:before="240" w:after="240" w:line="360" w:lineRule="auto"/>
        <w:jc w:val="both"/>
        <w:rPr>
          <w:rFonts w:eastAsia="Calibri"/>
          <w:b/>
          <w:bCs/>
          <w:lang w:val="es-DO"/>
        </w:rPr>
      </w:pPr>
      <w:r w:rsidRPr="00232EBB">
        <w:rPr>
          <w:rFonts w:eastAsia="Calibri"/>
          <w:b/>
          <w:bCs/>
          <w:lang w:val="es-DO"/>
        </w:rPr>
        <w:t xml:space="preserve">Tercer Eje: </w:t>
      </w:r>
      <w:r w:rsidR="00486049" w:rsidRPr="00232EBB">
        <w:rPr>
          <w:rFonts w:eastAsia="Calibri"/>
          <w:b/>
          <w:bCs/>
          <w:lang w:val="es-DO"/>
        </w:rPr>
        <w:t>Gobernanza y Excelencia Operativa</w:t>
      </w:r>
    </w:p>
    <w:p w14:paraId="10AD3220" w14:textId="5EA4ABBD" w:rsidR="00486049" w:rsidRPr="00232EBB" w:rsidRDefault="00486049" w:rsidP="00DA205F">
      <w:pPr>
        <w:spacing w:before="240" w:after="240" w:line="360" w:lineRule="auto"/>
        <w:jc w:val="both"/>
        <w:rPr>
          <w:rFonts w:eastAsia="Calibri"/>
          <w:lang w:val="es-DO"/>
        </w:rPr>
      </w:pPr>
      <w:r w:rsidRPr="00232EBB">
        <w:rPr>
          <w:rFonts w:eastAsia="Calibri"/>
          <w:lang w:val="es-DO"/>
        </w:rPr>
        <w:t>Establecer una organización ágil y eficiente que responda de manera efectiva a las necesidades de los usuarios y del personal, a través de la optimización de los procesos internos mediante la digitalización y estandarización, promoviendo al mismo tiempo la sostenibilidad ambiental</w:t>
      </w:r>
      <w:r w:rsidR="00CF1211" w:rsidRPr="00232EBB">
        <w:rPr>
          <w:rFonts w:eastAsia="Calibri"/>
          <w:lang w:val="es-DO"/>
        </w:rPr>
        <w:t>.</w:t>
      </w:r>
    </w:p>
    <w:p w14:paraId="0015873D" w14:textId="77777777" w:rsidR="00DA205F" w:rsidRPr="00232EBB" w:rsidRDefault="00DA205F" w:rsidP="00DA205F">
      <w:pPr>
        <w:spacing w:before="240" w:after="240" w:line="360" w:lineRule="auto"/>
        <w:jc w:val="both"/>
        <w:rPr>
          <w:rFonts w:eastAsia="Calibri"/>
          <w:b/>
          <w:bCs/>
          <w:lang w:val="es-DO"/>
        </w:rPr>
      </w:pPr>
      <w:r w:rsidRPr="00232EBB">
        <w:rPr>
          <w:rFonts w:eastAsia="Calibri"/>
          <w:b/>
          <w:bCs/>
          <w:lang w:val="es-DO"/>
        </w:rPr>
        <w:t>Objetivos Estratégicos:</w:t>
      </w:r>
    </w:p>
    <w:p w14:paraId="42855D39" w14:textId="77777777" w:rsidR="00486049" w:rsidRPr="00232EBB" w:rsidRDefault="00486049" w:rsidP="003D62C6">
      <w:pPr>
        <w:pStyle w:val="ListParagraph"/>
        <w:numPr>
          <w:ilvl w:val="0"/>
          <w:numId w:val="52"/>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Fortalecer los procesos internos de la institución.</w:t>
      </w:r>
    </w:p>
    <w:p w14:paraId="0A3DA0A5" w14:textId="55A8F4D6" w:rsidR="00DA205F" w:rsidRPr="00232EBB" w:rsidRDefault="00486049" w:rsidP="003D62C6">
      <w:pPr>
        <w:pStyle w:val="ListParagraph"/>
        <w:numPr>
          <w:ilvl w:val="0"/>
          <w:numId w:val="52"/>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 xml:space="preserve">Orientar el desempeño de la institución hacia la gestión ambiental. </w:t>
      </w:r>
      <w:r w:rsidR="00DA205F" w:rsidRPr="00232EBB">
        <w:rPr>
          <w:rFonts w:ascii="Times New Roman" w:hAnsi="Times New Roman"/>
          <w:color w:val="767171"/>
          <w:spacing w:val="20"/>
          <w:sz w:val="24"/>
          <w:szCs w:val="24"/>
        </w:rPr>
        <w:t>Lograr y mantener un buen clima organizacional que contribuya al bienestar, el buen desempeño y la motivación de los colaboradores.</w:t>
      </w:r>
    </w:p>
    <w:p w14:paraId="61B86DFC" w14:textId="77777777" w:rsidR="00155102" w:rsidRPr="00232EBB" w:rsidRDefault="00155102" w:rsidP="00155102">
      <w:pPr>
        <w:pStyle w:val="ListParagraph"/>
        <w:spacing w:before="240" w:after="240" w:line="360" w:lineRule="auto"/>
        <w:ind w:left="810" w:firstLine="0"/>
        <w:rPr>
          <w:rFonts w:ascii="Times New Roman" w:hAnsi="Times New Roman"/>
          <w:color w:val="767171"/>
          <w:spacing w:val="20"/>
          <w:sz w:val="24"/>
          <w:szCs w:val="24"/>
        </w:rPr>
      </w:pPr>
    </w:p>
    <w:p w14:paraId="44982D7A" w14:textId="27E02D1E" w:rsidR="00CF1211" w:rsidRPr="00232EBB" w:rsidRDefault="00CF1211" w:rsidP="00CF1211">
      <w:pPr>
        <w:spacing w:before="240" w:after="240" w:line="360" w:lineRule="auto"/>
        <w:jc w:val="both"/>
        <w:rPr>
          <w:rFonts w:eastAsia="Calibri"/>
          <w:b/>
          <w:bCs/>
          <w:lang w:val="es-DO"/>
        </w:rPr>
      </w:pPr>
      <w:r w:rsidRPr="00232EBB">
        <w:rPr>
          <w:rFonts w:eastAsia="Calibri"/>
          <w:b/>
          <w:bCs/>
          <w:lang w:val="es-DO"/>
        </w:rPr>
        <w:lastRenderedPageBreak/>
        <w:t>Cuarto Eje: Riesgos y Control de Gestión</w:t>
      </w:r>
    </w:p>
    <w:p w14:paraId="21157F42" w14:textId="02CBC72D" w:rsidR="00486049" w:rsidRPr="00232EBB" w:rsidRDefault="00CF1211" w:rsidP="00CF1211">
      <w:pPr>
        <w:spacing w:before="240" w:after="240" w:line="360" w:lineRule="auto"/>
        <w:jc w:val="both"/>
        <w:rPr>
          <w:rFonts w:eastAsia="Calibri"/>
          <w:lang w:val="es-DO"/>
        </w:rPr>
      </w:pPr>
      <w:r w:rsidRPr="00232EBB">
        <w:rPr>
          <w:rFonts w:eastAsia="Calibri"/>
          <w:lang w:val="es-DO"/>
        </w:rPr>
        <w:t>Impulsar una gestión integral de riesgos que fomente la autoevaluación y la adopción de buenas prácticas, con el fin de mejorar la capacidad de respuesta ante adversidades y promoviendo una gobernanza sólida que respalde la efectividad de los controles.</w:t>
      </w:r>
    </w:p>
    <w:p w14:paraId="5A645013" w14:textId="77777777" w:rsidR="00CF1211" w:rsidRPr="00232EBB" w:rsidRDefault="00CF1211" w:rsidP="00CF1211">
      <w:pPr>
        <w:spacing w:before="240" w:after="240" w:line="360" w:lineRule="auto"/>
        <w:jc w:val="both"/>
        <w:rPr>
          <w:rFonts w:eastAsia="Calibri"/>
          <w:b/>
          <w:bCs/>
          <w:lang w:val="es-DO"/>
        </w:rPr>
      </w:pPr>
      <w:r w:rsidRPr="00232EBB">
        <w:rPr>
          <w:rFonts w:eastAsia="Calibri"/>
          <w:b/>
          <w:bCs/>
          <w:lang w:val="es-DO"/>
        </w:rPr>
        <w:t>Objetivos Estratégicos:</w:t>
      </w:r>
    </w:p>
    <w:p w14:paraId="381AA116" w14:textId="38AD1684" w:rsidR="00486049" w:rsidRPr="00232EBB" w:rsidRDefault="00CF1211" w:rsidP="003D62C6">
      <w:pPr>
        <w:pStyle w:val="ListParagraph"/>
        <w:numPr>
          <w:ilvl w:val="0"/>
          <w:numId w:val="53"/>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Fortalecer la efectividad del sistema integral de gestión de riesgos en las 3 líneas de defensa.</w:t>
      </w:r>
    </w:p>
    <w:p w14:paraId="591B0516" w14:textId="77777777" w:rsidR="00CF1211" w:rsidRPr="00232EBB" w:rsidRDefault="00CF1211" w:rsidP="00CF1211">
      <w:pPr>
        <w:spacing w:before="240" w:after="240" w:line="360" w:lineRule="auto"/>
        <w:jc w:val="both"/>
        <w:rPr>
          <w:rFonts w:eastAsia="Calibri"/>
          <w:b/>
          <w:bCs/>
          <w:lang w:val="es-DO"/>
        </w:rPr>
      </w:pPr>
      <w:r w:rsidRPr="00232EBB">
        <w:rPr>
          <w:rFonts w:eastAsia="Calibri"/>
          <w:b/>
          <w:bCs/>
          <w:lang w:val="es-DO"/>
        </w:rPr>
        <w:t xml:space="preserve">Quinto Eje: Crecimiento y Desarrollo del Talento Humano </w:t>
      </w:r>
    </w:p>
    <w:p w14:paraId="74BC8AE2" w14:textId="0028F272" w:rsidR="00CF1211" w:rsidRPr="00232EBB" w:rsidRDefault="00CF1211" w:rsidP="00CF1211">
      <w:pPr>
        <w:spacing w:before="240" w:after="240" w:line="360" w:lineRule="auto"/>
        <w:jc w:val="both"/>
        <w:rPr>
          <w:rFonts w:eastAsia="Calibri"/>
          <w:lang w:val="es-DO"/>
        </w:rPr>
      </w:pPr>
      <w:r w:rsidRPr="00232EBB">
        <w:rPr>
          <w:rFonts w:eastAsia="Calibri"/>
          <w:lang w:val="es-DO"/>
        </w:rPr>
        <w:t>Cultivar un capital humano motivado y comprometido con los objetivos institucionales, mediante el reconocimiento, innovación, uso de tecnología y entorno laboral que integre soluciones efectivas para potenciar el desempeño y bienestar emocional de los colaboradores.</w:t>
      </w:r>
    </w:p>
    <w:p w14:paraId="3C842E08" w14:textId="1014458A" w:rsidR="00CF1211" w:rsidRPr="00232EBB" w:rsidRDefault="00CF1211" w:rsidP="00CF1211">
      <w:pPr>
        <w:spacing w:before="240" w:after="240" w:line="360" w:lineRule="auto"/>
        <w:jc w:val="both"/>
        <w:rPr>
          <w:rFonts w:eastAsia="Calibri"/>
          <w:b/>
          <w:bCs/>
          <w:lang w:val="es-DO"/>
        </w:rPr>
      </w:pPr>
      <w:r w:rsidRPr="00232EBB">
        <w:rPr>
          <w:rFonts w:eastAsia="Calibri"/>
          <w:b/>
          <w:bCs/>
          <w:lang w:val="es-DO"/>
        </w:rPr>
        <w:t>Objetivos Estratégicos:</w:t>
      </w:r>
    </w:p>
    <w:p w14:paraId="684F2F91" w14:textId="0591F817" w:rsidR="00486049" w:rsidRPr="00232EBB" w:rsidRDefault="00CF1211" w:rsidP="000E2299">
      <w:pPr>
        <w:pStyle w:val="Heading1"/>
        <w:numPr>
          <w:ilvl w:val="0"/>
          <w:numId w:val="13"/>
        </w:numPr>
        <w:spacing w:after="240" w:line="259" w:lineRule="auto"/>
        <w:jc w:val="left"/>
        <w:rPr>
          <w:rFonts w:eastAsia="Calibri" w:cs="Times New Roman"/>
          <w:b w:val="0"/>
          <w:color w:val="767171"/>
          <w:sz w:val="24"/>
          <w:szCs w:val="24"/>
          <w:lang w:val="es-DO"/>
        </w:rPr>
      </w:pPr>
      <w:bookmarkStart w:id="23" w:name="_Toc216952211"/>
      <w:r w:rsidRPr="00232EBB">
        <w:rPr>
          <w:rFonts w:eastAsia="Calibri" w:cs="Times New Roman"/>
          <w:b w:val="0"/>
          <w:color w:val="767171"/>
          <w:sz w:val="24"/>
          <w:szCs w:val="24"/>
          <w:lang w:val="es-DO"/>
        </w:rPr>
        <w:t>Fortalecer la experiencia del colaborador y lograr altos resultados de clima y bienestar laboral.</w:t>
      </w:r>
      <w:bookmarkEnd w:id="23"/>
    </w:p>
    <w:p w14:paraId="71C8D25C" w14:textId="2985E5F4" w:rsidR="00CF1211" w:rsidRPr="00232EBB" w:rsidRDefault="00CF1211" w:rsidP="000E2299">
      <w:pPr>
        <w:pStyle w:val="ListParagraph"/>
        <w:numPr>
          <w:ilvl w:val="0"/>
          <w:numId w:val="13"/>
        </w:numPr>
        <w:rPr>
          <w:rFonts w:ascii="Times New Roman" w:hAnsi="Times New Roman"/>
          <w:color w:val="767171"/>
          <w:spacing w:val="20"/>
          <w:sz w:val="24"/>
          <w:szCs w:val="24"/>
        </w:rPr>
      </w:pPr>
      <w:r w:rsidRPr="00232EBB">
        <w:rPr>
          <w:rFonts w:ascii="Times New Roman" w:hAnsi="Times New Roman"/>
          <w:color w:val="767171"/>
          <w:spacing w:val="20"/>
          <w:sz w:val="24"/>
          <w:szCs w:val="24"/>
        </w:rPr>
        <w:t>Fortalecer el crecimiento del desarrollo y del talento humano.</w:t>
      </w:r>
    </w:p>
    <w:p w14:paraId="1BA787D8" w14:textId="77777777" w:rsidR="00CF1211" w:rsidRPr="00232EBB" w:rsidRDefault="00CF1211" w:rsidP="00CF1211">
      <w:pPr>
        <w:rPr>
          <w:lang w:val="es-DO"/>
        </w:rPr>
      </w:pPr>
    </w:p>
    <w:p w14:paraId="3F55B64E" w14:textId="77777777" w:rsidR="00486049" w:rsidRPr="00232EBB" w:rsidRDefault="00486049" w:rsidP="004544B4">
      <w:pPr>
        <w:pStyle w:val="Heading1"/>
        <w:spacing w:after="240" w:line="259" w:lineRule="auto"/>
        <w:ind w:left="720" w:hanging="360"/>
        <w:rPr>
          <w:rFonts w:cs="Times New Roman"/>
          <w:spacing w:val="0"/>
          <w:lang w:val="es-DO"/>
        </w:rPr>
      </w:pPr>
    </w:p>
    <w:p w14:paraId="4A949A16" w14:textId="77777777" w:rsidR="00CF1211" w:rsidRPr="00232EBB" w:rsidRDefault="00CF1211" w:rsidP="00CF1211">
      <w:pPr>
        <w:rPr>
          <w:lang w:val="es-DO"/>
        </w:rPr>
      </w:pPr>
    </w:p>
    <w:p w14:paraId="0031D4B1" w14:textId="77777777" w:rsidR="00CF1211" w:rsidRPr="00232EBB" w:rsidRDefault="00CF1211" w:rsidP="00CF1211">
      <w:pPr>
        <w:rPr>
          <w:lang w:val="es-DO"/>
        </w:rPr>
      </w:pPr>
    </w:p>
    <w:p w14:paraId="68A34008" w14:textId="77777777" w:rsidR="00CF1211" w:rsidRPr="00232EBB" w:rsidRDefault="00CF1211" w:rsidP="00CF1211">
      <w:pPr>
        <w:rPr>
          <w:lang w:val="es-DO"/>
        </w:rPr>
      </w:pPr>
    </w:p>
    <w:p w14:paraId="770A6BFB" w14:textId="77777777" w:rsidR="00CF1211" w:rsidRPr="00232EBB" w:rsidRDefault="00CF1211" w:rsidP="00CF1211">
      <w:pPr>
        <w:rPr>
          <w:lang w:val="es-DO"/>
        </w:rPr>
      </w:pPr>
    </w:p>
    <w:p w14:paraId="6E893034" w14:textId="77777777" w:rsidR="007A6ACD" w:rsidRPr="00232EBB" w:rsidRDefault="007A6ACD" w:rsidP="00CF1211">
      <w:pPr>
        <w:rPr>
          <w:lang w:val="es-DO"/>
        </w:rPr>
      </w:pPr>
    </w:p>
    <w:bookmarkStart w:id="24" w:name="_Toc216952212"/>
    <w:p w14:paraId="5E396B73" w14:textId="0D70E6DF" w:rsidR="00654164" w:rsidRPr="00232EBB" w:rsidRDefault="004B301B" w:rsidP="004544B4">
      <w:pPr>
        <w:pStyle w:val="Heading1"/>
        <w:spacing w:after="240" w:line="259" w:lineRule="auto"/>
        <w:ind w:left="720" w:hanging="360"/>
        <w:rPr>
          <w:rFonts w:cs="Times New Roman"/>
          <w:spacing w:val="0"/>
          <w:lang w:val="es-DO"/>
        </w:rPr>
      </w:pPr>
      <w:r w:rsidRPr="00232EBB">
        <w:rPr>
          <w:rFonts w:eastAsia="Calibri" w:cs="Times New Roman"/>
          <w:noProof/>
          <w:color w:val="4C4747"/>
          <w:sz w:val="18"/>
        </w:rPr>
        <w:lastRenderedPageBreak/>
        <mc:AlternateContent>
          <mc:Choice Requires="wps">
            <w:drawing>
              <wp:anchor distT="0" distB="0" distL="114300" distR="114300" simplePos="0" relativeHeight="251658247" behindDoc="0" locked="0" layoutInCell="1" allowOverlap="1" wp14:anchorId="4DF5F78D" wp14:editId="0E6D652D">
                <wp:simplePos x="0" y="0"/>
                <wp:positionH relativeFrom="margin">
                  <wp:posOffset>2409825</wp:posOffset>
                </wp:positionH>
                <wp:positionV relativeFrom="paragraph">
                  <wp:posOffset>316865</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B2D7058" id="Straight Connector 14"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75pt,24.95pt" to="226.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" strokecolor="#ee2a24" strokeweight="2.25pt">
                <v:stroke joinstyle="miter"/>
                <w10:wrap anchorx="margin"/>
              </v:line>
            </w:pict>
          </mc:Fallback>
        </mc:AlternateContent>
      </w:r>
      <w:r w:rsidR="004544B4" w:rsidRPr="00232EBB">
        <w:rPr>
          <w:rFonts w:cs="Times New Roman"/>
          <w:spacing w:val="0"/>
          <w:lang w:val="es-DO"/>
        </w:rPr>
        <w:t xml:space="preserve">III. </w:t>
      </w:r>
      <w:r w:rsidR="00654164" w:rsidRPr="00232EBB">
        <w:rPr>
          <w:rFonts w:cs="Times New Roman"/>
          <w:spacing w:val="0"/>
          <w:lang w:val="es-DO"/>
        </w:rPr>
        <w:t>RESULTADOS MISIONALES</w:t>
      </w:r>
      <w:bookmarkEnd w:id="24"/>
    </w:p>
    <w:p w14:paraId="38838488" w14:textId="5502105E" w:rsidR="00654164" w:rsidRPr="00232EBB" w:rsidRDefault="006C48BC" w:rsidP="006C48BC">
      <w:pPr>
        <w:rPr>
          <w:lang w:val="es-ES"/>
        </w:rPr>
      </w:pPr>
      <w:r w:rsidRPr="00232EBB">
        <w:rPr>
          <w:lang w:val="es-ES"/>
        </w:rPr>
        <w:t xml:space="preserve">                                  </w:t>
      </w:r>
      <w:r w:rsidR="004B301B" w:rsidRPr="00232EBB">
        <w:rPr>
          <w:lang w:val="es-ES"/>
        </w:rPr>
        <w:t xml:space="preserve"> </w:t>
      </w:r>
      <w:r w:rsidR="00654164" w:rsidRPr="00232EBB">
        <w:rPr>
          <w:lang w:val="es-ES"/>
        </w:rPr>
        <w:t xml:space="preserve">Memoria </w:t>
      </w:r>
      <w:r w:rsidR="00D837AC" w:rsidRPr="00232EBB">
        <w:rPr>
          <w:lang w:val="es-ES"/>
        </w:rPr>
        <w:t>I</w:t>
      </w:r>
      <w:r w:rsidR="00654164" w:rsidRPr="00232EBB">
        <w:rPr>
          <w:lang w:val="es-ES"/>
        </w:rPr>
        <w:t xml:space="preserve">nstitucional </w:t>
      </w:r>
      <w:r w:rsidR="000025D4" w:rsidRPr="00232EBB">
        <w:rPr>
          <w:lang w:val="es-ES"/>
        </w:rPr>
        <w:t>202</w:t>
      </w:r>
      <w:r w:rsidR="00CF1211" w:rsidRPr="00232EBB">
        <w:rPr>
          <w:lang w:val="es-ES"/>
        </w:rPr>
        <w:t>5</w:t>
      </w:r>
    </w:p>
    <w:p w14:paraId="18898F5F" w14:textId="4D004BA5" w:rsidR="003A6D2F" w:rsidRPr="00232EBB" w:rsidRDefault="00384973" w:rsidP="00802E42">
      <w:pPr>
        <w:pStyle w:val="Heading1"/>
        <w:spacing w:after="240" w:line="259" w:lineRule="auto"/>
        <w:jc w:val="both"/>
        <w:rPr>
          <w:rFonts w:cs="Times New Roman"/>
          <w:spacing w:val="0"/>
          <w:lang w:val="es-DO"/>
        </w:rPr>
      </w:pPr>
      <w:bookmarkStart w:id="25" w:name="_Toc216952213"/>
      <w:r w:rsidRPr="00232EBB">
        <w:rPr>
          <w:rFonts w:cs="Times New Roman"/>
          <w:spacing w:val="0"/>
          <w:lang w:val="es-DO"/>
        </w:rPr>
        <w:t xml:space="preserve">3.1 </w:t>
      </w:r>
      <w:r w:rsidR="003A6D2F" w:rsidRPr="00232EBB">
        <w:rPr>
          <w:rFonts w:cs="Times New Roman"/>
          <w:spacing w:val="0"/>
          <w:lang w:val="es-DO"/>
        </w:rPr>
        <w:t>Información Cuantitativa, Cualitativa e Indicadores de los Procesos Misionales</w:t>
      </w:r>
      <w:bookmarkEnd w:id="25"/>
    </w:p>
    <w:p w14:paraId="26BFCBED" w14:textId="77777777" w:rsidR="00FA27DA" w:rsidRPr="00232EBB" w:rsidRDefault="00FA27DA" w:rsidP="00FA27DA">
      <w:pPr>
        <w:spacing w:line="360" w:lineRule="auto"/>
        <w:jc w:val="both"/>
        <w:rPr>
          <w:rFonts w:eastAsia="Calibri"/>
          <w:noProof/>
          <w:lang w:val="es-DO"/>
        </w:rPr>
      </w:pPr>
      <w:r w:rsidRPr="00232EBB">
        <w:rPr>
          <w:rFonts w:eastAsia="Calibri"/>
          <w:noProof/>
          <w:lang w:val="es-DO"/>
        </w:rPr>
        <w:t>La Tesorería de la Seguridad Social es responsable de la recaudación, distribución y pago de los recursos financieros del Sistema Dominicano de la Seguridad Social (SDSS) y del Control Presupuestario de los fondos que recibe la Tesoreria de la  Seguridad Social para el manejo de sus operaciones.</w:t>
      </w:r>
    </w:p>
    <w:p w14:paraId="26FF027D" w14:textId="77777777" w:rsidR="00FA27DA" w:rsidRPr="00232EBB" w:rsidRDefault="00FA27DA" w:rsidP="00FA27DA">
      <w:pPr>
        <w:spacing w:before="240" w:after="240" w:line="360" w:lineRule="auto"/>
        <w:jc w:val="both"/>
        <w:rPr>
          <w:rFonts w:eastAsia="Calibri"/>
          <w:noProof/>
          <w:lang w:val="es-DO"/>
        </w:rPr>
      </w:pPr>
      <w:r w:rsidRPr="00232EBB">
        <w:rPr>
          <w:rFonts w:eastAsia="Aptos"/>
          <w:lang w:val="es-DO"/>
        </w:rPr>
        <w:t>La recaudación es el proceso ordinario mediante el cual la TSS, a través de la Red Financiera Nacional, recibe los aportes y contribuciones de los trabajadores y empleadores al Sistema Dominicano de Seguridad Social.</w:t>
      </w:r>
    </w:p>
    <w:p w14:paraId="200F4283" w14:textId="77777777" w:rsidR="00FA27DA" w:rsidRPr="00232EBB" w:rsidRDefault="00FA27DA" w:rsidP="00FA27DA">
      <w:pPr>
        <w:spacing w:before="240" w:after="240" w:line="360" w:lineRule="auto"/>
        <w:jc w:val="both"/>
        <w:rPr>
          <w:rFonts w:eastAsia="Calibri"/>
          <w:noProof/>
          <w:lang w:val="es-DO"/>
        </w:rPr>
      </w:pPr>
      <w:r w:rsidRPr="00232EBB">
        <w:rPr>
          <w:rFonts w:eastAsia="Calibri"/>
          <w:noProof/>
          <w:lang w:val="es-ES"/>
        </w:rPr>
        <w:t xml:space="preserve">Red Financiera Nacional </w:t>
      </w:r>
      <w:r w:rsidRPr="00232EBB">
        <w:rPr>
          <w:rFonts w:eastAsia="Aptos"/>
          <w:lang w:val="es-DO"/>
        </w:rPr>
        <w:t>es el conjunto de entidades de intermediación financieras autorizadas por la Junta Monetaria, así como otras autorizadas y certificadas por la TSS para participar en el proceso de recaudación del sistema. La TSS y la EPBD certificarán el cumplimiento de los requisitos tecnológicos requeridos de estas entidades, previo a su incorporación a la referida red.</w:t>
      </w:r>
    </w:p>
    <w:p w14:paraId="047771E9" w14:textId="77777777" w:rsidR="00FA27DA" w:rsidRPr="00232EBB" w:rsidRDefault="00FA27DA" w:rsidP="00FA27DA">
      <w:pPr>
        <w:spacing w:line="360" w:lineRule="auto"/>
        <w:jc w:val="both"/>
        <w:rPr>
          <w:rFonts w:eastAsia="Calibri"/>
          <w:noProof/>
          <w:lang w:val="es-ES"/>
        </w:rPr>
      </w:pPr>
      <w:r w:rsidRPr="00232EBB">
        <w:rPr>
          <w:rFonts w:eastAsia="Calibri"/>
          <w:noProof/>
          <w:lang w:val="es-ES"/>
        </w:rPr>
        <w:t>Liquidación es el proceso mediante el cual la TSS transfiere los valores recaudados, mediante el Sistema de Pago y Liquidación de Valores de la República Dominicana (SIPARD), a las entidades de intermediación financiera, con la finalidad de que esos recursos sean acreditados en las diferentes cuentas de las entidades del Sistema Dominicano de Seguridad Social que correspondan.</w:t>
      </w:r>
    </w:p>
    <w:p w14:paraId="390CD7DB" w14:textId="2AF88C89" w:rsidR="00701C3A" w:rsidRPr="00232EBB" w:rsidRDefault="00FA27DA" w:rsidP="00A36F11">
      <w:pPr>
        <w:spacing w:line="360" w:lineRule="auto"/>
        <w:jc w:val="both"/>
        <w:rPr>
          <w:rFonts w:eastAsia="Times New Roman"/>
          <w:b/>
          <w:bCs/>
          <w:color w:val="FFFFFF"/>
          <w:spacing w:val="0"/>
          <w:sz w:val="20"/>
          <w:szCs w:val="20"/>
          <w:lang w:val="es-DO"/>
        </w:rPr>
      </w:pPr>
      <w:r w:rsidRPr="00232EBB">
        <w:rPr>
          <w:rFonts w:eastAsia="Calibri"/>
          <w:noProof/>
          <w:lang w:val="es-ES"/>
        </w:rPr>
        <w:t>A continuación, las recaudaciones, pagos, inversiones y devoluciones de aportes del Régimen Contributivo:</w:t>
      </w:r>
    </w:p>
    <w:tbl>
      <w:tblPr>
        <w:tblW w:w="8810" w:type="dxa"/>
        <w:jc w:val="center"/>
        <w:tblLayout w:type="fixed"/>
        <w:tblLook w:val="04A0" w:firstRow="1" w:lastRow="0" w:firstColumn="1" w:lastColumn="0" w:noHBand="0" w:noVBand="1"/>
      </w:tblPr>
      <w:tblGrid>
        <w:gridCol w:w="1520"/>
        <w:gridCol w:w="2139"/>
        <w:gridCol w:w="2176"/>
        <w:gridCol w:w="2056"/>
        <w:gridCol w:w="919"/>
      </w:tblGrid>
      <w:tr w:rsidR="006476DF" w:rsidRPr="00232EBB" w14:paraId="57374C9C" w14:textId="77777777" w:rsidTr="00A36F11">
        <w:trPr>
          <w:trHeight w:val="610"/>
          <w:tblHeader/>
          <w:jc w:val="center"/>
        </w:trPr>
        <w:tc>
          <w:tcPr>
            <w:tcW w:w="1520" w:type="dxa"/>
            <w:tcBorders>
              <w:top w:val="single" w:sz="8" w:space="0" w:color="auto"/>
              <w:left w:val="single" w:sz="8" w:space="0" w:color="auto"/>
              <w:bottom w:val="nil"/>
              <w:right w:val="single" w:sz="8" w:space="0" w:color="auto"/>
            </w:tcBorders>
            <w:shd w:val="clear" w:color="000000" w:fill="1F3864"/>
            <w:vAlign w:val="center"/>
            <w:hideMark/>
          </w:tcPr>
          <w:p w14:paraId="411AC44B"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lastRenderedPageBreak/>
              <w:t>Recaudaciones</w:t>
            </w:r>
          </w:p>
        </w:tc>
        <w:tc>
          <w:tcPr>
            <w:tcW w:w="2139" w:type="dxa"/>
            <w:tcBorders>
              <w:top w:val="single" w:sz="8" w:space="0" w:color="auto"/>
              <w:left w:val="nil"/>
              <w:bottom w:val="nil"/>
              <w:right w:val="single" w:sz="8" w:space="0" w:color="auto"/>
            </w:tcBorders>
            <w:shd w:val="clear" w:color="000000" w:fill="1F3864"/>
            <w:vAlign w:val="center"/>
            <w:hideMark/>
          </w:tcPr>
          <w:p w14:paraId="3AE941B8" w14:textId="32AD1574"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FA27DA" w:rsidRPr="00232EBB">
              <w:rPr>
                <w:rFonts w:eastAsia="Times New Roman"/>
                <w:b/>
                <w:bCs/>
                <w:color w:val="FFFFFF"/>
                <w:spacing w:val="0"/>
                <w:sz w:val="20"/>
                <w:szCs w:val="20"/>
                <w:lang w:val="es-DO"/>
              </w:rPr>
              <w:t>5</w:t>
            </w:r>
          </w:p>
        </w:tc>
        <w:tc>
          <w:tcPr>
            <w:tcW w:w="2176" w:type="dxa"/>
            <w:tcBorders>
              <w:top w:val="single" w:sz="8" w:space="0" w:color="auto"/>
              <w:left w:val="nil"/>
              <w:bottom w:val="nil"/>
              <w:right w:val="single" w:sz="8" w:space="0" w:color="auto"/>
            </w:tcBorders>
            <w:shd w:val="clear" w:color="000000" w:fill="1F3864"/>
            <w:vAlign w:val="center"/>
            <w:hideMark/>
          </w:tcPr>
          <w:p w14:paraId="218B0CD5" w14:textId="2D2E73B0"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FA27DA" w:rsidRPr="00232EBB">
              <w:rPr>
                <w:rFonts w:eastAsia="Times New Roman"/>
                <w:b/>
                <w:bCs/>
                <w:color w:val="FFFFFF"/>
                <w:spacing w:val="0"/>
                <w:sz w:val="20"/>
                <w:szCs w:val="20"/>
                <w:lang w:val="es-DO"/>
              </w:rPr>
              <w:t>4</w:t>
            </w:r>
          </w:p>
        </w:tc>
        <w:tc>
          <w:tcPr>
            <w:tcW w:w="2056" w:type="dxa"/>
            <w:tcBorders>
              <w:top w:val="single" w:sz="8" w:space="0" w:color="auto"/>
              <w:left w:val="nil"/>
              <w:bottom w:val="nil"/>
              <w:right w:val="single" w:sz="8" w:space="0" w:color="auto"/>
            </w:tcBorders>
            <w:shd w:val="clear" w:color="000000" w:fill="1F3864"/>
            <w:vAlign w:val="center"/>
            <w:hideMark/>
          </w:tcPr>
          <w:p w14:paraId="6E780AD0"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Variación</w:t>
            </w:r>
          </w:p>
        </w:tc>
        <w:tc>
          <w:tcPr>
            <w:tcW w:w="919" w:type="dxa"/>
            <w:tcBorders>
              <w:top w:val="single" w:sz="8" w:space="0" w:color="auto"/>
              <w:left w:val="nil"/>
              <w:bottom w:val="nil"/>
              <w:right w:val="single" w:sz="8" w:space="0" w:color="auto"/>
            </w:tcBorders>
            <w:shd w:val="clear" w:color="000000" w:fill="1F3864"/>
            <w:vAlign w:val="center"/>
            <w:hideMark/>
          </w:tcPr>
          <w:p w14:paraId="0E43B9B0"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w:t>
            </w:r>
          </w:p>
        </w:tc>
      </w:tr>
      <w:tr w:rsidR="007A6ACD" w:rsidRPr="00232EBB" w14:paraId="21F79374" w14:textId="77777777" w:rsidTr="00A36F11">
        <w:trPr>
          <w:trHeight w:val="543"/>
          <w:jc w:val="center"/>
        </w:trPr>
        <w:tc>
          <w:tcPr>
            <w:tcW w:w="1520" w:type="dxa"/>
            <w:tcBorders>
              <w:top w:val="single" w:sz="8" w:space="0" w:color="auto"/>
              <w:left w:val="single" w:sz="8" w:space="0" w:color="auto"/>
              <w:bottom w:val="single" w:sz="8" w:space="0" w:color="auto"/>
              <w:right w:val="single" w:sz="8" w:space="0" w:color="auto"/>
            </w:tcBorders>
            <w:vAlign w:val="center"/>
            <w:hideMark/>
          </w:tcPr>
          <w:p w14:paraId="7F82D4EF" w14:textId="6E5AEBB7" w:rsidR="007A6ACD" w:rsidRPr="00232EBB" w:rsidRDefault="007A6ACD" w:rsidP="007A6ACD">
            <w:pPr>
              <w:spacing w:after="0" w:line="240" w:lineRule="auto"/>
              <w:jc w:val="center"/>
              <w:rPr>
                <w:rFonts w:eastAsia="Times New Roman"/>
                <w:spacing w:val="0"/>
                <w:sz w:val="20"/>
                <w:szCs w:val="20"/>
              </w:rPr>
            </w:pPr>
            <w:r w:rsidRPr="00232EBB">
              <w:rPr>
                <w:rFonts w:eastAsia="Calibri"/>
                <w:noProof/>
                <w:spacing w:val="0"/>
                <w:sz w:val="20"/>
                <w:szCs w:val="20"/>
                <w:lang w:val="es-DO"/>
              </w:rPr>
              <w:t>Enero - Diciembre</w:t>
            </w:r>
          </w:p>
        </w:tc>
        <w:tc>
          <w:tcPr>
            <w:tcW w:w="2139" w:type="dxa"/>
            <w:tcBorders>
              <w:top w:val="single" w:sz="8" w:space="0" w:color="auto"/>
              <w:left w:val="nil"/>
              <w:bottom w:val="single" w:sz="8" w:space="0" w:color="auto"/>
              <w:right w:val="single" w:sz="8" w:space="0" w:color="auto"/>
            </w:tcBorders>
            <w:vAlign w:val="center"/>
            <w:hideMark/>
          </w:tcPr>
          <w:p w14:paraId="592FD3FA" w14:textId="6F3FEF91" w:rsidR="007A6ACD" w:rsidRPr="00232EBB" w:rsidRDefault="007A6ACD" w:rsidP="00A36F11">
            <w:pPr>
              <w:spacing w:after="0" w:line="240" w:lineRule="auto"/>
              <w:jc w:val="center"/>
              <w:rPr>
                <w:rFonts w:eastAsia="Times New Roman"/>
                <w:spacing w:val="0"/>
                <w:sz w:val="20"/>
                <w:szCs w:val="20"/>
              </w:rPr>
            </w:pPr>
            <w:r w:rsidRPr="00232EBB">
              <w:rPr>
                <w:sz w:val="20"/>
                <w:szCs w:val="20"/>
              </w:rPr>
              <w:t>234,896,621,282.34</w:t>
            </w:r>
          </w:p>
        </w:tc>
        <w:tc>
          <w:tcPr>
            <w:tcW w:w="2176" w:type="dxa"/>
            <w:tcBorders>
              <w:top w:val="single" w:sz="8" w:space="0" w:color="auto"/>
              <w:left w:val="nil"/>
              <w:bottom w:val="single" w:sz="8" w:space="0" w:color="auto"/>
              <w:right w:val="single" w:sz="8" w:space="0" w:color="auto"/>
            </w:tcBorders>
            <w:vAlign w:val="center"/>
            <w:hideMark/>
          </w:tcPr>
          <w:p w14:paraId="1AE4011A" w14:textId="7CE558DB" w:rsidR="007A6ACD" w:rsidRPr="00232EBB" w:rsidRDefault="007A6ACD" w:rsidP="00A36F11">
            <w:pPr>
              <w:spacing w:after="0" w:line="240" w:lineRule="auto"/>
              <w:jc w:val="center"/>
              <w:rPr>
                <w:rFonts w:eastAsia="Times New Roman"/>
                <w:spacing w:val="0"/>
                <w:sz w:val="20"/>
                <w:szCs w:val="20"/>
              </w:rPr>
            </w:pPr>
            <w:r w:rsidRPr="00232EBB">
              <w:rPr>
                <w:sz w:val="20"/>
                <w:szCs w:val="20"/>
              </w:rPr>
              <w:t>211,618,577,731.84</w:t>
            </w:r>
          </w:p>
        </w:tc>
        <w:tc>
          <w:tcPr>
            <w:tcW w:w="2056" w:type="dxa"/>
            <w:tcBorders>
              <w:top w:val="single" w:sz="8" w:space="0" w:color="auto"/>
              <w:left w:val="nil"/>
              <w:bottom w:val="single" w:sz="8" w:space="0" w:color="auto"/>
              <w:right w:val="single" w:sz="8" w:space="0" w:color="auto"/>
            </w:tcBorders>
            <w:vAlign w:val="center"/>
            <w:hideMark/>
          </w:tcPr>
          <w:p w14:paraId="380B0FC6" w14:textId="5391330F" w:rsidR="007A6ACD" w:rsidRPr="00232EBB" w:rsidRDefault="007A6ACD" w:rsidP="00A36F11">
            <w:pPr>
              <w:spacing w:after="0" w:line="240" w:lineRule="auto"/>
              <w:jc w:val="center"/>
              <w:rPr>
                <w:rFonts w:eastAsia="Times New Roman"/>
                <w:spacing w:val="0"/>
                <w:sz w:val="20"/>
                <w:szCs w:val="20"/>
              </w:rPr>
            </w:pPr>
            <w:r w:rsidRPr="00232EBB">
              <w:rPr>
                <w:sz w:val="20"/>
                <w:szCs w:val="20"/>
              </w:rPr>
              <w:t>23,278,043,550.50</w:t>
            </w:r>
          </w:p>
        </w:tc>
        <w:tc>
          <w:tcPr>
            <w:tcW w:w="919" w:type="dxa"/>
            <w:tcBorders>
              <w:top w:val="single" w:sz="8" w:space="0" w:color="auto"/>
              <w:left w:val="nil"/>
              <w:bottom w:val="single" w:sz="8" w:space="0" w:color="auto"/>
              <w:right w:val="single" w:sz="8" w:space="0" w:color="auto"/>
            </w:tcBorders>
            <w:vAlign w:val="center"/>
            <w:hideMark/>
          </w:tcPr>
          <w:p w14:paraId="1B68E3CB" w14:textId="0E0B395B" w:rsidR="007A6ACD" w:rsidRPr="00232EBB" w:rsidRDefault="007A6ACD" w:rsidP="00A36F11">
            <w:pPr>
              <w:spacing w:after="0" w:line="240" w:lineRule="auto"/>
              <w:jc w:val="center"/>
              <w:rPr>
                <w:rFonts w:eastAsia="Times New Roman"/>
                <w:spacing w:val="0"/>
                <w:sz w:val="20"/>
                <w:szCs w:val="20"/>
              </w:rPr>
            </w:pPr>
            <w:r w:rsidRPr="00232EBB">
              <w:rPr>
                <w:sz w:val="20"/>
                <w:szCs w:val="20"/>
              </w:rPr>
              <w:t>11.00%</w:t>
            </w:r>
          </w:p>
        </w:tc>
      </w:tr>
    </w:tbl>
    <w:p w14:paraId="23002465" w14:textId="4BE4F0D4" w:rsidR="00A443C2" w:rsidRPr="00232EBB" w:rsidRDefault="00A443C2" w:rsidP="00A443C2">
      <w:pPr>
        <w:spacing w:line="360" w:lineRule="auto"/>
        <w:jc w:val="both"/>
        <w:rPr>
          <w:rFonts w:eastAsia="Calibri"/>
          <w:noProof/>
          <w:sz w:val="18"/>
          <w:szCs w:val="18"/>
          <w:lang w:val="es-ES"/>
        </w:rPr>
      </w:pPr>
      <w:r w:rsidRPr="00232EBB">
        <w:rPr>
          <w:rFonts w:eastAsia="Calibri"/>
          <w:b/>
          <w:bCs/>
          <w:noProof/>
          <w:sz w:val="18"/>
          <w:szCs w:val="18"/>
          <w:lang w:val="es-ES"/>
        </w:rPr>
        <w:t xml:space="preserve">Tabla 1: </w:t>
      </w:r>
      <w:r w:rsidRPr="00232EBB">
        <w:rPr>
          <w:rFonts w:eastAsia="Calibri"/>
          <w:noProof/>
          <w:sz w:val="18"/>
          <w:szCs w:val="18"/>
          <w:lang w:val="es-ES"/>
        </w:rPr>
        <w:t>Recaudaciones del Régimen Contributivo enero-</w:t>
      </w:r>
      <w:r w:rsidR="007A6ACD" w:rsidRPr="00232EBB">
        <w:rPr>
          <w:rFonts w:eastAsia="Calibri"/>
          <w:noProof/>
          <w:sz w:val="18"/>
          <w:szCs w:val="18"/>
          <w:lang w:val="es-ES"/>
        </w:rPr>
        <w:t>dic</w:t>
      </w:r>
      <w:r w:rsidR="00544B53" w:rsidRPr="00232EBB">
        <w:rPr>
          <w:rFonts w:eastAsia="Calibri"/>
          <w:noProof/>
          <w:sz w:val="18"/>
          <w:szCs w:val="18"/>
          <w:lang w:val="es-ES"/>
        </w:rPr>
        <w:t>iem</w:t>
      </w:r>
      <w:r w:rsidRPr="00232EBB">
        <w:rPr>
          <w:rFonts w:eastAsia="Calibri"/>
          <w:noProof/>
          <w:sz w:val="18"/>
          <w:szCs w:val="18"/>
          <w:lang w:val="es-ES"/>
        </w:rPr>
        <w:t>bre 202</w:t>
      </w:r>
      <w:r w:rsidR="00FA27DA" w:rsidRPr="00232EBB">
        <w:rPr>
          <w:rFonts w:eastAsia="Calibri"/>
          <w:noProof/>
          <w:sz w:val="18"/>
          <w:szCs w:val="18"/>
          <w:lang w:val="es-ES"/>
        </w:rPr>
        <w:t>5</w:t>
      </w:r>
      <w:r w:rsidRPr="00232EBB">
        <w:rPr>
          <w:rFonts w:eastAsia="Calibri"/>
          <w:noProof/>
          <w:sz w:val="18"/>
          <w:szCs w:val="18"/>
          <w:lang w:val="es-ES"/>
        </w:rPr>
        <w:t>.</w:t>
      </w:r>
    </w:p>
    <w:p w14:paraId="530CF504" w14:textId="77777777" w:rsidR="00701C3A" w:rsidRPr="00232EBB" w:rsidRDefault="00701C3A" w:rsidP="00701C3A">
      <w:pPr>
        <w:spacing w:after="0" w:line="360" w:lineRule="auto"/>
        <w:jc w:val="both"/>
        <w:rPr>
          <w:rFonts w:eastAsia="Calibri"/>
          <w:noProof/>
          <w:sz w:val="18"/>
          <w:szCs w:val="18"/>
          <w:lang w:val="es-ES"/>
        </w:rPr>
      </w:pPr>
    </w:p>
    <w:tbl>
      <w:tblPr>
        <w:tblW w:w="8810" w:type="dxa"/>
        <w:jc w:val="center"/>
        <w:tblLayout w:type="fixed"/>
        <w:tblLook w:val="04A0" w:firstRow="1" w:lastRow="0" w:firstColumn="1" w:lastColumn="0" w:noHBand="0" w:noVBand="1"/>
      </w:tblPr>
      <w:tblGrid>
        <w:gridCol w:w="1160"/>
        <w:gridCol w:w="2027"/>
        <w:gridCol w:w="2176"/>
        <w:gridCol w:w="2056"/>
        <w:gridCol w:w="1391"/>
      </w:tblGrid>
      <w:tr w:rsidR="00A443C2" w:rsidRPr="00232EBB" w14:paraId="728F00FF" w14:textId="77777777" w:rsidTr="00A36F11">
        <w:trPr>
          <w:trHeight w:val="448"/>
          <w:jc w:val="center"/>
        </w:trPr>
        <w:tc>
          <w:tcPr>
            <w:tcW w:w="1160" w:type="dxa"/>
            <w:tcBorders>
              <w:top w:val="single" w:sz="8" w:space="0" w:color="auto"/>
              <w:left w:val="single" w:sz="8" w:space="0" w:color="auto"/>
              <w:bottom w:val="nil"/>
              <w:right w:val="single" w:sz="8" w:space="0" w:color="auto"/>
            </w:tcBorders>
            <w:shd w:val="clear" w:color="000000" w:fill="1F3864"/>
            <w:vAlign w:val="center"/>
            <w:hideMark/>
          </w:tcPr>
          <w:p w14:paraId="21B81813"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Pagos</w:t>
            </w:r>
          </w:p>
        </w:tc>
        <w:tc>
          <w:tcPr>
            <w:tcW w:w="2027" w:type="dxa"/>
            <w:tcBorders>
              <w:top w:val="single" w:sz="8" w:space="0" w:color="auto"/>
              <w:left w:val="nil"/>
              <w:bottom w:val="nil"/>
              <w:right w:val="single" w:sz="8" w:space="0" w:color="auto"/>
            </w:tcBorders>
            <w:shd w:val="clear" w:color="000000" w:fill="1F3864"/>
            <w:vAlign w:val="center"/>
            <w:hideMark/>
          </w:tcPr>
          <w:p w14:paraId="2E80529E" w14:textId="3B65508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FA27DA" w:rsidRPr="00232EBB">
              <w:rPr>
                <w:rFonts w:eastAsia="Times New Roman"/>
                <w:b/>
                <w:bCs/>
                <w:color w:val="FFFFFF"/>
                <w:spacing w:val="0"/>
                <w:sz w:val="20"/>
                <w:szCs w:val="20"/>
                <w:lang w:val="es-DO"/>
              </w:rPr>
              <w:t>5</w:t>
            </w:r>
          </w:p>
        </w:tc>
        <w:tc>
          <w:tcPr>
            <w:tcW w:w="2176" w:type="dxa"/>
            <w:tcBorders>
              <w:top w:val="single" w:sz="8" w:space="0" w:color="auto"/>
              <w:left w:val="nil"/>
              <w:bottom w:val="nil"/>
              <w:right w:val="single" w:sz="8" w:space="0" w:color="auto"/>
            </w:tcBorders>
            <w:shd w:val="clear" w:color="000000" w:fill="1F3864"/>
            <w:vAlign w:val="center"/>
            <w:hideMark/>
          </w:tcPr>
          <w:p w14:paraId="0BEE3657" w14:textId="7C4B54D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FA27DA" w:rsidRPr="00232EBB">
              <w:rPr>
                <w:rFonts w:eastAsia="Times New Roman"/>
                <w:b/>
                <w:bCs/>
                <w:color w:val="FFFFFF"/>
                <w:spacing w:val="0"/>
                <w:sz w:val="20"/>
                <w:szCs w:val="20"/>
                <w:lang w:val="es-DO"/>
              </w:rPr>
              <w:t>4</w:t>
            </w:r>
          </w:p>
        </w:tc>
        <w:tc>
          <w:tcPr>
            <w:tcW w:w="2056" w:type="dxa"/>
            <w:tcBorders>
              <w:top w:val="single" w:sz="8" w:space="0" w:color="auto"/>
              <w:left w:val="nil"/>
              <w:bottom w:val="nil"/>
              <w:right w:val="single" w:sz="8" w:space="0" w:color="auto"/>
            </w:tcBorders>
            <w:shd w:val="clear" w:color="000000" w:fill="1F3864"/>
            <w:vAlign w:val="center"/>
            <w:hideMark/>
          </w:tcPr>
          <w:p w14:paraId="4CA77142"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Variación</w:t>
            </w:r>
          </w:p>
        </w:tc>
        <w:tc>
          <w:tcPr>
            <w:tcW w:w="1391" w:type="dxa"/>
            <w:tcBorders>
              <w:top w:val="single" w:sz="8" w:space="0" w:color="auto"/>
              <w:left w:val="nil"/>
              <w:bottom w:val="nil"/>
              <w:right w:val="single" w:sz="8" w:space="0" w:color="auto"/>
            </w:tcBorders>
            <w:shd w:val="clear" w:color="000000" w:fill="1F3864"/>
            <w:vAlign w:val="center"/>
            <w:hideMark/>
          </w:tcPr>
          <w:p w14:paraId="4EB0E005"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w:t>
            </w:r>
          </w:p>
        </w:tc>
      </w:tr>
      <w:tr w:rsidR="007A6ACD" w:rsidRPr="00232EBB" w14:paraId="3C27C8FE" w14:textId="77777777" w:rsidTr="00A36F11">
        <w:trPr>
          <w:trHeight w:val="415"/>
          <w:jc w:val="center"/>
        </w:trPr>
        <w:tc>
          <w:tcPr>
            <w:tcW w:w="1160" w:type="dxa"/>
            <w:tcBorders>
              <w:top w:val="single" w:sz="8" w:space="0" w:color="auto"/>
              <w:left w:val="single" w:sz="8" w:space="0" w:color="auto"/>
              <w:bottom w:val="single" w:sz="8" w:space="0" w:color="auto"/>
              <w:right w:val="single" w:sz="8" w:space="0" w:color="auto"/>
            </w:tcBorders>
            <w:vAlign w:val="center"/>
            <w:hideMark/>
          </w:tcPr>
          <w:p w14:paraId="73262707" w14:textId="28299702" w:rsidR="007A6ACD" w:rsidRPr="00232EBB" w:rsidRDefault="007A6ACD" w:rsidP="007A6ACD">
            <w:pPr>
              <w:spacing w:after="0" w:line="240" w:lineRule="auto"/>
              <w:jc w:val="center"/>
              <w:rPr>
                <w:rFonts w:eastAsia="Times New Roman"/>
                <w:spacing w:val="0"/>
                <w:sz w:val="20"/>
                <w:szCs w:val="20"/>
              </w:rPr>
            </w:pPr>
            <w:r w:rsidRPr="00232EBB">
              <w:rPr>
                <w:rFonts w:eastAsia="Calibri"/>
                <w:noProof/>
                <w:spacing w:val="0"/>
                <w:sz w:val="20"/>
                <w:szCs w:val="20"/>
                <w:lang w:val="es-DO"/>
              </w:rPr>
              <w:t>Enero - Diciembre</w:t>
            </w:r>
          </w:p>
        </w:tc>
        <w:tc>
          <w:tcPr>
            <w:tcW w:w="2027" w:type="dxa"/>
            <w:tcBorders>
              <w:top w:val="single" w:sz="8" w:space="0" w:color="auto"/>
              <w:left w:val="nil"/>
              <w:bottom w:val="single" w:sz="8" w:space="0" w:color="auto"/>
              <w:right w:val="single" w:sz="8" w:space="0" w:color="auto"/>
            </w:tcBorders>
            <w:vAlign w:val="center"/>
            <w:hideMark/>
          </w:tcPr>
          <w:p w14:paraId="19B42311" w14:textId="1F67D81D" w:rsidR="007A6ACD" w:rsidRPr="00232EBB" w:rsidRDefault="007A6ACD" w:rsidP="00A36F11">
            <w:pPr>
              <w:spacing w:after="0" w:line="240" w:lineRule="auto"/>
              <w:jc w:val="center"/>
              <w:rPr>
                <w:rFonts w:eastAsia="Times New Roman"/>
                <w:spacing w:val="0"/>
                <w:sz w:val="20"/>
                <w:szCs w:val="20"/>
              </w:rPr>
            </w:pPr>
            <w:r w:rsidRPr="00232EBB">
              <w:rPr>
                <w:sz w:val="20"/>
                <w:szCs w:val="20"/>
              </w:rPr>
              <w:t>229,089,651,701.47</w:t>
            </w:r>
          </w:p>
        </w:tc>
        <w:tc>
          <w:tcPr>
            <w:tcW w:w="2176" w:type="dxa"/>
            <w:tcBorders>
              <w:top w:val="single" w:sz="8" w:space="0" w:color="auto"/>
              <w:left w:val="nil"/>
              <w:bottom w:val="single" w:sz="8" w:space="0" w:color="auto"/>
              <w:right w:val="single" w:sz="8" w:space="0" w:color="auto"/>
            </w:tcBorders>
            <w:vAlign w:val="center"/>
            <w:hideMark/>
          </w:tcPr>
          <w:p w14:paraId="2EB20FD4" w14:textId="74070D40" w:rsidR="007A6ACD" w:rsidRPr="00232EBB" w:rsidRDefault="007A6ACD" w:rsidP="00A36F11">
            <w:pPr>
              <w:spacing w:after="0" w:line="240" w:lineRule="auto"/>
              <w:jc w:val="center"/>
              <w:rPr>
                <w:rFonts w:eastAsia="Times New Roman"/>
                <w:spacing w:val="0"/>
                <w:sz w:val="20"/>
                <w:szCs w:val="20"/>
              </w:rPr>
            </w:pPr>
            <w:r w:rsidRPr="00232EBB">
              <w:rPr>
                <w:sz w:val="20"/>
                <w:szCs w:val="20"/>
              </w:rPr>
              <w:t>212,746,678,553.17</w:t>
            </w:r>
          </w:p>
        </w:tc>
        <w:tc>
          <w:tcPr>
            <w:tcW w:w="2056" w:type="dxa"/>
            <w:tcBorders>
              <w:top w:val="single" w:sz="8" w:space="0" w:color="auto"/>
              <w:left w:val="nil"/>
              <w:bottom w:val="single" w:sz="8" w:space="0" w:color="auto"/>
              <w:right w:val="single" w:sz="8" w:space="0" w:color="auto"/>
            </w:tcBorders>
            <w:vAlign w:val="center"/>
            <w:hideMark/>
          </w:tcPr>
          <w:p w14:paraId="00160AE4" w14:textId="4A97E9A6" w:rsidR="007A6ACD" w:rsidRPr="00232EBB" w:rsidRDefault="007A6ACD" w:rsidP="00A36F11">
            <w:pPr>
              <w:spacing w:after="0" w:line="240" w:lineRule="auto"/>
              <w:jc w:val="center"/>
              <w:rPr>
                <w:rFonts w:eastAsia="Times New Roman"/>
                <w:spacing w:val="0"/>
                <w:sz w:val="20"/>
                <w:szCs w:val="20"/>
              </w:rPr>
            </w:pPr>
            <w:r w:rsidRPr="00232EBB">
              <w:rPr>
                <w:sz w:val="20"/>
                <w:szCs w:val="20"/>
              </w:rPr>
              <w:t>16,342,973,148.30</w:t>
            </w:r>
          </w:p>
        </w:tc>
        <w:tc>
          <w:tcPr>
            <w:tcW w:w="1391" w:type="dxa"/>
            <w:tcBorders>
              <w:top w:val="single" w:sz="8" w:space="0" w:color="auto"/>
              <w:left w:val="nil"/>
              <w:bottom w:val="single" w:sz="8" w:space="0" w:color="auto"/>
              <w:right w:val="single" w:sz="8" w:space="0" w:color="auto"/>
            </w:tcBorders>
            <w:vAlign w:val="center"/>
            <w:hideMark/>
          </w:tcPr>
          <w:p w14:paraId="68AC7C41" w14:textId="23C45C8D" w:rsidR="007A6ACD" w:rsidRPr="00232EBB" w:rsidRDefault="007A6ACD" w:rsidP="00A36F11">
            <w:pPr>
              <w:spacing w:after="0" w:line="240" w:lineRule="auto"/>
              <w:jc w:val="center"/>
              <w:rPr>
                <w:rFonts w:eastAsia="Times New Roman"/>
                <w:spacing w:val="0"/>
                <w:sz w:val="20"/>
                <w:szCs w:val="20"/>
              </w:rPr>
            </w:pPr>
            <w:r w:rsidRPr="00232EBB">
              <w:rPr>
                <w:sz w:val="20"/>
                <w:szCs w:val="20"/>
              </w:rPr>
              <w:t>7.68%</w:t>
            </w:r>
          </w:p>
        </w:tc>
      </w:tr>
    </w:tbl>
    <w:p w14:paraId="1D618538" w14:textId="060F227E" w:rsidR="00A443C2" w:rsidRPr="00232EBB" w:rsidRDefault="00A443C2" w:rsidP="00A443C2">
      <w:pPr>
        <w:spacing w:line="360" w:lineRule="auto"/>
        <w:jc w:val="both"/>
        <w:rPr>
          <w:rFonts w:eastAsia="Calibri"/>
          <w:noProof/>
          <w:sz w:val="18"/>
          <w:szCs w:val="18"/>
          <w:lang w:val="es-ES"/>
        </w:rPr>
      </w:pPr>
      <w:r w:rsidRPr="00232EBB">
        <w:rPr>
          <w:rFonts w:eastAsia="Calibri"/>
          <w:b/>
          <w:bCs/>
          <w:noProof/>
          <w:sz w:val="18"/>
          <w:szCs w:val="18"/>
          <w:lang w:val="es-ES"/>
        </w:rPr>
        <w:t xml:space="preserve">Tabla 2: </w:t>
      </w:r>
      <w:r w:rsidRPr="00232EBB">
        <w:rPr>
          <w:rFonts w:eastAsia="Calibri"/>
          <w:noProof/>
          <w:sz w:val="18"/>
          <w:szCs w:val="18"/>
          <w:lang w:val="es-ES"/>
        </w:rPr>
        <w:t>Pagos del Régimen Contributivo enero-</w:t>
      </w:r>
      <w:r w:rsidR="007A6ACD" w:rsidRPr="00232EBB">
        <w:rPr>
          <w:rFonts w:eastAsia="Calibri"/>
          <w:noProof/>
          <w:sz w:val="18"/>
          <w:szCs w:val="18"/>
          <w:lang w:val="es-ES"/>
        </w:rPr>
        <w:t>dic</w:t>
      </w:r>
      <w:r w:rsidR="00544B53" w:rsidRPr="00232EBB">
        <w:rPr>
          <w:rFonts w:eastAsia="Calibri"/>
          <w:noProof/>
          <w:sz w:val="18"/>
          <w:szCs w:val="18"/>
          <w:lang w:val="es-ES"/>
        </w:rPr>
        <w:t>iem</w:t>
      </w:r>
      <w:r w:rsidRPr="00232EBB">
        <w:rPr>
          <w:rFonts w:eastAsia="Calibri"/>
          <w:noProof/>
          <w:sz w:val="18"/>
          <w:szCs w:val="18"/>
          <w:lang w:val="es-ES"/>
        </w:rPr>
        <w:t>bre 202</w:t>
      </w:r>
      <w:r w:rsidR="00FA27DA" w:rsidRPr="00232EBB">
        <w:rPr>
          <w:rFonts w:eastAsia="Calibri"/>
          <w:noProof/>
          <w:sz w:val="18"/>
          <w:szCs w:val="18"/>
          <w:lang w:val="es-ES"/>
        </w:rPr>
        <w:t>5</w:t>
      </w:r>
      <w:r w:rsidRPr="00232EBB">
        <w:rPr>
          <w:rFonts w:eastAsia="Calibri"/>
          <w:noProof/>
          <w:sz w:val="18"/>
          <w:szCs w:val="18"/>
          <w:lang w:val="es-ES"/>
        </w:rPr>
        <w:t>.</w:t>
      </w:r>
    </w:p>
    <w:p w14:paraId="018716FD" w14:textId="77777777" w:rsidR="00701C3A" w:rsidRPr="00232EBB" w:rsidRDefault="00701C3A" w:rsidP="00701C3A">
      <w:pPr>
        <w:spacing w:after="0" w:line="360" w:lineRule="auto"/>
        <w:jc w:val="both"/>
        <w:rPr>
          <w:rFonts w:eastAsia="Calibri"/>
          <w:noProof/>
          <w:sz w:val="18"/>
          <w:szCs w:val="18"/>
          <w:lang w:val="es-ES"/>
        </w:rPr>
      </w:pPr>
    </w:p>
    <w:tbl>
      <w:tblPr>
        <w:tblW w:w="8810" w:type="dxa"/>
        <w:jc w:val="center"/>
        <w:tblLook w:val="04A0" w:firstRow="1" w:lastRow="0" w:firstColumn="1" w:lastColumn="0" w:noHBand="0" w:noVBand="1"/>
      </w:tblPr>
      <w:tblGrid>
        <w:gridCol w:w="1194"/>
        <w:gridCol w:w="2056"/>
        <w:gridCol w:w="1936"/>
        <w:gridCol w:w="1936"/>
        <w:gridCol w:w="1688"/>
      </w:tblGrid>
      <w:tr w:rsidR="00A443C2" w:rsidRPr="00232EBB" w14:paraId="5C6F181D" w14:textId="77777777" w:rsidTr="00A11948">
        <w:trPr>
          <w:trHeight w:val="593"/>
          <w:tblHeader/>
          <w:jc w:val="center"/>
        </w:trPr>
        <w:tc>
          <w:tcPr>
            <w:tcW w:w="1194" w:type="dxa"/>
            <w:tcBorders>
              <w:top w:val="single" w:sz="8" w:space="0" w:color="auto"/>
              <w:left w:val="single" w:sz="8" w:space="0" w:color="auto"/>
              <w:bottom w:val="nil"/>
              <w:right w:val="single" w:sz="8" w:space="0" w:color="auto"/>
            </w:tcBorders>
            <w:shd w:val="clear" w:color="000000" w:fill="1F3864"/>
            <w:vAlign w:val="center"/>
            <w:hideMark/>
          </w:tcPr>
          <w:p w14:paraId="7FC19CF5"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Inversiones</w:t>
            </w:r>
          </w:p>
        </w:tc>
        <w:tc>
          <w:tcPr>
            <w:tcW w:w="2056" w:type="dxa"/>
            <w:tcBorders>
              <w:top w:val="single" w:sz="8" w:space="0" w:color="auto"/>
              <w:left w:val="nil"/>
              <w:bottom w:val="nil"/>
              <w:right w:val="single" w:sz="8" w:space="0" w:color="auto"/>
            </w:tcBorders>
            <w:shd w:val="clear" w:color="000000" w:fill="1F3864"/>
            <w:vAlign w:val="center"/>
            <w:hideMark/>
          </w:tcPr>
          <w:p w14:paraId="41AF7065" w14:textId="724CD6C5"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FA27DA" w:rsidRPr="00232EBB">
              <w:rPr>
                <w:rFonts w:eastAsia="Times New Roman"/>
                <w:b/>
                <w:bCs/>
                <w:color w:val="FFFFFF"/>
                <w:spacing w:val="0"/>
                <w:sz w:val="20"/>
                <w:szCs w:val="20"/>
                <w:lang w:val="es-DO"/>
              </w:rPr>
              <w:t>5</w:t>
            </w:r>
          </w:p>
        </w:tc>
        <w:tc>
          <w:tcPr>
            <w:tcW w:w="1936" w:type="dxa"/>
            <w:tcBorders>
              <w:top w:val="single" w:sz="8" w:space="0" w:color="auto"/>
              <w:left w:val="nil"/>
              <w:bottom w:val="nil"/>
              <w:right w:val="single" w:sz="8" w:space="0" w:color="auto"/>
            </w:tcBorders>
            <w:shd w:val="clear" w:color="000000" w:fill="1F3864"/>
            <w:vAlign w:val="center"/>
            <w:hideMark/>
          </w:tcPr>
          <w:p w14:paraId="0277A33E" w14:textId="67E3F9F8"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FA27DA" w:rsidRPr="00232EBB">
              <w:rPr>
                <w:rFonts w:eastAsia="Times New Roman"/>
                <w:b/>
                <w:bCs/>
                <w:color w:val="FFFFFF"/>
                <w:spacing w:val="0"/>
                <w:sz w:val="20"/>
                <w:szCs w:val="20"/>
                <w:lang w:val="es-DO"/>
              </w:rPr>
              <w:t>4</w:t>
            </w:r>
          </w:p>
        </w:tc>
        <w:tc>
          <w:tcPr>
            <w:tcW w:w="1936" w:type="dxa"/>
            <w:tcBorders>
              <w:top w:val="single" w:sz="8" w:space="0" w:color="auto"/>
              <w:left w:val="nil"/>
              <w:bottom w:val="nil"/>
              <w:right w:val="single" w:sz="8" w:space="0" w:color="auto"/>
            </w:tcBorders>
            <w:shd w:val="clear" w:color="000000" w:fill="1F3864"/>
            <w:vAlign w:val="center"/>
            <w:hideMark/>
          </w:tcPr>
          <w:p w14:paraId="42BE3F1D"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Variación</w:t>
            </w:r>
          </w:p>
        </w:tc>
        <w:tc>
          <w:tcPr>
            <w:tcW w:w="1688" w:type="dxa"/>
            <w:tcBorders>
              <w:top w:val="single" w:sz="8" w:space="0" w:color="auto"/>
              <w:left w:val="nil"/>
              <w:bottom w:val="nil"/>
              <w:right w:val="single" w:sz="8" w:space="0" w:color="auto"/>
            </w:tcBorders>
            <w:shd w:val="clear" w:color="000000" w:fill="1F3864"/>
            <w:vAlign w:val="center"/>
            <w:hideMark/>
          </w:tcPr>
          <w:p w14:paraId="17882138"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w:t>
            </w:r>
          </w:p>
        </w:tc>
      </w:tr>
      <w:tr w:rsidR="007A6ACD" w:rsidRPr="00232EBB" w14:paraId="47B42FD9" w14:textId="77777777" w:rsidTr="00A36F11">
        <w:trPr>
          <w:trHeight w:val="593"/>
          <w:jc w:val="center"/>
        </w:trPr>
        <w:tc>
          <w:tcPr>
            <w:tcW w:w="1194" w:type="dxa"/>
            <w:tcBorders>
              <w:top w:val="single" w:sz="8" w:space="0" w:color="auto"/>
              <w:left w:val="single" w:sz="8" w:space="0" w:color="auto"/>
              <w:bottom w:val="single" w:sz="8" w:space="0" w:color="auto"/>
              <w:right w:val="single" w:sz="8" w:space="0" w:color="auto"/>
            </w:tcBorders>
            <w:vAlign w:val="center"/>
            <w:hideMark/>
          </w:tcPr>
          <w:p w14:paraId="2CFD0846" w14:textId="4CB675F3" w:rsidR="007A6ACD" w:rsidRPr="00232EBB" w:rsidRDefault="007A6ACD" w:rsidP="007A6ACD">
            <w:pPr>
              <w:spacing w:after="0" w:line="240" w:lineRule="auto"/>
              <w:jc w:val="center"/>
              <w:rPr>
                <w:rFonts w:eastAsia="Times New Roman"/>
                <w:spacing w:val="0"/>
                <w:sz w:val="20"/>
                <w:szCs w:val="20"/>
              </w:rPr>
            </w:pPr>
            <w:r w:rsidRPr="00232EBB">
              <w:rPr>
                <w:rFonts w:eastAsia="Calibri"/>
                <w:noProof/>
                <w:spacing w:val="0"/>
                <w:sz w:val="20"/>
                <w:szCs w:val="20"/>
                <w:lang w:val="es-DO"/>
              </w:rPr>
              <w:t>Enero –</w:t>
            </w:r>
            <w:r w:rsidRPr="00232EBB">
              <w:rPr>
                <w:rFonts w:eastAsia="Calibri"/>
                <w:noProof/>
                <w:spacing w:val="0"/>
                <w:sz w:val="20"/>
                <w:szCs w:val="20"/>
                <w:highlight w:val="yellow"/>
                <w:lang w:val="es-DO"/>
              </w:rPr>
              <w:t xml:space="preserve"> </w:t>
            </w:r>
            <w:r w:rsidRPr="00232EBB">
              <w:rPr>
                <w:rFonts w:eastAsia="Calibri"/>
                <w:noProof/>
                <w:spacing w:val="0"/>
                <w:sz w:val="20"/>
                <w:szCs w:val="20"/>
                <w:lang w:val="es-DO"/>
              </w:rPr>
              <w:t>Diciembre</w:t>
            </w:r>
          </w:p>
        </w:tc>
        <w:tc>
          <w:tcPr>
            <w:tcW w:w="2056" w:type="dxa"/>
            <w:tcBorders>
              <w:top w:val="single" w:sz="8" w:space="0" w:color="auto"/>
              <w:left w:val="nil"/>
              <w:bottom w:val="single" w:sz="8" w:space="0" w:color="auto"/>
              <w:right w:val="single" w:sz="8" w:space="0" w:color="auto"/>
            </w:tcBorders>
            <w:vAlign w:val="center"/>
            <w:hideMark/>
          </w:tcPr>
          <w:p w14:paraId="023322F3" w14:textId="7E69D3C0" w:rsidR="007A6ACD" w:rsidRPr="00232EBB" w:rsidRDefault="007A6ACD" w:rsidP="00A36F11">
            <w:pPr>
              <w:spacing w:after="0" w:line="240" w:lineRule="auto"/>
              <w:jc w:val="center"/>
              <w:rPr>
                <w:rFonts w:eastAsia="Times New Roman"/>
                <w:spacing w:val="0"/>
                <w:sz w:val="20"/>
                <w:szCs w:val="20"/>
                <w:highlight w:val="yellow"/>
              </w:rPr>
            </w:pPr>
            <w:r w:rsidRPr="00232EBB">
              <w:rPr>
                <w:sz w:val="20"/>
                <w:szCs w:val="20"/>
              </w:rPr>
              <w:t>18,333,942,905.77</w:t>
            </w:r>
          </w:p>
        </w:tc>
        <w:tc>
          <w:tcPr>
            <w:tcW w:w="1936" w:type="dxa"/>
            <w:tcBorders>
              <w:top w:val="single" w:sz="8" w:space="0" w:color="auto"/>
              <w:left w:val="nil"/>
              <w:bottom w:val="single" w:sz="8" w:space="0" w:color="auto"/>
              <w:right w:val="single" w:sz="8" w:space="0" w:color="auto"/>
            </w:tcBorders>
            <w:vAlign w:val="center"/>
            <w:hideMark/>
          </w:tcPr>
          <w:p w14:paraId="7ED07C9F" w14:textId="79A23398" w:rsidR="007A6ACD" w:rsidRPr="00232EBB" w:rsidRDefault="007A6ACD" w:rsidP="00A36F11">
            <w:pPr>
              <w:spacing w:after="0" w:line="240" w:lineRule="auto"/>
              <w:jc w:val="center"/>
              <w:rPr>
                <w:rFonts w:eastAsia="Times New Roman"/>
                <w:spacing w:val="0"/>
                <w:sz w:val="20"/>
                <w:szCs w:val="20"/>
                <w:highlight w:val="yellow"/>
              </w:rPr>
            </w:pPr>
            <w:r w:rsidRPr="00232EBB">
              <w:rPr>
                <w:sz w:val="20"/>
                <w:szCs w:val="20"/>
              </w:rPr>
              <w:t>8,820,756,915.88</w:t>
            </w:r>
          </w:p>
        </w:tc>
        <w:tc>
          <w:tcPr>
            <w:tcW w:w="1936" w:type="dxa"/>
            <w:tcBorders>
              <w:top w:val="single" w:sz="8" w:space="0" w:color="auto"/>
              <w:left w:val="nil"/>
              <w:bottom w:val="single" w:sz="8" w:space="0" w:color="auto"/>
              <w:right w:val="single" w:sz="8" w:space="0" w:color="auto"/>
            </w:tcBorders>
            <w:vAlign w:val="center"/>
            <w:hideMark/>
          </w:tcPr>
          <w:p w14:paraId="1F49D062" w14:textId="126E0528" w:rsidR="007A6ACD" w:rsidRPr="00232EBB" w:rsidRDefault="007A6ACD" w:rsidP="00A36F11">
            <w:pPr>
              <w:spacing w:after="0" w:line="240" w:lineRule="auto"/>
              <w:jc w:val="center"/>
              <w:rPr>
                <w:rFonts w:eastAsia="Times New Roman"/>
                <w:spacing w:val="0"/>
                <w:sz w:val="20"/>
                <w:szCs w:val="20"/>
              </w:rPr>
            </w:pPr>
            <w:r w:rsidRPr="00232EBB">
              <w:rPr>
                <w:sz w:val="20"/>
                <w:szCs w:val="20"/>
              </w:rPr>
              <w:t>9,513,185,989.89</w:t>
            </w:r>
          </w:p>
        </w:tc>
        <w:tc>
          <w:tcPr>
            <w:tcW w:w="1688" w:type="dxa"/>
            <w:tcBorders>
              <w:top w:val="single" w:sz="8" w:space="0" w:color="auto"/>
              <w:left w:val="nil"/>
              <w:bottom w:val="single" w:sz="8" w:space="0" w:color="auto"/>
              <w:right w:val="single" w:sz="8" w:space="0" w:color="auto"/>
            </w:tcBorders>
            <w:vAlign w:val="center"/>
            <w:hideMark/>
          </w:tcPr>
          <w:p w14:paraId="6DCC0A4D" w14:textId="24AFD164" w:rsidR="007A6ACD" w:rsidRPr="00232EBB" w:rsidRDefault="007A6ACD" w:rsidP="00A36F11">
            <w:pPr>
              <w:spacing w:after="0" w:line="240" w:lineRule="auto"/>
              <w:jc w:val="center"/>
              <w:rPr>
                <w:rFonts w:eastAsia="Times New Roman"/>
                <w:spacing w:val="0"/>
                <w:sz w:val="20"/>
                <w:szCs w:val="20"/>
              </w:rPr>
            </w:pPr>
            <w:r w:rsidRPr="00232EBB">
              <w:rPr>
                <w:sz w:val="20"/>
                <w:szCs w:val="20"/>
              </w:rPr>
              <w:t>107.85%</w:t>
            </w:r>
          </w:p>
        </w:tc>
      </w:tr>
    </w:tbl>
    <w:p w14:paraId="56DEC4DD" w14:textId="12FE825B" w:rsidR="00701C3A" w:rsidRPr="00232EBB" w:rsidRDefault="00A443C2" w:rsidP="00701C3A">
      <w:pPr>
        <w:spacing w:line="360" w:lineRule="auto"/>
        <w:jc w:val="both"/>
        <w:rPr>
          <w:rFonts w:eastAsia="Calibri"/>
          <w:noProof/>
          <w:sz w:val="18"/>
          <w:szCs w:val="18"/>
          <w:lang w:val="es-ES"/>
        </w:rPr>
      </w:pPr>
      <w:r w:rsidRPr="00232EBB">
        <w:rPr>
          <w:rFonts w:eastAsia="Calibri"/>
          <w:b/>
          <w:bCs/>
          <w:noProof/>
          <w:sz w:val="18"/>
          <w:szCs w:val="18"/>
          <w:lang w:val="es-ES"/>
        </w:rPr>
        <w:t xml:space="preserve">Tabla 3: </w:t>
      </w:r>
      <w:r w:rsidRPr="00232EBB">
        <w:rPr>
          <w:rFonts w:eastAsia="Calibri"/>
          <w:noProof/>
          <w:sz w:val="18"/>
          <w:szCs w:val="18"/>
          <w:lang w:val="es-ES"/>
        </w:rPr>
        <w:t>Inversiones del Régimen Contributivo enero-</w:t>
      </w:r>
      <w:r w:rsidR="007A6ACD" w:rsidRPr="00232EBB">
        <w:rPr>
          <w:rFonts w:eastAsia="Calibri"/>
          <w:noProof/>
          <w:sz w:val="18"/>
          <w:szCs w:val="18"/>
          <w:lang w:val="es-ES"/>
        </w:rPr>
        <w:t>dic</w:t>
      </w:r>
      <w:r w:rsidR="00544B53" w:rsidRPr="00232EBB">
        <w:rPr>
          <w:rFonts w:eastAsia="Calibri"/>
          <w:noProof/>
          <w:sz w:val="18"/>
          <w:szCs w:val="18"/>
          <w:lang w:val="es-ES"/>
        </w:rPr>
        <w:t>iem</w:t>
      </w:r>
      <w:r w:rsidRPr="00232EBB">
        <w:rPr>
          <w:rFonts w:eastAsia="Calibri"/>
          <w:noProof/>
          <w:sz w:val="18"/>
          <w:szCs w:val="18"/>
          <w:lang w:val="es-ES"/>
        </w:rPr>
        <w:t>bre 202</w:t>
      </w:r>
      <w:r w:rsidR="00FA27DA" w:rsidRPr="00232EBB">
        <w:rPr>
          <w:rFonts w:eastAsia="Calibri"/>
          <w:noProof/>
          <w:sz w:val="18"/>
          <w:szCs w:val="18"/>
          <w:lang w:val="es-ES"/>
        </w:rPr>
        <w:t>5</w:t>
      </w:r>
    </w:p>
    <w:p w14:paraId="1DFEBCF6" w14:textId="3AAEE3BB" w:rsidR="00A443C2" w:rsidRPr="00232EBB" w:rsidRDefault="00A443C2" w:rsidP="00A443C2">
      <w:pPr>
        <w:spacing w:after="0" w:line="360" w:lineRule="auto"/>
        <w:jc w:val="both"/>
        <w:rPr>
          <w:rFonts w:eastAsia="Calibri"/>
          <w:noProof/>
          <w:lang w:val="es-ES"/>
        </w:rPr>
      </w:pPr>
      <w:r w:rsidRPr="00232EBB">
        <w:rPr>
          <w:rFonts w:eastAsia="Calibri"/>
          <w:noProof/>
          <w:lang w:val="es-DO"/>
        </w:rPr>
        <w:t>Rendimientos Generados en Inversiones</w:t>
      </w:r>
      <w:r w:rsidRPr="00232EBB">
        <w:rPr>
          <w:rFonts w:eastAsia="Calibri"/>
          <w:noProof/>
          <w:lang w:val="es-ES"/>
        </w:rPr>
        <w:t>:</w:t>
      </w:r>
    </w:p>
    <w:tbl>
      <w:tblPr>
        <w:tblpPr w:leftFromText="180" w:rightFromText="180" w:vertAnchor="text" w:horzAnchor="margin" w:tblpX="-480" w:tblpY="60"/>
        <w:tblW w:w="8810" w:type="dxa"/>
        <w:tblLook w:val="04A0" w:firstRow="1" w:lastRow="0" w:firstColumn="1" w:lastColumn="0" w:noHBand="0" w:noVBand="1"/>
      </w:tblPr>
      <w:tblGrid>
        <w:gridCol w:w="1861"/>
        <w:gridCol w:w="1936"/>
        <w:gridCol w:w="1936"/>
        <w:gridCol w:w="1744"/>
        <w:gridCol w:w="1333"/>
      </w:tblGrid>
      <w:tr w:rsidR="006476DF" w:rsidRPr="00232EBB" w14:paraId="4CB1A830" w14:textId="77777777" w:rsidTr="00A11948">
        <w:trPr>
          <w:trHeight w:val="643"/>
        </w:trPr>
        <w:tc>
          <w:tcPr>
            <w:tcW w:w="1861" w:type="dxa"/>
            <w:tcBorders>
              <w:top w:val="single" w:sz="8" w:space="0" w:color="auto"/>
              <w:left w:val="single" w:sz="8" w:space="0" w:color="auto"/>
              <w:bottom w:val="nil"/>
              <w:right w:val="single" w:sz="8" w:space="0" w:color="auto"/>
            </w:tcBorders>
            <w:shd w:val="clear" w:color="000000" w:fill="1F3864"/>
            <w:vAlign w:val="center"/>
            <w:hideMark/>
          </w:tcPr>
          <w:p w14:paraId="50A3F319" w14:textId="77777777" w:rsidR="00A443C2" w:rsidRPr="00232EBB" w:rsidRDefault="00A443C2" w:rsidP="00CF6647">
            <w:pPr>
              <w:spacing w:after="0" w:line="240" w:lineRule="auto"/>
              <w:jc w:val="center"/>
              <w:rPr>
                <w:rFonts w:eastAsia="Times New Roman"/>
                <w:b/>
                <w:bCs/>
                <w:color w:val="FFFFFF"/>
                <w:spacing w:val="0"/>
                <w:sz w:val="20"/>
                <w:szCs w:val="20"/>
                <w:lang w:val="es-ES"/>
              </w:rPr>
            </w:pPr>
            <w:r w:rsidRPr="00232EBB">
              <w:rPr>
                <w:rFonts w:eastAsia="Times New Roman"/>
                <w:b/>
                <w:bCs/>
                <w:color w:val="FFFFFF"/>
                <w:spacing w:val="0"/>
                <w:sz w:val="20"/>
                <w:szCs w:val="20"/>
                <w:lang w:val="es-DO"/>
              </w:rPr>
              <w:t>Devolución de Aportes a Empleadores y Trabajadores</w:t>
            </w:r>
          </w:p>
        </w:tc>
        <w:tc>
          <w:tcPr>
            <w:tcW w:w="1936" w:type="dxa"/>
            <w:tcBorders>
              <w:top w:val="single" w:sz="8" w:space="0" w:color="auto"/>
              <w:left w:val="nil"/>
              <w:bottom w:val="nil"/>
              <w:right w:val="single" w:sz="8" w:space="0" w:color="auto"/>
            </w:tcBorders>
            <w:shd w:val="clear" w:color="000000" w:fill="1F3864"/>
            <w:vAlign w:val="center"/>
            <w:hideMark/>
          </w:tcPr>
          <w:p w14:paraId="3CB1D5BB" w14:textId="4475241A" w:rsidR="00A443C2" w:rsidRPr="00232EBB" w:rsidRDefault="00A443C2" w:rsidP="00CF6647">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FA27DA" w:rsidRPr="00232EBB">
              <w:rPr>
                <w:rFonts w:eastAsia="Times New Roman"/>
                <w:b/>
                <w:bCs/>
                <w:color w:val="FFFFFF"/>
                <w:spacing w:val="0"/>
                <w:sz w:val="20"/>
                <w:szCs w:val="20"/>
                <w:lang w:val="es-DO"/>
              </w:rPr>
              <w:t>5</w:t>
            </w:r>
          </w:p>
        </w:tc>
        <w:tc>
          <w:tcPr>
            <w:tcW w:w="1936" w:type="dxa"/>
            <w:tcBorders>
              <w:top w:val="single" w:sz="8" w:space="0" w:color="auto"/>
              <w:left w:val="nil"/>
              <w:bottom w:val="nil"/>
              <w:right w:val="single" w:sz="8" w:space="0" w:color="auto"/>
            </w:tcBorders>
            <w:shd w:val="clear" w:color="000000" w:fill="1F3864"/>
            <w:vAlign w:val="center"/>
            <w:hideMark/>
          </w:tcPr>
          <w:p w14:paraId="0D6143FF" w14:textId="02A479C0" w:rsidR="00A443C2" w:rsidRPr="00232EBB" w:rsidRDefault="00A443C2" w:rsidP="00CF6647">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FA27DA" w:rsidRPr="00232EBB">
              <w:rPr>
                <w:rFonts w:eastAsia="Times New Roman"/>
                <w:b/>
                <w:bCs/>
                <w:color w:val="FFFFFF"/>
                <w:spacing w:val="0"/>
                <w:sz w:val="20"/>
                <w:szCs w:val="20"/>
                <w:lang w:val="es-DO"/>
              </w:rPr>
              <w:t>4</w:t>
            </w:r>
          </w:p>
        </w:tc>
        <w:tc>
          <w:tcPr>
            <w:tcW w:w="1744" w:type="dxa"/>
            <w:tcBorders>
              <w:top w:val="single" w:sz="8" w:space="0" w:color="auto"/>
              <w:left w:val="nil"/>
              <w:bottom w:val="nil"/>
              <w:right w:val="single" w:sz="8" w:space="0" w:color="auto"/>
            </w:tcBorders>
            <w:shd w:val="clear" w:color="000000" w:fill="1F3864"/>
            <w:vAlign w:val="center"/>
            <w:hideMark/>
          </w:tcPr>
          <w:p w14:paraId="677A580A" w14:textId="77777777" w:rsidR="00A443C2" w:rsidRPr="00232EBB" w:rsidRDefault="00A443C2" w:rsidP="00CF6647">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Variación</w:t>
            </w:r>
          </w:p>
        </w:tc>
        <w:tc>
          <w:tcPr>
            <w:tcW w:w="1333" w:type="dxa"/>
            <w:tcBorders>
              <w:top w:val="single" w:sz="8" w:space="0" w:color="auto"/>
              <w:left w:val="nil"/>
              <w:bottom w:val="nil"/>
              <w:right w:val="single" w:sz="8" w:space="0" w:color="auto"/>
            </w:tcBorders>
            <w:shd w:val="clear" w:color="000000" w:fill="1F3864"/>
            <w:vAlign w:val="center"/>
            <w:hideMark/>
          </w:tcPr>
          <w:p w14:paraId="5B905FA2" w14:textId="77777777" w:rsidR="00A443C2" w:rsidRPr="00232EBB" w:rsidRDefault="00A443C2" w:rsidP="00CF6647">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w:t>
            </w:r>
          </w:p>
        </w:tc>
      </w:tr>
      <w:tr w:rsidR="007A6ACD" w:rsidRPr="00232EBB" w14:paraId="6DFDDDCC" w14:textId="77777777" w:rsidTr="00A11948">
        <w:trPr>
          <w:trHeight w:val="233"/>
        </w:trPr>
        <w:tc>
          <w:tcPr>
            <w:tcW w:w="1861" w:type="dxa"/>
            <w:tcBorders>
              <w:top w:val="single" w:sz="8" w:space="0" w:color="auto"/>
              <w:left w:val="single" w:sz="8" w:space="0" w:color="auto"/>
              <w:bottom w:val="single" w:sz="8" w:space="0" w:color="auto"/>
              <w:right w:val="single" w:sz="8" w:space="0" w:color="auto"/>
            </w:tcBorders>
            <w:vAlign w:val="center"/>
            <w:hideMark/>
          </w:tcPr>
          <w:p w14:paraId="568E0736" w14:textId="2F37570F" w:rsidR="007A6ACD" w:rsidRPr="00232EBB" w:rsidRDefault="007A6ACD" w:rsidP="00CF6647">
            <w:pPr>
              <w:spacing w:after="0" w:line="240" w:lineRule="auto"/>
              <w:jc w:val="center"/>
              <w:rPr>
                <w:rFonts w:eastAsia="Times New Roman"/>
                <w:spacing w:val="0"/>
                <w:sz w:val="20"/>
                <w:szCs w:val="20"/>
              </w:rPr>
            </w:pPr>
            <w:r w:rsidRPr="00232EBB">
              <w:rPr>
                <w:rFonts w:eastAsia="Calibri"/>
                <w:noProof/>
                <w:spacing w:val="0"/>
                <w:sz w:val="20"/>
                <w:szCs w:val="20"/>
                <w:lang w:val="es-DO"/>
              </w:rPr>
              <w:t>Enero - Diembre</w:t>
            </w:r>
          </w:p>
        </w:tc>
        <w:tc>
          <w:tcPr>
            <w:tcW w:w="1936" w:type="dxa"/>
            <w:tcBorders>
              <w:top w:val="single" w:sz="8" w:space="0" w:color="auto"/>
              <w:left w:val="nil"/>
              <w:bottom w:val="single" w:sz="8" w:space="0" w:color="auto"/>
              <w:right w:val="single" w:sz="8" w:space="0" w:color="auto"/>
            </w:tcBorders>
            <w:hideMark/>
          </w:tcPr>
          <w:p w14:paraId="21B7914A" w14:textId="2F7A1164" w:rsidR="007A6ACD" w:rsidRPr="00232EBB" w:rsidRDefault="007A6ACD" w:rsidP="00CF6647">
            <w:pPr>
              <w:spacing w:after="0" w:line="240" w:lineRule="auto"/>
              <w:jc w:val="center"/>
              <w:rPr>
                <w:rFonts w:eastAsia="Times New Roman"/>
                <w:spacing w:val="0"/>
                <w:sz w:val="20"/>
                <w:szCs w:val="20"/>
              </w:rPr>
            </w:pPr>
            <w:r w:rsidRPr="00232EBB">
              <w:rPr>
                <w:sz w:val="20"/>
                <w:szCs w:val="20"/>
              </w:rPr>
              <w:t>1,120,171,771.48</w:t>
            </w:r>
          </w:p>
        </w:tc>
        <w:tc>
          <w:tcPr>
            <w:tcW w:w="1936" w:type="dxa"/>
            <w:tcBorders>
              <w:top w:val="single" w:sz="8" w:space="0" w:color="auto"/>
              <w:left w:val="nil"/>
              <w:bottom w:val="single" w:sz="8" w:space="0" w:color="auto"/>
              <w:right w:val="single" w:sz="8" w:space="0" w:color="auto"/>
            </w:tcBorders>
            <w:hideMark/>
          </w:tcPr>
          <w:p w14:paraId="1A4D823A" w14:textId="27DFF6BF" w:rsidR="007A6ACD" w:rsidRPr="00232EBB" w:rsidRDefault="007A6ACD" w:rsidP="00CF6647">
            <w:pPr>
              <w:spacing w:after="0" w:line="240" w:lineRule="auto"/>
              <w:jc w:val="center"/>
              <w:rPr>
                <w:rFonts w:eastAsia="Times New Roman"/>
                <w:spacing w:val="0"/>
                <w:sz w:val="20"/>
                <w:szCs w:val="20"/>
              </w:rPr>
            </w:pPr>
            <w:r w:rsidRPr="00232EBB">
              <w:rPr>
                <w:sz w:val="20"/>
                <w:szCs w:val="20"/>
              </w:rPr>
              <w:t>1,125,997,365.69</w:t>
            </w:r>
          </w:p>
        </w:tc>
        <w:tc>
          <w:tcPr>
            <w:tcW w:w="1744" w:type="dxa"/>
            <w:tcBorders>
              <w:top w:val="single" w:sz="8" w:space="0" w:color="auto"/>
              <w:left w:val="nil"/>
              <w:bottom w:val="single" w:sz="8" w:space="0" w:color="auto"/>
              <w:right w:val="single" w:sz="8" w:space="0" w:color="auto"/>
            </w:tcBorders>
            <w:hideMark/>
          </w:tcPr>
          <w:p w14:paraId="2A89A358" w14:textId="506AB692" w:rsidR="007A6ACD" w:rsidRPr="00232EBB" w:rsidRDefault="007A6ACD" w:rsidP="00CF6647">
            <w:pPr>
              <w:spacing w:after="0" w:line="240" w:lineRule="auto"/>
              <w:jc w:val="center"/>
              <w:rPr>
                <w:rFonts w:eastAsia="Times New Roman"/>
                <w:spacing w:val="0"/>
                <w:sz w:val="20"/>
                <w:szCs w:val="20"/>
              </w:rPr>
            </w:pPr>
            <w:r w:rsidRPr="00232EBB">
              <w:rPr>
                <w:sz w:val="20"/>
                <w:szCs w:val="20"/>
              </w:rPr>
              <w:t>-5,825,594.21</w:t>
            </w:r>
          </w:p>
        </w:tc>
        <w:tc>
          <w:tcPr>
            <w:tcW w:w="1333" w:type="dxa"/>
            <w:tcBorders>
              <w:top w:val="single" w:sz="8" w:space="0" w:color="auto"/>
              <w:left w:val="nil"/>
              <w:bottom w:val="single" w:sz="8" w:space="0" w:color="auto"/>
              <w:right w:val="single" w:sz="8" w:space="0" w:color="auto"/>
            </w:tcBorders>
            <w:hideMark/>
          </w:tcPr>
          <w:p w14:paraId="7D4C2A40" w14:textId="581598CD" w:rsidR="007A6ACD" w:rsidRPr="00232EBB" w:rsidRDefault="007A6ACD" w:rsidP="00CF6647">
            <w:pPr>
              <w:spacing w:after="0" w:line="240" w:lineRule="auto"/>
              <w:jc w:val="center"/>
              <w:rPr>
                <w:rFonts w:eastAsia="Times New Roman"/>
                <w:spacing w:val="0"/>
                <w:sz w:val="20"/>
                <w:szCs w:val="20"/>
              </w:rPr>
            </w:pPr>
            <w:r w:rsidRPr="00232EBB">
              <w:rPr>
                <w:sz w:val="20"/>
                <w:szCs w:val="20"/>
              </w:rPr>
              <w:t>-0.52%</w:t>
            </w:r>
          </w:p>
        </w:tc>
      </w:tr>
    </w:tbl>
    <w:p w14:paraId="15E5740C" w14:textId="09D81781" w:rsidR="00A443C2" w:rsidRPr="00232EBB" w:rsidRDefault="00A443C2" w:rsidP="00A443C2">
      <w:pPr>
        <w:spacing w:line="360" w:lineRule="auto"/>
        <w:jc w:val="both"/>
        <w:rPr>
          <w:rFonts w:eastAsia="Calibri"/>
          <w:noProof/>
          <w:sz w:val="18"/>
          <w:szCs w:val="18"/>
          <w:lang w:val="es-ES"/>
        </w:rPr>
      </w:pPr>
      <w:r w:rsidRPr="00232EBB">
        <w:rPr>
          <w:rFonts w:eastAsia="Calibri"/>
          <w:b/>
          <w:bCs/>
          <w:noProof/>
          <w:sz w:val="18"/>
          <w:szCs w:val="18"/>
          <w:lang w:val="es-ES"/>
        </w:rPr>
        <w:t xml:space="preserve">Tabla 4: </w:t>
      </w:r>
      <w:r w:rsidRPr="00232EBB">
        <w:rPr>
          <w:rFonts w:eastAsia="Calibri"/>
          <w:noProof/>
          <w:sz w:val="18"/>
          <w:szCs w:val="18"/>
          <w:lang w:val="es-ES"/>
        </w:rPr>
        <w:t>Rendimientos generados por Inversiones del Régimen Contributivo enero-</w:t>
      </w:r>
      <w:r w:rsidR="007A6ACD" w:rsidRPr="00232EBB">
        <w:rPr>
          <w:rFonts w:eastAsia="Calibri"/>
          <w:noProof/>
          <w:sz w:val="18"/>
          <w:szCs w:val="18"/>
          <w:lang w:val="es-ES"/>
        </w:rPr>
        <w:t>dic</w:t>
      </w:r>
      <w:r w:rsidR="00544B53" w:rsidRPr="00232EBB">
        <w:rPr>
          <w:rFonts w:eastAsia="Calibri"/>
          <w:noProof/>
          <w:sz w:val="18"/>
          <w:szCs w:val="18"/>
          <w:lang w:val="es-ES"/>
        </w:rPr>
        <w:t>iem</w:t>
      </w:r>
      <w:r w:rsidRPr="00232EBB">
        <w:rPr>
          <w:rFonts w:eastAsia="Calibri"/>
          <w:noProof/>
          <w:sz w:val="18"/>
          <w:szCs w:val="18"/>
          <w:lang w:val="es-ES"/>
        </w:rPr>
        <w:t>bre 202</w:t>
      </w:r>
      <w:r w:rsidR="00FA27DA" w:rsidRPr="00232EBB">
        <w:rPr>
          <w:rFonts w:eastAsia="Calibri"/>
          <w:noProof/>
          <w:sz w:val="18"/>
          <w:szCs w:val="18"/>
          <w:lang w:val="es-ES"/>
        </w:rPr>
        <w:t>5.</w:t>
      </w:r>
    </w:p>
    <w:tbl>
      <w:tblPr>
        <w:tblW w:w="8820" w:type="dxa"/>
        <w:tblInd w:w="-460" w:type="dxa"/>
        <w:tblLook w:val="04A0" w:firstRow="1" w:lastRow="0" w:firstColumn="1" w:lastColumn="0" w:noHBand="0" w:noVBand="1"/>
      </w:tblPr>
      <w:tblGrid>
        <w:gridCol w:w="1800"/>
        <w:gridCol w:w="1919"/>
        <w:gridCol w:w="1920"/>
        <w:gridCol w:w="1688"/>
        <w:gridCol w:w="1493"/>
      </w:tblGrid>
      <w:tr w:rsidR="00A443C2" w:rsidRPr="00232EBB" w14:paraId="20473A02" w14:textId="77777777" w:rsidTr="00CF6647">
        <w:trPr>
          <w:trHeight w:val="957"/>
        </w:trPr>
        <w:tc>
          <w:tcPr>
            <w:tcW w:w="1800" w:type="dxa"/>
            <w:tcBorders>
              <w:top w:val="single" w:sz="8" w:space="0" w:color="auto"/>
              <w:left w:val="single" w:sz="8" w:space="0" w:color="auto"/>
              <w:bottom w:val="nil"/>
              <w:right w:val="single" w:sz="8" w:space="0" w:color="auto"/>
            </w:tcBorders>
            <w:shd w:val="clear" w:color="000000" w:fill="1F3864"/>
            <w:vAlign w:val="center"/>
            <w:hideMark/>
          </w:tcPr>
          <w:p w14:paraId="355ABF65" w14:textId="77777777" w:rsidR="00A443C2" w:rsidRPr="00232EBB" w:rsidRDefault="00A443C2" w:rsidP="00874C53">
            <w:pPr>
              <w:spacing w:after="0" w:line="240" w:lineRule="auto"/>
              <w:jc w:val="center"/>
              <w:rPr>
                <w:rFonts w:eastAsia="Times New Roman"/>
                <w:b/>
                <w:bCs/>
                <w:color w:val="FFFFFF"/>
                <w:spacing w:val="0"/>
                <w:sz w:val="20"/>
                <w:szCs w:val="20"/>
                <w:lang w:val="es-ES"/>
              </w:rPr>
            </w:pPr>
            <w:bookmarkStart w:id="26" w:name="_Hlk184799651"/>
            <w:r w:rsidRPr="00232EBB">
              <w:rPr>
                <w:rFonts w:eastAsia="Times New Roman"/>
                <w:b/>
                <w:bCs/>
                <w:color w:val="FFFFFF"/>
                <w:spacing w:val="0"/>
                <w:sz w:val="20"/>
                <w:szCs w:val="20"/>
                <w:lang w:val="es-DO"/>
              </w:rPr>
              <w:t>Devolución de Aportes a Empleadores y Trabajadores</w:t>
            </w:r>
          </w:p>
        </w:tc>
        <w:tc>
          <w:tcPr>
            <w:tcW w:w="1919" w:type="dxa"/>
            <w:tcBorders>
              <w:top w:val="single" w:sz="8" w:space="0" w:color="auto"/>
              <w:left w:val="nil"/>
              <w:bottom w:val="nil"/>
              <w:right w:val="single" w:sz="8" w:space="0" w:color="auto"/>
            </w:tcBorders>
            <w:shd w:val="clear" w:color="000000" w:fill="1F3864"/>
            <w:vAlign w:val="center"/>
            <w:hideMark/>
          </w:tcPr>
          <w:p w14:paraId="756D57BC" w14:textId="0A13C2A9"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ED0D3F" w:rsidRPr="00232EBB">
              <w:rPr>
                <w:rFonts w:eastAsia="Times New Roman"/>
                <w:b/>
                <w:bCs/>
                <w:color w:val="FFFFFF"/>
                <w:spacing w:val="0"/>
                <w:sz w:val="20"/>
                <w:szCs w:val="20"/>
                <w:lang w:val="es-DO"/>
              </w:rPr>
              <w:t>5</w:t>
            </w:r>
          </w:p>
        </w:tc>
        <w:tc>
          <w:tcPr>
            <w:tcW w:w="1920" w:type="dxa"/>
            <w:tcBorders>
              <w:top w:val="single" w:sz="8" w:space="0" w:color="auto"/>
              <w:left w:val="nil"/>
              <w:bottom w:val="nil"/>
              <w:right w:val="single" w:sz="8" w:space="0" w:color="auto"/>
            </w:tcBorders>
            <w:shd w:val="clear" w:color="000000" w:fill="1F3864"/>
            <w:vAlign w:val="center"/>
            <w:hideMark/>
          </w:tcPr>
          <w:p w14:paraId="7ECBC386" w14:textId="5838985C"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ED0D3F" w:rsidRPr="00232EBB">
              <w:rPr>
                <w:rFonts w:eastAsia="Times New Roman"/>
                <w:b/>
                <w:bCs/>
                <w:color w:val="FFFFFF"/>
                <w:spacing w:val="0"/>
                <w:sz w:val="20"/>
                <w:szCs w:val="20"/>
                <w:lang w:val="es-DO"/>
              </w:rPr>
              <w:t>4</w:t>
            </w:r>
          </w:p>
        </w:tc>
        <w:tc>
          <w:tcPr>
            <w:tcW w:w="1688" w:type="dxa"/>
            <w:tcBorders>
              <w:top w:val="single" w:sz="8" w:space="0" w:color="auto"/>
              <w:left w:val="nil"/>
              <w:bottom w:val="nil"/>
              <w:right w:val="single" w:sz="8" w:space="0" w:color="auto"/>
            </w:tcBorders>
            <w:shd w:val="clear" w:color="000000" w:fill="1F3864"/>
            <w:vAlign w:val="center"/>
            <w:hideMark/>
          </w:tcPr>
          <w:p w14:paraId="6A18F22C"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Variación</w:t>
            </w:r>
          </w:p>
        </w:tc>
        <w:tc>
          <w:tcPr>
            <w:tcW w:w="1493" w:type="dxa"/>
            <w:tcBorders>
              <w:top w:val="single" w:sz="8" w:space="0" w:color="auto"/>
              <w:left w:val="nil"/>
              <w:bottom w:val="nil"/>
              <w:right w:val="single" w:sz="8" w:space="0" w:color="auto"/>
            </w:tcBorders>
            <w:shd w:val="clear" w:color="000000" w:fill="1F3864"/>
            <w:vAlign w:val="center"/>
            <w:hideMark/>
          </w:tcPr>
          <w:p w14:paraId="5A0F83FC" w14:textId="77777777" w:rsidR="00A443C2" w:rsidRPr="00232EBB" w:rsidRDefault="00A443C2"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w:t>
            </w:r>
          </w:p>
        </w:tc>
      </w:tr>
      <w:tr w:rsidR="007A6ACD" w:rsidRPr="00232EBB" w14:paraId="57DAE17F" w14:textId="77777777" w:rsidTr="00CF6647">
        <w:trPr>
          <w:trHeight w:val="349"/>
        </w:trPr>
        <w:tc>
          <w:tcPr>
            <w:tcW w:w="1800" w:type="dxa"/>
            <w:tcBorders>
              <w:top w:val="single" w:sz="8" w:space="0" w:color="auto"/>
              <w:left w:val="single" w:sz="8" w:space="0" w:color="auto"/>
              <w:bottom w:val="single" w:sz="8" w:space="0" w:color="auto"/>
              <w:right w:val="single" w:sz="8" w:space="0" w:color="auto"/>
            </w:tcBorders>
            <w:vAlign w:val="center"/>
            <w:hideMark/>
          </w:tcPr>
          <w:p w14:paraId="678921EF" w14:textId="4FBD190F" w:rsidR="007A6ACD" w:rsidRPr="00232EBB" w:rsidRDefault="007A6ACD" w:rsidP="007A6ACD">
            <w:pPr>
              <w:spacing w:after="0" w:line="240" w:lineRule="auto"/>
              <w:jc w:val="center"/>
              <w:rPr>
                <w:rFonts w:eastAsia="Times New Roman"/>
                <w:spacing w:val="0"/>
                <w:sz w:val="20"/>
                <w:szCs w:val="20"/>
              </w:rPr>
            </w:pPr>
            <w:r w:rsidRPr="00232EBB">
              <w:rPr>
                <w:rFonts w:eastAsia="Calibri"/>
                <w:noProof/>
                <w:spacing w:val="0"/>
                <w:sz w:val="20"/>
                <w:szCs w:val="20"/>
                <w:lang w:val="es-DO"/>
              </w:rPr>
              <w:t>Enero - Diciembre</w:t>
            </w:r>
          </w:p>
        </w:tc>
        <w:tc>
          <w:tcPr>
            <w:tcW w:w="1919" w:type="dxa"/>
            <w:tcBorders>
              <w:top w:val="single" w:sz="8" w:space="0" w:color="auto"/>
              <w:left w:val="nil"/>
              <w:bottom w:val="single" w:sz="8" w:space="0" w:color="auto"/>
              <w:right w:val="single" w:sz="8" w:space="0" w:color="auto"/>
            </w:tcBorders>
            <w:hideMark/>
          </w:tcPr>
          <w:p w14:paraId="12E7CB68" w14:textId="11A04DB8" w:rsidR="007A6ACD" w:rsidRPr="00232EBB" w:rsidRDefault="007A6ACD" w:rsidP="007A6ACD">
            <w:pPr>
              <w:spacing w:after="0" w:line="240" w:lineRule="auto"/>
              <w:jc w:val="center"/>
              <w:rPr>
                <w:rFonts w:eastAsia="Times New Roman"/>
                <w:spacing w:val="0"/>
                <w:sz w:val="20"/>
                <w:szCs w:val="20"/>
              </w:rPr>
            </w:pPr>
            <w:r w:rsidRPr="00232EBB">
              <w:rPr>
                <w:sz w:val="20"/>
                <w:szCs w:val="20"/>
              </w:rPr>
              <w:t>235,798,321.82</w:t>
            </w:r>
          </w:p>
        </w:tc>
        <w:tc>
          <w:tcPr>
            <w:tcW w:w="1920" w:type="dxa"/>
            <w:tcBorders>
              <w:top w:val="single" w:sz="8" w:space="0" w:color="auto"/>
              <w:left w:val="nil"/>
              <w:bottom w:val="single" w:sz="8" w:space="0" w:color="auto"/>
              <w:right w:val="single" w:sz="8" w:space="0" w:color="auto"/>
            </w:tcBorders>
            <w:hideMark/>
          </w:tcPr>
          <w:p w14:paraId="617318BD" w14:textId="17580D01" w:rsidR="007A6ACD" w:rsidRPr="00232EBB" w:rsidRDefault="007A6ACD" w:rsidP="007A6ACD">
            <w:pPr>
              <w:spacing w:after="0" w:line="240" w:lineRule="auto"/>
              <w:jc w:val="center"/>
              <w:rPr>
                <w:rFonts w:eastAsia="Times New Roman"/>
                <w:spacing w:val="0"/>
                <w:sz w:val="20"/>
                <w:szCs w:val="20"/>
              </w:rPr>
            </w:pPr>
            <w:r w:rsidRPr="00232EBB">
              <w:rPr>
                <w:sz w:val="20"/>
                <w:szCs w:val="20"/>
              </w:rPr>
              <w:t>211,225,307.10</w:t>
            </w:r>
          </w:p>
        </w:tc>
        <w:tc>
          <w:tcPr>
            <w:tcW w:w="1688" w:type="dxa"/>
            <w:tcBorders>
              <w:top w:val="single" w:sz="8" w:space="0" w:color="auto"/>
              <w:left w:val="nil"/>
              <w:bottom w:val="single" w:sz="8" w:space="0" w:color="auto"/>
              <w:right w:val="single" w:sz="8" w:space="0" w:color="auto"/>
            </w:tcBorders>
            <w:hideMark/>
          </w:tcPr>
          <w:p w14:paraId="17890133" w14:textId="6294D393" w:rsidR="007A6ACD" w:rsidRPr="00232EBB" w:rsidRDefault="007A6ACD" w:rsidP="007A6ACD">
            <w:pPr>
              <w:spacing w:after="0" w:line="240" w:lineRule="auto"/>
              <w:jc w:val="center"/>
              <w:rPr>
                <w:rFonts w:eastAsia="Times New Roman"/>
                <w:spacing w:val="0"/>
                <w:sz w:val="20"/>
                <w:szCs w:val="20"/>
              </w:rPr>
            </w:pPr>
            <w:r w:rsidRPr="00232EBB">
              <w:rPr>
                <w:sz w:val="20"/>
                <w:szCs w:val="20"/>
              </w:rPr>
              <w:t>24,573,014.72</w:t>
            </w:r>
          </w:p>
        </w:tc>
        <w:tc>
          <w:tcPr>
            <w:tcW w:w="1493" w:type="dxa"/>
            <w:tcBorders>
              <w:top w:val="single" w:sz="8" w:space="0" w:color="auto"/>
              <w:left w:val="nil"/>
              <w:bottom w:val="single" w:sz="8" w:space="0" w:color="auto"/>
              <w:right w:val="single" w:sz="8" w:space="0" w:color="auto"/>
            </w:tcBorders>
            <w:hideMark/>
          </w:tcPr>
          <w:p w14:paraId="7DFFC2A3" w14:textId="592A1449" w:rsidR="007A6ACD" w:rsidRPr="00232EBB" w:rsidRDefault="007A6ACD" w:rsidP="007A6ACD">
            <w:pPr>
              <w:spacing w:after="0" w:line="240" w:lineRule="auto"/>
              <w:jc w:val="center"/>
              <w:rPr>
                <w:rFonts w:eastAsia="Times New Roman"/>
                <w:spacing w:val="0"/>
                <w:sz w:val="20"/>
                <w:szCs w:val="20"/>
              </w:rPr>
            </w:pPr>
            <w:r w:rsidRPr="00232EBB">
              <w:rPr>
                <w:sz w:val="20"/>
                <w:szCs w:val="20"/>
              </w:rPr>
              <w:t>11.63%</w:t>
            </w:r>
          </w:p>
        </w:tc>
      </w:tr>
    </w:tbl>
    <w:bookmarkEnd w:id="26"/>
    <w:p w14:paraId="63E16FAF" w14:textId="22BFC068" w:rsidR="00041B32" w:rsidRPr="00232EBB" w:rsidRDefault="00041B32" w:rsidP="00041B32">
      <w:pPr>
        <w:spacing w:line="360" w:lineRule="auto"/>
        <w:jc w:val="both"/>
        <w:rPr>
          <w:rFonts w:eastAsia="Calibri"/>
          <w:noProof/>
          <w:sz w:val="18"/>
          <w:szCs w:val="18"/>
          <w:lang w:val="es-ES"/>
        </w:rPr>
      </w:pPr>
      <w:r w:rsidRPr="00232EBB">
        <w:rPr>
          <w:rFonts w:eastAsia="Calibri"/>
          <w:b/>
          <w:bCs/>
          <w:noProof/>
          <w:sz w:val="18"/>
          <w:szCs w:val="18"/>
          <w:lang w:val="es-ES"/>
        </w:rPr>
        <w:t xml:space="preserve">Tabla 5: </w:t>
      </w:r>
      <w:r w:rsidRPr="00232EBB">
        <w:rPr>
          <w:rFonts w:eastAsia="Calibri"/>
          <w:noProof/>
          <w:sz w:val="18"/>
          <w:szCs w:val="18"/>
          <w:lang w:val="es-ES"/>
        </w:rPr>
        <w:t>Devolución de aportes a empleadores y trabajadores del Régimen Contributivo enero-</w:t>
      </w:r>
      <w:r w:rsidR="007A6ACD" w:rsidRPr="00232EBB">
        <w:rPr>
          <w:rFonts w:eastAsia="Calibri"/>
          <w:noProof/>
          <w:sz w:val="18"/>
          <w:szCs w:val="18"/>
          <w:lang w:val="es-ES"/>
        </w:rPr>
        <w:t>dic</w:t>
      </w:r>
      <w:r w:rsidR="00544B53" w:rsidRPr="00232EBB">
        <w:rPr>
          <w:rFonts w:eastAsia="Calibri"/>
          <w:noProof/>
          <w:sz w:val="18"/>
          <w:szCs w:val="18"/>
          <w:lang w:val="es-ES"/>
        </w:rPr>
        <w:t>iembr</w:t>
      </w:r>
      <w:r w:rsidRPr="00232EBB">
        <w:rPr>
          <w:rFonts w:eastAsia="Calibri"/>
          <w:noProof/>
          <w:sz w:val="18"/>
          <w:szCs w:val="18"/>
          <w:lang w:val="es-ES"/>
        </w:rPr>
        <w:t>e 202</w:t>
      </w:r>
      <w:r w:rsidR="00ED0D3F" w:rsidRPr="00232EBB">
        <w:rPr>
          <w:rFonts w:eastAsia="Calibri"/>
          <w:noProof/>
          <w:sz w:val="18"/>
          <w:szCs w:val="18"/>
          <w:lang w:val="es-ES"/>
        </w:rPr>
        <w:t>5</w:t>
      </w:r>
      <w:r w:rsidRPr="00232EBB">
        <w:rPr>
          <w:rFonts w:eastAsia="Calibri"/>
          <w:noProof/>
          <w:sz w:val="18"/>
          <w:szCs w:val="18"/>
          <w:lang w:val="es-ES"/>
        </w:rPr>
        <w:t>.</w:t>
      </w:r>
    </w:p>
    <w:tbl>
      <w:tblPr>
        <w:tblW w:w="8720" w:type="dxa"/>
        <w:jc w:val="center"/>
        <w:tblLook w:val="04A0" w:firstRow="1" w:lastRow="0" w:firstColumn="1" w:lastColumn="0" w:noHBand="0" w:noVBand="1"/>
      </w:tblPr>
      <w:tblGrid>
        <w:gridCol w:w="1753"/>
        <w:gridCol w:w="1989"/>
        <w:gridCol w:w="1989"/>
        <w:gridCol w:w="1713"/>
        <w:gridCol w:w="1276"/>
      </w:tblGrid>
      <w:tr w:rsidR="00544B53" w:rsidRPr="00232EBB" w14:paraId="4122579C" w14:textId="77777777" w:rsidTr="008103DA">
        <w:trPr>
          <w:trHeight w:val="957"/>
          <w:jc w:val="center"/>
        </w:trPr>
        <w:tc>
          <w:tcPr>
            <w:tcW w:w="1753" w:type="dxa"/>
            <w:tcBorders>
              <w:top w:val="single" w:sz="8" w:space="0" w:color="auto"/>
              <w:left w:val="single" w:sz="8" w:space="0" w:color="auto"/>
              <w:bottom w:val="nil"/>
              <w:right w:val="single" w:sz="8" w:space="0" w:color="auto"/>
            </w:tcBorders>
            <w:shd w:val="clear" w:color="000000" w:fill="1F3864"/>
            <w:vAlign w:val="center"/>
            <w:hideMark/>
          </w:tcPr>
          <w:p w14:paraId="0E64E6A0" w14:textId="77777777" w:rsidR="00544B53" w:rsidRPr="00232EBB" w:rsidRDefault="00544B53" w:rsidP="00874C53">
            <w:pPr>
              <w:spacing w:after="0" w:line="240" w:lineRule="auto"/>
              <w:jc w:val="center"/>
              <w:rPr>
                <w:rFonts w:eastAsia="Times New Roman"/>
                <w:b/>
                <w:bCs/>
                <w:color w:val="FFFFFF"/>
                <w:spacing w:val="0"/>
                <w:sz w:val="20"/>
                <w:szCs w:val="20"/>
                <w:lang w:val="es-ES"/>
              </w:rPr>
            </w:pPr>
            <w:r w:rsidRPr="00232EBB">
              <w:rPr>
                <w:rFonts w:eastAsia="Times New Roman"/>
                <w:b/>
                <w:bCs/>
                <w:color w:val="FFFFFF"/>
                <w:spacing w:val="0"/>
                <w:sz w:val="20"/>
                <w:szCs w:val="20"/>
                <w:lang w:val="es-DO"/>
              </w:rPr>
              <w:t>Devolución de Aportes a Empleadores y Trabajadores</w:t>
            </w:r>
          </w:p>
        </w:tc>
        <w:tc>
          <w:tcPr>
            <w:tcW w:w="1989" w:type="dxa"/>
            <w:tcBorders>
              <w:top w:val="single" w:sz="8" w:space="0" w:color="auto"/>
              <w:left w:val="nil"/>
              <w:bottom w:val="nil"/>
              <w:right w:val="single" w:sz="8" w:space="0" w:color="auto"/>
            </w:tcBorders>
            <w:shd w:val="clear" w:color="000000" w:fill="1F3864"/>
            <w:vAlign w:val="center"/>
            <w:hideMark/>
          </w:tcPr>
          <w:p w14:paraId="4FF045CA" w14:textId="77777777" w:rsidR="00544B53" w:rsidRPr="00232EBB" w:rsidRDefault="00544B53"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2025</w:t>
            </w:r>
          </w:p>
        </w:tc>
        <w:tc>
          <w:tcPr>
            <w:tcW w:w="1989" w:type="dxa"/>
            <w:tcBorders>
              <w:top w:val="single" w:sz="8" w:space="0" w:color="auto"/>
              <w:left w:val="nil"/>
              <w:bottom w:val="nil"/>
              <w:right w:val="single" w:sz="8" w:space="0" w:color="auto"/>
            </w:tcBorders>
            <w:shd w:val="clear" w:color="000000" w:fill="1F3864"/>
            <w:vAlign w:val="center"/>
            <w:hideMark/>
          </w:tcPr>
          <w:p w14:paraId="4FB24307" w14:textId="77777777" w:rsidR="00544B53" w:rsidRPr="00232EBB" w:rsidRDefault="00544B53"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2024</w:t>
            </w:r>
          </w:p>
        </w:tc>
        <w:tc>
          <w:tcPr>
            <w:tcW w:w="1713" w:type="dxa"/>
            <w:tcBorders>
              <w:top w:val="single" w:sz="8" w:space="0" w:color="auto"/>
              <w:left w:val="nil"/>
              <w:bottom w:val="nil"/>
              <w:right w:val="single" w:sz="8" w:space="0" w:color="auto"/>
            </w:tcBorders>
            <w:shd w:val="clear" w:color="000000" w:fill="1F3864"/>
            <w:vAlign w:val="center"/>
            <w:hideMark/>
          </w:tcPr>
          <w:p w14:paraId="04C24BEC" w14:textId="77777777" w:rsidR="00544B53" w:rsidRPr="00232EBB" w:rsidRDefault="00544B53"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Variación</w:t>
            </w:r>
          </w:p>
        </w:tc>
        <w:tc>
          <w:tcPr>
            <w:tcW w:w="1276" w:type="dxa"/>
            <w:tcBorders>
              <w:top w:val="single" w:sz="8" w:space="0" w:color="auto"/>
              <w:left w:val="nil"/>
              <w:bottom w:val="nil"/>
              <w:right w:val="single" w:sz="8" w:space="0" w:color="auto"/>
            </w:tcBorders>
            <w:shd w:val="clear" w:color="000000" w:fill="1F3864"/>
            <w:vAlign w:val="center"/>
            <w:hideMark/>
          </w:tcPr>
          <w:p w14:paraId="2CE75130" w14:textId="77777777" w:rsidR="00544B53" w:rsidRPr="00232EBB" w:rsidRDefault="00544B53" w:rsidP="00874C5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w:t>
            </w:r>
          </w:p>
        </w:tc>
      </w:tr>
      <w:tr w:rsidR="007A6ACD" w:rsidRPr="00232EBB" w14:paraId="7B7633D5" w14:textId="77777777" w:rsidTr="00A36F11">
        <w:trPr>
          <w:trHeight w:val="349"/>
          <w:jc w:val="center"/>
        </w:trPr>
        <w:tc>
          <w:tcPr>
            <w:tcW w:w="1753" w:type="dxa"/>
            <w:tcBorders>
              <w:top w:val="single" w:sz="8" w:space="0" w:color="auto"/>
              <w:left w:val="single" w:sz="8" w:space="0" w:color="auto"/>
              <w:bottom w:val="single" w:sz="8" w:space="0" w:color="auto"/>
              <w:right w:val="single" w:sz="8" w:space="0" w:color="auto"/>
            </w:tcBorders>
            <w:vAlign w:val="center"/>
            <w:hideMark/>
          </w:tcPr>
          <w:p w14:paraId="5D87C5D9" w14:textId="5998FA9E" w:rsidR="007A6ACD" w:rsidRPr="00232EBB" w:rsidRDefault="007A6ACD" w:rsidP="007A6ACD">
            <w:pPr>
              <w:spacing w:after="0" w:line="240" w:lineRule="auto"/>
              <w:jc w:val="center"/>
              <w:rPr>
                <w:rFonts w:eastAsia="Times New Roman"/>
                <w:spacing w:val="0"/>
                <w:sz w:val="20"/>
                <w:szCs w:val="20"/>
              </w:rPr>
            </w:pPr>
            <w:r w:rsidRPr="00232EBB">
              <w:rPr>
                <w:rFonts w:eastAsia="Calibri"/>
                <w:noProof/>
                <w:spacing w:val="0"/>
                <w:sz w:val="20"/>
                <w:szCs w:val="20"/>
                <w:lang w:val="es-DO"/>
              </w:rPr>
              <w:t>Enero - Diciembre</w:t>
            </w:r>
          </w:p>
        </w:tc>
        <w:tc>
          <w:tcPr>
            <w:tcW w:w="1989" w:type="dxa"/>
            <w:tcBorders>
              <w:top w:val="single" w:sz="8" w:space="0" w:color="auto"/>
              <w:left w:val="nil"/>
              <w:bottom w:val="single" w:sz="8" w:space="0" w:color="auto"/>
              <w:right w:val="single" w:sz="8" w:space="0" w:color="auto"/>
            </w:tcBorders>
            <w:vAlign w:val="center"/>
            <w:hideMark/>
          </w:tcPr>
          <w:p w14:paraId="3CBE0F4B" w14:textId="6F4232C3" w:rsidR="007A6ACD" w:rsidRPr="00232EBB" w:rsidRDefault="007A6ACD" w:rsidP="00A36F11">
            <w:pPr>
              <w:spacing w:after="0" w:line="240" w:lineRule="auto"/>
              <w:jc w:val="center"/>
              <w:rPr>
                <w:rFonts w:eastAsia="Times New Roman"/>
                <w:spacing w:val="0"/>
                <w:sz w:val="20"/>
                <w:szCs w:val="20"/>
              </w:rPr>
            </w:pPr>
            <w:r w:rsidRPr="00232EBB">
              <w:rPr>
                <w:sz w:val="20"/>
                <w:szCs w:val="20"/>
              </w:rPr>
              <w:t>125,196.84</w:t>
            </w:r>
          </w:p>
        </w:tc>
        <w:tc>
          <w:tcPr>
            <w:tcW w:w="1989" w:type="dxa"/>
            <w:tcBorders>
              <w:top w:val="single" w:sz="8" w:space="0" w:color="auto"/>
              <w:left w:val="nil"/>
              <w:bottom w:val="single" w:sz="8" w:space="0" w:color="auto"/>
              <w:right w:val="single" w:sz="8" w:space="0" w:color="auto"/>
            </w:tcBorders>
            <w:vAlign w:val="center"/>
            <w:hideMark/>
          </w:tcPr>
          <w:p w14:paraId="625D7494" w14:textId="59A2454B" w:rsidR="007A6ACD" w:rsidRPr="00232EBB" w:rsidRDefault="007A6ACD" w:rsidP="00A36F11">
            <w:pPr>
              <w:spacing w:after="0" w:line="240" w:lineRule="auto"/>
              <w:jc w:val="center"/>
              <w:rPr>
                <w:rFonts w:eastAsia="Times New Roman"/>
                <w:spacing w:val="0"/>
                <w:sz w:val="20"/>
                <w:szCs w:val="20"/>
              </w:rPr>
            </w:pPr>
            <w:r w:rsidRPr="00232EBB">
              <w:rPr>
                <w:sz w:val="20"/>
                <w:szCs w:val="20"/>
              </w:rPr>
              <w:t>3,009,362.77</w:t>
            </w:r>
          </w:p>
        </w:tc>
        <w:tc>
          <w:tcPr>
            <w:tcW w:w="1713" w:type="dxa"/>
            <w:tcBorders>
              <w:top w:val="single" w:sz="8" w:space="0" w:color="auto"/>
              <w:left w:val="nil"/>
              <w:bottom w:val="single" w:sz="8" w:space="0" w:color="auto"/>
              <w:right w:val="single" w:sz="8" w:space="0" w:color="auto"/>
            </w:tcBorders>
            <w:vAlign w:val="center"/>
            <w:hideMark/>
          </w:tcPr>
          <w:p w14:paraId="364E44C8" w14:textId="41494229" w:rsidR="007A6ACD" w:rsidRPr="00232EBB" w:rsidRDefault="007A6ACD" w:rsidP="00A36F11">
            <w:pPr>
              <w:spacing w:after="0" w:line="240" w:lineRule="auto"/>
              <w:jc w:val="center"/>
              <w:rPr>
                <w:rFonts w:eastAsia="Times New Roman"/>
                <w:spacing w:val="0"/>
                <w:sz w:val="20"/>
                <w:szCs w:val="20"/>
              </w:rPr>
            </w:pPr>
            <w:r w:rsidRPr="00232EBB">
              <w:rPr>
                <w:sz w:val="20"/>
                <w:szCs w:val="20"/>
              </w:rPr>
              <w:t>-2,884,165.93</w:t>
            </w:r>
          </w:p>
        </w:tc>
        <w:tc>
          <w:tcPr>
            <w:tcW w:w="1276" w:type="dxa"/>
            <w:tcBorders>
              <w:top w:val="single" w:sz="8" w:space="0" w:color="auto"/>
              <w:left w:val="nil"/>
              <w:bottom w:val="single" w:sz="8" w:space="0" w:color="auto"/>
              <w:right w:val="single" w:sz="8" w:space="0" w:color="auto"/>
            </w:tcBorders>
            <w:vAlign w:val="center"/>
            <w:hideMark/>
          </w:tcPr>
          <w:p w14:paraId="73B17F86" w14:textId="56F9CC58" w:rsidR="007A6ACD" w:rsidRPr="00232EBB" w:rsidRDefault="007A6ACD" w:rsidP="00A36F11">
            <w:pPr>
              <w:spacing w:after="0" w:line="240" w:lineRule="auto"/>
              <w:jc w:val="center"/>
              <w:rPr>
                <w:rFonts w:eastAsia="Times New Roman"/>
                <w:spacing w:val="0"/>
                <w:sz w:val="20"/>
                <w:szCs w:val="20"/>
              </w:rPr>
            </w:pPr>
            <w:r w:rsidRPr="00232EBB">
              <w:rPr>
                <w:sz w:val="20"/>
                <w:szCs w:val="20"/>
              </w:rPr>
              <w:t>-95.84%</w:t>
            </w:r>
          </w:p>
        </w:tc>
      </w:tr>
    </w:tbl>
    <w:p w14:paraId="1037AB08" w14:textId="56751239" w:rsidR="00544B53" w:rsidRPr="00232EBB" w:rsidRDefault="00544B53" w:rsidP="00544B53">
      <w:pPr>
        <w:spacing w:line="360" w:lineRule="auto"/>
        <w:jc w:val="both"/>
        <w:rPr>
          <w:rFonts w:eastAsia="Calibri"/>
          <w:noProof/>
          <w:sz w:val="18"/>
          <w:szCs w:val="18"/>
          <w:lang w:val="es-ES"/>
        </w:rPr>
      </w:pPr>
      <w:r w:rsidRPr="00232EBB">
        <w:rPr>
          <w:rFonts w:eastAsia="Calibri"/>
          <w:b/>
          <w:bCs/>
          <w:noProof/>
          <w:sz w:val="18"/>
          <w:szCs w:val="18"/>
          <w:lang w:val="es-ES"/>
        </w:rPr>
        <w:t xml:space="preserve">Tabla 6: </w:t>
      </w:r>
      <w:r w:rsidRPr="00232EBB">
        <w:rPr>
          <w:rFonts w:eastAsia="Calibri"/>
          <w:noProof/>
          <w:sz w:val="18"/>
          <w:szCs w:val="18"/>
          <w:lang w:val="es-ES"/>
        </w:rPr>
        <w:t>Devolución por pagos en exceso a las AFP enero</w:t>
      </w:r>
      <w:r w:rsidR="007A6ACD" w:rsidRPr="00232EBB">
        <w:rPr>
          <w:rFonts w:eastAsia="Calibri"/>
          <w:noProof/>
          <w:sz w:val="18"/>
          <w:szCs w:val="18"/>
          <w:lang w:val="es-ES"/>
        </w:rPr>
        <w:t>-diciembre</w:t>
      </w:r>
      <w:r w:rsidRPr="00232EBB">
        <w:rPr>
          <w:rFonts w:eastAsia="Calibri"/>
          <w:noProof/>
          <w:sz w:val="18"/>
          <w:szCs w:val="18"/>
          <w:lang w:val="es-ES"/>
        </w:rPr>
        <w:t xml:space="preserve"> 2025.</w:t>
      </w:r>
    </w:p>
    <w:p w14:paraId="19C831C6" w14:textId="77777777" w:rsidR="00041B32" w:rsidRPr="00232EBB" w:rsidRDefault="00041B32" w:rsidP="00041B32">
      <w:pPr>
        <w:spacing w:line="360" w:lineRule="auto"/>
        <w:jc w:val="both"/>
        <w:rPr>
          <w:rFonts w:eastAsia="Calibri"/>
          <w:noProof/>
          <w:lang w:val="es-DO"/>
        </w:rPr>
      </w:pPr>
      <w:r w:rsidRPr="00232EBB">
        <w:rPr>
          <w:rFonts w:eastAsia="Calibri"/>
          <w:noProof/>
          <w:lang w:val="es-DO"/>
        </w:rPr>
        <w:t>Los Aportes de los Planes Especiales Transitorios de Servicios de Salud Pensionados y Jubilados:</w:t>
      </w: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216"/>
        <w:gridCol w:w="1936"/>
        <w:gridCol w:w="1936"/>
        <w:gridCol w:w="1936"/>
        <w:gridCol w:w="953"/>
      </w:tblGrid>
      <w:tr w:rsidR="00041B32" w:rsidRPr="00232EBB" w14:paraId="364DD8E1" w14:textId="77777777" w:rsidTr="00EE021A">
        <w:trPr>
          <w:trHeight w:val="609"/>
          <w:tblHeader/>
          <w:jc w:val="center"/>
        </w:trPr>
        <w:tc>
          <w:tcPr>
            <w:tcW w:w="1161" w:type="dxa"/>
            <w:vMerge w:val="restart"/>
            <w:shd w:val="clear" w:color="000000" w:fill="1F3864"/>
            <w:vAlign w:val="center"/>
            <w:hideMark/>
          </w:tcPr>
          <w:p w14:paraId="2B9A6820" w14:textId="75FFBDFE" w:rsidR="00041B32" w:rsidRPr="00232EBB" w:rsidRDefault="00041B32">
            <w:pPr>
              <w:spacing w:after="0" w:line="240" w:lineRule="auto"/>
              <w:jc w:val="center"/>
              <w:rPr>
                <w:rFonts w:eastAsia="Times New Roman"/>
                <w:b/>
                <w:bCs/>
                <w:color w:val="FFFFFF"/>
                <w:spacing w:val="0"/>
                <w:sz w:val="20"/>
                <w:szCs w:val="20"/>
              </w:rPr>
            </w:pPr>
            <w:proofErr w:type="spellStart"/>
            <w:r w:rsidRPr="00232EBB">
              <w:rPr>
                <w:rFonts w:eastAsia="Times New Roman"/>
                <w:b/>
                <w:bCs/>
                <w:color w:val="FFFFFF"/>
                <w:spacing w:val="0"/>
                <w:sz w:val="20"/>
                <w:szCs w:val="20"/>
              </w:rPr>
              <w:lastRenderedPageBreak/>
              <w:t>Enero</w:t>
            </w:r>
            <w:proofErr w:type="spellEnd"/>
            <w:r w:rsidRPr="00232EBB">
              <w:rPr>
                <w:rFonts w:eastAsia="Times New Roman"/>
                <w:b/>
                <w:bCs/>
                <w:color w:val="FFFFFF"/>
                <w:spacing w:val="0"/>
                <w:sz w:val="20"/>
                <w:szCs w:val="20"/>
              </w:rPr>
              <w:t xml:space="preserve"> -</w:t>
            </w:r>
            <w:proofErr w:type="spellStart"/>
            <w:r w:rsidR="00EE021A" w:rsidRPr="00232EBB">
              <w:rPr>
                <w:rFonts w:eastAsia="Times New Roman"/>
                <w:b/>
                <w:bCs/>
                <w:color w:val="FFFFFF"/>
                <w:spacing w:val="0"/>
                <w:sz w:val="20"/>
                <w:szCs w:val="20"/>
              </w:rPr>
              <w:t>Dic</w:t>
            </w:r>
            <w:r w:rsidR="00413FED" w:rsidRPr="00232EBB">
              <w:rPr>
                <w:rFonts w:eastAsia="Times New Roman"/>
                <w:b/>
                <w:bCs/>
                <w:color w:val="FFFFFF"/>
                <w:spacing w:val="0"/>
                <w:sz w:val="20"/>
                <w:szCs w:val="20"/>
              </w:rPr>
              <w:t>iembre</w:t>
            </w:r>
            <w:proofErr w:type="spellEnd"/>
          </w:p>
        </w:tc>
        <w:tc>
          <w:tcPr>
            <w:tcW w:w="1216" w:type="dxa"/>
            <w:shd w:val="clear" w:color="000000" w:fill="1F3864"/>
            <w:vAlign w:val="center"/>
            <w:hideMark/>
          </w:tcPr>
          <w:p w14:paraId="5D996A64" w14:textId="77777777" w:rsidR="00041B32" w:rsidRPr="00232EBB" w:rsidRDefault="00041B32">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Detalles</w:t>
            </w:r>
          </w:p>
        </w:tc>
        <w:tc>
          <w:tcPr>
            <w:tcW w:w="1936" w:type="dxa"/>
            <w:shd w:val="clear" w:color="000000" w:fill="1F3864"/>
            <w:vAlign w:val="center"/>
            <w:hideMark/>
          </w:tcPr>
          <w:p w14:paraId="61936534" w14:textId="05FC1B2C" w:rsidR="00041B32" w:rsidRPr="00232EBB" w:rsidRDefault="00041B32">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413FED" w:rsidRPr="00232EBB">
              <w:rPr>
                <w:rFonts w:eastAsia="Times New Roman"/>
                <w:b/>
                <w:bCs/>
                <w:color w:val="FFFFFF"/>
                <w:spacing w:val="0"/>
                <w:sz w:val="20"/>
                <w:szCs w:val="20"/>
                <w:lang w:val="es-DO"/>
              </w:rPr>
              <w:t>5</w:t>
            </w:r>
          </w:p>
        </w:tc>
        <w:tc>
          <w:tcPr>
            <w:tcW w:w="1936" w:type="dxa"/>
            <w:shd w:val="clear" w:color="000000" w:fill="1F3864"/>
            <w:vAlign w:val="center"/>
            <w:hideMark/>
          </w:tcPr>
          <w:p w14:paraId="6E9E64CA" w14:textId="47C97F87" w:rsidR="00041B32" w:rsidRPr="00232EBB" w:rsidRDefault="00041B32">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202</w:t>
            </w:r>
            <w:r w:rsidR="00413FED" w:rsidRPr="00232EBB">
              <w:rPr>
                <w:rFonts w:eastAsia="Times New Roman"/>
                <w:b/>
                <w:bCs/>
                <w:color w:val="FFFFFF"/>
                <w:spacing w:val="0"/>
                <w:sz w:val="20"/>
                <w:szCs w:val="20"/>
                <w:lang w:val="es-DO"/>
              </w:rPr>
              <w:t>4</w:t>
            </w:r>
          </w:p>
        </w:tc>
        <w:tc>
          <w:tcPr>
            <w:tcW w:w="1746" w:type="dxa"/>
            <w:shd w:val="clear" w:color="000000" w:fill="1F3864"/>
            <w:vAlign w:val="center"/>
            <w:hideMark/>
          </w:tcPr>
          <w:p w14:paraId="4D8D7E9C" w14:textId="77777777" w:rsidR="00041B32" w:rsidRPr="00232EBB" w:rsidRDefault="00041B32">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Variación</w:t>
            </w:r>
          </w:p>
        </w:tc>
        <w:tc>
          <w:tcPr>
            <w:tcW w:w="953" w:type="dxa"/>
            <w:shd w:val="clear" w:color="000000" w:fill="1F3864"/>
            <w:vAlign w:val="center"/>
            <w:hideMark/>
          </w:tcPr>
          <w:p w14:paraId="483F0FCC" w14:textId="77777777" w:rsidR="00041B32" w:rsidRPr="00232EBB" w:rsidRDefault="00041B32">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lang w:val="es-DO"/>
              </w:rPr>
              <w:t>%</w:t>
            </w:r>
          </w:p>
        </w:tc>
      </w:tr>
      <w:tr w:rsidR="00EE021A" w:rsidRPr="00232EBB" w14:paraId="7AAABD91" w14:textId="77777777" w:rsidTr="00A36F11">
        <w:trPr>
          <w:trHeight w:val="496"/>
          <w:tblHeader/>
          <w:jc w:val="center"/>
        </w:trPr>
        <w:tc>
          <w:tcPr>
            <w:tcW w:w="1161" w:type="dxa"/>
            <w:vMerge/>
            <w:vAlign w:val="center"/>
            <w:hideMark/>
          </w:tcPr>
          <w:p w14:paraId="63860C6C" w14:textId="77777777" w:rsidR="00EE021A" w:rsidRPr="00232EBB" w:rsidRDefault="00EE021A" w:rsidP="00EE021A">
            <w:pPr>
              <w:spacing w:after="0" w:line="240" w:lineRule="auto"/>
              <w:rPr>
                <w:rFonts w:eastAsia="Times New Roman"/>
                <w:b/>
                <w:bCs/>
                <w:color w:val="FFFFFF"/>
                <w:spacing w:val="0"/>
                <w:sz w:val="20"/>
                <w:szCs w:val="20"/>
              </w:rPr>
            </w:pPr>
          </w:p>
        </w:tc>
        <w:tc>
          <w:tcPr>
            <w:tcW w:w="1216" w:type="dxa"/>
            <w:vAlign w:val="center"/>
            <w:hideMark/>
          </w:tcPr>
          <w:p w14:paraId="28977F86" w14:textId="77777777" w:rsidR="00EE021A" w:rsidRPr="00232EBB" w:rsidRDefault="00EE021A" w:rsidP="00EE021A">
            <w:pPr>
              <w:spacing w:after="0" w:line="240" w:lineRule="auto"/>
              <w:jc w:val="center"/>
              <w:rPr>
                <w:rFonts w:eastAsia="Calibri"/>
                <w:noProof/>
                <w:spacing w:val="0"/>
                <w:sz w:val="20"/>
                <w:szCs w:val="20"/>
                <w:lang w:val="es-DO"/>
              </w:rPr>
            </w:pPr>
            <w:r w:rsidRPr="00232EBB">
              <w:rPr>
                <w:rFonts w:eastAsia="Calibri"/>
                <w:noProof/>
                <w:spacing w:val="0"/>
                <w:sz w:val="20"/>
                <w:szCs w:val="20"/>
                <w:lang w:val="es-DO"/>
              </w:rPr>
              <w:t>Pensionados y Jubilados FFAA</w:t>
            </w:r>
          </w:p>
        </w:tc>
        <w:tc>
          <w:tcPr>
            <w:tcW w:w="1936" w:type="dxa"/>
            <w:vAlign w:val="center"/>
          </w:tcPr>
          <w:p w14:paraId="57040DEC" w14:textId="11D41678"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796,151,304.00</w:t>
            </w:r>
          </w:p>
        </w:tc>
        <w:tc>
          <w:tcPr>
            <w:tcW w:w="1936" w:type="dxa"/>
            <w:vAlign w:val="center"/>
          </w:tcPr>
          <w:p w14:paraId="5196F332" w14:textId="036DA0A2"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546,703,892.57</w:t>
            </w:r>
          </w:p>
        </w:tc>
        <w:tc>
          <w:tcPr>
            <w:tcW w:w="1746" w:type="dxa"/>
            <w:vAlign w:val="center"/>
          </w:tcPr>
          <w:p w14:paraId="26FCA48D" w14:textId="7643E9C3"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249,447,411.43</w:t>
            </w:r>
          </w:p>
        </w:tc>
        <w:tc>
          <w:tcPr>
            <w:tcW w:w="953" w:type="dxa"/>
            <w:vAlign w:val="center"/>
          </w:tcPr>
          <w:p w14:paraId="45417177" w14:textId="0F6F28FF"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45.63%</w:t>
            </w:r>
          </w:p>
        </w:tc>
      </w:tr>
      <w:tr w:rsidR="00EE021A" w:rsidRPr="00232EBB" w14:paraId="6AD1AF9B" w14:textId="77777777" w:rsidTr="00A36F11">
        <w:trPr>
          <w:trHeight w:val="496"/>
          <w:tblHeader/>
          <w:jc w:val="center"/>
        </w:trPr>
        <w:tc>
          <w:tcPr>
            <w:tcW w:w="1161" w:type="dxa"/>
            <w:vMerge/>
            <w:vAlign w:val="center"/>
            <w:hideMark/>
          </w:tcPr>
          <w:p w14:paraId="03374DA1" w14:textId="77777777" w:rsidR="00EE021A" w:rsidRPr="00232EBB" w:rsidRDefault="00EE021A" w:rsidP="00EE021A">
            <w:pPr>
              <w:spacing w:after="0" w:line="240" w:lineRule="auto"/>
              <w:rPr>
                <w:rFonts w:eastAsia="Times New Roman"/>
                <w:b/>
                <w:bCs/>
                <w:color w:val="FFFFFF"/>
                <w:spacing w:val="0"/>
                <w:sz w:val="20"/>
                <w:szCs w:val="20"/>
              </w:rPr>
            </w:pPr>
          </w:p>
        </w:tc>
        <w:tc>
          <w:tcPr>
            <w:tcW w:w="1216" w:type="dxa"/>
            <w:vAlign w:val="center"/>
            <w:hideMark/>
          </w:tcPr>
          <w:p w14:paraId="7BA9C6F7" w14:textId="77777777" w:rsidR="00EE021A" w:rsidRPr="00232EBB" w:rsidRDefault="00EE021A" w:rsidP="00EE021A">
            <w:pPr>
              <w:spacing w:after="0" w:line="240" w:lineRule="auto"/>
              <w:jc w:val="center"/>
              <w:rPr>
                <w:rFonts w:eastAsia="Calibri"/>
                <w:noProof/>
                <w:spacing w:val="0"/>
                <w:sz w:val="20"/>
                <w:szCs w:val="20"/>
                <w:lang w:val="es-DO"/>
              </w:rPr>
            </w:pPr>
            <w:r w:rsidRPr="00232EBB">
              <w:rPr>
                <w:rFonts w:eastAsia="Calibri"/>
                <w:noProof/>
                <w:spacing w:val="0"/>
                <w:sz w:val="20"/>
                <w:szCs w:val="20"/>
                <w:lang w:val="es-DO"/>
              </w:rPr>
              <w:t>Pensionados y Jubilados Sector Salud</w:t>
            </w:r>
          </w:p>
        </w:tc>
        <w:tc>
          <w:tcPr>
            <w:tcW w:w="1936" w:type="dxa"/>
            <w:vAlign w:val="center"/>
            <w:hideMark/>
          </w:tcPr>
          <w:p w14:paraId="3B42FBC0" w14:textId="11F535E4"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254,784,167.63</w:t>
            </w:r>
          </w:p>
        </w:tc>
        <w:tc>
          <w:tcPr>
            <w:tcW w:w="1936" w:type="dxa"/>
            <w:vAlign w:val="center"/>
          </w:tcPr>
          <w:p w14:paraId="13C0D5A3" w14:textId="1EF10B88"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148,173,747.90</w:t>
            </w:r>
          </w:p>
        </w:tc>
        <w:tc>
          <w:tcPr>
            <w:tcW w:w="1746" w:type="dxa"/>
            <w:vAlign w:val="center"/>
          </w:tcPr>
          <w:p w14:paraId="67D07C5E" w14:textId="594B8011"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106,610,419.73</w:t>
            </w:r>
          </w:p>
        </w:tc>
        <w:tc>
          <w:tcPr>
            <w:tcW w:w="953" w:type="dxa"/>
            <w:vAlign w:val="center"/>
          </w:tcPr>
          <w:p w14:paraId="44401E28" w14:textId="15B8B4CA"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71.95%</w:t>
            </w:r>
          </w:p>
        </w:tc>
      </w:tr>
      <w:tr w:rsidR="00EE021A" w:rsidRPr="00232EBB" w14:paraId="42C00CFF" w14:textId="77777777" w:rsidTr="00A36F11">
        <w:trPr>
          <w:trHeight w:val="496"/>
          <w:tblHeader/>
          <w:jc w:val="center"/>
        </w:trPr>
        <w:tc>
          <w:tcPr>
            <w:tcW w:w="1161" w:type="dxa"/>
            <w:vMerge/>
            <w:vAlign w:val="center"/>
            <w:hideMark/>
          </w:tcPr>
          <w:p w14:paraId="094ACDAA" w14:textId="77777777" w:rsidR="00EE021A" w:rsidRPr="00232EBB" w:rsidRDefault="00EE021A" w:rsidP="00EE021A">
            <w:pPr>
              <w:spacing w:after="0" w:line="240" w:lineRule="auto"/>
              <w:rPr>
                <w:rFonts w:eastAsia="Times New Roman"/>
                <w:b/>
                <w:bCs/>
                <w:color w:val="FFFFFF"/>
                <w:spacing w:val="0"/>
                <w:sz w:val="20"/>
                <w:szCs w:val="20"/>
              </w:rPr>
            </w:pPr>
          </w:p>
        </w:tc>
        <w:tc>
          <w:tcPr>
            <w:tcW w:w="1216" w:type="dxa"/>
            <w:vAlign w:val="center"/>
            <w:hideMark/>
          </w:tcPr>
          <w:p w14:paraId="15C0AC15" w14:textId="77777777" w:rsidR="00EE021A" w:rsidRPr="00232EBB" w:rsidRDefault="00EE021A" w:rsidP="00EE021A">
            <w:pPr>
              <w:spacing w:after="0" w:line="240" w:lineRule="auto"/>
              <w:jc w:val="center"/>
              <w:rPr>
                <w:rFonts w:eastAsia="Calibri"/>
                <w:noProof/>
                <w:spacing w:val="0"/>
                <w:sz w:val="20"/>
                <w:szCs w:val="20"/>
                <w:lang w:val="es-DO"/>
              </w:rPr>
            </w:pPr>
            <w:r w:rsidRPr="00232EBB">
              <w:rPr>
                <w:rFonts w:eastAsia="Calibri"/>
                <w:noProof/>
                <w:spacing w:val="0"/>
                <w:sz w:val="20"/>
                <w:szCs w:val="20"/>
                <w:lang w:val="es-DO"/>
              </w:rPr>
              <w:t>Pensionados y Jubilados PN.</w:t>
            </w:r>
          </w:p>
        </w:tc>
        <w:tc>
          <w:tcPr>
            <w:tcW w:w="1936" w:type="dxa"/>
            <w:vAlign w:val="center"/>
            <w:hideMark/>
          </w:tcPr>
          <w:p w14:paraId="1B965362" w14:textId="1060E2A9"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689,716,122.38</w:t>
            </w:r>
          </w:p>
        </w:tc>
        <w:tc>
          <w:tcPr>
            <w:tcW w:w="1936" w:type="dxa"/>
            <w:vAlign w:val="center"/>
          </w:tcPr>
          <w:p w14:paraId="7109A174" w14:textId="1CDF476C"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590,257,850.92</w:t>
            </w:r>
          </w:p>
        </w:tc>
        <w:tc>
          <w:tcPr>
            <w:tcW w:w="1746" w:type="dxa"/>
            <w:vAlign w:val="center"/>
          </w:tcPr>
          <w:p w14:paraId="1983CA97" w14:textId="3961F6FF"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99,458,271.46</w:t>
            </w:r>
          </w:p>
        </w:tc>
        <w:tc>
          <w:tcPr>
            <w:tcW w:w="953" w:type="dxa"/>
            <w:vAlign w:val="center"/>
          </w:tcPr>
          <w:p w14:paraId="6FFFC89C" w14:textId="7C68C66B"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16.85%</w:t>
            </w:r>
          </w:p>
        </w:tc>
      </w:tr>
      <w:tr w:rsidR="00EE021A" w:rsidRPr="00232EBB" w14:paraId="7CF5AEDB" w14:textId="77777777" w:rsidTr="00A36F11">
        <w:trPr>
          <w:trHeight w:val="739"/>
          <w:tblHeader/>
          <w:jc w:val="center"/>
        </w:trPr>
        <w:tc>
          <w:tcPr>
            <w:tcW w:w="1161" w:type="dxa"/>
            <w:vMerge/>
            <w:vAlign w:val="center"/>
            <w:hideMark/>
          </w:tcPr>
          <w:p w14:paraId="5CBF6415" w14:textId="77777777" w:rsidR="00EE021A" w:rsidRPr="00232EBB" w:rsidRDefault="00EE021A" w:rsidP="00EE021A">
            <w:pPr>
              <w:spacing w:after="0" w:line="240" w:lineRule="auto"/>
              <w:rPr>
                <w:rFonts w:eastAsia="Times New Roman"/>
                <w:b/>
                <w:bCs/>
                <w:color w:val="FFFFFF"/>
                <w:spacing w:val="0"/>
                <w:sz w:val="20"/>
                <w:szCs w:val="20"/>
              </w:rPr>
            </w:pPr>
          </w:p>
        </w:tc>
        <w:tc>
          <w:tcPr>
            <w:tcW w:w="1216" w:type="dxa"/>
            <w:vAlign w:val="center"/>
            <w:hideMark/>
          </w:tcPr>
          <w:p w14:paraId="356F647A" w14:textId="77777777" w:rsidR="00EE021A" w:rsidRPr="00232EBB" w:rsidRDefault="00EE021A" w:rsidP="00EE021A">
            <w:pPr>
              <w:spacing w:after="0" w:line="240" w:lineRule="auto"/>
              <w:jc w:val="center"/>
              <w:rPr>
                <w:rFonts w:eastAsia="Calibri"/>
                <w:noProof/>
                <w:spacing w:val="0"/>
                <w:sz w:val="20"/>
                <w:szCs w:val="20"/>
                <w:lang w:val="es-DO"/>
              </w:rPr>
            </w:pPr>
            <w:r w:rsidRPr="00232EBB">
              <w:rPr>
                <w:rFonts w:eastAsia="Calibri"/>
                <w:noProof/>
                <w:spacing w:val="0"/>
                <w:sz w:val="20"/>
                <w:szCs w:val="20"/>
                <w:lang w:val="es-DO"/>
              </w:rPr>
              <w:t>Pensionados Y Jubilados de Hacienda (Decreto 342-09)</w:t>
            </w:r>
          </w:p>
        </w:tc>
        <w:tc>
          <w:tcPr>
            <w:tcW w:w="1936" w:type="dxa"/>
            <w:vAlign w:val="center"/>
            <w:hideMark/>
          </w:tcPr>
          <w:p w14:paraId="0D6E76E9" w14:textId="069CE311"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779,222,427.93</w:t>
            </w:r>
          </w:p>
        </w:tc>
        <w:tc>
          <w:tcPr>
            <w:tcW w:w="1936" w:type="dxa"/>
            <w:vAlign w:val="center"/>
          </w:tcPr>
          <w:p w14:paraId="61D49345" w14:textId="14EE94EC"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469,137,056.46</w:t>
            </w:r>
          </w:p>
        </w:tc>
        <w:tc>
          <w:tcPr>
            <w:tcW w:w="1746" w:type="dxa"/>
            <w:vAlign w:val="center"/>
          </w:tcPr>
          <w:p w14:paraId="3322BAF9" w14:textId="1B8AB718"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310,085,371.47</w:t>
            </w:r>
          </w:p>
        </w:tc>
        <w:tc>
          <w:tcPr>
            <w:tcW w:w="953" w:type="dxa"/>
            <w:vAlign w:val="center"/>
          </w:tcPr>
          <w:p w14:paraId="566BB46D" w14:textId="70E19194"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66.10%</w:t>
            </w:r>
          </w:p>
        </w:tc>
      </w:tr>
      <w:tr w:rsidR="00EE021A" w:rsidRPr="00232EBB" w14:paraId="619EE6D1" w14:textId="77777777" w:rsidTr="00A36F11">
        <w:trPr>
          <w:trHeight w:val="739"/>
          <w:tblHeader/>
          <w:jc w:val="center"/>
        </w:trPr>
        <w:tc>
          <w:tcPr>
            <w:tcW w:w="1161" w:type="dxa"/>
            <w:vMerge/>
            <w:vAlign w:val="center"/>
            <w:hideMark/>
          </w:tcPr>
          <w:p w14:paraId="78421206" w14:textId="77777777" w:rsidR="00EE021A" w:rsidRPr="00232EBB" w:rsidRDefault="00EE021A" w:rsidP="00EE021A">
            <w:pPr>
              <w:spacing w:after="0" w:line="240" w:lineRule="auto"/>
              <w:rPr>
                <w:rFonts w:eastAsia="Times New Roman"/>
                <w:b/>
                <w:bCs/>
                <w:color w:val="FFFFFF"/>
                <w:spacing w:val="0"/>
                <w:sz w:val="20"/>
                <w:szCs w:val="20"/>
              </w:rPr>
            </w:pPr>
          </w:p>
        </w:tc>
        <w:tc>
          <w:tcPr>
            <w:tcW w:w="1216" w:type="dxa"/>
            <w:vAlign w:val="center"/>
            <w:hideMark/>
          </w:tcPr>
          <w:p w14:paraId="19BA63CC" w14:textId="77777777" w:rsidR="00EE021A" w:rsidRPr="00232EBB" w:rsidRDefault="00EE021A" w:rsidP="00EE021A">
            <w:pPr>
              <w:spacing w:after="0" w:line="240" w:lineRule="auto"/>
              <w:jc w:val="center"/>
              <w:rPr>
                <w:rFonts w:eastAsia="Calibri"/>
                <w:noProof/>
                <w:spacing w:val="0"/>
                <w:sz w:val="20"/>
                <w:szCs w:val="20"/>
                <w:lang w:val="es-DO"/>
              </w:rPr>
            </w:pPr>
            <w:r w:rsidRPr="00232EBB">
              <w:rPr>
                <w:rFonts w:eastAsia="Calibri"/>
                <w:noProof/>
                <w:spacing w:val="0"/>
                <w:sz w:val="20"/>
                <w:szCs w:val="20"/>
                <w:lang w:val="es-DO"/>
              </w:rPr>
              <w:t>Pensionados y Jubilados del Estado (Decreto 18-19)</w:t>
            </w:r>
          </w:p>
        </w:tc>
        <w:tc>
          <w:tcPr>
            <w:tcW w:w="1936" w:type="dxa"/>
            <w:vAlign w:val="center"/>
            <w:hideMark/>
          </w:tcPr>
          <w:p w14:paraId="1E934714" w14:textId="06342043"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1,057,737,556.93</w:t>
            </w:r>
          </w:p>
        </w:tc>
        <w:tc>
          <w:tcPr>
            <w:tcW w:w="1936" w:type="dxa"/>
            <w:vAlign w:val="center"/>
          </w:tcPr>
          <w:p w14:paraId="131A8610" w14:textId="0F0C7574"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713,596,599.93</w:t>
            </w:r>
          </w:p>
        </w:tc>
        <w:tc>
          <w:tcPr>
            <w:tcW w:w="1746" w:type="dxa"/>
            <w:vAlign w:val="center"/>
          </w:tcPr>
          <w:p w14:paraId="7B95C556" w14:textId="38F76CFA"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344,140,957.00</w:t>
            </w:r>
          </w:p>
        </w:tc>
        <w:tc>
          <w:tcPr>
            <w:tcW w:w="953" w:type="dxa"/>
            <w:vAlign w:val="center"/>
          </w:tcPr>
          <w:p w14:paraId="3BC076EB" w14:textId="6E77F39D" w:rsidR="00EE021A" w:rsidRPr="00232EBB" w:rsidRDefault="00EE021A" w:rsidP="00A36F11">
            <w:pPr>
              <w:spacing w:after="0" w:line="240" w:lineRule="auto"/>
              <w:jc w:val="center"/>
              <w:rPr>
                <w:rFonts w:eastAsia="Calibri"/>
                <w:noProof/>
                <w:spacing w:val="0"/>
                <w:sz w:val="20"/>
                <w:szCs w:val="20"/>
                <w:lang w:val="es-DO"/>
              </w:rPr>
            </w:pPr>
            <w:r w:rsidRPr="00232EBB">
              <w:rPr>
                <w:sz w:val="20"/>
                <w:szCs w:val="20"/>
              </w:rPr>
              <w:t>48.23%</w:t>
            </w:r>
          </w:p>
        </w:tc>
      </w:tr>
      <w:tr w:rsidR="00EE021A" w:rsidRPr="00232EBB" w14:paraId="51F58F30" w14:textId="77777777" w:rsidTr="00A36F11">
        <w:trPr>
          <w:trHeight w:val="297"/>
          <w:tblHeader/>
          <w:jc w:val="center"/>
        </w:trPr>
        <w:tc>
          <w:tcPr>
            <w:tcW w:w="1161" w:type="dxa"/>
            <w:vMerge/>
            <w:vAlign w:val="center"/>
            <w:hideMark/>
          </w:tcPr>
          <w:p w14:paraId="2809CAC6" w14:textId="77777777" w:rsidR="00EE021A" w:rsidRPr="00232EBB" w:rsidRDefault="00EE021A" w:rsidP="00EE021A">
            <w:pPr>
              <w:spacing w:after="0" w:line="240" w:lineRule="auto"/>
              <w:rPr>
                <w:rFonts w:eastAsia="Times New Roman"/>
                <w:b/>
                <w:bCs/>
                <w:color w:val="FFFFFF"/>
                <w:spacing w:val="0"/>
                <w:sz w:val="20"/>
                <w:szCs w:val="20"/>
              </w:rPr>
            </w:pPr>
          </w:p>
        </w:tc>
        <w:tc>
          <w:tcPr>
            <w:tcW w:w="1216" w:type="dxa"/>
            <w:vAlign w:val="center"/>
            <w:hideMark/>
          </w:tcPr>
          <w:p w14:paraId="1AB4E885" w14:textId="79B5A851" w:rsidR="00EE021A" w:rsidRPr="00232EBB" w:rsidRDefault="00EE021A" w:rsidP="00EE021A">
            <w:pPr>
              <w:spacing w:after="0" w:line="240" w:lineRule="auto"/>
              <w:jc w:val="center"/>
              <w:rPr>
                <w:rFonts w:eastAsia="Calibri"/>
                <w:b/>
                <w:bCs/>
                <w:noProof/>
                <w:spacing w:val="0"/>
                <w:sz w:val="20"/>
                <w:szCs w:val="20"/>
                <w:lang w:val="es-DO"/>
              </w:rPr>
            </w:pPr>
            <w:r w:rsidRPr="00232EBB">
              <w:rPr>
                <w:rFonts w:eastAsia="Calibri"/>
                <w:b/>
                <w:bCs/>
                <w:noProof/>
                <w:spacing w:val="0"/>
                <w:sz w:val="20"/>
                <w:szCs w:val="20"/>
                <w:lang w:val="es-DO"/>
              </w:rPr>
              <w:t>TOTALES</w:t>
            </w:r>
          </w:p>
        </w:tc>
        <w:tc>
          <w:tcPr>
            <w:tcW w:w="1936" w:type="dxa"/>
            <w:vAlign w:val="center"/>
          </w:tcPr>
          <w:p w14:paraId="294900F2" w14:textId="79EB980F" w:rsidR="00EE021A" w:rsidRPr="00232EBB" w:rsidRDefault="00EE021A" w:rsidP="00A36F11">
            <w:pPr>
              <w:spacing w:after="0" w:line="240" w:lineRule="auto"/>
              <w:jc w:val="center"/>
              <w:rPr>
                <w:rFonts w:eastAsia="Calibri"/>
                <w:b/>
                <w:bCs/>
                <w:noProof/>
                <w:spacing w:val="0"/>
                <w:sz w:val="20"/>
                <w:szCs w:val="20"/>
                <w:lang w:val="es-DO"/>
              </w:rPr>
            </w:pPr>
            <w:r w:rsidRPr="00232EBB">
              <w:rPr>
                <w:sz w:val="20"/>
                <w:szCs w:val="20"/>
              </w:rPr>
              <w:t>3,577,611,578.87</w:t>
            </w:r>
          </w:p>
        </w:tc>
        <w:tc>
          <w:tcPr>
            <w:tcW w:w="1936" w:type="dxa"/>
            <w:vAlign w:val="center"/>
          </w:tcPr>
          <w:p w14:paraId="70B61A74" w14:textId="45C5E19F" w:rsidR="00EE021A" w:rsidRPr="00232EBB" w:rsidRDefault="00EE021A" w:rsidP="00A36F11">
            <w:pPr>
              <w:spacing w:after="0" w:line="240" w:lineRule="auto"/>
              <w:jc w:val="center"/>
              <w:rPr>
                <w:rFonts w:eastAsia="Calibri"/>
                <w:b/>
                <w:bCs/>
                <w:noProof/>
                <w:spacing w:val="0"/>
                <w:sz w:val="20"/>
                <w:szCs w:val="20"/>
                <w:lang w:val="es-DO"/>
              </w:rPr>
            </w:pPr>
            <w:r w:rsidRPr="00232EBB">
              <w:rPr>
                <w:sz w:val="20"/>
                <w:szCs w:val="20"/>
              </w:rPr>
              <w:t>2,467,869,147.78</w:t>
            </w:r>
          </w:p>
        </w:tc>
        <w:tc>
          <w:tcPr>
            <w:tcW w:w="1746" w:type="dxa"/>
            <w:vAlign w:val="center"/>
          </w:tcPr>
          <w:p w14:paraId="1521CC7A" w14:textId="292EF5A4" w:rsidR="00EE021A" w:rsidRPr="00232EBB" w:rsidRDefault="00EE021A" w:rsidP="00A36F11">
            <w:pPr>
              <w:spacing w:after="0" w:line="240" w:lineRule="auto"/>
              <w:jc w:val="center"/>
              <w:rPr>
                <w:rFonts w:eastAsia="Calibri"/>
                <w:b/>
                <w:bCs/>
                <w:noProof/>
                <w:spacing w:val="0"/>
                <w:sz w:val="20"/>
                <w:szCs w:val="20"/>
                <w:lang w:val="es-DO"/>
              </w:rPr>
            </w:pPr>
            <w:r w:rsidRPr="00232EBB">
              <w:rPr>
                <w:sz w:val="20"/>
                <w:szCs w:val="20"/>
              </w:rPr>
              <w:t>1,109,742,431.09</w:t>
            </w:r>
          </w:p>
        </w:tc>
        <w:tc>
          <w:tcPr>
            <w:tcW w:w="953" w:type="dxa"/>
            <w:vAlign w:val="center"/>
          </w:tcPr>
          <w:p w14:paraId="4CAE335F" w14:textId="327BF8A9" w:rsidR="00EE021A" w:rsidRPr="00232EBB" w:rsidRDefault="00EE021A" w:rsidP="00A36F11">
            <w:pPr>
              <w:spacing w:after="0" w:line="240" w:lineRule="auto"/>
              <w:jc w:val="center"/>
              <w:rPr>
                <w:rFonts w:eastAsia="Calibri"/>
                <w:b/>
                <w:bCs/>
                <w:noProof/>
                <w:spacing w:val="0"/>
                <w:sz w:val="20"/>
                <w:szCs w:val="20"/>
                <w:lang w:val="es-DO"/>
              </w:rPr>
            </w:pPr>
            <w:r w:rsidRPr="00232EBB">
              <w:rPr>
                <w:sz w:val="20"/>
                <w:szCs w:val="20"/>
              </w:rPr>
              <w:t>44.97%</w:t>
            </w:r>
          </w:p>
        </w:tc>
      </w:tr>
    </w:tbl>
    <w:p w14:paraId="6E95F276" w14:textId="2F992828" w:rsidR="00041B32" w:rsidRPr="00232EBB" w:rsidRDefault="00041B32" w:rsidP="00F95039">
      <w:pPr>
        <w:spacing w:line="360" w:lineRule="auto"/>
        <w:ind w:left="-90"/>
        <w:jc w:val="both"/>
        <w:rPr>
          <w:rFonts w:eastAsia="Calibri"/>
          <w:noProof/>
          <w:sz w:val="18"/>
          <w:szCs w:val="18"/>
          <w:lang w:val="es-ES"/>
        </w:rPr>
      </w:pPr>
      <w:r w:rsidRPr="00232EBB">
        <w:rPr>
          <w:rFonts w:eastAsia="Calibri"/>
          <w:b/>
          <w:bCs/>
          <w:noProof/>
          <w:sz w:val="18"/>
          <w:szCs w:val="18"/>
          <w:lang w:val="es-ES"/>
        </w:rPr>
        <w:t xml:space="preserve">Tabla </w:t>
      </w:r>
      <w:r w:rsidR="007B5587" w:rsidRPr="00232EBB">
        <w:rPr>
          <w:rFonts w:eastAsia="Calibri"/>
          <w:b/>
          <w:bCs/>
          <w:noProof/>
          <w:sz w:val="18"/>
          <w:szCs w:val="18"/>
          <w:lang w:val="es-ES"/>
        </w:rPr>
        <w:t>7</w:t>
      </w:r>
      <w:r w:rsidRPr="00232EBB">
        <w:rPr>
          <w:rFonts w:eastAsia="Calibri"/>
          <w:b/>
          <w:bCs/>
          <w:noProof/>
          <w:sz w:val="18"/>
          <w:szCs w:val="18"/>
          <w:lang w:val="es-ES"/>
        </w:rPr>
        <w:t xml:space="preserve">: </w:t>
      </w:r>
      <w:r w:rsidRPr="00232EBB">
        <w:rPr>
          <w:rFonts w:eastAsia="Calibri"/>
          <w:noProof/>
          <w:sz w:val="18"/>
          <w:szCs w:val="18"/>
          <w:lang w:val="es-ES"/>
        </w:rPr>
        <w:t>Aportes Planes Especiales Transitorios de Servicios de Salud Pensionados y Jubilados enero-</w:t>
      </w:r>
      <w:r w:rsidR="00EE021A" w:rsidRPr="00232EBB">
        <w:rPr>
          <w:rFonts w:eastAsia="Calibri"/>
          <w:noProof/>
          <w:sz w:val="18"/>
          <w:szCs w:val="18"/>
          <w:lang w:val="es-ES"/>
        </w:rPr>
        <w:t>dic</w:t>
      </w:r>
      <w:r w:rsidR="00413FED" w:rsidRPr="00232EBB">
        <w:rPr>
          <w:rFonts w:eastAsia="Calibri"/>
          <w:noProof/>
          <w:sz w:val="18"/>
          <w:szCs w:val="18"/>
          <w:lang w:val="es-ES"/>
        </w:rPr>
        <w:t>iem</w:t>
      </w:r>
      <w:r w:rsidRPr="00232EBB">
        <w:rPr>
          <w:rFonts w:eastAsia="Calibri"/>
          <w:noProof/>
          <w:sz w:val="18"/>
          <w:szCs w:val="18"/>
          <w:lang w:val="es-ES"/>
        </w:rPr>
        <w:t>bre 202</w:t>
      </w:r>
      <w:r w:rsidR="00413FED" w:rsidRPr="00232EBB">
        <w:rPr>
          <w:rFonts w:eastAsia="Calibri"/>
          <w:noProof/>
          <w:sz w:val="18"/>
          <w:szCs w:val="18"/>
          <w:lang w:val="es-ES"/>
        </w:rPr>
        <w:t>5</w:t>
      </w:r>
      <w:r w:rsidRPr="00232EBB">
        <w:rPr>
          <w:rFonts w:eastAsia="Calibri"/>
          <w:noProof/>
          <w:sz w:val="18"/>
          <w:szCs w:val="18"/>
          <w:lang w:val="es-ES"/>
        </w:rPr>
        <w:t>.</w:t>
      </w:r>
    </w:p>
    <w:p w14:paraId="2E202AAF" w14:textId="77777777" w:rsidR="00041B32" w:rsidRPr="00232EBB" w:rsidRDefault="00041B32" w:rsidP="00041B32">
      <w:pPr>
        <w:spacing w:line="360" w:lineRule="auto"/>
        <w:jc w:val="both"/>
        <w:rPr>
          <w:rFonts w:eastAsia="Calibri"/>
          <w:noProof/>
          <w:lang w:val="es-DO"/>
        </w:rPr>
      </w:pPr>
      <w:r w:rsidRPr="00232EBB">
        <w:rPr>
          <w:rFonts w:eastAsia="Calibri"/>
          <w:noProof/>
          <w:lang w:val="es-DO"/>
        </w:rPr>
        <w:t>Pagos Planes Especiales Transitorios de Servicios de Salud Pensionados y Jubilados:</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936"/>
        <w:gridCol w:w="1936"/>
        <w:gridCol w:w="1936"/>
        <w:gridCol w:w="1751"/>
      </w:tblGrid>
      <w:tr w:rsidR="00041B32" w:rsidRPr="00232EBB" w14:paraId="350EBEDC" w14:textId="77777777" w:rsidTr="00DB2512">
        <w:trPr>
          <w:trHeight w:val="341"/>
          <w:tblHeader/>
          <w:jc w:val="center"/>
        </w:trPr>
        <w:tc>
          <w:tcPr>
            <w:tcW w:w="1436" w:type="dxa"/>
            <w:shd w:val="clear" w:color="000000" w:fill="1F3864"/>
            <w:vAlign w:val="center"/>
            <w:hideMark/>
          </w:tcPr>
          <w:p w14:paraId="7806E3B0" w14:textId="77777777" w:rsidR="00041B32" w:rsidRPr="00232EBB" w:rsidRDefault="00041B32">
            <w:pPr>
              <w:spacing w:after="0" w:line="240" w:lineRule="auto"/>
              <w:jc w:val="center"/>
              <w:rPr>
                <w:rFonts w:eastAsia="Times New Roman"/>
                <w:b/>
                <w:bCs/>
                <w:color w:val="FFFFFF" w:themeColor="background1"/>
                <w:spacing w:val="0"/>
                <w:sz w:val="20"/>
                <w:szCs w:val="20"/>
                <w:lang w:val="es-ES"/>
              </w:rPr>
            </w:pPr>
            <w:r w:rsidRPr="00232EBB">
              <w:rPr>
                <w:rFonts w:eastAsia="Times New Roman"/>
                <w:b/>
                <w:bCs/>
                <w:color w:val="FFFFFF" w:themeColor="background1"/>
                <w:spacing w:val="0"/>
                <w:sz w:val="20"/>
                <w:szCs w:val="20"/>
                <w:lang w:val="es-ES"/>
              </w:rPr>
              <w:t>Detalles</w:t>
            </w:r>
          </w:p>
        </w:tc>
        <w:tc>
          <w:tcPr>
            <w:tcW w:w="1936" w:type="dxa"/>
            <w:shd w:val="clear" w:color="000000" w:fill="1F3864"/>
            <w:vAlign w:val="center"/>
            <w:hideMark/>
          </w:tcPr>
          <w:p w14:paraId="3B59C05D" w14:textId="1C14467F" w:rsidR="00041B32" w:rsidRPr="00232EBB" w:rsidRDefault="00041B32">
            <w:pPr>
              <w:spacing w:after="0" w:line="240" w:lineRule="auto"/>
              <w:jc w:val="center"/>
              <w:rPr>
                <w:rFonts w:eastAsia="Times New Roman"/>
                <w:b/>
                <w:bCs/>
                <w:color w:val="FFFFFF" w:themeColor="background1"/>
                <w:spacing w:val="0"/>
                <w:sz w:val="20"/>
                <w:szCs w:val="20"/>
                <w:lang w:val="es-ES"/>
              </w:rPr>
            </w:pPr>
            <w:r w:rsidRPr="00232EBB">
              <w:rPr>
                <w:rFonts w:eastAsia="Times New Roman"/>
                <w:b/>
                <w:bCs/>
                <w:color w:val="FFFFFF" w:themeColor="background1"/>
                <w:spacing w:val="0"/>
                <w:sz w:val="20"/>
                <w:szCs w:val="20"/>
                <w:lang w:val="es-ES"/>
              </w:rPr>
              <w:t>202</w:t>
            </w:r>
            <w:r w:rsidR="00413FED" w:rsidRPr="00232EBB">
              <w:rPr>
                <w:rFonts w:eastAsia="Times New Roman"/>
                <w:b/>
                <w:bCs/>
                <w:color w:val="FFFFFF" w:themeColor="background1"/>
                <w:spacing w:val="0"/>
                <w:sz w:val="20"/>
                <w:szCs w:val="20"/>
                <w:lang w:val="es-ES"/>
              </w:rPr>
              <w:t>5</w:t>
            </w:r>
          </w:p>
        </w:tc>
        <w:tc>
          <w:tcPr>
            <w:tcW w:w="1936" w:type="dxa"/>
            <w:shd w:val="clear" w:color="000000" w:fill="1F3864"/>
            <w:vAlign w:val="center"/>
            <w:hideMark/>
          </w:tcPr>
          <w:p w14:paraId="7D357923" w14:textId="6B566310" w:rsidR="00041B32" w:rsidRPr="00232EBB" w:rsidRDefault="00041B32">
            <w:pPr>
              <w:spacing w:after="0" w:line="240" w:lineRule="auto"/>
              <w:jc w:val="center"/>
              <w:rPr>
                <w:rFonts w:eastAsia="Times New Roman"/>
                <w:b/>
                <w:bCs/>
                <w:color w:val="FFFFFF" w:themeColor="background1"/>
                <w:spacing w:val="0"/>
                <w:sz w:val="20"/>
                <w:szCs w:val="20"/>
                <w:lang w:val="es-ES"/>
              </w:rPr>
            </w:pPr>
            <w:r w:rsidRPr="00232EBB">
              <w:rPr>
                <w:rFonts w:eastAsia="Times New Roman"/>
                <w:b/>
                <w:bCs/>
                <w:color w:val="FFFFFF" w:themeColor="background1"/>
                <w:spacing w:val="0"/>
                <w:sz w:val="20"/>
                <w:szCs w:val="20"/>
                <w:lang w:val="es-ES"/>
              </w:rPr>
              <w:t>202</w:t>
            </w:r>
            <w:r w:rsidR="00413FED" w:rsidRPr="00232EBB">
              <w:rPr>
                <w:rFonts w:eastAsia="Times New Roman"/>
                <w:b/>
                <w:bCs/>
                <w:color w:val="FFFFFF" w:themeColor="background1"/>
                <w:spacing w:val="0"/>
                <w:sz w:val="20"/>
                <w:szCs w:val="20"/>
                <w:lang w:val="es-ES"/>
              </w:rPr>
              <w:t>4</w:t>
            </w:r>
          </w:p>
        </w:tc>
        <w:tc>
          <w:tcPr>
            <w:tcW w:w="1936" w:type="dxa"/>
            <w:shd w:val="clear" w:color="000000" w:fill="1F3864"/>
            <w:vAlign w:val="center"/>
            <w:hideMark/>
          </w:tcPr>
          <w:p w14:paraId="07752D41" w14:textId="77777777" w:rsidR="00041B32" w:rsidRPr="00232EBB" w:rsidRDefault="00041B32">
            <w:pPr>
              <w:spacing w:after="0" w:line="240" w:lineRule="auto"/>
              <w:jc w:val="center"/>
              <w:rPr>
                <w:rFonts w:eastAsia="Times New Roman"/>
                <w:b/>
                <w:bCs/>
                <w:color w:val="FFFFFF" w:themeColor="background1"/>
                <w:spacing w:val="0"/>
                <w:sz w:val="20"/>
                <w:szCs w:val="20"/>
                <w:lang w:val="es-ES"/>
              </w:rPr>
            </w:pPr>
            <w:r w:rsidRPr="00232EBB">
              <w:rPr>
                <w:rFonts w:eastAsia="Times New Roman"/>
                <w:b/>
                <w:bCs/>
                <w:color w:val="FFFFFF" w:themeColor="background1"/>
                <w:spacing w:val="0"/>
                <w:sz w:val="20"/>
                <w:szCs w:val="20"/>
                <w:lang w:val="es-ES"/>
              </w:rPr>
              <w:t>Variación</w:t>
            </w:r>
          </w:p>
        </w:tc>
        <w:tc>
          <w:tcPr>
            <w:tcW w:w="1751" w:type="dxa"/>
            <w:shd w:val="clear" w:color="000000" w:fill="1F3864"/>
            <w:vAlign w:val="center"/>
            <w:hideMark/>
          </w:tcPr>
          <w:p w14:paraId="3555BBB4" w14:textId="77777777" w:rsidR="00041B32" w:rsidRPr="00232EBB" w:rsidRDefault="00041B32">
            <w:pPr>
              <w:spacing w:after="0" w:line="240" w:lineRule="auto"/>
              <w:jc w:val="center"/>
              <w:rPr>
                <w:rFonts w:eastAsia="Times New Roman"/>
                <w:b/>
                <w:bCs/>
                <w:color w:val="FFFFFF" w:themeColor="background1"/>
                <w:spacing w:val="0"/>
                <w:sz w:val="20"/>
                <w:szCs w:val="20"/>
                <w:lang w:val="es-ES"/>
              </w:rPr>
            </w:pPr>
            <w:r w:rsidRPr="00232EBB">
              <w:rPr>
                <w:rFonts w:eastAsia="Times New Roman"/>
                <w:b/>
                <w:bCs/>
                <w:color w:val="FFFFFF" w:themeColor="background1"/>
                <w:spacing w:val="0"/>
                <w:sz w:val="20"/>
                <w:szCs w:val="20"/>
                <w:lang w:val="es-ES"/>
              </w:rPr>
              <w:t>%</w:t>
            </w:r>
          </w:p>
        </w:tc>
      </w:tr>
      <w:tr w:rsidR="00EE021A" w:rsidRPr="00232EBB" w14:paraId="2215290F" w14:textId="77777777" w:rsidTr="00822846">
        <w:trPr>
          <w:trHeight w:val="443"/>
          <w:jc w:val="center"/>
        </w:trPr>
        <w:tc>
          <w:tcPr>
            <w:tcW w:w="1436" w:type="dxa"/>
            <w:vAlign w:val="center"/>
            <w:hideMark/>
          </w:tcPr>
          <w:p w14:paraId="11BCC8EE" w14:textId="77777777" w:rsidR="00EE021A" w:rsidRPr="00232EBB" w:rsidRDefault="00EE021A" w:rsidP="00EE021A">
            <w:pPr>
              <w:spacing w:after="0" w:line="240" w:lineRule="auto"/>
              <w:jc w:val="center"/>
              <w:rPr>
                <w:rFonts w:eastAsia="Calibri"/>
                <w:noProof/>
                <w:sz w:val="20"/>
                <w:szCs w:val="20"/>
                <w:lang w:val="es-ES"/>
              </w:rPr>
            </w:pPr>
            <w:r w:rsidRPr="00232EBB">
              <w:rPr>
                <w:rFonts w:eastAsia="Calibri"/>
                <w:noProof/>
                <w:sz w:val="20"/>
                <w:szCs w:val="20"/>
                <w:lang w:val="es-ES"/>
              </w:rPr>
              <w:t>Pensionados y Jubilados FFAA</w:t>
            </w:r>
          </w:p>
        </w:tc>
        <w:tc>
          <w:tcPr>
            <w:tcW w:w="1936" w:type="dxa"/>
            <w:noWrap/>
            <w:vAlign w:val="center"/>
          </w:tcPr>
          <w:p w14:paraId="1274FF1F" w14:textId="28A4A7E5" w:rsidR="00EE021A" w:rsidRPr="00232EBB" w:rsidRDefault="00EE021A" w:rsidP="00822846">
            <w:pPr>
              <w:spacing w:after="0" w:line="240" w:lineRule="auto"/>
              <w:jc w:val="center"/>
              <w:rPr>
                <w:rFonts w:eastAsia="Calibri"/>
                <w:noProof/>
                <w:sz w:val="20"/>
                <w:szCs w:val="20"/>
                <w:lang w:val="es-ES"/>
              </w:rPr>
            </w:pPr>
            <w:r w:rsidRPr="00232EBB">
              <w:rPr>
                <w:sz w:val="20"/>
                <w:szCs w:val="20"/>
              </w:rPr>
              <w:t>804,502,139.40</w:t>
            </w:r>
          </w:p>
        </w:tc>
        <w:tc>
          <w:tcPr>
            <w:tcW w:w="1936" w:type="dxa"/>
            <w:noWrap/>
            <w:vAlign w:val="center"/>
          </w:tcPr>
          <w:p w14:paraId="2D6C05A1" w14:textId="0CA64846" w:rsidR="00EE021A" w:rsidRPr="00232EBB" w:rsidRDefault="00EE021A" w:rsidP="00822846">
            <w:pPr>
              <w:spacing w:after="0" w:line="240" w:lineRule="auto"/>
              <w:jc w:val="center"/>
              <w:rPr>
                <w:rFonts w:eastAsia="Calibri"/>
                <w:noProof/>
                <w:sz w:val="20"/>
                <w:szCs w:val="20"/>
                <w:lang w:val="es-ES"/>
              </w:rPr>
            </w:pPr>
            <w:r w:rsidRPr="00232EBB">
              <w:rPr>
                <w:sz w:val="20"/>
                <w:szCs w:val="20"/>
              </w:rPr>
              <w:t>516,696,342.08</w:t>
            </w:r>
          </w:p>
        </w:tc>
        <w:tc>
          <w:tcPr>
            <w:tcW w:w="1936" w:type="dxa"/>
            <w:noWrap/>
            <w:vAlign w:val="center"/>
          </w:tcPr>
          <w:p w14:paraId="2420C243" w14:textId="4BCEE0D6" w:rsidR="00EE021A" w:rsidRPr="00232EBB" w:rsidRDefault="00EE021A" w:rsidP="00822846">
            <w:pPr>
              <w:spacing w:after="0" w:line="240" w:lineRule="auto"/>
              <w:jc w:val="center"/>
              <w:rPr>
                <w:rFonts w:eastAsia="Calibri"/>
                <w:noProof/>
                <w:sz w:val="20"/>
                <w:szCs w:val="20"/>
                <w:lang w:val="es-ES"/>
              </w:rPr>
            </w:pPr>
            <w:r w:rsidRPr="00232EBB">
              <w:rPr>
                <w:sz w:val="20"/>
                <w:szCs w:val="20"/>
              </w:rPr>
              <w:t>287,805,797.32</w:t>
            </w:r>
          </w:p>
        </w:tc>
        <w:tc>
          <w:tcPr>
            <w:tcW w:w="1751" w:type="dxa"/>
            <w:noWrap/>
            <w:vAlign w:val="center"/>
          </w:tcPr>
          <w:p w14:paraId="17C956D7" w14:textId="58FF3619" w:rsidR="00EE021A" w:rsidRPr="00232EBB" w:rsidRDefault="00EE021A" w:rsidP="00822846">
            <w:pPr>
              <w:spacing w:after="0" w:line="240" w:lineRule="auto"/>
              <w:jc w:val="center"/>
              <w:rPr>
                <w:rFonts w:eastAsia="Calibri"/>
                <w:noProof/>
                <w:sz w:val="20"/>
                <w:szCs w:val="20"/>
                <w:lang w:val="es-ES"/>
              </w:rPr>
            </w:pPr>
            <w:r w:rsidRPr="00232EBB">
              <w:rPr>
                <w:sz w:val="20"/>
                <w:szCs w:val="20"/>
              </w:rPr>
              <w:t>55.70%</w:t>
            </w:r>
          </w:p>
        </w:tc>
      </w:tr>
      <w:tr w:rsidR="00EE021A" w:rsidRPr="00232EBB" w14:paraId="2A84E6B7" w14:textId="77777777" w:rsidTr="00822846">
        <w:trPr>
          <w:trHeight w:val="443"/>
          <w:jc w:val="center"/>
        </w:trPr>
        <w:tc>
          <w:tcPr>
            <w:tcW w:w="1436" w:type="dxa"/>
            <w:vAlign w:val="center"/>
            <w:hideMark/>
          </w:tcPr>
          <w:p w14:paraId="20D4EBB5" w14:textId="77777777" w:rsidR="00EE021A" w:rsidRPr="00232EBB" w:rsidRDefault="00EE021A" w:rsidP="00EE021A">
            <w:pPr>
              <w:spacing w:after="0" w:line="240" w:lineRule="auto"/>
              <w:jc w:val="center"/>
              <w:rPr>
                <w:rFonts w:eastAsia="Calibri"/>
                <w:noProof/>
                <w:sz w:val="20"/>
                <w:szCs w:val="20"/>
                <w:lang w:val="es-ES"/>
              </w:rPr>
            </w:pPr>
            <w:r w:rsidRPr="00232EBB">
              <w:rPr>
                <w:rFonts w:eastAsia="Calibri"/>
                <w:noProof/>
                <w:sz w:val="20"/>
                <w:szCs w:val="20"/>
                <w:lang w:val="es-ES"/>
              </w:rPr>
              <w:t>Pensionados y Jubilados Sector Salud</w:t>
            </w:r>
          </w:p>
        </w:tc>
        <w:tc>
          <w:tcPr>
            <w:tcW w:w="1936" w:type="dxa"/>
            <w:noWrap/>
            <w:vAlign w:val="center"/>
          </w:tcPr>
          <w:p w14:paraId="23634EA1" w14:textId="13D97B73" w:rsidR="00EE021A" w:rsidRPr="00232EBB" w:rsidRDefault="00EE021A" w:rsidP="00822846">
            <w:pPr>
              <w:spacing w:after="0" w:line="240" w:lineRule="auto"/>
              <w:jc w:val="center"/>
              <w:rPr>
                <w:rFonts w:eastAsia="Calibri"/>
                <w:noProof/>
                <w:sz w:val="20"/>
                <w:szCs w:val="20"/>
                <w:lang w:val="es-ES"/>
              </w:rPr>
            </w:pPr>
            <w:r w:rsidRPr="00232EBB">
              <w:rPr>
                <w:sz w:val="20"/>
                <w:szCs w:val="20"/>
              </w:rPr>
              <w:t>228,585,146.70</w:t>
            </w:r>
          </w:p>
        </w:tc>
        <w:tc>
          <w:tcPr>
            <w:tcW w:w="1936" w:type="dxa"/>
            <w:noWrap/>
            <w:vAlign w:val="center"/>
          </w:tcPr>
          <w:p w14:paraId="33CC4218" w14:textId="515171AA" w:rsidR="00EE021A" w:rsidRPr="00232EBB" w:rsidRDefault="00EE021A" w:rsidP="00822846">
            <w:pPr>
              <w:spacing w:after="0" w:line="240" w:lineRule="auto"/>
              <w:jc w:val="center"/>
              <w:rPr>
                <w:rFonts w:eastAsia="Calibri"/>
                <w:noProof/>
                <w:sz w:val="20"/>
                <w:szCs w:val="20"/>
                <w:lang w:val="es-ES"/>
              </w:rPr>
            </w:pPr>
            <w:r w:rsidRPr="00232EBB">
              <w:rPr>
                <w:sz w:val="20"/>
                <w:szCs w:val="20"/>
              </w:rPr>
              <w:t>157,452,735.88</w:t>
            </w:r>
          </w:p>
        </w:tc>
        <w:tc>
          <w:tcPr>
            <w:tcW w:w="1936" w:type="dxa"/>
            <w:noWrap/>
            <w:vAlign w:val="center"/>
          </w:tcPr>
          <w:p w14:paraId="3E1050C3" w14:textId="70A3E08B" w:rsidR="00EE021A" w:rsidRPr="00232EBB" w:rsidRDefault="00EE021A" w:rsidP="00822846">
            <w:pPr>
              <w:spacing w:after="0" w:line="240" w:lineRule="auto"/>
              <w:jc w:val="center"/>
              <w:rPr>
                <w:rFonts w:eastAsia="Calibri"/>
                <w:noProof/>
                <w:sz w:val="20"/>
                <w:szCs w:val="20"/>
                <w:lang w:val="es-ES"/>
              </w:rPr>
            </w:pPr>
            <w:r w:rsidRPr="00232EBB">
              <w:rPr>
                <w:sz w:val="20"/>
                <w:szCs w:val="20"/>
              </w:rPr>
              <w:t>71,132,410.82</w:t>
            </w:r>
          </w:p>
        </w:tc>
        <w:tc>
          <w:tcPr>
            <w:tcW w:w="1751" w:type="dxa"/>
            <w:noWrap/>
            <w:vAlign w:val="center"/>
          </w:tcPr>
          <w:p w14:paraId="12F70B9B" w14:textId="095084A4" w:rsidR="00EE021A" w:rsidRPr="00232EBB" w:rsidRDefault="00EE021A" w:rsidP="00822846">
            <w:pPr>
              <w:spacing w:after="0" w:line="240" w:lineRule="auto"/>
              <w:jc w:val="center"/>
              <w:rPr>
                <w:rFonts w:eastAsia="Calibri"/>
                <w:noProof/>
                <w:sz w:val="20"/>
                <w:szCs w:val="20"/>
                <w:lang w:val="es-ES"/>
              </w:rPr>
            </w:pPr>
            <w:r w:rsidRPr="00232EBB">
              <w:rPr>
                <w:sz w:val="20"/>
                <w:szCs w:val="20"/>
              </w:rPr>
              <w:t>45.18%</w:t>
            </w:r>
          </w:p>
        </w:tc>
      </w:tr>
      <w:tr w:rsidR="00EE021A" w:rsidRPr="00232EBB" w14:paraId="120DAB5E" w14:textId="77777777" w:rsidTr="00822846">
        <w:trPr>
          <w:trHeight w:val="443"/>
          <w:jc w:val="center"/>
        </w:trPr>
        <w:tc>
          <w:tcPr>
            <w:tcW w:w="1436" w:type="dxa"/>
            <w:vAlign w:val="center"/>
            <w:hideMark/>
          </w:tcPr>
          <w:p w14:paraId="4793D72B" w14:textId="77777777" w:rsidR="00EE021A" w:rsidRPr="00232EBB" w:rsidRDefault="00EE021A" w:rsidP="00EE021A">
            <w:pPr>
              <w:spacing w:after="0" w:line="240" w:lineRule="auto"/>
              <w:jc w:val="center"/>
              <w:rPr>
                <w:rFonts w:eastAsia="Calibri"/>
                <w:noProof/>
                <w:sz w:val="20"/>
                <w:szCs w:val="20"/>
                <w:lang w:val="es-ES"/>
              </w:rPr>
            </w:pPr>
            <w:r w:rsidRPr="00232EBB">
              <w:rPr>
                <w:rFonts w:eastAsia="Calibri"/>
                <w:noProof/>
                <w:sz w:val="20"/>
                <w:szCs w:val="20"/>
                <w:lang w:val="es-ES"/>
              </w:rPr>
              <w:t>Pensionados y Jubilados PN.</w:t>
            </w:r>
          </w:p>
        </w:tc>
        <w:tc>
          <w:tcPr>
            <w:tcW w:w="1936" w:type="dxa"/>
            <w:noWrap/>
            <w:vAlign w:val="center"/>
          </w:tcPr>
          <w:p w14:paraId="0DB25A8D" w14:textId="3C458B7A" w:rsidR="00EE021A" w:rsidRPr="00232EBB" w:rsidRDefault="00EE021A" w:rsidP="00822846">
            <w:pPr>
              <w:spacing w:after="0" w:line="240" w:lineRule="auto"/>
              <w:jc w:val="center"/>
              <w:rPr>
                <w:rFonts w:eastAsia="Calibri"/>
                <w:noProof/>
                <w:sz w:val="20"/>
                <w:szCs w:val="20"/>
                <w:lang w:val="es-ES"/>
              </w:rPr>
            </w:pPr>
            <w:r w:rsidRPr="00232EBB">
              <w:rPr>
                <w:sz w:val="20"/>
                <w:szCs w:val="20"/>
              </w:rPr>
              <w:t>733,253,438.05</w:t>
            </w:r>
          </w:p>
        </w:tc>
        <w:tc>
          <w:tcPr>
            <w:tcW w:w="1936" w:type="dxa"/>
            <w:noWrap/>
            <w:vAlign w:val="center"/>
          </w:tcPr>
          <w:p w14:paraId="0E48831B" w14:textId="71F846F6" w:rsidR="00EE021A" w:rsidRPr="00232EBB" w:rsidRDefault="00EE021A" w:rsidP="00822846">
            <w:pPr>
              <w:spacing w:after="0" w:line="240" w:lineRule="auto"/>
              <w:jc w:val="center"/>
              <w:rPr>
                <w:rFonts w:eastAsia="Calibri"/>
                <w:noProof/>
                <w:sz w:val="20"/>
                <w:szCs w:val="20"/>
                <w:lang w:val="es-ES"/>
              </w:rPr>
            </w:pPr>
            <w:r w:rsidRPr="00232EBB">
              <w:rPr>
                <w:sz w:val="20"/>
                <w:szCs w:val="20"/>
              </w:rPr>
              <w:t>530,108,232.09</w:t>
            </w:r>
          </w:p>
        </w:tc>
        <w:tc>
          <w:tcPr>
            <w:tcW w:w="1936" w:type="dxa"/>
            <w:noWrap/>
            <w:vAlign w:val="center"/>
          </w:tcPr>
          <w:p w14:paraId="0EDA58E9" w14:textId="65406B0F" w:rsidR="00EE021A" w:rsidRPr="00232EBB" w:rsidRDefault="00EE021A" w:rsidP="00822846">
            <w:pPr>
              <w:spacing w:after="0" w:line="240" w:lineRule="auto"/>
              <w:jc w:val="center"/>
              <w:rPr>
                <w:rFonts w:eastAsia="Calibri"/>
                <w:noProof/>
                <w:sz w:val="20"/>
                <w:szCs w:val="20"/>
                <w:lang w:val="es-ES"/>
              </w:rPr>
            </w:pPr>
            <w:r w:rsidRPr="00232EBB">
              <w:rPr>
                <w:sz w:val="20"/>
                <w:szCs w:val="20"/>
              </w:rPr>
              <w:t>203,145,205.96</w:t>
            </w:r>
          </w:p>
        </w:tc>
        <w:tc>
          <w:tcPr>
            <w:tcW w:w="1751" w:type="dxa"/>
            <w:noWrap/>
            <w:vAlign w:val="center"/>
          </w:tcPr>
          <w:p w14:paraId="69919BAA" w14:textId="143879E4" w:rsidR="00EE021A" w:rsidRPr="00232EBB" w:rsidRDefault="00EE021A" w:rsidP="00822846">
            <w:pPr>
              <w:spacing w:after="0" w:line="240" w:lineRule="auto"/>
              <w:jc w:val="center"/>
              <w:rPr>
                <w:rFonts w:eastAsia="Calibri"/>
                <w:noProof/>
                <w:sz w:val="20"/>
                <w:szCs w:val="20"/>
                <w:lang w:val="es-ES"/>
              </w:rPr>
            </w:pPr>
            <w:r w:rsidRPr="00232EBB">
              <w:rPr>
                <w:sz w:val="20"/>
                <w:szCs w:val="20"/>
              </w:rPr>
              <w:t>38.32%</w:t>
            </w:r>
          </w:p>
        </w:tc>
      </w:tr>
      <w:tr w:rsidR="00EE021A" w:rsidRPr="00232EBB" w14:paraId="293D0B43" w14:textId="77777777" w:rsidTr="00822846">
        <w:trPr>
          <w:trHeight w:val="661"/>
          <w:jc w:val="center"/>
        </w:trPr>
        <w:tc>
          <w:tcPr>
            <w:tcW w:w="1436" w:type="dxa"/>
            <w:vAlign w:val="center"/>
            <w:hideMark/>
          </w:tcPr>
          <w:p w14:paraId="3173EA20" w14:textId="77777777" w:rsidR="00EE021A" w:rsidRPr="00232EBB" w:rsidRDefault="00EE021A" w:rsidP="00EE021A">
            <w:pPr>
              <w:spacing w:after="0" w:line="240" w:lineRule="auto"/>
              <w:jc w:val="center"/>
              <w:rPr>
                <w:rFonts w:eastAsia="Calibri"/>
                <w:noProof/>
                <w:sz w:val="20"/>
                <w:szCs w:val="20"/>
                <w:lang w:val="es-ES"/>
              </w:rPr>
            </w:pPr>
            <w:r w:rsidRPr="00232EBB">
              <w:rPr>
                <w:rFonts w:eastAsia="Calibri"/>
                <w:noProof/>
                <w:sz w:val="20"/>
                <w:szCs w:val="20"/>
                <w:lang w:val="es-ES"/>
              </w:rPr>
              <w:t>Pensionados Y Jubilados de Hacienda (Decreto 342-09)</w:t>
            </w:r>
          </w:p>
        </w:tc>
        <w:tc>
          <w:tcPr>
            <w:tcW w:w="1936" w:type="dxa"/>
            <w:noWrap/>
            <w:vAlign w:val="center"/>
          </w:tcPr>
          <w:p w14:paraId="46E99136" w14:textId="4801718B" w:rsidR="00EE021A" w:rsidRPr="00232EBB" w:rsidRDefault="00EE021A" w:rsidP="00822846">
            <w:pPr>
              <w:spacing w:after="0" w:line="240" w:lineRule="auto"/>
              <w:jc w:val="center"/>
              <w:rPr>
                <w:rFonts w:eastAsia="Calibri"/>
                <w:noProof/>
                <w:sz w:val="20"/>
                <w:szCs w:val="20"/>
                <w:lang w:val="es-ES"/>
              </w:rPr>
            </w:pPr>
            <w:r w:rsidRPr="00232EBB">
              <w:rPr>
                <w:sz w:val="20"/>
                <w:szCs w:val="20"/>
              </w:rPr>
              <w:t>608,300,548.95</w:t>
            </w:r>
          </w:p>
        </w:tc>
        <w:tc>
          <w:tcPr>
            <w:tcW w:w="1936" w:type="dxa"/>
            <w:noWrap/>
            <w:vAlign w:val="center"/>
          </w:tcPr>
          <w:p w14:paraId="09749851" w14:textId="5F2B9EBD" w:rsidR="00EE021A" w:rsidRPr="00232EBB" w:rsidRDefault="00EE021A" w:rsidP="00822846">
            <w:pPr>
              <w:spacing w:after="0" w:line="240" w:lineRule="auto"/>
              <w:jc w:val="center"/>
              <w:rPr>
                <w:rFonts w:eastAsia="Calibri"/>
                <w:noProof/>
                <w:sz w:val="20"/>
                <w:szCs w:val="20"/>
                <w:lang w:val="es-ES"/>
              </w:rPr>
            </w:pPr>
            <w:r w:rsidRPr="00232EBB">
              <w:rPr>
                <w:sz w:val="20"/>
                <w:szCs w:val="20"/>
              </w:rPr>
              <w:t>377,404,196.35</w:t>
            </w:r>
          </w:p>
        </w:tc>
        <w:tc>
          <w:tcPr>
            <w:tcW w:w="1936" w:type="dxa"/>
            <w:noWrap/>
            <w:vAlign w:val="center"/>
          </w:tcPr>
          <w:p w14:paraId="59040AC7" w14:textId="68815C21" w:rsidR="00EE021A" w:rsidRPr="00232EBB" w:rsidRDefault="00EE021A" w:rsidP="00822846">
            <w:pPr>
              <w:spacing w:after="0" w:line="240" w:lineRule="auto"/>
              <w:jc w:val="center"/>
              <w:rPr>
                <w:rFonts w:eastAsia="Calibri"/>
                <w:noProof/>
                <w:sz w:val="20"/>
                <w:szCs w:val="20"/>
                <w:lang w:val="es-ES"/>
              </w:rPr>
            </w:pPr>
            <w:r w:rsidRPr="00232EBB">
              <w:rPr>
                <w:sz w:val="20"/>
                <w:szCs w:val="20"/>
              </w:rPr>
              <w:t>230,896,352.60</w:t>
            </w:r>
          </w:p>
        </w:tc>
        <w:tc>
          <w:tcPr>
            <w:tcW w:w="1751" w:type="dxa"/>
            <w:noWrap/>
            <w:vAlign w:val="center"/>
          </w:tcPr>
          <w:p w14:paraId="0B1E6CB5" w14:textId="4B8CA049" w:rsidR="00EE021A" w:rsidRPr="00232EBB" w:rsidRDefault="00EE021A" w:rsidP="00822846">
            <w:pPr>
              <w:spacing w:after="0" w:line="240" w:lineRule="auto"/>
              <w:jc w:val="center"/>
              <w:rPr>
                <w:rFonts w:eastAsia="Calibri"/>
                <w:noProof/>
                <w:sz w:val="20"/>
                <w:szCs w:val="20"/>
                <w:lang w:val="es-ES"/>
              </w:rPr>
            </w:pPr>
            <w:r w:rsidRPr="00232EBB">
              <w:rPr>
                <w:sz w:val="20"/>
                <w:szCs w:val="20"/>
              </w:rPr>
              <w:t>61.18%</w:t>
            </w:r>
          </w:p>
        </w:tc>
      </w:tr>
      <w:tr w:rsidR="00EE021A" w:rsidRPr="00232EBB" w14:paraId="2FCDF695" w14:textId="77777777" w:rsidTr="00822846">
        <w:trPr>
          <w:trHeight w:val="661"/>
          <w:jc w:val="center"/>
        </w:trPr>
        <w:tc>
          <w:tcPr>
            <w:tcW w:w="1436" w:type="dxa"/>
            <w:vAlign w:val="center"/>
            <w:hideMark/>
          </w:tcPr>
          <w:p w14:paraId="25E5C2F6" w14:textId="77777777" w:rsidR="00EE021A" w:rsidRPr="00232EBB" w:rsidRDefault="00EE021A" w:rsidP="00EE021A">
            <w:pPr>
              <w:spacing w:after="0" w:line="240" w:lineRule="auto"/>
              <w:jc w:val="center"/>
              <w:rPr>
                <w:rFonts w:eastAsia="Calibri"/>
                <w:noProof/>
                <w:sz w:val="20"/>
                <w:szCs w:val="20"/>
                <w:lang w:val="es-ES"/>
              </w:rPr>
            </w:pPr>
            <w:r w:rsidRPr="00232EBB">
              <w:rPr>
                <w:rFonts w:eastAsia="Calibri"/>
                <w:noProof/>
                <w:sz w:val="20"/>
                <w:szCs w:val="20"/>
                <w:lang w:val="es-ES"/>
              </w:rPr>
              <w:t>Pensionados y Jubilados del Estado (Decreto 18-19)</w:t>
            </w:r>
          </w:p>
        </w:tc>
        <w:tc>
          <w:tcPr>
            <w:tcW w:w="1936" w:type="dxa"/>
            <w:noWrap/>
            <w:vAlign w:val="center"/>
          </w:tcPr>
          <w:p w14:paraId="7A7524FD" w14:textId="7DFFA032" w:rsidR="00EE021A" w:rsidRPr="00232EBB" w:rsidRDefault="00EE021A" w:rsidP="00822846">
            <w:pPr>
              <w:spacing w:after="0" w:line="240" w:lineRule="auto"/>
              <w:jc w:val="center"/>
              <w:rPr>
                <w:rFonts w:eastAsia="Calibri"/>
                <w:noProof/>
                <w:sz w:val="20"/>
                <w:szCs w:val="20"/>
                <w:lang w:val="es-ES"/>
              </w:rPr>
            </w:pPr>
            <w:r w:rsidRPr="00232EBB">
              <w:rPr>
                <w:sz w:val="20"/>
                <w:szCs w:val="20"/>
              </w:rPr>
              <w:t>797,945,906.08</w:t>
            </w:r>
          </w:p>
        </w:tc>
        <w:tc>
          <w:tcPr>
            <w:tcW w:w="1936" w:type="dxa"/>
            <w:noWrap/>
            <w:vAlign w:val="center"/>
          </w:tcPr>
          <w:p w14:paraId="7B190501" w14:textId="009CEA5A" w:rsidR="00EE021A" w:rsidRPr="00232EBB" w:rsidRDefault="00EE021A" w:rsidP="00822846">
            <w:pPr>
              <w:spacing w:after="0" w:line="240" w:lineRule="auto"/>
              <w:jc w:val="center"/>
              <w:rPr>
                <w:rFonts w:eastAsia="Calibri"/>
                <w:noProof/>
                <w:sz w:val="20"/>
                <w:szCs w:val="20"/>
                <w:lang w:val="es-ES"/>
              </w:rPr>
            </w:pPr>
            <w:r w:rsidRPr="00232EBB">
              <w:rPr>
                <w:sz w:val="20"/>
                <w:szCs w:val="20"/>
              </w:rPr>
              <w:t>486,549,910.34</w:t>
            </w:r>
          </w:p>
        </w:tc>
        <w:tc>
          <w:tcPr>
            <w:tcW w:w="1936" w:type="dxa"/>
            <w:noWrap/>
            <w:vAlign w:val="center"/>
          </w:tcPr>
          <w:p w14:paraId="09E1E463" w14:textId="3F8A40B8" w:rsidR="00EE021A" w:rsidRPr="00232EBB" w:rsidRDefault="00EE021A" w:rsidP="00822846">
            <w:pPr>
              <w:spacing w:after="0" w:line="240" w:lineRule="auto"/>
              <w:jc w:val="center"/>
              <w:rPr>
                <w:rFonts w:eastAsia="Calibri"/>
                <w:noProof/>
                <w:sz w:val="20"/>
                <w:szCs w:val="20"/>
                <w:lang w:val="es-ES"/>
              </w:rPr>
            </w:pPr>
            <w:r w:rsidRPr="00232EBB">
              <w:rPr>
                <w:sz w:val="20"/>
                <w:szCs w:val="20"/>
              </w:rPr>
              <w:t>311,395,995.74</w:t>
            </w:r>
          </w:p>
        </w:tc>
        <w:tc>
          <w:tcPr>
            <w:tcW w:w="1751" w:type="dxa"/>
            <w:noWrap/>
            <w:vAlign w:val="center"/>
          </w:tcPr>
          <w:p w14:paraId="3A036888" w14:textId="2E752E18" w:rsidR="00EE021A" w:rsidRPr="00232EBB" w:rsidRDefault="00EE021A" w:rsidP="00822846">
            <w:pPr>
              <w:spacing w:after="0" w:line="240" w:lineRule="auto"/>
              <w:jc w:val="center"/>
              <w:rPr>
                <w:rFonts w:eastAsia="Calibri"/>
                <w:noProof/>
                <w:sz w:val="20"/>
                <w:szCs w:val="20"/>
                <w:lang w:val="es-ES"/>
              </w:rPr>
            </w:pPr>
            <w:r w:rsidRPr="00232EBB">
              <w:rPr>
                <w:sz w:val="20"/>
                <w:szCs w:val="20"/>
              </w:rPr>
              <w:t>64.00%</w:t>
            </w:r>
          </w:p>
        </w:tc>
      </w:tr>
      <w:tr w:rsidR="00EE021A" w:rsidRPr="00232EBB" w14:paraId="5C9CAF4B" w14:textId="77777777" w:rsidTr="00822846">
        <w:trPr>
          <w:trHeight w:val="476"/>
          <w:jc w:val="center"/>
        </w:trPr>
        <w:tc>
          <w:tcPr>
            <w:tcW w:w="1436" w:type="dxa"/>
            <w:vAlign w:val="center"/>
            <w:hideMark/>
          </w:tcPr>
          <w:p w14:paraId="0B798F6B" w14:textId="58FFAF1D" w:rsidR="00EE021A" w:rsidRPr="00232EBB" w:rsidRDefault="00EE021A" w:rsidP="00EE021A">
            <w:pPr>
              <w:spacing w:after="0" w:line="240" w:lineRule="auto"/>
              <w:jc w:val="center"/>
              <w:rPr>
                <w:rFonts w:eastAsia="Calibri"/>
                <w:b/>
                <w:bCs/>
                <w:noProof/>
                <w:sz w:val="20"/>
                <w:szCs w:val="20"/>
                <w:lang w:val="es-ES"/>
              </w:rPr>
            </w:pPr>
            <w:r w:rsidRPr="00232EBB">
              <w:rPr>
                <w:rFonts w:eastAsia="Calibri"/>
                <w:b/>
                <w:bCs/>
                <w:noProof/>
                <w:sz w:val="20"/>
                <w:szCs w:val="20"/>
                <w:lang w:val="es-ES"/>
              </w:rPr>
              <w:lastRenderedPageBreak/>
              <w:t>TOTALES</w:t>
            </w:r>
          </w:p>
        </w:tc>
        <w:tc>
          <w:tcPr>
            <w:tcW w:w="1936" w:type="dxa"/>
            <w:noWrap/>
            <w:vAlign w:val="center"/>
          </w:tcPr>
          <w:p w14:paraId="517FB4D1" w14:textId="2C1C345F" w:rsidR="00EE021A" w:rsidRPr="00232EBB" w:rsidRDefault="00EE021A" w:rsidP="00822846">
            <w:pPr>
              <w:spacing w:after="0" w:line="240" w:lineRule="auto"/>
              <w:jc w:val="center"/>
              <w:rPr>
                <w:rFonts w:eastAsia="Calibri"/>
                <w:b/>
                <w:bCs/>
                <w:noProof/>
                <w:sz w:val="20"/>
                <w:szCs w:val="20"/>
                <w:lang w:val="es-ES"/>
              </w:rPr>
            </w:pPr>
            <w:r w:rsidRPr="00232EBB">
              <w:rPr>
                <w:sz w:val="20"/>
                <w:szCs w:val="20"/>
              </w:rPr>
              <w:t>3,172,587,179.18</w:t>
            </w:r>
          </w:p>
        </w:tc>
        <w:tc>
          <w:tcPr>
            <w:tcW w:w="1936" w:type="dxa"/>
            <w:noWrap/>
            <w:vAlign w:val="center"/>
          </w:tcPr>
          <w:p w14:paraId="2B489191" w14:textId="34E4583D" w:rsidR="00EE021A" w:rsidRPr="00232EBB" w:rsidRDefault="00EE021A" w:rsidP="00822846">
            <w:pPr>
              <w:spacing w:after="0" w:line="240" w:lineRule="auto"/>
              <w:jc w:val="center"/>
              <w:rPr>
                <w:rFonts w:eastAsia="Calibri"/>
                <w:b/>
                <w:bCs/>
                <w:noProof/>
                <w:sz w:val="20"/>
                <w:szCs w:val="20"/>
                <w:lang w:val="es-ES"/>
              </w:rPr>
            </w:pPr>
            <w:r w:rsidRPr="00232EBB">
              <w:rPr>
                <w:sz w:val="20"/>
                <w:szCs w:val="20"/>
              </w:rPr>
              <w:t>2,068,211,416.74</w:t>
            </w:r>
          </w:p>
        </w:tc>
        <w:tc>
          <w:tcPr>
            <w:tcW w:w="1936" w:type="dxa"/>
            <w:noWrap/>
            <w:vAlign w:val="center"/>
          </w:tcPr>
          <w:p w14:paraId="1A0520C6" w14:textId="768417C3" w:rsidR="00EE021A" w:rsidRPr="00232EBB" w:rsidRDefault="00EE021A" w:rsidP="00822846">
            <w:pPr>
              <w:spacing w:after="0" w:line="240" w:lineRule="auto"/>
              <w:jc w:val="center"/>
              <w:rPr>
                <w:rFonts w:eastAsia="Calibri"/>
                <w:b/>
                <w:bCs/>
                <w:noProof/>
                <w:sz w:val="20"/>
                <w:szCs w:val="20"/>
                <w:lang w:val="es-ES"/>
              </w:rPr>
            </w:pPr>
            <w:r w:rsidRPr="00232EBB">
              <w:rPr>
                <w:sz w:val="20"/>
                <w:szCs w:val="20"/>
              </w:rPr>
              <w:t>1,104,375,762.44</w:t>
            </w:r>
          </w:p>
        </w:tc>
        <w:tc>
          <w:tcPr>
            <w:tcW w:w="1751" w:type="dxa"/>
            <w:noWrap/>
            <w:vAlign w:val="center"/>
          </w:tcPr>
          <w:p w14:paraId="51C70F24" w14:textId="389E4FA9" w:rsidR="00EE021A" w:rsidRPr="00232EBB" w:rsidRDefault="00EE021A" w:rsidP="00822846">
            <w:pPr>
              <w:spacing w:after="0" w:line="240" w:lineRule="auto"/>
              <w:jc w:val="center"/>
              <w:rPr>
                <w:rFonts w:eastAsia="Calibri"/>
                <w:b/>
                <w:bCs/>
                <w:noProof/>
                <w:sz w:val="20"/>
                <w:szCs w:val="20"/>
                <w:lang w:val="es-ES"/>
              </w:rPr>
            </w:pPr>
            <w:r w:rsidRPr="00232EBB">
              <w:rPr>
                <w:sz w:val="20"/>
                <w:szCs w:val="20"/>
              </w:rPr>
              <w:t>53.40%</w:t>
            </w:r>
          </w:p>
        </w:tc>
      </w:tr>
    </w:tbl>
    <w:p w14:paraId="29140944" w14:textId="2E0B2610" w:rsidR="00041B32" w:rsidRPr="00232EBB" w:rsidRDefault="00041B32" w:rsidP="00B715E3">
      <w:pPr>
        <w:pStyle w:val="xxmsonormal"/>
        <w:ind w:left="-90"/>
        <w:jc w:val="both"/>
        <w:rPr>
          <w:rFonts w:ascii="Times New Roman" w:eastAsia="Calibri" w:hAnsi="Times New Roman" w:cs="Times New Roman"/>
          <w:noProof/>
          <w:color w:val="767171"/>
          <w:spacing w:val="20"/>
          <w:sz w:val="18"/>
          <w:szCs w:val="18"/>
          <w:lang w:eastAsia="en-US"/>
        </w:rPr>
      </w:pPr>
      <w:r w:rsidRPr="00232EBB">
        <w:rPr>
          <w:rFonts w:ascii="Times New Roman" w:eastAsia="Calibri" w:hAnsi="Times New Roman" w:cs="Times New Roman"/>
          <w:b/>
          <w:bCs/>
          <w:noProof/>
          <w:color w:val="767171"/>
          <w:spacing w:val="20"/>
          <w:sz w:val="18"/>
          <w:szCs w:val="18"/>
          <w:lang w:eastAsia="en-US"/>
        </w:rPr>
        <w:t xml:space="preserve">Tabla </w:t>
      </w:r>
      <w:r w:rsidR="007B5587" w:rsidRPr="00232EBB">
        <w:rPr>
          <w:rFonts w:ascii="Times New Roman" w:eastAsia="Calibri" w:hAnsi="Times New Roman" w:cs="Times New Roman"/>
          <w:b/>
          <w:bCs/>
          <w:noProof/>
          <w:color w:val="767171"/>
          <w:spacing w:val="20"/>
          <w:sz w:val="18"/>
          <w:szCs w:val="18"/>
          <w:lang w:eastAsia="en-US"/>
        </w:rPr>
        <w:t>8</w:t>
      </w:r>
      <w:r w:rsidRPr="00232EBB">
        <w:rPr>
          <w:rFonts w:ascii="Times New Roman" w:eastAsia="Calibri" w:hAnsi="Times New Roman" w:cs="Times New Roman"/>
          <w:noProof/>
          <w:color w:val="767171"/>
          <w:spacing w:val="20"/>
          <w:sz w:val="18"/>
          <w:szCs w:val="18"/>
          <w:lang w:eastAsia="en-US"/>
        </w:rPr>
        <w:t>: Planes Especiales Transitorios de Servicio de Salud  enero-</w:t>
      </w:r>
      <w:r w:rsidR="00EE021A" w:rsidRPr="00232EBB">
        <w:rPr>
          <w:rFonts w:ascii="Times New Roman" w:eastAsia="Calibri" w:hAnsi="Times New Roman" w:cs="Times New Roman"/>
          <w:noProof/>
          <w:color w:val="767171"/>
          <w:spacing w:val="20"/>
          <w:sz w:val="18"/>
          <w:szCs w:val="18"/>
          <w:lang w:eastAsia="en-US"/>
        </w:rPr>
        <w:t>dic</w:t>
      </w:r>
      <w:r w:rsidR="00413FED" w:rsidRPr="00232EBB">
        <w:rPr>
          <w:rFonts w:ascii="Times New Roman" w:eastAsia="Calibri" w:hAnsi="Times New Roman" w:cs="Times New Roman"/>
          <w:noProof/>
          <w:color w:val="767171"/>
          <w:spacing w:val="20"/>
          <w:sz w:val="18"/>
          <w:szCs w:val="18"/>
          <w:lang w:eastAsia="en-US"/>
        </w:rPr>
        <w:t>iem</w:t>
      </w:r>
      <w:r w:rsidRPr="00232EBB">
        <w:rPr>
          <w:rFonts w:ascii="Times New Roman" w:eastAsia="Calibri" w:hAnsi="Times New Roman" w:cs="Times New Roman"/>
          <w:noProof/>
          <w:color w:val="767171"/>
          <w:spacing w:val="20"/>
          <w:sz w:val="18"/>
          <w:szCs w:val="18"/>
          <w:lang w:eastAsia="en-US"/>
        </w:rPr>
        <w:t>bre 202</w:t>
      </w:r>
      <w:r w:rsidR="00413FED" w:rsidRPr="00232EBB">
        <w:rPr>
          <w:rFonts w:ascii="Times New Roman" w:eastAsia="Calibri" w:hAnsi="Times New Roman" w:cs="Times New Roman"/>
          <w:noProof/>
          <w:color w:val="767171"/>
          <w:spacing w:val="20"/>
          <w:sz w:val="18"/>
          <w:szCs w:val="18"/>
          <w:lang w:eastAsia="en-US"/>
        </w:rPr>
        <w:t>5</w:t>
      </w:r>
      <w:r w:rsidRPr="00232EBB">
        <w:rPr>
          <w:rFonts w:ascii="Times New Roman" w:eastAsia="Calibri" w:hAnsi="Times New Roman" w:cs="Times New Roman"/>
          <w:noProof/>
          <w:color w:val="767171"/>
          <w:spacing w:val="20"/>
          <w:sz w:val="18"/>
          <w:szCs w:val="18"/>
          <w:lang w:eastAsia="en-US"/>
        </w:rPr>
        <w:t>.</w:t>
      </w:r>
    </w:p>
    <w:p w14:paraId="68BC0CB5" w14:textId="77777777" w:rsidR="00BE09C4" w:rsidRPr="00232EBB" w:rsidRDefault="00BE09C4" w:rsidP="00815618">
      <w:pPr>
        <w:keepNext/>
        <w:keepLines/>
        <w:spacing w:after="80" w:line="360" w:lineRule="auto"/>
        <w:jc w:val="both"/>
        <w:outlineLvl w:val="0"/>
        <w:rPr>
          <w:rFonts w:eastAsia="Calibri"/>
          <w:b/>
          <w:bCs/>
          <w:noProof/>
          <w:lang w:val="es-ES"/>
        </w:rPr>
      </w:pPr>
      <w:bookmarkStart w:id="27" w:name="_Toc171677818"/>
      <w:bookmarkStart w:id="28" w:name="_Toc172118662"/>
      <w:bookmarkStart w:id="29" w:name="_Toc172119825"/>
      <w:bookmarkStart w:id="30" w:name="_Toc172120158"/>
      <w:bookmarkStart w:id="31" w:name="_Toc172121376"/>
      <w:bookmarkStart w:id="32" w:name="_Toc184981189"/>
    </w:p>
    <w:p w14:paraId="3022D82B" w14:textId="6D90D804" w:rsidR="00041B32" w:rsidRPr="00232EBB" w:rsidRDefault="00041B32" w:rsidP="00815618">
      <w:pPr>
        <w:keepNext/>
        <w:keepLines/>
        <w:spacing w:after="80" w:line="360" w:lineRule="auto"/>
        <w:jc w:val="both"/>
        <w:outlineLvl w:val="0"/>
        <w:rPr>
          <w:rFonts w:eastAsia="Calibri"/>
          <w:b/>
          <w:bCs/>
          <w:noProof/>
          <w:lang w:val="es-ES"/>
        </w:rPr>
      </w:pPr>
      <w:bookmarkStart w:id="33" w:name="_Toc216952214"/>
      <w:r w:rsidRPr="00232EBB">
        <w:rPr>
          <w:rFonts w:eastAsia="Calibri"/>
          <w:b/>
          <w:bCs/>
          <w:noProof/>
          <w:lang w:val="es-ES"/>
        </w:rPr>
        <w:t>Régimen Subsidiado</w:t>
      </w:r>
      <w:bookmarkEnd w:id="27"/>
      <w:bookmarkEnd w:id="28"/>
      <w:bookmarkEnd w:id="29"/>
      <w:bookmarkEnd w:id="30"/>
      <w:bookmarkEnd w:id="31"/>
      <w:bookmarkEnd w:id="32"/>
      <w:bookmarkEnd w:id="33"/>
      <w:r w:rsidRPr="00232EBB">
        <w:rPr>
          <w:rFonts w:eastAsia="Calibri"/>
          <w:b/>
          <w:bCs/>
          <w:noProof/>
          <w:lang w:val="es-ES"/>
        </w:rPr>
        <w:t xml:space="preserve"> </w:t>
      </w:r>
    </w:p>
    <w:p w14:paraId="43CBB107" w14:textId="77777777" w:rsidR="00041B32" w:rsidRPr="00232EBB" w:rsidRDefault="00041B32" w:rsidP="00815618">
      <w:pPr>
        <w:spacing w:after="0" w:line="360" w:lineRule="auto"/>
        <w:jc w:val="both"/>
        <w:rPr>
          <w:rFonts w:eastAsia="Calibri"/>
          <w:noProof/>
          <w:lang w:val="es-ES"/>
        </w:rPr>
      </w:pPr>
      <w:r w:rsidRPr="00232EBB">
        <w:rPr>
          <w:rFonts w:eastAsia="Calibri"/>
          <w:noProof/>
          <w:lang w:val="es-ES"/>
        </w:rPr>
        <w:t>En cumplimiento con el acápite e) del Art.28 de la ley No. 87-01, a continuación, detallamos los siguientes procesos:</w:t>
      </w:r>
    </w:p>
    <w:p w14:paraId="7EB846E5" w14:textId="77777777" w:rsidR="00815618" w:rsidRPr="00232EBB" w:rsidRDefault="00815618" w:rsidP="00815618">
      <w:pPr>
        <w:spacing w:after="0" w:line="360" w:lineRule="auto"/>
        <w:jc w:val="both"/>
        <w:rPr>
          <w:rFonts w:eastAsia="Calibri"/>
          <w:noProof/>
          <w:lang w:val="es-ES"/>
        </w:rPr>
      </w:pPr>
    </w:p>
    <w:p w14:paraId="7853375A" w14:textId="77777777" w:rsidR="00041B32" w:rsidRPr="00232EBB" w:rsidRDefault="00041B32" w:rsidP="00815618">
      <w:pPr>
        <w:keepNext/>
        <w:keepLines/>
        <w:spacing w:after="0" w:line="360" w:lineRule="auto"/>
        <w:jc w:val="both"/>
        <w:outlineLvl w:val="0"/>
        <w:rPr>
          <w:rFonts w:eastAsia="Calibri"/>
          <w:b/>
          <w:bCs/>
          <w:noProof/>
          <w:lang w:val="es-ES"/>
        </w:rPr>
      </w:pPr>
      <w:bookmarkStart w:id="34" w:name="_Toc171677819"/>
      <w:bookmarkStart w:id="35" w:name="_Toc172118663"/>
      <w:bookmarkStart w:id="36" w:name="_Toc172119826"/>
      <w:bookmarkStart w:id="37" w:name="_Toc172120159"/>
      <w:bookmarkStart w:id="38" w:name="_Toc172121377"/>
      <w:bookmarkStart w:id="39" w:name="_Toc184981190"/>
      <w:bookmarkStart w:id="40" w:name="_Toc216952215"/>
      <w:r w:rsidRPr="00232EBB">
        <w:rPr>
          <w:rFonts w:eastAsia="Calibri"/>
          <w:b/>
          <w:bCs/>
          <w:noProof/>
          <w:lang w:val="es-ES"/>
        </w:rPr>
        <w:t>Aportes del Estado</w:t>
      </w:r>
      <w:bookmarkEnd w:id="34"/>
      <w:bookmarkEnd w:id="35"/>
      <w:bookmarkEnd w:id="36"/>
      <w:bookmarkEnd w:id="37"/>
      <w:bookmarkEnd w:id="38"/>
      <w:bookmarkEnd w:id="39"/>
      <w:bookmarkEnd w:id="40"/>
    </w:p>
    <w:p w14:paraId="54A15204" w14:textId="3485C68B" w:rsidR="00413FED" w:rsidRPr="00232EBB" w:rsidRDefault="00144238" w:rsidP="00413FED">
      <w:pPr>
        <w:spacing w:after="0" w:line="360" w:lineRule="auto"/>
        <w:jc w:val="both"/>
        <w:rPr>
          <w:rFonts w:eastAsia="Calibri"/>
          <w:noProof/>
          <w:lang w:val="es-DO"/>
        </w:rPr>
      </w:pPr>
      <w:bookmarkStart w:id="41" w:name="_Toc171677820"/>
      <w:bookmarkStart w:id="42" w:name="_Toc172118664"/>
      <w:bookmarkStart w:id="43" w:name="_Toc172119827"/>
      <w:bookmarkStart w:id="44" w:name="_Toc172120160"/>
      <w:bookmarkStart w:id="45" w:name="_Toc172121378"/>
      <w:bookmarkStart w:id="46" w:name="_Toc184981191"/>
      <w:r w:rsidRPr="00232EBB">
        <w:rPr>
          <w:rFonts w:eastAsia="Calibri"/>
          <w:noProof/>
          <w:lang w:val="es-ES"/>
        </w:rPr>
        <w:t>El  15 de octubre de 2025 se recibió un aporte de RD$6,000,000,000.00 por el IDOPPRIL según Res. del CNSS No.619-08 de fecha 28 de agosto de 2025, para la protección de la Salud de las Personas a través de la ARS SENASA, con este aporte se cubrira los meses de octubre, noviembre y diciembre del 2025</w:t>
      </w:r>
      <w:r w:rsidRPr="00232EBB">
        <w:rPr>
          <w:rFonts w:eastAsia="Calibri"/>
          <w:noProof/>
          <w:lang w:val="es-DO"/>
        </w:rPr>
        <w:t>.</w:t>
      </w:r>
      <w:r w:rsidR="00413FED" w:rsidRPr="00232EBB">
        <w:rPr>
          <w:rFonts w:eastAsia="Calibri"/>
          <w:noProof/>
          <w:lang w:val="es-ES"/>
        </w:rPr>
        <w:t xml:space="preserve"> </w:t>
      </w:r>
    </w:p>
    <w:p w14:paraId="50C92B19" w14:textId="77777777" w:rsidR="00041B32" w:rsidRPr="00232EBB" w:rsidRDefault="00041B32" w:rsidP="002D2273">
      <w:pPr>
        <w:keepNext/>
        <w:keepLines/>
        <w:spacing w:before="360" w:after="0" w:line="360" w:lineRule="auto"/>
        <w:jc w:val="both"/>
        <w:outlineLvl w:val="0"/>
        <w:rPr>
          <w:rFonts w:eastAsia="Calibri"/>
          <w:b/>
          <w:bCs/>
          <w:noProof/>
          <w:lang w:val="es-ES"/>
        </w:rPr>
      </w:pPr>
      <w:bookmarkStart w:id="47" w:name="_Toc216952216"/>
      <w:r w:rsidRPr="00232EBB">
        <w:rPr>
          <w:rFonts w:eastAsia="Calibri"/>
          <w:b/>
          <w:bCs/>
          <w:noProof/>
          <w:lang w:val="es-ES"/>
        </w:rPr>
        <w:t>Pagos Realizados a SENASA</w:t>
      </w:r>
      <w:bookmarkEnd w:id="41"/>
      <w:bookmarkEnd w:id="42"/>
      <w:bookmarkEnd w:id="43"/>
      <w:bookmarkEnd w:id="44"/>
      <w:bookmarkEnd w:id="45"/>
      <w:bookmarkEnd w:id="46"/>
      <w:bookmarkEnd w:id="47"/>
      <w:r w:rsidRPr="00232EBB">
        <w:rPr>
          <w:rFonts w:eastAsia="Calibri"/>
          <w:b/>
          <w:bCs/>
          <w:noProof/>
          <w:lang w:val="es-ES"/>
        </w:rPr>
        <w:t xml:space="preserve"> </w:t>
      </w:r>
    </w:p>
    <w:p w14:paraId="1A15A50B" w14:textId="77777777" w:rsidR="00144238" w:rsidRPr="00232EBB" w:rsidRDefault="00144238" w:rsidP="00144238">
      <w:pPr>
        <w:spacing w:before="240" w:after="0" w:line="360" w:lineRule="auto"/>
        <w:jc w:val="both"/>
        <w:rPr>
          <w:rFonts w:eastAsia="Calibri"/>
          <w:noProof/>
          <w:lang w:val="es-ES"/>
        </w:rPr>
      </w:pPr>
      <w:r w:rsidRPr="00232EBB">
        <w:rPr>
          <w:rFonts w:eastAsia="Calibri"/>
          <w:noProof/>
          <w:lang w:val="es-ES"/>
        </w:rPr>
        <w:t>El Seguro Nacional de Salud (SENASA) a diciembre del 2025 ha recibido de esta Tesorería de la Seguridad Social el monto total de RD$22,967,993,477.40, incluyendo el valor total de RD$200,000,000.04, como transferencia de fondos, para el “Proyecto SeNaSa Cuida de Ti” y desde que inicio el Régimen Subsidiado hasta la fecha un monto global ascendente a la suma de RD$186,399,141,623.32</w:t>
      </w:r>
    </w:p>
    <w:p w14:paraId="4B695676" w14:textId="77777777" w:rsidR="00144238" w:rsidRPr="00232EBB" w:rsidRDefault="00144238" w:rsidP="00144238">
      <w:pPr>
        <w:spacing w:before="240" w:after="0" w:line="360" w:lineRule="auto"/>
        <w:jc w:val="both"/>
        <w:rPr>
          <w:rFonts w:eastAsia="Calibri"/>
          <w:noProof/>
          <w:lang w:val="es-ES"/>
        </w:rPr>
      </w:pPr>
      <w:r w:rsidRPr="00232EBB">
        <w:rPr>
          <w:rFonts w:eastAsia="Calibri"/>
          <w:noProof/>
          <w:lang w:val="es-ES"/>
        </w:rPr>
        <w:t xml:space="preserve">Debemos señalar que la cobertura de salud en la última factura fue por  5,669,125 afiliados, de los cuales 4,816,456 eran titulares, 851,046 dependientes y 1,623 recién nacido dependientes del mes de noviembre 2025. </w:t>
      </w:r>
    </w:p>
    <w:p w14:paraId="2326C0F0" w14:textId="77777777" w:rsidR="00144238" w:rsidRPr="00232EBB" w:rsidRDefault="00144238" w:rsidP="00144238">
      <w:pPr>
        <w:spacing w:before="240" w:after="0" w:line="360" w:lineRule="auto"/>
        <w:jc w:val="both"/>
        <w:rPr>
          <w:rFonts w:eastAsia="Calibri"/>
          <w:noProof/>
          <w:lang w:val="es-ES"/>
        </w:rPr>
      </w:pPr>
      <w:r w:rsidRPr="00232EBB">
        <w:rPr>
          <w:rFonts w:eastAsia="Calibri"/>
          <w:noProof/>
          <w:lang w:val="es-ES"/>
        </w:rPr>
        <w:t xml:space="preserve">El 27 de octubre de 2025, fueron  devueltos  a la  Tesoreria Nacional los montos RD$833,333,333.33 y  de RD$464,651,675.10, para un </w:t>
      </w:r>
      <w:r w:rsidRPr="00232EBB">
        <w:rPr>
          <w:rFonts w:eastAsia="Calibri"/>
          <w:noProof/>
          <w:lang w:val="es-ES"/>
        </w:rPr>
        <w:lastRenderedPageBreak/>
        <w:t>total RD$1,297,985,008.43 correspondiente a recursos no utilizados para pagos de este regimen el cual incluye los rendimientos generados. Esta solicitud fue realizada por la Dirección General de Presupuesto, mediante la comunicación  No. DGP-Sal-2025-002122 de fecha 22 de octubre 2025, a  fin de reintegrar esos recursos  a la Cuenta Única del Tesoro.</w:t>
      </w:r>
    </w:p>
    <w:p w14:paraId="27CB80C2" w14:textId="0BA70C8C" w:rsidR="00413FED" w:rsidRPr="00232EBB" w:rsidRDefault="00BA4022" w:rsidP="00144238">
      <w:pPr>
        <w:spacing w:before="240" w:after="0" w:line="360" w:lineRule="auto"/>
        <w:jc w:val="both"/>
        <w:rPr>
          <w:rFonts w:eastAsia="Calibri"/>
          <w:noProof/>
          <w:lang w:val="es-ES"/>
        </w:rPr>
      </w:pPr>
      <w:r w:rsidRPr="00232EBB">
        <w:rPr>
          <w:rFonts w:eastAsia="Calibri"/>
          <w:noProof/>
          <w:lang w:val="es-ES"/>
        </w:rPr>
        <w:t>F</w:t>
      </w:r>
      <w:r w:rsidR="00413FED" w:rsidRPr="00232EBB">
        <w:rPr>
          <w:rFonts w:eastAsia="Calibri"/>
          <w:noProof/>
          <w:lang w:val="es-ES"/>
        </w:rPr>
        <w:t>ue transferido a la Cuenta Colector Contribuciones de la Tesorería de la Seguridad Social los montos RD$833,333,333.33 y RD$464,651,675.10, para un total RD$1,297,985,008.43 con la finalidad de realizar devolución a la Tesorería Nacional, acorde a la comunicación recibida de la Dirección General de Presupuesto No. DGP-Sal-2025-002122 de fecha 22 de octubre 2025, con el fin de ser reintegrado a la Cuenta Única del Tesoro.</w:t>
      </w:r>
    </w:p>
    <w:p w14:paraId="6DF86763" w14:textId="77674004" w:rsidR="006717EB" w:rsidRPr="00232EBB" w:rsidRDefault="00EE5576" w:rsidP="00EE5576">
      <w:pPr>
        <w:spacing w:before="240" w:after="0" w:line="360" w:lineRule="auto"/>
        <w:jc w:val="both"/>
        <w:rPr>
          <w:rFonts w:eastAsia="Calibri"/>
          <w:noProof/>
          <w:lang w:val="es-ES"/>
        </w:rPr>
      </w:pPr>
      <w:r w:rsidRPr="00232EBB">
        <w:rPr>
          <w:rFonts w:eastAsia="Calibri"/>
          <w:noProof/>
          <w:lang w:val="es-ES"/>
        </w:rPr>
        <w:t xml:space="preserve">A continuación, detalle de los aportes recibidos del Gobierno Central y pagados por el Régimen Subsidiado de </w:t>
      </w:r>
      <w:r w:rsidR="00144238" w:rsidRPr="00232EBB">
        <w:rPr>
          <w:rFonts w:eastAsia="Calibri"/>
          <w:noProof/>
          <w:lang w:val="es-ES"/>
        </w:rPr>
        <w:t>dic</w:t>
      </w:r>
      <w:r w:rsidR="00420371" w:rsidRPr="00232EBB">
        <w:rPr>
          <w:rFonts w:eastAsia="Calibri"/>
          <w:noProof/>
          <w:lang w:val="es-ES"/>
        </w:rPr>
        <w:t>i</w:t>
      </w:r>
      <w:r w:rsidRPr="00232EBB">
        <w:rPr>
          <w:rFonts w:eastAsia="Calibri"/>
          <w:noProof/>
          <w:lang w:val="es-ES"/>
        </w:rPr>
        <w:t>embre de 202</w:t>
      </w:r>
      <w:r w:rsidR="00CF1211" w:rsidRPr="00232EBB">
        <w:rPr>
          <w:rFonts w:eastAsia="Calibri"/>
          <w:noProof/>
          <w:lang w:val="es-ES"/>
        </w:rPr>
        <w:t>5</w:t>
      </w:r>
      <w:r w:rsidRPr="00232EBB">
        <w:rPr>
          <w:rFonts w:eastAsia="Calibri"/>
          <w:noProof/>
          <w:lang w:val="es-ES"/>
        </w:rPr>
        <w:t>:</w:t>
      </w:r>
    </w:p>
    <w:tbl>
      <w:tblPr>
        <w:tblW w:w="7900" w:type="dxa"/>
        <w:tblLook w:val="04A0" w:firstRow="1" w:lastRow="0" w:firstColumn="1" w:lastColumn="0" w:noHBand="0" w:noVBand="1"/>
      </w:tblPr>
      <w:tblGrid>
        <w:gridCol w:w="3140"/>
        <w:gridCol w:w="2353"/>
        <w:gridCol w:w="2407"/>
      </w:tblGrid>
      <w:tr w:rsidR="00A741F1" w:rsidRPr="00232EBB" w14:paraId="37650EC1" w14:textId="77777777" w:rsidTr="00BA2589">
        <w:trPr>
          <w:trHeight w:val="908"/>
          <w:tblHeader/>
        </w:trPr>
        <w:tc>
          <w:tcPr>
            <w:tcW w:w="3140" w:type="dxa"/>
            <w:tcBorders>
              <w:top w:val="single" w:sz="8" w:space="0" w:color="auto"/>
              <w:left w:val="single" w:sz="8" w:space="0" w:color="auto"/>
              <w:bottom w:val="single" w:sz="4" w:space="0" w:color="auto"/>
              <w:right w:val="single" w:sz="4" w:space="0" w:color="auto"/>
            </w:tcBorders>
            <w:shd w:val="clear" w:color="000000" w:fill="002060"/>
            <w:noWrap/>
            <w:vAlign w:val="center"/>
            <w:hideMark/>
          </w:tcPr>
          <w:p w14:paraId="22421667" w14:textId="77777777" w:rsidR="00A741F1" w:rsidRPr="00232EBB" w:rsidRDefault="00A741F1" w:rsidP="00822846">
            <w:pPr>
              <w:spacing w:after="0" w:line="240" w:lineRule="auto"/>
              <w:jc w:val="center"/>
              <w:rPr>
                <w:rFonts w:eastAsia="Times New Roman"/>
                <w:b/>
                <w:bCs/>
                <w:color w:val="FFFFFF"/>
                <w:spacing w:val="0"/>
                <w:sz w:val="18"/>
                <w:szCs w:val="18"/>
              </w:rPr>
            </w:pPr>
            <w:r w:rsidRPr="00232EBB">
              <w:rPr>
                <w:rFonts w:eastAsia="Times New Roman"/>
                <w:b/>
                <w:bCs/>
                <w:color w:val="FFFFFF"/>
                <w:spacing w:val="0"/>
                <w:sz w:val="18"/>
                <w:szCs w:val="18"/>
              </w:rPr>
              <w:t>CONCEPTO</w:t>
            </w:r>
          </w:p>
        </w:tc>
        <w:tc>
          <w:tcPr>
            <w:tcW w:w="2353" w:type="dxa"/>
            <w:tcBorders>
              <w:top w:val="single" w:sz="8" w:space="0" w:color="auto"/>
              <w:left w:val="single" w:sz="4" w:space="0" w:color="auto"/>
              <w:bottom w:val="nil"/>
              <w:right w:val="single" w:sz="8" w:space="0" w:color="auto"/>
            </w:tcBorders>
            <w:shd w:val="clear" w:color="000000" w:fill="002060"/>
            <w:vAlign w:val="center"/>
            <w:hideMark/>
          </w:tcPr>
          <w:p w14:paraId="5C622444" w14:textId="1E458C61" w:rsidR="00A741F1" w:rsidRPr="00232EBB" w:rsidRDefault="00A741F1" w:rsidP="00822846">
            <w:pPr>
              <w:spacing w:after="0" w:line="240" w:lineRule="auto"/>
              <w:jc w:val="center"/>
              <w:rPr>
                <w:rFonts w:eastAsia="Times New Roman"/>
                <w:b/>
                <w:bCs/>
                <w:color w:val="FFFFFF"/>
                <w:spacing w:val="0"/>
                <w:sz w:val="18"/>
                <w:szCs w:val="18"/>
              </w:rPr>
            </w:pPr>
            <w:r w:rsidRPr="00232EBB">
              <w:rPr>
                <w:rFonts w:eastAsia="Times New Roman"/>
                <w:b/>
                <w:bCs/>
                <w:color w:val="FFFFFF"/>
                <w:spacing w:val="0"/>
                <w:sz w:val="18"/>
                <w:szCs w:val="18"/>
              </w:rPr>
              <w:t xml:space="preserve">APORTES RECIBIDOS Y PAGADOS </w:t>
            </w:r>
            <w:r w:rsidRPr="00232EBB">
              <w:rPr>
                <w:rFonts w:eastAsia="Times New Roman"/>
                <w:b/>
                <w:bCs/>
                <w:color w:val="FFFFFF"/>
                <w:spacing w:val="0"/>
                <w:sz w:val="18"/>
                <w:szCs w:val="18"/>
              </w:rPr>
              <w:br/>
              <w:t>202</w:t>
            </w:r>
            <w:r w:rsidR="0027210F" w:rsidRPr="00232EBB">
              <w:rPr>
                <w:rFonts w:eastAsia="Times New Roman"/>
                <w:b/>
                <w:bCs/>
                <w:color w:val="FFFFFF"/>
                <w:spacing w:val="0"/>
                <w:sz w:val="18"/>
                <w:szCs w:val="18"/>
              </w:rPr>
              <w:t>2</w:t>
            </w:r>
          </w:p>
        </w:tc>
        <w:tc>
          <w:tcPr>
            <w:tcW w:w="2407" w:type="dxa"/>
            <w:tcBorders>
              <w:top w:val="single" w:sz="8" w:space="0" w:color="auto"/>
              <w:left w:val="single" w:sz="4" w:space="0" w:color="auto"/>
              <w:bottom w:val="nil"/>
              <w:right w:val="single" w:sz="8" w:space="0" w:color="auto"/>
            </w:tcBorders>
            <w:shd w:val="clear" w:color="000000" w:fill="002060"/>
            <w:vAlign w:val="center"/>
            <w:hideMark/>
          </w:tcPr>
          <w:p w14:paraId="3C161D0B" w14:textId="13083255" w:rsidR="00A741F1" w:rsidRPr="00232EBB" w:rsidRDefault="00A741F1" w:rsidP="00822846">
            <w:pPr>
              <w:spacing w:after="0" w:line="240" w:lineRule="auto"/>
              <w:jc w:val="center"/>
              <w:rPr>
                <w:rFonts w:eastAsia="Times New Roman"/>
                <w:b/>
                <w:bCs/>
                <w:color w:val="FFFFFF"/>
                <w:spacing w:val="0"/>
                <w:sz w:val="18"/>
                <w:szCs w:val="18"/>
                <w:lang w:val="es-ES"/>
              </w:rPr>
            </w:pPr>
            <w:r w:rsidRPr="00232EBB">
              <w:rPr>
                <w:rFonts w:eastAsia="Times New Roman"/>
                <w:b/>
                <w:bCs/>
                <w:color w:val="FFFFFF"/>
                <w:spacing w:val="0"/>
                <w:sz w:val="18"/>
                <w:szCs w:val="18"/>
                <w:lang w:val="es-ES"/>
              </w:rPr>
              <w:t>HISTORICO APORTES RECIBIDOS Y PAGADOS</w:t>
            </w:r>
            <w:r w:rsidRPr="00232EBB">
              <w:rPr>
                <w:rFonts w:eastAsia="Times New Roman"/>
                <w:b/>
                <w:bCs/>
                <w:color w:val="FFFFFF"/>
                <w:spacing w:val="0"/>
                <w:sz w:val="18"/>
                <w:szCs w:val="18"/>
                <w:lang w:val="es-ES"/>
              </w:rPr>
              <w:br/>
              <w:t xml:space="preserve"> (2002-202</w:t>
            </w:r>
            <w:r w:rsidR="0027210F" w:rsidRPr="00232EBB">
              <w:rPr>
                <w:rFonts w:eastAsia="Times New Roman"/>
                <w:b/>
                <w:bCs/>
                <w:color w:val="FFFFFF"/>
                <w:spacing w:val="0"/>
                <w:sz w:val="18"/>
                <w:szCs w:val="18"/>
                <w:lang w:val="es-ES"/>
              </w:rPr>
              <w:t>5</w:t>
            </w:r>
            <w:r w:rsidRPr="00232EBB">
              <w:rPr>
                <w:rFonts w:eastAsia="Times New Roman"/>
                <w:b/>
                <w:bCs/>
                <w:color w:val="FFFFFF"/>
                <w:spacing w:val="0"/>
                <w:sz w:val="18"/>
                <w:szCs w:val="18"/>
                <w:lang w:val="es-ES"/>
              </w:rPr>
              <w:t>)</w:t>
            </w:r>
          </w:p>
        </w:tc>
      </w:tr>
      <w:tr w:rsidR="00A741F1" w:rsidRPr="00232EBB" w14:paraId="21C11590" w14:textId="77777777" w:rsidTr="00BA2589">
        <w:trPr>
          <w:trHeight w:val="306"/>
          <w:tblHeader/>
        </w:trPr>
        <w:tc>
          <w:tcPr>
            <w:tcW w:w="3140" w:type="dxa"/>
            <w:tcBorders>
              <w:top w:val="nil"/>
              <w:left w:val="single" w:sz="4" w:space="0" w:color="auto"/>
              <w:bottom w:val="single" w:sz="4" w:space="0" w:color="auto"/>
              <w:right w:val="single" w:sz="4" w:space="0" w:color="auto"/>
            </w:tcBorders>
            <w:shd w:val="clear" w:color="000000" w:fill="002060"/>
            <w:noWrap/>
            <w:vAlign w:val="bottom"/>
            <w:hideMark/>
          </w:tcPr>
          <w:p w14:paraId="3AF3E133" w14:textId="2C62E69B" w:rsidR="00A741F1" w:rsidRPr="00232EBB" w:rsidRDefault="00A741F1" w:rsidP="00822846">
            <w:pPr>
              <w:spacing w:after="0" w:line="240" w:lineRule="auto"/>
              <w:jc w:val="center"/>
              <w:rPr>
                <w:rFonts w:eastAsia="Times New Roman"/>
                <w:b/>
                <w:bCs/>
                <w:color w:val="FFFFFF"/>
                <w:spacing w:val="0"/>
                <w:sz w:val="16"/>
                <w:szCs w:val="16"/>
              </w:rPr>
            </w:pPr>
            <w:r w:rsidRPr="00232EBB">
              <w:rPr>
                <w:rFonts w:eastAsia="Times New Roman"/>
                <w:b/>
                <w:bCs/>
                <w:color w:val="FFFFFF"/>
                <w:spacing w:val="0"/>
                <w:sz w:val="16"/>
                <w:szCs w:val="16"/>
              </w:rPr>
              <w:t>BALANCE INICIAL</w:t>
            </w:r>
          </w:p>
        </w:tc>
        <w:tc>
          <w:tcPr>
            <w:tcW w:w="2353" w:type="dxa"/>
            <w:tcBorders>
              <w:top w:val="single" w:sz="4" w:space="0" w:color="auto"/>
              <w:left w:val="nil"/>
              <w:bottom w:val="single" w:sz="4" w:space="0" w:color="auto"/>
              <w:right w:val="single" w:sz="4" w:space="0" w:color="auto"/>
            </w:tcBorders>
            <w:shd w:val="clear" w:color="000000" w:fill="002060"/>
            <w:noWrap/>
            <w:vAlign w:val="bottom"/>
            <w:hideMark/>
          </w:tcPr>
          <w:p w14:paraId="39132843" w14:textId="452810B1" w:rsidR="00A741F1" w:rsidRPr="00232EBB" w:rsidRDefault="0027210F" w:rsidP="00822846">
            <w:pPr>
              <w:spacing w:after="0" w:line="240" w:lineRule="auto"/>
              <w:jc w:val="center"/>
              <w:rPr>
                <w:rFonts w:eastAsia="Times New Roman"/>
                <w:b/>
                <w:bCs/>
                <w:color w:val="FFFFFF"/>
                <w:spacing w:val="0"/>
                <w:sz w:val="16"/>
                <w:szCs w:val="16"/>
              </w:rPr>
            </w:pPr>
            <w:r w:rsidRPr="00232EBB">
              <w:rPr>
                <w:rFonts w:eastAsia="Times New Roman"/>
                <w:b/>
                <w:bCs/>
                <w:color w:val="FFFFFF"/>
                <w:spacing w:val="0"/>
                <w:sz w:val="16"/>
                <w:szCs w:val="16"/>
              </w:rPr>
              <w:t>231,528,567.31</w:t>
            </w:r>
          </w:p>
        </w:tc>
        <w:tc>
          <w:tcPr>
            <w:tcW w:w="2407" w:type="dxa"/>
            <w:tcBorders>
              <w:top w:val="single" w:sz="4" w:space="0" w:color="auto"/>
              <w:left w:val="nil"/>
              <w:bottom w:val="single" w:sz="4" w:space="0" w:color="auto"/>
              <w:right w:val="single" w:sz="4" w:space="0" w:color="auto"/>
            </w:tcBorders>
            <w:shd w:val="clear" w:color="000000" w:fill="002060"/>
            <w:noWrap/>
            <w:vAlign w:val="bottom"/>
            <w:hideMark/>
          </w:tcPr>
          <w:p w14:paraId="2EFC57CD" w14:textId="1E2D060D" w:rsidR="00A741F1" w:rsidRPr="00232EBB" w:rsidRDefault="00A741F1" w:rsidP="00822846">
            <w:pPr>
              <w:spacing w:after="0" w:line="240" w:lineRule="auto"/>
              <w:jc w:val="center"/>
              <w:rPr>
                <w:rFonts w:eastAsia="Times New Roman"/>
                <w:b/>
                <w:bCs/>
                <w:color w:val="FFFFFF"/>
                <w:spacing w:val="0"/>
                <w:sz w:val="16"/>
                <w:szCs w:val="16"/>
              </w:rPr>
            </w:pPr>
            <w:r w:rsidRPr="00232EBB">
              <w:rPr>
                <w:rFonts w:eastAsia="Times New Roman"/>
                <w:b/>
                <w:bCs/>
                <w:color w:val="FFFFFF"/>
                <w:spacing w:val="0"/>
                <w:sz w:val="16"/>
                <w:szCs w:val="16"/>
              </w:rPr>
              <w:t>-</w:t>
            </w:r>
          </w:p>
        </w:tc>
      </w:tr>
      <w:tr w:rsidR="00A741F1" w:rsidRPr="00232EBB" w14:paraId="051ACD0B" w14:textId="77777777" w:rsidTr="00BA2589">
        <w:trPr>
          <w:trHeight w:val="413"/>
        </w:trPr>
        <w:tc>
          <w:tcPr>
            <w:tcW w:w="3140" w:type="dxa"/>
            <w:tcBorders>
              <w:top w:val="nil"/>
              <w:left w:val="single" w:sz="8" w:space="0" w:color="auto"/>
              <w:bottom w:val="single" w:sz="4" w:space="0" w:color="auto"/>
              <w:right w:val="nil"/>
            </w:tcBorders>
            <w:noWrap/>
            <w:vAlign w:val="bottom"/>
            <w:hideMark/>
          </w:tcPr>
          <w:p w14:paraId="0764F0BC"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MAS:</w:t>
            </w:r>
          </w:p>
        </w:tc>
        <w:tc>
          <w:tcPr>
            <w:tcW w:w="2353" w:type="dxa"/>
            <w:tcBorders>
              <w:top w:val="nil"/>
              <w:left w:val="single" w:sz="4" w:space="0" w:color="auto"/>
              <w:bottom w:val="single" w:sz="4" w:space="0" w:color="auto"/>
              <w:right w:val="nil"/>
            </w:tcBorders>
            <w:noWrap/>
            <w:vAlign w:val="bottom"/>
            <w:hideMark/>
          </w:tcPr>
          <w:p w14:paraId="46741159"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 </w:t>
            </w:r>
          </w:p>
        </w:tc>
        <w:tc>
          <w:tcPr>
            <w:tcW w:w="2407" w:type="dxa"/>
            <w:tcBorders>
              <w:top w:val="nil"/>
              <w:left w:val="single" w:sz="4" w:space="0" w:color="auto"/>
              <w:bottom w:val="single" w:sz="4" w:space="0" w:color="auto"/>
              <w:right w:val="single" w:sz="8" w:space="0" w:color="auto"/>
            </w:tcBorders>
            <w:vAlign w:val="bottom"/>
            <w:hideMark/>
          </w:tcPr>
          <w:p w14:paraId="6DCA4DE2" w14:textId="77777777" w:rsidR="00A741F1" w:rsidRPr="00232EBB" w:rsidRDefault="00A741F1" w:rsidP="00A741F1">
            <w:pPr>
              <w:spacing w:after="0" w:line="240" w:lineRule="auto"/>
              <w:jc w:val="center"/>
              <w:rPr>
                <w:rFonts w:eastAsia="Calibri"/>
                <w:noProof/>
                <w:sz w:val="22"/>
                <w:szCs w:val="22"/>
                <w:lang w:val="es-ES"/>
              </w:rPr>
            </w:pPr>
            <w:r w:rsidRPr="00232EBB">
              <w:rPr>
                <w:rFonts w:eastAsia="Calibri"/>
                <w:noProof/>
                <w:sz w:val="22"/>
                <w:szCs w:val="22"/>
                <w:lang w:val="es-ES"/>
              </w:rPr>
              <w:t> </w:t>
            </w:r>
          </w:p>
        </w:tc>
      </w:tr>
      <w:tr w:rsidR="00A741F1" w:rsidRPr="00232EBB" w14:paraId="732995F8" w14:textId="77777777" w:rsidTr="00BA2589">
        <w:trPr>
          <w:trHeight w:val="306"/>
        </w:trPr>
        <w:tc>
          <w:tcPr>
            <w:tcW w:w="3140" w:type="dxa"/>
            <w:tcBorders>
              <w:top w:val="nil"/>
              <w:left w:val="single" w:sz="8" w:space="0" w:color="auto"/>
              <w:bottom w:val="single" w:sz="4" w:space="0" w:color="auto"/>
              <w:right w:val="nil"/>
            </w:tcBorders>
            <w:noWrap/>
            <w:vAlign w:val="bottom"/>
            <w:hideMark/>
          </w:tcPr>
          <w:p w14:paraId="7038CEDF" w14:textId="7C4AB06E" w:rsidR="00A741F1" w:rsidRPr="00232EBB" w:rsidRDefault="00836944" w:rsidP="00A741F1">
            <w:pPr>
              <w:spacing w:after="0" w:line="240" w:lineRule="auto"/>
              <w:rPr>
                <w:rFonts w:eastAsia="Calibri"/>
                <w:noProof/>
                <w:sz w:val="22"/>
                <w:szCs w:val="22"/>
                <w:lang w:val="es-ES"/>
              </w:rPr>
            </w:pPr>
            <w:r w:rsidRPr="00232EBB">
              <w:rPr>
                <w:rFonts w:eastAsia="Calibri"/>
                <w:noProof/>
                <w:sz w:val="22"/>
                <w:szCs w:val="22"/>
                <w:lang w:val="es-ES"/>
              </w:rPr>
              <w:t>Aportes Recibidos Del Estado Dominicano</w:t>
            </w:r>
          </w:p>
        </w:tc>
        <w:tc>
          <w:tcPr>
            <w:tcW w:w="2353" w:type="dxa"/>
            <w:tcBorders>
              <w:top w:val="nil"/>
              <w:left w:val="single" w:sz="4" w:space="0" w:color="auto"/>
              <w:bottom w:val="single" w:sz="4" w:space="0" w:color="auto"/>
              <w:right w:val="nil"/>
            </w:tcBorders>
            <w:noWrap/>
            <w:vAlign w:val="center"/>
            <w:hideMark/>
          </w:tcPr>
          <w:p w14:paraId="4E6543D6" w14:textId="4B2333A2" w:rsidR="00A741F1" w:rsidRPr="00232EBB" w:rsidRDefault="0027210F" w:rsidP="002D2273">
            <w:pPr>
              <w:spacing w:after="0" w:line="240" w:lineRule="auto"/>
              <w:jc w:val="center"/>
              <w:rPr>
                <w:rFonts w:eastAsia="Calibri"/>
                <w:noProof/>
                <w:sz w:val="22"/>
                <w:szCs w:val="22"/>
                <w:lang w:val="es-ES"/>
              </w:rPr>
            </w:pPr>
            <w:r w:rsidRPr="00232EBB">
              <w:rPr>
                <w:rFonts w:eastAsia="Calibri"/>
                <w:noProof/>
                <w:sz w:val="22"/>
                <w:szCs w:val="22"/>
                <w:lang w:val="es-ES"/>
              </w:rPr>
              <w:t>18,285,004,047.11</w:t>
            </w:r>
          </w:p>
        </w:tc>
        <w:tc>
          <w:tcPr>
            <w:tcW w:w="2407" w:type="dxa"/>
            <w:tcBorders>
              <w:top w:val="nil"/>
              <w:left w:val="single" w:sz="4" w:space="0" w:color="auto"/>
              <w:bottom w:val="single" w:sz="4" w:space="0" w:color="auto"/>
              <w:right w:val="single" w:sz="8" w:space="0" w:color="auto"/>
            </w:tcBorders>
            <w:noWrap/>
            <w:vAlign w:val="center"/>
            <w:hideMark/>
          </w:tcPr>
          <w:p w14:paraId="1DE84847" w14:textId="3B10BFE3" w:rsidR="00A741F1" w:rsidRPr="00232EBB" w:rsidRDefault="0027210F" w:rsidP="002D2273">
            <w:pPr>
              <w:spacing w:after="0" w:line="240" w:lineRule="auto"/>
              <w:jc w:val="center"/>
              <w:rPr>
                <w:rFonts w:eastAsia="Calibri"/>
                <w:noProof/>
                <w:sz w:val="22"/>
                <w:szCs w:val="22"/>
                <w:lang w:val="es-ES"/>
              </w:rPr>
            </w:pPr>
            <w:r w:rsidRPr="00232EBB">
              <w:rPr>
                <w:rFonts w:eastAsia="Calibri"/>
                <w:noProof/>
                <w:sz w:val="22"/>
                <w:szCs w:val="22"/>
                <w:lang w:val="es-ES"/>
              </w:rPr>
              <w:t>177,214,893,123.82</w:t>
            </w:r>
          </w:p>
        </w:tc>
      </w:tr>
      <w:tr w:rsidR="00A741F1" w:rsidRPr="00232EBB" w14:paraId="212F4BBA" w14:textId="77777777" w:rsidTr="00BA2589">
        <w:trPr>
          <w:trHeight w:val="359"/>
        </w:trPr>
        <w:tc>
          <w:tcPr>
            <w:tcW w:w="3140" w:type="dxa"/>
            <w:tcBorders>
              <w:top w:val="nil"/>
              <w:left w:val="single" w:sz="8" w:space="0" w:color="auto"/>
              <w:bottom w:val="single" w:sz="4" w:space="0" w:color="auto"/>
              <w:right w:val="nil"/>
            </w:tcBorders>
            <w:noWrap/>
            <w:vAlign w:val="bottom"/>
            <w:hideMark/>
          </w:tcPr>
          <w:p w14:paraId="1D6B448E" w14:textId="5FA5BA5A" w:rsidR="00A741F1" w:rsidRPr="00232EBB" w:rsidRDefault="00836944" w:rsidP="00A741F1">
            <w:pPr>
              <w:spacing w:after="0" w:line="240" w:lineRule="auto"/>
              <w:rPr>
                <w:rFonts w:eastAsia="Calibri"/>
                <w:noProof/>
                <w:sz w:val="22"/>
                <w:szCs w:val="22"/>
                <w:lang w:val="es-ES"/>
              </w:rPr>
            </w:pPr>
            <w:r w:rsidRPr="00232EBB">
              <w:rPr>
                <w:rFonts w:eastAsia="Calibri"/>
                <w:noProof/>
                <w:sz w:val="22"/>
                <w:szCs w:val="22"/>
                <w:lang w:val="es-ES"/>
              </w:rPr>
              <w:t>Aportes Extraordinarios Del Estado Dominicano</w:t>
            </w:r>
          </w:p>
        </w:tc>
        <w:tc>
          <w:tcPr>
            <w:tcW w:w="2353" w:type="dxa"/>
            <w:tcBorders>
              <w:top w:val="nil"/>
              <w:left w:val="single" w:sz="4" w:space="0" w:color="auto"/>
              <w:bottom w:val="single" w:sz="4" w:space="0" w:color="auto"/>
              <w:right w:val="nil"/>
            </w:tcBorders>
            <w:noWrap/>
            <w:vAlign w:val="center"/>
            <w:hideMark/>
          </w:tcPr>
          <w:p w14:paraId="3731BFFF" w14:textId="1CF7817B" w:rsidR="00A741F1" w:rsidRPr="00232EBB" w:rsidRDefault="00A741F1" w:rsidP="002D2273">
            <w:pPr>
              <w:spacing w:after="0" w:line="240" w:lineRule="auto"/>
              <w:jc w:val="center"/>
              <w:rPr>
                <w:rFonts w:eastAsia="Calibri"/>
                <w:noProof/>
                <w:sz w:val="22"/>
                <w:szCs w:val="22"/>
                <w:lang w:val="es-ES"/>
              </w:rPr>
            </w:pPr>
          </w:p>
        </w:tc>
        <w:tc>
          <w:tcPr>
            <w:tcW w:w="2407" w:type="dxa"/>
            <w:tcBorders>
              <w:top w:val="nil"/>
              <w:left w:val="single" w:sz="4" w:space="0" w:color="auto"/>
              <w:bottom w:val="single" w:sz="4" w:space="0" w:color="auto"/>
              <w:right w:val="single" w:sz="8" w:space="0" w:color="auto"/>
            </w:tcBorders>
            <w:noWrap/>
            <w:vAlign w:val="center"/>
            <w:hideMark/>
          </w:tcPr>
          <w:p w14:paraId="0A9F6D43" w14:textId="34E88DCF" w:rsidR="00A741F1" w:rsidRPr="00232EBB" w:rsidRDefault="00A741F1" w:rsidP="002D2273">
            <w:pPr>
              <w:spacing w:after="0" w:line="240" w:lineRule="auto"/>
              <w:jc w:val="center"/>
              <w:rPr>
                <w:rFonts w:eastAsia="Calibri"/>
                <w:noProof/>
                <w:sz w:val="22"/>
                <w:szCs w:val="22"/>
                <w:lang w:val="es-ES"/>
              </w:rPr>
            </w:pPr>
            <w:r w:rsidRPr="00232EBB">
              <w:rPr>
                <w:rFonts w:eastAsia="Calibri"/>
                <w:noProof/>
                <w:sz w:val="22"/>
                <w:szCs w:val="22"/>
                <w:lang w:val="es-ES"/>
              </w:rPr>
              <w:t>3,520,945,324.00</w:t>
            </w:r>
          </w:p>
        </w:tc>
      </w:tr>
      <w:tr w:rsidR="0027210F" w:rsidRPr="00232EBB" w14:paraId="6922CB5E" w14:textId="77777777" w:rsidTr="00BA2589">
        <w:trPr>
          <w:trHeight w:val="536"/>
        </w:trPr>
        <w:tc>
          <w:tcPr>
            <w:tcW w:w="3140" w:type="dxa"/>
            <w:tcBorders>
              <w:top w:val="single" w:sz="4" w:space="0" w:color="auto"/>
              <w:left w:val="single" w:sz="8" w:space="0" w:color="auto"/>
              <w:bottom w:val="single" w:sz="4" w:space="0" w:color="auto"/>
              <w:right w:val="nil"/>
            </w:tcBorders>
            <w:vAlign w:val="bottom"/>
          </w:tcPr>
          <w:p w14:paraId="5FD75C5D" w14:textId="16E1B631" w:rsidR="0027210F" w:rsidRPr="00232EBB" w:rsidRDefault="0027210F" w:rsidP="00A741F1">
            <w:pPr>
              <w:spacing w:after="0" w:line="240" w:lineRule="auto"/>
              <w:rPr>
                <w:rFonts w:eastAsia="Calibri"/>
                <w:noProof/>
                <w:sz w:val="22"/>
                <w:szCs w:val="22"/>
                <w:lang w:val="es-ES"/>
              </w:rPr>
            </w:pPr>
            <w:r w:rsidRPr="00232EBB">
              <w:rPr>
                <w:rFonts w:eastAsia="Calibri"/>
                <w:noProof/>
                <w:sz w:val="22"/>
                <w:szCs w:val="22"/>
                <w:lang w:val="es-ES"/>
              </w:rPr>
              <w:t>Fondos recibidos por el IDOPRIL, segúb Res. De</w:t>
            </w:r>
            <w:r w:rsidR="00836944" w:rsidRPr="00232EBB">
              <w:rPr>
                <w:rFonts w:eastAsia="Calibri"/>
                <w:noProof/>
                <w:sz w:val="22"/>
                <w:szCs w:val="22"/>
                <w:lang w:val="es-ES"/>
              </w:rPr>
              <w:t>l</w:t>
            </w:r>
            <w:r w:rsidRPr="00232EBB">
              <w:rPr>
                <w:rFonts w:eastAsia="Calibri"/>
                <w:noProof/>
                <w:sz w:val="22"/>
                <w:szCs w:val="22"/>
                <w:lang w:val="es-ES"/>
              </w:rPr>
              <w:t xml:space="preserve"> CNSS No. 619-08 de fecha 28 de agosto de 2025f para Protección Salud de las personas</w:t>
            </w:r>
          </w:p>
        </w:tc>
        <w:tc>
          <w:tcPr>
            <w:tcW w:w="2353" w:type="dxa"/>
            <w:tcBorders>
              <w:top w:val="single" w:sz="4" w:space="0" w:color="auto"/>
              <w:left w:val="single" w:sz="4" w:space="0" w:color="auto"/>
              <w:bottom w:val="single" w:sz="4" w:space="0" w:color="auto"/>
              <w:right w:val="nil"/>
            </w:tcBorders>
            <w:noWrap/>
            <w:vAlign w:val="center"/>
          </w:tcPr>
          <w:p w14:paraId="63FF491B" w14:textId="59873B5A" w:rsidR="0027210F" w:rsidRPr="00232EBB" w:rsidRDefault="00A46A25" w:rsidP="002D2273">
            <w:pPr>
              <w:spacing w:after="0" w:line="240" w:lineRule="auto"/>
              <w:jc w:val="center"/>
              <w:rPr>
                <w:rFonts w:eastAsia="Calibri"/>
                <w:noProof/>
                <w:sz w:val="22"/>
                <w:szCs w:val="22"/>
                <w:lang w:val="es-ES"/>
              </w:rPr>
            </w:pPr>
            <w:r w:rsidRPr="00232EBB">
              <w:rPr>
                <w:rFonts w:eastAsia="Calibri"/>
                <w:noProof/>
                <w:sz w:val="22"/>
                <w:szCs w:val="22"/>
                <w:lang w:val="es-ES"/>
              </w:rPr>
              <w:t>6,000,000,000.00</w:t>
            </w:r>
          </w:p>
        </w:tc>
        <w:tc>
          <w:tcPr>
            <w:tcW w:w="2407" w:type="dxa"/>
            <w:tcBorders>
              <w:top w:val="single" w:sz="4" w:space="0" w:color="auto"/>
              <w:left w:val="single" w:sz="4" w:space="0" w:color="auto"/>
              <w:bottom w:val="single" w:sz="4" w:space="0" w:color="auto"/>
              <w:right w:val="single" w:sz="8" w:space="0" w:color="auto"/>
            </w:tcBorders>
            <w:noWrap/>
            <w:vAlign w:val="center"/>
          </w:tcPr>
          <w:p w14:paraId="53A4822D" w14:textId="2D65B1AA" w:rsidR="0027210F" w:rsidRPr="00232EBB" w:rsidRDefault="00A46A25" w:rsidP="002D2273">
            <w:pPr>
              <w:spacing w:after="0" w:line="240" w:lineRule="auto"/>
              <w:jc w:val="center"/>
              <w:rPr>
                <w:rFonts w:eastAsia="Calibri"/>
                <w:noProof/>
                <w:sz w:val="22"/>
                <w:szCs w:val="22"/>
                <w:lang w:val="es-ES"/>
              </w:rPr>
            </w:pPr>
            <w:r w:rsidRPr="00232EBB">
              <w:rPr>
                <w:rFonts w:eastAsia="Calibri"/>
                <w:noProof/>
                <w:sz w:val="22"/>
                <w:szCs w:val="22"/>
                <w:lang w:val="es-ES"/>
              </w:rPr>
              <w:t>6,000,000,000.00</w:t>
            </w:r>
          </w:p>
        </w:tc>
      </w:tr>
      <w:tr w:rsidR="00A741F1" w:rsidRPr="00232EBB" w14:paraId="498BC3B7" w14:textId="77777777" w:rsidTr="00BA2589">
        <w:trPr>
          <w:trHeight w:val="536"/>
        </w:trPr>
        <w:tc>
          <w:tcPr>
            <w:tcW w:w="3140" w:type="dxa"/>
            <w:tcBorders>
              <w:top w:val="single" w:sz="4" w:space="0" w:color="auto"/>
              <w:left w:val="single" w:sz="8" w:space="0" w:color="auto"/>
              <w:bottom w:val="single" w:sz="4" w:space="0" w:color="auto"/>
              <w:right w:val="nil"/>
            </w:tcBorders>
            <w:vAlign w:val="bottom"/>
            <w:hideMark/>
          </w:tcPr>
          <w:p w14:paraId="2E78F4BD"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Fondos Atenciones Médicas Covid-19  en el mes   ( Aporte extraordinario)</w:t>
            </w:r>
          </w:p>
        </w:tc>
        <w:tc>
          <w:tcPr>
            <w:tcW w:w="2353" w:type="dxa"/>
            <w:tcBorders>
              <w:top w:val="single" w:sz="4" w:space="0" w:color="auto"/>
              <w:left w:val="single" w:sz="4" w:space="0" w:color="auto"/>
              <w:bottom w:val="single" w:sz="4" w:space="0" w:color="auto"/>
              <w:right w:val="nil"/>
            </w:tcBorders>
            <w:noWrap/>
            <w:vAlign w:val="center"/>
            <w:hideMark/>
          </w:tcPr>
          <w:p w14:paraId="7151CC27" w14:textId="5E2F1676" w:rsidR="00A741F1" w:rsidRPr="00232EBB" w:rsidRDefault="00A741F1" w:rsidP="002D2273">
            <w:pPr>
              <w:spacing w:after="0" w:line="240" w:lineRule="auto"/>
              <w:jc w:val="center"/>
              <w:rPr>
                <w:rFonts w:eastAsia="Calibri"/>
                <w:noProof/>
                <w:sz w:val="22"/>
                <w:szCs w:val="22"/>
                <w:lang w:val="es-ES"/>
              </w:rPr>
            </w:pPr>
          </w:p>
        </w:tc>
        <w:tc>
          <w:tcPr>
            <w:tcW w:w="2407" w:type="dxa"/>
            <w:tcBorders>
              <w:top w:val="single" w:sz="4" w:space="0" w:color="auto"/>
              <w:left w:val="single" w:sz="4" w:space="0" w:color="auto"/>
              <w:bottom w:val="single" w:sz="4" w:space="0" w:color="auto"/>
              <w:right w:val="single" w:sz="8" w:space="0" w:color="auto"/>
            </w:tcBorders>
            <w:noWrap/>
            <w:vAlign w:val="center"/>
            <w:hideMark/>
          </w:tcPr>
          <w:p w14:paraId="6A11D7AC" w14:textId="68E7FEE6" w:rsidR="00A741F1" w:rsidRPr="00232EBB" w:rsidRDefault="00A741F1" w:rsidP="002D2273">
            <w:pPr>
              <w:spacing w:after="0" w:line="240" w:lineRule="auto"/>
              <w:jc w:val="center"/>
              <w:rPr>
                <w:rFonts w:eastAsia="Calibri"/>
                <w:noProof/>
                <w:sz w:val="22"/>
                <w:szCs w:val="22"/>
                <w:lang w:val="es-ES"/>
              </w:rPr>
            </w:pPr>
            <w:r w:rsidRPr="00232EBB">
              <w:rPr>
                <w:rFonts w:eastAsia="Calibri"/>
                <w:noProof/>
                <w:sz w:val="22"/>
                <w:szCs w:val="22"/>
                <w:lang w:val="es-ES"/>
              </w:rPr>
              <w:t>1,498,481,601.68</w:t>
            </w:r>
          </w:p>
        </w:tc>
      </w:tr>
      <w:tr w:rsidR="00A741F1" w:rsidRPr="00232EBB" w14:paraId="2604DBCA" w14:textId="77777777" w:rsidTr="00BA2589">
        <w:trPr>
          <w:trHeight w:val="306"/>
        </w:trPr>
        <w:tc>
          <w:tcPr>
            <w:tcW w:w="3140" w:type="dxa"/>
            <w:tcBorders>
              <w:top w:val="nil"/>
              <w:left w:val="single" w:sz="8" w:space="0" w:color="auto"/>
              <w:bottom w:val="single" w:sz="4" w:space="0" w:color="auto"/>
              <w:right w:val="nil"/>
            </w:tcBorders>
            <w:vAlign w:val="bottom"/>
            <w:hideMark/>
          </w:tcPr>
          <w:p w14:paraId="11E02258"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lastRenderedPageBreak/>
              <w:t xml:space="preserve">Efectivo Proveniente  de Rendimiento en Inversiones </w:t>
            </w:r>
          </w:p>
        </w:tc>
        <w:tc>
          <w:tcPr>
            <w:tcW w:w="2353" w:type="dxa"/>
            <w:tcBorders>
              <w:top w:val="nil"/>
              <w:left w:val="single" w:sz="4" w:space="0" w:color="auto"/>
              <w:bottom w:val="single" w:sz="4" w:space="0" w:color="auto"/>
              <w:right w:val="nil"/>
            </w:tcBorders>
            <w:noWrap/>
            <w:vAlign w:val="center"/>
            <w:hideMark/>
          </w:tcPr>
          <w:p w14:paraId="5E923BCB" w14:textId="16F29445" w:rsidR="00A741F1" w:rsidRPr="00232EBB" w:rsidRDefault="00A46A25" w:rsidP="002D2273">
            <w:pPr>
              <w:spacing w:after="0" w:line="240" w:lineRule="auto"/>
              <w:jc w:val="center"/>
              <w:rPr>
                <w:rFonts w:eastAsia="Calibri"/>
                <w:noProof/>
                <w:sz w:val="22"/>
                <w:szCs w:val="22"/>
                <w:lang w:val="es-ES"/>
              </w:rPr>
            </w:pPr>
            <w:r w:rsidRPr="00232EBB">
              <w:rPr>
                <w:rFonts w:eastAsia="Calibri"/>
                <w:noProof/>
                <w:sz w:val="22"/>
                <w:szCs w:val="22"/>
                <w:lang w:val="es-ES"/>
              </w:rPr>
              <w:t>13,522,825.10</w:t>
            </w:r>
          </w:p>
        </w:tc>
        <w:tc>
          <w:tcPr>
            <w:tcW w:w="2407" w:type="dxa"/>
            <w:tcBorders>
              <w:top w:val="nil"/>
              <w:left w:val="single" w:sz="4" w:space="0" w:color="auto"/>
              <w:bottom w:val="single" w:sz="4" w:space="0" w:color="auto"/>
              <w:right w:val="single" w:sz="8" w:space="0" w:color="auto"/>
            </w:tcBorders>
            <w:noWrap/>
            <w:vAlign w:val="center"/>
            <w:hideMark/>
          </w:tcPr>
          <w:p w14:paraId="2B0CD2EF" w14:textId="538D54FC" w:rsidR="00A741F1" w:rsidRPr="00232EBB" w:rsidRDefault="0027210F" w:rsidP="002D2273">
            <w:pPr>
              <w:spacing w:after="0" w:line="240" w:lineRule="auto"/>
              <w:jc w:val="center"/>
              <w:rPr>
                <w:rFonts w:eastAsia="Calibri"/>
                <w:noProof/>
                <w:sz w:val="22"/>
                <w:szCs w:val="22"/>
                <w:lang w:val="es-ES"/>
              </w:rPr>
            </w:pPr>
            <w:r w:rsidRPr="00232EBB">
              <w:rPr>
                <w:rFonts w:eastAsia="Calibri"/>
                <w:noProof/>
                <w:sz w:val="22"/>
                <w:szCs w:val="22"/>
                <w:lang w:val="es-ES"/>
              </w:rPr>
              <w:t>318,272,130.20</w:t>
            </w:r>
          </w:p>
        </w:tc>
      </w:tr>
      <w:tr w:rsidR="00A741F1" w:rsidRPr="00232EBB" w14:paraId="6A7924FA" w14:textId="77777777" w:rsidTr="00BA2589">
        <w:trPr>
          <w:trHeight w:val="306"/>
        </w:trPr>
        <w:tc>
          <w:tcPr>
            <w:tcW w:w="3140" w:type="dxa"/>
            <w:tcBorders>
              <w:top w:val="nil"/>
              <w:left w:val="single" w:sz="8" w:space="0" w:color="auto"/>
              <w:bottom w:val="single" w:sz="4" w:space="0" w:color="auto"/>
              <w:right w:val="nil"/>
            </w:tcBorders>
            <w:vAlign w:val="bottom"/>
            <w:hideMark/>
          </w:tcPr>
          <w:p w14:paraId="23709A5E"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 xml:space="preserve">Rendimientos Capitalizados </w:t>
            </w:r>
          </w:p>
        </w:tc>
        <w:tc>
          <w:tcPr>
            <w:tcW w:w="2353" w:type="dxa"/>
            <w:tcBorders>
              <w:top w:val="nil"/>
              <w:left w:val="single" w:sz="4" w:space="0" w:color="auto"/>
              <w:bottom w:val="single" w:sz="4" w:space="0" w:color="auto"/>
              <w:right w:val="nil"/>
            </w:tcBorders>
            <w:noWrap/>
            <w:vAlign w:val="center"/>
            <w:hideMark/>
          </w:tcPr>
          <w:p w14:paraId="31DED4A7" w14:textId="1B3B312C" w:rsidR="00A741F1" w:rsidRPr="00232EBB" w:rsidRDefault="00A46A25" w:rsidP="002D2273">
            <w:pPr>
              <w:spacing w:after="0" w:line="240" w:lineRule="auto"/>
              <w:jc w:val="center"/>
              <w:rPr>
                <w:rFonts w:eastAsia="Calibri"/>
                <w:noProof/>
                <w:sz w:val="22"/>
                <w:szCs w:val="22"/>
                <w:lang w:val="es-ES"/>
              </w:rPr>
            </w:pPr>
            <w:r w:rsidRPr="00232EBB">
              <w:rPr>
                <w:rFonts w:eastAsia="Calibri"/>
                <w:noProof/>
                <w:sz w:val="22"/>
                <w:szCs w:val="22"/>
                <w:lang w:val="es-ES"/>
              </w:rPr>
              <w:t>40,421,418.25</w:t>
            </w:r>
          </w:p>
        </w:tc>
        <w:tc>
          <w:tcPr>
            <w:tcW w:w="2407" w:type="dxa"/>
            <w:tcBorders>
              <w:top w:val="nil"/>
              <w:left w:val="single" w:sz="4" w:space="0" w:color="auto"/>
              <w:bottom w:val="single" w:sz="4" w:space="0" w:color="auto"/>
              <w:right w:val="single" w:sz="8" w:space="0" w:color="auto"/>
            </w:tcBorders>
            <w:noWrap/>
            <w:vAlign w:val="center"/>
            <w:hideMark/>
          </w:tcPr>
          <w:p w14:paraId="4C90CF9A" w14:textId="3CECE82F" w:rsidR="00A741F1" w:rsidRPr="00232EBB" w:rsidRDefault="00A46A25" w:rsidP="002D2273">
            <w:pPr>
              <w:spacing w:after="0" w:line="240" w:lineRule="auto"/>
              <w:jc w:val="center"/>
              <w:rPr>
                <w:rFonts w:eastAsia="Calibri"/>
                <w:noProof/>
                <w:sz w:val="22"/>
                <w:szCs w:val="22"/>
                <w:lang w:val="es-ES"/>
              </w:rPr>
            </w:pPr>
            <w:r w:rsidRPr="00232EBB">
              <w:rPr>
                <w:rFonts w:eastAsia="Calibri"/>
                <w:noProof/>
                <w:sz w:val="22"/>
                <w:szCs w:val="22"/>
                <w:lang w:val="es-ES"/>
              </w:rPr>
              <w:t>169,035,424.01</w:t>
            </w:r>
          </w:p>
        </w:tc>
      </w:tr>
      <w:tr w:rsidR="00A741F1" w:rsidRPr="00232EBB" w14:paraId="29153F84" w14:textId="77777777" w:rsidTr="00BA2589">
        <w:trPr>
          <w:trHeight w:val="306"/>
        </w:trPr>
        <w:tc>
          <w:tcPr>
            <w:tcW w:w="3140" w:type="dxa"/>
            <w:tcBorders>
              <w:top w:val="single" w:sz="8" w:space="0" w:color="auto"/>
              <w:left w:val="single" w:sz="8" w:space="0" w:color="auto"/>
              <w:bottom w:val="single" w:sz="4" w:space="0" w:color="auto"/>
              <w:right w:val="nil"/>
            </w:tcBorders>
            <w:shd w:val="clear" w:color="000000" w:fill="002060"/>
            <w:noWrap/>
            <w:vAlign w:val="bottom"/>
            <w:hideMark/>
          </w:tcPr>
          <w:p w14:paraId="0B8F8DDA" w14:textId="77777777" w:rsidR="00A741F1" w:rsidRPr="00232EBB" w:rsidRDefault="00A741F1" w:rsidP="00A741F1">
            <w:pPr>
              <w:spacing w:after="0" w:line="240" w:lineRule="auto"/>
              <w:rPr>
                <w:rFonts w:eastAsia="Calibri"/>
                <w:noProof/>
                <w:color w:val="FFFFFF" w:themeColor="background1"/>
                <w:sz w:val="22"/>
                <w:szCs w:val="22"/>
                <w:lang w:val="es-ES"/>
              </w:rPr>
            </w:pPr>
            <w:r w:rsidRPr="00232EBB">
              <w:rPr>
                <w:rFonts w:eastAsia="Calibri"/>
                <w:noProof/>
                <w:color w:val="FFFFFF" w:themeColor="background1"/>
                <w:sz w:val="22"/>
                <w:szCs w:val="22"/>
                <w:lang w:val="es-ES"/>
              </w:rPr>
              <w:t>TOTAL APORTES RECIBIDOS</w:t>
            </w:r>
          </w:p>
        </w:tc>
        <w:tc>
          <w:tcPr>
            <w:tcW w:w="2353" w:type="dxa"/>
            <w:tcBorders>
              <w:top w:val="nil"/>
              <w:left w:val="single" w:sz="4" w:space="0" w:color="auto"/>
              <w:bottom w:val="single" w:sz="4" w:space="0" w:color="auto"/>
              <w:right w:val="single" w:sz="8" w:space="0" w:color="auto"/>
            </w:tcBorders>
            <w:shd w:val="clear" w:color="000000" w:fill="002060"/>
            <w:noWrap/>
            <w:vAlign w:val="center"/>
            <w:hideMark/>
          </w:tcPr>
          <w:p w14:paraId="1D419487" w14:textId="28C50C36" w:rsidR="00A741F1" w:rsidRPr="00232EBB" w:rsidRDefault="00A46A25" w:rsidP="002D2273">
            <w:pPr>
              <w:spacing w:after="0" w:line="240" w:lineRule="auto"/>
              <w:jc w:val="center"/>
              <w:rPr>
                <w:rFonts w:eastAsia="Calibri"/>
                <w:noProof/>
                <w:color w:val="FFFFFF" w:themeColor="background1"/>
                <w:sz w:val="22"/>
                <w:szCs w:val="22"/>
                <w:lang w:val="es-ES"/>
              </w:rPr>
            </w:pPr>
            <w:r w:rsidRPr="00232EBB">
              <w:rPr>
                <w:rFonts w:eastAsia="Calibri"/>
                <w:noProof/>
                <w:color w:val="FFFFFF" w:themeColor="background1"/>
                <w:sz w:val="22"/>
                <w:szCs w:val="22"/>
                <w:lang w:val="es-ES"/>
              </w:rPr>
              <w:t>24,570,476,857.77</w:t>
            </w:r>
          </w:p>
        </w:tc>
        <w:tc>
          <w:tcPr>
            <w:tcW w:w="2407" w:type="dxa"/>
            <w:tcBorders>
              <w:top w:val="nil"/>
              <w:left w:val="single" w:sz="4" w:space="0" w:color="auto"/>
              <w:bottom w:val="single" w:sz="4" w:space="0" w:color="auto"/>
              <w:right w:val="single" w:sz="8" w:space="0" w:color="auto"/>
            </w:tcBorders>
            <w:shd w:val="clear" w:color="000000" w:fill="002060"/>
            <w:noWrap/>
            <w:vAlign w:val="center"/>
            <w:hideMark/>
          </w:tcPr>
          <w:p w14:paraId="77EBB896" w14:textId="61C204CF" w:rsidR="00A741F1" w:rsidRPr="00232EBB" w:rsidRDefault="00A46A25" w:rsidP="002D2273">
            <w:pPr>
              <w:spacing w:after="0" w:line="240" w:lineRule="auto"/>
              <w:jc w:val="center"/>
              <w:rPr>
                <w:rFonts w:eastAsia="Calibri"/>
                <w:noProof/>
                <w:color w:val="FFFFFF" w:themeColor="background1"/>
                <w:sz w:val="22"/>
                <w:szCs w:val="22"/>
                <w:lang w:val="es-ES"/>
              </w:rPr>
            </w:pPr>
            <w:r w:rsidRPr="00232EBB">
              <w:rPr>
                <w:rFonts w:eastAsia="Calibri"/>
                <w:noProof/>
                <w:color w:val="FFFFFF" w:themeColor="background1"/>
                <w:sz w:val="22"/>
                <w:szCs w:val="22"/>
                <w:lang w:val="es-ES"/>
              </w:rPr>
              <w:t>188,721,627,603.71</w:t>
            </w:r>
          </w:p>
        </w:tc>
      </w:tr>
      <w:tr w:rsidR="00A741F1" w:rsidRPr="00232EBB" w14:paraId="7FFF1332" w14:textId="77777777" w:rsidTr="00BA2589">
        <w:trPr>
          <w:trHeight w:val="306"/>
        </w:trPr>
        <w:tc>
          <w:tcPr>
            <w:tcW w:w="3140" w:type="dxa"/>
            <w:tcBorders>
              <w:top w:val="nil"/>
              <w:left w:val="single" w:sz="8" w:space="0" w:color="auto"/>
              <w:bottom w:val="single" w:sz="4" w:space="0" w:color="auto"/>
              <w:right w:val="nil"/>
            </w:tcBorders>
            <w:noWrap/>
            <w:vAlign w:val="bottom"/>
            <w:hideMark/>
          </w:tcPr>
          <w:p w14:paraId="162E2B1E"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MENOS:</w:t>
            </w:r>
          </w:p>
        </w:tc>
        <w:tc>
          <w:tcPr>
            <w:tcW w:w="2353" w:type="dxa"/>
            <w:tcBorders>
              <w:top w:val="nil"/>
              <w:left w:val="single" w:sz="4" w:space="0" w:color="auto"/>
              <w:bottom w:val="single" w:sz="4" w:space="0" w:color="auto"/>
              <w:right w:val="nil"/>
            </w:tcBorders>
            <w:noWrap/>
            <w:vAlign w:val="center"/>
            <w:hideMark/>
          </w:tcPr>
          <w:p w14:paraId="0438D700" w14:textId="5C27B337" w:rsidR="00A741F1" w:rsidRPr="00232EBB" w:rsidRDefault="00A741F1" w:rsidP="002D2273">
            <w:pPr>
              <w:spacing w:after="0" w:line="240" w:lineRule="auto"/>
              <w:jc w:val="center"/>
              <w:rPr>
                <w:rFonts w:eastAsia="Calibri"/>
                <w:noProof/>
                <w:sz w:val="22"/>
                <w:szCs w:val="22"/>
                <w:lang w:val="es-ES"/>
              </w:rPr>
            </w:pPr>
          </w:p>
        </w:tc>
        <w:tc>
          <w:tcPr>
            <w:tcW w:w="2407" w:type="dxa"/>
            <w:tcBorders>
              <w:top w:val="nil"/>
              <w:left w:val="single" w:sz="4" w:space="0" w:color="auto"/>
              <w:bottom w:val="single" w:sz="4" w:space="0" w:color="auto"/>
              <w:right w:val="single" w:sz="8" w:space="0" w:color="auto"/>
            </w:tcBorders>
            <w:noWrap/>
            <w:vAlign w:val="center"/>
            <w:hideMark/>
          </w:tcPr>
          <w:p w14:paraId="139CC35A" w14:textId="7A1339A4" w:rsidR="00A741F1" w:rsidRPr="00232EBB" w:rsidRDefault="00A741F1" w:rsidP="002D2273">
            <w:pPr>
              <w:spacing w:after="0" w:line="240" w:lineRule="auto"/>
              <w:jc w:val="center"/>
              <w:rPr>
                <w:rFonts w:eastAsia="Calibri"/>
                <w:noProof/>
                <w:sz w:val="22"/>
                <w:szCs w:val="22"/>
                <w:lang w:val="es-ES"/>
              </w:rPr>
            </w:pPr>
          </w:p>
        </w:tc>
      </w:tr>
      <w:tr w:rsidR="00A741F1" w:rsidRPr="00232EBB" w14:paraId="242F6321" w14:textId="77777777" w:rsidTr="00BA2589">
        <w:trPr>
          <w:trHeight w:val="306"/>
        </w:trPr>
        <w:tc>
          <w:tcPr>
            <w:tcW w:w="3140" w:type="dxa"/>
            <w:tcBorders>
              <w:top w:val="single" w:sz="4" w:space="0" w:color="auto"/>
              <w:left w:val="single" w:sz="8" w:space="0" w:color="auto"/>
              <w:bottom w:val="single" w:sz="4" w:space="0" w:color="auto"/>
              <w:right w:val="nil"/>
            </w:tcBorders>
            <w:noWrap/>
            <w:vAlign w:val="bottom"/>
            <w:hideMark/>
          </w:tcPr>
          <w:p w14:paraId="77904FE5"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PAGOS AL SEGURO NACIONAL DE SALUD (CSP)</w:t>
            </w:r>
          </w:p>
        </w:tc>
        <w:tc>
          <w:tcPr>
            <w:tcW w:w="2353" w:type="dxa"/>
            <w:tcBorders>
              <w:top w:val="single" w:sz="4" w:space="0" w:color="auto"/>
              <w:left w:val="single" w:sz="4" w:space="0" w:color="auto"/>
              <w:bottom w:val="single" w:sz="4" w:space="0" w:color="auto"/>
              <w:right w:val="nil"/>
            </w:tcBorders>
            <w:noWrap/>
            <w:vAlign w:val="center"/>
          </w:tcPr>
          <w:p w14:paraId="76560DFB" w14:textId="25FAE315" w:rsidR="00A741F1" w:rsidRPr="00232EBB" w:rsidRDefault="00144238" w:rsidP="002D2273">
            <w:pPr>
              <w:spacing w:after="0" w:line="240" w:lineRule="auto"/>
              <w:jc w:val="center"/>
              <w:rPr>
                <w:rFonts w:eastAsia="Calibri"/>
                <w:noProof/>
                <w:sz w:val="22"/>
                <w:szCs w:val="22"/>
                <w:lang w:val="es-ES"/>
              </w:rPr>
            </w:pPr>
            <w:r w:rsidRPr="00232EBB">
              <w:rPr>
                <w:rFonts w:eastAsia="Calibri"/>
                <w:noProof/>
                <w:sz w:val="22"/>
                <w:szCs w:val="22"/>
                <w:lang w:val="es-ES"/>
              </w:rPr>
              <w:t>21,986,348,647.56</w:t>
            </w:r>
          </w:p>
        </w:tc>
        <w:tc>
          <w:tcPr>
            <w:tcW w:w="2407" w:type="dxa"/>
            <w:tcBorders>
              <w:top w:val="single" w:sz="4" w:space="0" w:color="auto"/>
              <w:left w:val="single" w:sz="4" w:space="0" w:color="auto"/>
              <w:bottom w:val="single" w:sz="4" w:space="0" w:color="auto"/>
              <w:right w:val="single" w:sz="8" w:space="0" w:color="auto"/>
            </w:tcBorders>
            <w:noWrap/>
            <w:vAlign w:val="center"/>
          </w:tcPr>
          <w:p w14:paraId="5E6357E2" w14:textId="0F13D35D" w:rsidR="00A741F1" w:rsidRPr="00232EBB" w:rsidRDefault="00144238" w:rsidP="002D2273">
            <w:pPr>
              <w:spacing w:after="0" w:line="240" w:lineRule="auto"/>
              <w:jc w:val="center"/>
              <w:rPr>
                <w:rFonts w:eastAsia="Calibri"/>
                <w:noProof/>
                <w:sz w:val="22"/>
                <w:szCs w:val="22"/>
                <w:lang w:val="es-ES"/>
              </w:rPr>
            </w:pPr>
            <w:r w:rsidRPr="00232EBB">
              <w:rPr>
                <w:rFonts w:eastAsia="Calibri"/>
                <w:noProof/>
                <w:sz w:val="22"/>
                <w:szCs w:val="22"/>
                <w:lang w:val="es-ES"/>
              </w:rPr>
              <w:t>179,562,538,476.26</w:t>
            </w:r>
          </w:p>
        </w:tc>
      </w:tr>
      <w:tr w:rsidR="00A741F1" w:rsidRPr="00232EBB" w14:paraId="3BABB428" w14:textId="77777777" w:rsidTr="00BA2589">
        <w:trPr>
          <w:trHeight w:val="321"/>
        </w:trPr>
        <w:tc>
          <w:tcPr>
            <w:tcW w:w="3140" w:type="dxa"/>
            <w:tcBorders>
              <w:top w:val="single" w:sz="4" w:space="0" w:color="auto"/>
              <w:left w:val="single" w:sz="8" w:space="0" w:color="auto"/>
              <w:bottom w:val="single" w:sz="4" w:space="0" w:color="auto"/>
              <w:right w:val="nil"/>
            </w:tcBorders>
            <w:noWrap/>
            <w:vAlign w:val="bottom"/>
            <w:hideMark/>
          </w:tcPr>
          <w:p w14:paraId="48FA9D4A"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PAGOS AL SEGURO NACIONAL DE SALUD (FONAMAT)</w:t>
            </w:r>
          </w:p>
        </w:tc>
        <w:tc>
          <w:tcPr>
            <w:tcW w:w="2353" w:type="dxa"/>
            <w:tcBorders>
              <w:top w:val="single" w:sz="4" w:space="0" w:color="auto"/>
              <w:left w:val="single" w:sz="4" w:space="0" w:color="auto"/>
              <w:bottom w:val="single" w:sz="4" w:space="0" w:color="auto"/>
              <w:right w:val="nil"/>
            </w:tcBorders>
            <w:noWrap/>
            <w:vAlign w:val="center"/>
          </w:tcPr>
          <w:p w14:paraId="5170F17B" w14:textId="7EF9F5FC" w:rsidR="00A741F1" w:rsidRPr="00232EBB" w:rsidRDefault="00144238" w:rsidP="002D2273">
            <w:pPr>
              <w:spacing w:after="0" w:line="240" w:lineRule="auto"/>
              <w:jc w:val="center"/>
              <w:rPr>
                <w:rFonts w:eastAsia="Calibri"/>
                <w:noProof/>
                <w:sz w:val="22"/>
                <w:szCs w:val="22"/>
                <w:lang w:val="es-ES"/>
              </w:rPr>
            </w:pPr>
            <w:r w:rsidRPr="00232EBB">
              <w:rPr>
                <w:rFonts w:eastAsia="Calibri"/>
                <w:noProof/>
                <w:sz w:val="22"/>
                <w:szCs w:val="22"/>
                <w:lang w:val="es-ES"/>
              </w:rPr>
              <w:t>781,644,829.80</w:t>
            </w:r>
          </w:p>
        </w:tc>
        <w:tc>
          <w:tcPr>
            <w:tcW w:w="2407" w:type="dxa"/>
            <w:tcBorders>
              <w:top w:val="single" w:sz="4" w:space="0" w:color="auto"/>
              <w:left w:val="single" w:sz="4" w:space="0" w:color="auto"/>
              <w:bottom w:val="single" w:sz="4" w:space="0" w:color="auto"/>
              <w:right w:val="single" w:sz="8" w:space="0" w:color="auto"/>
            </w:tcBorders>
            <w:noWrap/>
            <w:vAlign w:val="center"/>
          </w:tcPr>
          <w:p w14:paraId="74ECCE1A" w14:textId="1D459C93" w:rsidR="00A741F1" w:rsidRPr="00232EBB" w:rsidRDefault="00144238" w:rsidP="002D2273">
            <w:pPr>
              <w:spacing w:after="0" w:line="240" w:lineRule="auto"/>
              <w:jc w:val="center"/>
              <w:rPr>
                <w:rFonts w:eastAsia="Calibri"/>
                <w:noProof/>
                <w:sz w:val="22"/>
                <w:szCs w:val="22"/>
                <w:lang w:val="es-ES"/>
              </w:rPr>
            </w:pPr>
            <w:r w:rsidRPr="00232EBB">
              <w:rPr>
                <w:rFonts w:eastAsia="Calibri"/>
                <w:noProof/>
                <w:sz w:val="22"/>
                <w:szCs w:val="22"/>
                <w:lang w:val="es-ES"/>
              </w:rPr>
              <w:t>3,954,788,211.80</w:t>
            </w:r>
          </w:p>
        </w:tc>
      </w:tr>
      <w:tr w:rsidR="00A741F1" w:rsidRPr="00232EBB" w14:paraId="34407A87" w14:textId="77777777" w:rsidTr="00BA2589">
        <w:trPr>
          <w:trHeight w:val="306"/>
        </w:trPr>
        <w:tc>
          <w:tcPr>
            <w:tcW w:w="3140" w:type="dxa"/>
            <w:tcBorders>
              <w:top w:val="nil"/>
              <w:left w:val="single" w:sz="8" w:space="0" w:color="auto"/>
              <w:bottom w:val="single" w:sz="4" w:space="0" w:color="auto"/>
              <w:right w:val="nil"/>
            </w:tcBorders>
            <w:noWrap/>
            <w:vAlign w:val="bottom"/>
            <w:hideMark/>
          </w:tcPr>
          <w:p w14:paraId="452B2DFC"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PAGOS EXTRAORDINARIOS AL (SENASA)</w:t>
            </w:r>
          </w:p>
        </w:tc>
        <w:tc>
          <w:tcPr>
            <w:tcW w:w="2353" w:type="dxa"/>
            <w:tcBorders>
              <w:top w:val="nil"/>
              <w:left w:val="single" w:sz="4" w:space="0" w:color="auto"/>
              <w:bottom w:val="single" w:sz="4" w:space="0" w:color="auto"/>
              <w:right w:val="nil"/>
            </w:tcBorders>
            <w:noWrap/>
            <w:vAlign w:val="center"/>
          </w:tcPr>
          <w:p w14:paraId="248FF304" w14:textId="0F864380" w:rsidR="00A741F1" w:rsidRPr="00232EBB" w:rsidRDefault="00A741F1" w:rsidP="002D2273">
            <w:pPr>
              <w:spacing w:after="0" w:line="240" w:lineRule="auto"/>
              <w:jc w:val="center"/>
              <w:rPr>
                <w:rFonts w:eastAsia="Calibri"/>
                <w:noProof/>
                <w:sz w:val="22"/>
                <w:szCs w:val="22"/>
                <w:lang w:val="es-ES"/>
              </w:rPr>
            </w:pPr>
          </w:p>
        </w:tc>
        <w:tc>
          <w:tcPr>
            <w:tcW w:w="2407" w:type="dxa"/>
            <w:tcBorders>
              <w:top w:val="nil"/>
              <w:left w:val="single" w:sz="4" w:space="0" w:color="auto"/>
              <w:bottom w:val="single" w:sz="4" w:space="0" w:color="auto"/>
              <w:right w:val="single" w:sz="8" w:space="0" w:color="auto"/>
            </w:tcBorders>
            <w:noWrap/>
            <w:vAlign w:val="center"/>
          </w:tcPr>
          <w:p w14:paraId="416AAB75" w14:textId="47956DA8" w:rsidR="00A741F1" w:rsidRPr="00232EBB" w:rsidRDefault="00A46A25" w:rsidP="002D2273">
            <w:pPr>
              <w:spacing w:after="0" w:line="240" w:lineRule="auto"/>
              <w:jc w:val="center"/>
              <w:rPr>
                <w:rFonts w:eastAsia="Calibri"/>
                <w:noProof/>
                <w:sz w:val="22"/>
                <w:szCs w:val="22"/>
                <w:lang w:val="es-ES"/>
              </w:rPr>
            </w:pPr>
            <w:r w:rsidRPr="00232EBB">
              <w:rPr>
                <w:rFonts w:eastAsia="Calibri"/>
                <w:noProof/>
                <w:sz w:val="22"/>
                <w:szCs w:val="22"/>
                <w:lang w:val="es-ES"/>
              </w:rPr>
              <w:t>720,000,000.00</w:t>
            </w:r>
          </w:p>
        </w:tc>
      </w:tr>
      <w:tr w:rsidR="00A741F1" w:rsidRPr="00232EBB" w14:paraId="78DBC0F6" w14:textId="77777777" w:rsidTr="00BA2589">
        <w:trPr>
          <w:trHeight w:val="306"/>
        </w:trPr>
        <w:tc>
          <w:tcPr>
            <w:tcW w:w="3140" w:type="dxa"/>
            <w:tcBorders>
              <w:top w:val="nil"/>
              <w:left w:val="single" w:sz="8" w:space="0" w:color="auto"/>
              <w:bottom w:val="single" w:sz="4" w:space="0" w:color="auto"/>
              <w:right w:val="nil"/>
            </w:tcBorders>
            <w:noWrap/>
            <w:vAlign w:val="bottom"/>
            <w:hideMark/>
          </w:tcPr>
          <w:p w14:paraId="28A94A69" w14:textId="77777777" w:rsidR="00A741F1" w:rsidRPr="00232EBB" w:rsidRDefault="00A741F1" w:rsidP="00A741F1">
            <w:pPr>
              <w:spacing w:after="0" w:line="240" w:lineRule="auto"/>
              <w:rPr>
                <w:rFonts w:eastAsia="Calibri"/>
                <w:noProof/>
                <w:sz w:val="22"/>
                <w:szCs w:val="22"/>
                <w:lang w:val="es-ES"/>
              </w:rPr>
            </w:pPr>
            <w:r w:rsidRPr="00232EBB">
              <w:rPr>
                <w:rFonts w:eastAsia="Calibri"/>
                <w:noProof/>
                <w:sz w:val="22"/>
                <w:szCs w:val="22"/>
                <w:lang w:val="es-ES"/>
              </w:rPr>
              <w:t>SENASA (Atenciones Médicas Covid-19 .)</w:t>
            </w:r>
          </w:p>
        </w:tc>
        <w:tc>
          <w:tcPr>
            <w:tcW w:w="2353" w:type="dxa"/>
            <w:tcBorders>
              <w:top w:val="nil"/>
              <w:left w:val="single" w:sz="4" w:space="0" w:color="auto"/>
              <w:bottom w:val="single" w:sz="4" w:space="0" w:color="auto"/>
              <w:right w:val="nil"/>
            </w:tcBorders>
            <w:noWrap/>
            <w:vAlign w:val="center"/>
          </w:tcPr>
          <w:p w14:paraId="01986EEC" w14:textId="685F95D8" w:rsidR="00A741F1" w:rsidRPr="00232EBB" w:rsidRDefault="00342931" w:rsidP="002D2273">
            <w:pPr>
              <w:spacing w:after="0" w:line="240" w:lineRule="auto"/>
              <w:jc w:val="center"/>
              <w:rPr>
                <w:rFonts w:eastAsia="Calibri"/>
                <w:noProof/>
                <w:sz w:val="22"/>
                <w:szCs w:val="22"/>
                <w:lang w:val="es-ES"/>
              </w:rPr>
            </w:pPr>
            <w:r w:rsidRPr="00232EBB">
              <w:rPr>
                <w:rFonts w:eastAsia="Calibri"/>
                <w:noProof/>
                <w:sz w:val="22"/>
                <w:szCs w:val="22"/>
                <w:lang w:val="es-ES"/>
              </w:rPr>
              <w:t>-</w:t>
            </w:r>
          </w:p>
        </w:tc>
        <w:tc>
          <w:tcPr>
            <w:tcW w:w="2407" w:type="dxa"/>
            <w:tcBorders>
              <w:top w:val="nil"/>
              <w:left w:val="single" w:sz="4" w:space="0" w:color="auto"/>
              <w:bottom w:val="single" w:sz="4" w:space="0" w:color="auto"/>
              <w:right w:val="single" w:sz="8" w:space="0" w:color="auto"/>
            </w:tcBorders>
            <w:noWrap/>
            <w:vAlign w:val="center"/>
          </w:tcPr>
          <w:p w14:paraId="4FE3FFDE" w14:textId="7762357A" w:rsidR="00A741F1" w:rsidRPr="00232EBB" w:rsidRDefault="00A46A25" w:rsidP="002D2273">
            <w:pPr>
              <w:spacing w:after="0" w:line="240" w:lineRule="auto"/>
              <w:jc w:val="center"/>
              <w:rPr>
                <w:rFonts w:eastAsia="Calibri"/>
                <w:noProof/>
                <w:sz w:val="22"/>
                <w:szCs w:val="22"/>
                <w:lang w:val="es-ES"/>
              </w:rPr>
            </w:pPr>
            <w:r w:rsidRPr="00232EBB">
              <w:rPr>
                <w:rFonts w:eastAsia="Calibri"/>
                <w:noProof/>
                <w:sz w:val="22"/>
                <w:szCs w:val="22"/>
                <w:lang w:val="es-ES"/>
              </w:rPr>
              <w:t>1,498,481,601.68</w:t>
            </w:r>
          </w:p>
        </w:tc>
      </w:tr>
      <w:tr w:rsidR="00A46A25" w:rsidRPr="00232EBB" w14:paraId="7472A0ED" w14:textId="77777777" w:rsidTr="00BA2589">
        <w:trPr>
          <w:trHeight w:val="306"/>
        </w:trPr>
        <w:tc>
          <w:tcPr>
            <w:tcW w:w="3140" w:type="dxa"/>
            <w:tcBorders>
              <w:top w:val="single" w:sz="4" w:space="0" w:color="auto"/>
              <w:left w:val="single" w:sz="8" w:space="0" w:color="auto"/>
              <w:right w:val="nil"/>
            </w:tcBorders>
            <w:noWrap/>
            <w:vAlign w:val="bottom"/>
          </w:tcPr>
          <w:p w14:paraId="47689526" w14:textId="315A501F" w:rsidR="00A46A25" w:rsidRPr="00232EBB" w:rsidRDefault="00A46A25" w:rsidP="00A741F1">
            <w:pPr>
              <w:spacing w:after="0" w:line="240" w:lineRule="auto"/>
              <w:jc w:val="both"/>
              <w:rPr>
                <w:rFonts w:eastAsia="Calibri"/>
                <w:noProof/>
                <w:sz w:val="22"/>
                <w:szCs w:val="22"/>
                <w:lang w:val="es-ES"/>
              </w:rPr>
            </w:pPr>
            <w:r w:rsidRPr="00232EBB">
              <w:rPr>
                <w:rFonts w:eastAsia="Calibri"/>
                <w:noProof/>
                <w:sz w:val="22"/>
                <w:szCs w:val="22"/>
                <w:lang w:val="es-ES"/>
              </w:rPr>
              <w:t>Transferencias Realizada a cuenta colectora para ser Devuelto a Tesoreria Nacional (Aporte recibido por el Ministerio de Salud Pública a Tesoreria Nacional)</w:t>
            </w:r>
          </w:p>
        </w:tc>
        <w:tc>
          <w:tcPr>
            <w:tcW w:w="2353" w:type="dxa"/>
            <w:tcBorders>
              <w:top w:val="single" w:sz="4" w:space="0" w:color="auto"/>
              <w:left w:val="single" w:sz="4" w:space="0" w:color="auto"/>
              <w:bottom w:val="single" w:sz="4" w:space="0" w:color="auto"/>
              <w:right w:val="nil"/>
            </w:tcBorders>
            <w:noWrap/>
            <w:vAlign w:val="center"/>
          </w:tcPr>
          <w:p w14:paraId="122EB3D7" w14:textId="1B342A62" w:rsidR="00A46A25" w:rsidRPr="00232EBB" w:rsidRDefault="00342931" w:rsidP="002D2273">
            <w:pPr>
              <w:spacing w:after="0" w:line="240" w:lineRule="auto"/>
              <w:jc w:val="center"/>
              <w:rPr>
                <w:rFonts w:eastAsia="Calibri"/>
                <w:noProof/>
                <w:sz w:val="22"/>
                <w:szCs w:val="22"/>
                <w:lang w:val="es-ES"/>
              </w:rPr>
            </w:pPr>
            <w:r w:rsidRPr="00232EBB">
              <w:rPr>
                <w:rFonts w:eastAsia="Calibri"/>
                <w:noProof/>
                <w:sz w:val="22"/>
                <w:szCs w:val="22"/>
                <w:lang w:val="es-ES"/>
              </w:rPr>
              <w:t>833,333,333.33</w:t>
            </w:r>
          </w:p>
        </w:tc>
        <w:tc>
          <w:tcPr>
            <w:tcW w:w="2407" w:type="dxa"/>
            <w:tcBorders>
              <w:top w:val="single" w:sz="4" w:space="0" w:color="auto"/>
              <w:left w:val="single" w:sz="4" w:space="0" w:color="auto"/>
              <w:bottom w:val="single" w:sz="4" w:space="0" w:color="auto"/>
              <w:right w:val="single" w:sz="4" w:space="0" w:color="auto"/>
            </w:tcBorders>
            <w:noWrap/>
            <w:vAlign w:val="center"/>
          </w:tcPr>
          <w:p w14:paraId="24B5FB33" w14:textId="3DFD363E" w:rsidR="00A46A25" w:rsidRPr="00232EBB" w:rsidRDefault="00342931" w:rsidP="002D2273">
            <w:pPr>
              <w:spacing w:after="0" w:line="240" w:lineRule="auto"/>
              <w:jc w:val="center"/>
              <w:rPr>
                <w:rFonts w:eastAsia="Calibri"/>
                <w:noProof/>
                <w:sz w:val="22"/>
                <w:szCs w:val="22"/>
                <w:lang w:val="es-ES"/>
              </w:rPr>
            </w:pPr>
            <w:r w:rsidRPr="00232EBB">
              <w:rPr>
                <w:rFonts w:eastAsia="Calibri"/>
                <w:noProof/>
                <w:sz w:val="22"/>
                <w:szCs w:val="22"/>
                <w:lang w:val="es-ES"/>
              </w:rPr>
              <w:t>833,333,333.33</w:t>
            </w:r>
          </w:p>
        </w:tc>
      </w:tr>
      <w:tr w:rsidR="00A46A25" w:rsidRPr="00232EBB" w14:paraId="44933112" w14:textId="77777777" w:rsidTr="00BA2589">
        <w:trPr>
          <w:trHeight w:val="306"/>
        </w:trPr>
        <w:tc>
          <w:tcPr>
            <w:tcW w:w="3140" w:type="dxa"/>
            <w:tcBorders>
              <w:left w:val="single" w:sz="4" w:space="0" w:color="auto"/>
              <w:bottom w:val="single" w:sz="4" w:space="0" w:color="auto"/>
              <w:right w:val="nil"/>
            </w:tcBorders>
            <w:noWrap/>
            <w:vAlign w:val="bottom"/>
          </w:tcPr>
          <w:p w14:paraId="112FBA60" w14:textId="54E2751F" w:rsidR="00A46A25" w:rsidRPr="00232EBB" w:rsidRDefault="00A46A25" w:rsidP="00A741F1">
            <w:pPr>
              <w:spacing w:after="0" w:line="240" w:lineRule="auto"/>
              <w:jc w:val="both"/>
              <w:rPr>
                <w:rFonts w:eastAsia="Calibri"/>
                <w:noProof/>
                <w:sz w:val="22"/>
                <w:szCs w:val="22"/>
                <w:lang w:val="es-ES"/>
              </w:rPr>
            </w:pPr>
            <w:r w:rsidRPr="00232EBB">
              <w:rPr>
                <w:rFonts w:eastAsia="Calibri"/>
                <w:noProof/>
                <w:sz w:val="22"/>
                <w:szCs w:val="22"/>
                <w:lang w:val="es-ES"/>
              </w:rPr>
              <w:t>Transferencias Realizada a cuenta Colectora para ser Devuelto a Tesoreria Nacional</w:t>
            </w:r>
          </w:p>
        </w:tc>
        <w:tc>
          <w:tcPr>
            <w:tcW w:w="2353" w:type="dxa"/>
            <w:tcBorders>
              <w:top w:val="single" w:sz="4" w:space="0" w:color="auto"/>
              <w:left w:val="single" w:sz="4" w:space="0" w:color="auto"/>
              <w:bottom w:val="single" w:sz="4" w:space="0" w:color="auto"/>
              <w:right w:val="nil"/>
            </w:tcBorders>
            <w:noWrap/>
            <w:vAlign w:val="center"/>
          </w:tcPr>
          <w:p w14:paraId="6F0DB250" w14:textId="220BDBB8" w:rsidR="00A46A25" w:rsidRPr="00232EBB" w:rsidRDefault="00342931" w:rsidP="002D2273">
            <w:pPr>
              <w:spacing w:after="0" w:line="240" w:lineRule="auto"/>
              <w:jc w:val="center"/>
              <w:rPr>
                <w:rFonts w:eastAsia="Calibri"/>
                <w:noProof/>
                <w:sz w:val="22"/>
                <w:szCs w:val="22"/>
                <w:lang w:val="es-ES"/>
              </w:rPr>
            </w:pPr>
            <w:r w:rsidRPr="00232EBB">
              <w:rPr>
                <w:rFonts w:eastAsia="Calibri"/>
                <w:noProof/>
                <w:sz w:val="22"/>
                <w:szCs w:val="22"/>
                <w:lang w:val="es-ES"/>
              </w:rPr>
              <w:t>464,651,675.10</w:t>
            </w:r>
          </w:p>
        </w:tc>
        <w:tc>
          <w:tcPr>
            <w:tcW w:w="2407" w:type="dxa"/>
            <w:tcBorders>
              <w:top w:val="single" w:sz="4" w:space="0" w:color="auto"/>
              <w:left w:val="single" w:sz="4" w:space="0" w:color="auto"/>
              <w:bottom w:val="single" w:sz="4" w:space="0" w:color="auto"/>
              <w:right w:val="single" w:sz="4" w:space="0" w:color="auto"/>
            </w:tcBorders>
            <w:noWrap/>
            <w:vAlign w:val="center"/>
          </w:tcPr>
          <w:p w14:paraId="7B7EA52A" w14:textId="5FA5CFF1" w:rsidR="00A46A25" w:rsidRPr="00232EBB" w:rsidRDefault="00342931" w:rsidP="002D2273">
            <w:pPr>
              <w:spacing w:after="0" w:line="240" w:lineRule="auto"/>
              <w:jc w:val="center"/>
              <w:rPr>
                <w:rFonts w:eastAsia="Calibri"/>
                <w:noProof/>
                <w:sz w:val="22"/>
                <w:szCs w:val="22"/>
                <w:lang w:val="es-ES"/>
              </w:rPr>
            </w:pPr>
            <w:r w:rsidRPr="00232EBB">
              <w:rPr>
                <w:rFonts w:eastAsia="Calibri"/>
                <w:noProof/>
                <w:sz w:val="22"/>
                <w:szCs w:val="22"/>
                <w:lang w:val="es-ES"/>
              </w:rPr>
              <w:t>464,651,675.10</w:t>
            </w:r>
          </w:p>
        </w:tc>
      </w:tr>
      <w:tr w:rsidR="00A741F1" w:rsidRPr="00232EBB" w14:paraId="26EC9C31" w14:textId="77777777" w:rsidTr="00BA2589">
        <w:trPr>
          <w:trHeight w:val="306"/>
        </w:trPr>
        <w:tc>
          <w:tcPr>
            <w:tcW w:w="3140" w:type="dxa"/>
            <w:tcBorders>
              <w:top w:val="nil"/>
              <w:left w:val="single" w:sz="8" w:space="0" w:color="auto"/>
              <w:bottom w:val="single" w:sz="4" w:space="0" w:color="auto"/>
              <w:right w:val="nil"/>
            </w:tcBorders>
            <w:noWrap/>
            <w:vAlign w:val="bottom"/>
            <w:hideMark/>
          </w:tcPr>
          <w:p w14:paraId="21869674" w14:textId="77777777" w:rsidR="00A741F1" w:rsidRPr="00232EBB" w:rsidRDefault="00A741F1" w:rsidP="00A741F1">
            <w:pPr>
              <w:spacing w:after="0" w:line="240" w:lineRule="auto"/>
              <w:jc w:val="both"/>
              <w:rPr>
                <w:rFonts w:eastAsia="Calibri"/>
                <w:noProof/>
                <w:sz w:val="22"/>
                <w:szCs w:val="22"/>
                <w:lang w:val="es-ES"/>
              </w:rPr>
            </w:pPr>
            <w:r w:rsidRPr="00232EBB">
              <w:rPr>
                <w:rFonts w:eastAsia="Calibri"/>
                <w:noProof/>
                <w:sz w:val="22"/>
                <w:szCs w:val="22"/>
                <w:lang w:val="es-ES"/>
              </w:rPr>
              <w:t>Transferencia al SENASA "Proyecto SENASA Cuida de ti"</w:t>
            </w:r>
          </w:p>
        </w:tc>
        <w:tc>
          <w:tcPr>
            <w:tcW w:w="2353" w:type="dxa"/>
            <w:tcBorders>
              <w:top w:val="nil"/>
              <w:left w:val="single" w:sz="4" w:space="0" w:color="auto"/>
              <w:bottom w:val="single" w:sz="4" w:space="0" w:color="auto"/>
              <w:right w:val="nil"/>
            </w:tcBorders>
            <w:noWrap/>
            <w:vAlign w:val="center"/>
          </w:tcPr>
          <w:p w14:paraId="4346A7FF" w14:textId="53BFB8E1" w:rsidR="00A741F1" w:rsidRPr="00232EBB" w:rsidRDefault="00AB4C48" w:rsidP="002D2273">
            <w:pPr>
              <w:spacing w:after="0" w:line="240" w:lineRule="auto"/>
              <w:jc w:val="center"/>
              <w:rPr>
                <w:rFonts w:eastAsia="Calibri"/>
                <w:noProof/>
                <w:sz w:val="22"/>
                <w:szCs w:val="22"/>
                <w:lang w:val="es-ES"/>
              </w:rPr>
            </w:pPr>
            <w:r w:rsidRPr="00232EBB">
              <w:rPr>
                <w:rFonts w:eastAsia="Calibri"/>
                <w:noProof/>
                <w:sz w:val="22"/>
                <w:szCs w:val="22"/>
                <w:lang w:val="es-ES"/>
              </w:rPr>
              <w:t>200,000,000.04</w:t>
            </w:r>
          </w:p>
        </w:tc>
        <w:tc>
          <w:tcPr>
            <w:tcW w:w="2407" w:type="dxa"/>
            <w:tcBorders>
              <w:top w:val="nil"/>
              <w:left w:val="single" w:sz="4" w:space="0" w:color="auto"/>
              <w:bottom w:val="single" w:sz="4" w:space="0" w:color="auto"/>
              <w:right w:val="single" w:sz="8" w:space="0" w:color="auto"/>
            </w:tcBorders>
            <w:noWrap/>
            <w:vAlign w:val="center"/>
          </w:tcPr>
          <w:p w14:paraId="08A7C2E6" w14:textId="60928E3C" w:rsidR="00A741F1" w:rsidRPr="00232EBB" w:rsidRDefault="00AB4C48" w:rsidP="002D2273">
            <w:pPr>
              <w:spacing w:after="0" w:line="240" w:lineRule="auto"/>
              <w:jc w:val="center"/>
              <w:rPr>
                <w:rFonts w:eastAsia="Calibri"/>
                <w:noProof/>
                <w:sz w:val="22"/>
                <w:szCs w:val="22"/>
                <w:lang w:val="es-ES"/>
              </w:rPr>
            </w:pPr>
            <w:r w:rsidRPr="00232EBB">
              <w:rPr>
                <w:rFonts w:eastAsia="Calibri"/>
                <w:noProof/>
                <w:sz w:val="22"/>
                <w:szCs w:val="22"/>
                <w:lang w:val="es-ES"/>
              </w:rPr>
              <w:t>1,383,333,333.60</w:t>
            </w:r>
          </w:p>
        </w:tc>
      </w:tr>
      <w:tr w:rsidR="00A741F1" w:rsidRPr="00232EBB" w14:paraId="74C9FCAF" w14:textId="77777777" w:rsidTr="00BA2589">
        <w:trPr>
          <w:trHeight w:val="321"/>
        </w:trPr>
        <w:tc>
          <w:tcPr>
            <w:tcW w:w="3140" w:type="dxa"/>
            <w:tcBorders>
              <w:top w:val="nil"/>
              <w:left w:val="single" w:sz="8" w:space="0" w:color="auto"/>
              <w:bottom w:val="single" w:sz="4" w:space="0" w:color="auto"/>
              <w:right w:val="nil"/>
            </w:tcBorders>
            <w:noWrap/>
            <w:vAlign w:val="bottom"/>
            <w:hideMark/>
          </w:tcPr>
          <w:p w14:paraId="5E30C4D6" w14:textId="77777777" w:rsidR="00A741F1" w:rsidRPr="00232EBB" w:rsidRDefault="00A741F1" w:rsidP="00A741F1">
            <w:pPr>
              <w:spacing w:after="0" w:line="240" w:lineRule="auto"/>
              <w:rPr>
                <w:rFonts w:eastAsia="Calibri"/>
                <w:noProof/>
                <w:sz w:val="20"/>
                <w:szCs w:val="20"/>
                <w:lang w:val="es-ES"/>
              </w:rPr>
            </w:pPr>
            <w:r w:rsidRPr="00232EBB">
              <w:rPr>
                <w:rFonts w:eastAsia="Calibri"/>
                <w:noProof/>
                <w:sz w:val="20"/>
                <w:szCs w:val="20"/>
                <w:lang w:val="es-ES"/>
              </w:rPr>
              <w:t>Cargos Bancarios</w:t>
            </w:r>
          </w:p>
        </w:tc>
        <w:tc>
          <w:tcPr>
            <w:tcW w:w="2353" w:type="dxa"/>
            <w:tcBorders>
              <w:top w:val="nil"/>
              <w:left w:val="single" w:sz="4" w:space="0" w:color="auto"/>
              <w:bottom w:val="single" w:sz="4" w:space="0" w:color="auto"/>
              <w:right w:val="nil"/>
            </w:tcBorders>
            <w:noWrap/>
            <w:vAlign w:val="center"/>
            <w:hideMark/>
          </w:tcPr>
          <w:p w14:paraId="0FFC390F" w14:textId="74DC351F" w:rsidR="00A741F1" w:rsidRPr="00232EBB" w:rsidRDefault="00A741F1" w:rsidP="002D2273">
            <w:pPr>
              <w:spacing w:after="0" w:line="240" w:lineRule="auto"/>
              <w:jc w:val="center"/>
              <w:rPr>
                <w:rFonts w:eastAsia="Calibri"/>
                <w:noProof/>
                <w:lang w:val="es-ES"/>
              </w:rPr>
            </w:pPr>
          </w:p>
        </w:tc>
        <w:tc>
          <w:tcPr>
            <w:tcW w:w="2407" w:type="dxa"/>
            <w:tcBorders>
              <w:top w:val="nil"/>
              <w:left w:val="single" w:sz="4" w:space="0" w:color="auto"/>
              <w:bottom w:val="single" w:sz="4" w:space="0" w:color="auto"/>
              <w:right w:val="single" w:sz="8" w:space="0" w:color="auto"/>
            </w:tcBorders>
            <w:noWrap/>
            <w:vAlign w:val="center"/>
            <w:hideMark/>
          </w:tcPr>
          <w:p w14:paraId="5A25BCD4" w14:textId="6B15571E" w:rsidR="00A741F1" w:rsidRPr="00232EBB" w:rsidRDefault="00A741F1" w:rsidP="002D2273">
            <w:pPr>
              <w:spacing w:after="0" w:line="240" w:lineRule="auto"/>
              <w:jc w:val="center"/>
              <w:rPr>
                <w:rFonts w:eastAsia="Calibri"/>
                <w:noProof/>
                <w:lang w:val="es-ES"/>
              </w:rPr>
            </w:pPr>
            <w:r w:rsidRPr="00232EBB">
              <w:rPr>
                <w:rFonts w:eastAsia="Calibri"/>
                <w:noProof/>
                <w:lang w:val="es-ES"/>
              </w:rPr>
              <w:t>2,600.00</w:t>
            </w:r>
          </w:p>
        </w:tc>
      </w:tr>
      <w:tr w:rsidR="00A741F1" w:rsidRPr="00232EBB" w14:paraId="31136250" w14:textId="77777777" w:rsidTr="00BA2589">
        <w:trPr>
          <w:trHeight w:val="306"/>
        </w:trPr>
        <w:tc>
          <w:tcPr>
            <w:tcW w:w="3140" w:type="dxa"/>
            <w:tcBorders>
              <w:top w:val="single" w:sz="8" w:space="0" w:color="auto"/>
              <w:left w:val="single" w:sz="8" w:space="0" w:color="auto"/>
              <w:bottom w:val="single" w:sz="4" w:space="0" w:color="auto"/>
              <w:right w:val="nil"/>
            </w:tcBorders>
            <w:shd w:val="clear" w:color="000000" w:fill="002060"/>
            <w:noWrap/>
            <w:vAlign w:val="bottom"/>
            <w:hideMark/>
          </w:tcPr>
          <w:p w14:paraId="03EFC674" w14:textId="77777777" w:rsidR="00A741F1" w:rsidRPr="00232EBB" w:rsidRDefault="00A741F1" w:rsidP="00A741F1">
            <w:pPr>
              <w:spacing w:after="0" w:line="240" w:lineRule="auto"/>
              <w:rPr>
                <w:rFonts w:eastAsia="Times New Roman"/>
                <w:b/>
                <w:bCs/>
                <w:color w:val="FFFFFF"/>
                <w:spacing w:val="0"/>
                <w:sz w:val="16"/>
                <w:szCs w:val="16"/>
              </w:rPr>
            </w:pPr>
            <w:r w:rsidRPr="00232EBB">
              <w:rPr>
                <w:rFonts w:eastAsia="Times New Roman"/>
                <w:b/>
                <w:bCs/>
                <w:color w:val="FFFFFF"/>
                <w:spacing w:val="0"/>
                <w:sz w:val="16"/>
                <w:szCs w:val="16"/>
              </w:rPr>
              <w:t>TOTAL PAGADO</w:t>
            </w:r>
          </w:p>
        </w:tc>
        <w:tc>
          <w:tcPr>
            <w:tcW w:w="2353" w:type="dxa"/>
            <w:tcBorders>
              <w:top w:val="nil"/>
              <w:left w:val="nil"/>
              <w:bottom w:val="single" w:sz="4" w:space="0" w:color="auto"/>
              <w:right w:val="single" w:sz="4" w:space="0" w:color="auto"/>
            </w:tcBorders>
            <w:shd w:val="clear" w:color="000000" w:fill="002060"/>
            <w:noWrap/>
            <w:vAlign w:val="center"/>
            <w:hideMark/>
          </w:tcPr>
          <w:p w14:paraId="209D13CE" w14:textId="0E01AE8E" w:rsidR="00A741F1" w:rsidRPr="00232EBB" w:rsidRDefault="00AB4C48" w:rsidP="002D227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rPr>
              <w:t>24,265,978,485.83</w:t>
            </w:r>
          </w:p>
        </w:tc>
        <w:tc>
          <w:tcPr>
            <w:tcW w:w="2407" w:type="dxa"/>
            <w:tcBorders>
              <w:top w:val="nil"/>
              <w:left w:val="nil"/>
              <w:bottom w:val="single" w:sz="4" w:space="0" w:color="auto"/>
              <w:right w:val="single" w:sz="8" w:space="0" w:color="auto"/>
            </w:tcBorders>
            <w:shd w:val="clear" w:color="000000" w:fill="002060"/>
            <w:noWrap/>
            <w:vAlign w:val="center"/>
            <w:hideMark/>
          </w:tcPr>
          <w:p w14:paraId="450D7A23" w14:textId="71A2DEFF" w:rsidR="00A741F1" w:rsidRPr="00232EBB" w:rsidRDefault="00AB4C48" w:rsidP="002D227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rPr>
              <w:t>188,417,129,231.77</w:t>
            </w:r>
          </w:p>
        </w:tc>
      </w:tr>
      <w:tr w:rsidR="00A741F1" w:rsidRPr="00232EBB" w14:paraId="10B0E40B" w14:textId="77777777" w:rsidTr="00BA2589">
        <w:trPr>
          <w:trHeight w:val="367"/>
        </w:trPr>
        <w:tc>
          <w:tcPr>
            <w:tcW w:w="3140" w:type="dxa"/>
            <w:tcBorders>
              <w:top w:val="nil"/>
              <w:left w:val="single" w:sz="8" w:space="0" w:color="auto"/>
              <w:bottom w:val="single" w:sz="8" w:space="0" w:color="auto"/>
              <w:right w:val="single" w:sz="4" w:space="0" w:color="auto"/>
            </w:tcBorders>
            <w:shd w:val="clear" w:color="000000" w:fill="002060"/>
            <w:vAlign w:val="bottom"/>
            <w:hideMark/>
          </w:tcPr>
          <w:p w14:paraId="4FAF697C" w14:textId="77777777" w:rsidR="00A741F1" w:rsidRPr="00232EBB" w:rsidRDefault="00A741F1" w:rsidP="00A741F1">
            <w:pPr>
              <w:spacing w:after="0" w:line="240" w:lineRule="auto"/>
              <w:rPr>
                <w:rFonts w:eastAsia="Times New Roman"/>
                <w:b/>
                <w:bCs/>
                <w:color w:val="FFFFFF"/>
                <w:spacing w:val="0"/>
                <w:sz w:val="16"/>
                <w:szCs w:val="16"/>
              </w:rPr>
            </w:pPr>
            <w:r w:rsidRPr="00232EBB">
              <w:rPr>
                <w:rFonts w:eastAsia="Times New Roman"/>
                <w:b/>
                <w:bCs/>
                <w:color w:val="FFFFFF"/>
                <w:spacing w:val="0"/>
                <w:sz w:val="16"/>
                <w:szCs w:val="16"/>
              </w:rPr>
              <w:t>TOTAL APORTES DISPONIBLES</w:t>
            </w:r>
          </w:p>
        </w:tc>
        <w:tc>
          <w:tcPr>
            <w:tcW w:w="2353" w:type="dxa"/>
            <w:tcBorders>
              <w:top w:val="nil"/>
              <w:left w:val="nil"/>
              <w:bottom w:val="single" w:sz="8" w:space="0" w:color="auto"/>
              <w:right w:val="single" w:sz="8" w:space="0" w:color="auto"/>
            </w:tcBorders>
            <w:shd w:val="clear" w:color="000000" w:fill="002060"/>
            <w:noWrap/>
            <w:vAlign w:val="center"/>
            <w:hideMark/>
          </w:tcPr>
          <w:p w14:paraId="176E8C65" w14:textId="1247C511" w:rsidR="00A741F1" w:rsidRPr="00232EBB" w:rsidRDefault="00AB4C48" w:rsidP="002D227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rPr>
              <w:t>304,498,371.94</w:t>
            </w:r>
          </w:p>
        </w:tc>
        <w:tc>
          <w:tcPr>
            <w:tcW w:w="2407" w:type="dxa"/>
            <w:tcBorders>
              <w:top w:val="nil"/>
              <w:left w:val="nil"/>
              <w:bottom w:val="single" w:sz="8" w:space="0" w:color="auto"/>
              <w:right w:val="single" w:sz="8" w:space="0" w:color="auto"/>
            </w:tcBorders>
            <w:shd w:val="clear" w:color="000000" w:fill="002060"/>
            <w:noWrap/>
            <w:vAlign w:val="center"/>
            <w:hideMark/>
          </w:tcPr>
          <w:p w14:paraId="070CCA13" w14:textId="3E0E8DF2" w:rsidR="00A741F1" w:rsidRPr="00232EBB" w:rsidRDefault="00AB4C48" w:rsidP="002D2273">
            <w:pPr>
              <w:spacing w:after="0" w:line="240" w:lineRule="auto"/>
              <w:jc w:val="center"/>
              <w:rPr>
                <w:rFonts w:eastAsia="Times New Roman"/>
                <w:b/>
                <w:bCs/>
                <w:color w:val="FFFFFF"/>
                <w:spacing w:val="0"/>
                <w:sz w:val="20"/>
                <w:szCs w:val="20"/>
              </w:rPr>
            </w:pPr>
            <w:r w:rsidRPr="00232EBB">
              <w:rPr>
                <w:rFonts w:eastAsia="Times New Roman"/>
                <w:b/>
                <w:bCs/>
                <w:color w:val="FFFFFF"/>
                <w:spacing w:val="0"/>
                <w:sz w:val="20"/>
                <w:szCs w:val="20"/>
              </w:rPr>
              <w:t>304,498,371.94</w:t>
            </w:r>
          </w:p>
        </w:tc>
      </w:tr>
    </w:tbl>
    <w:p w14:paraId="2E2AA70D" w14:textId="661E6B73" w:rsidR="006717EB" w:rsidRPr="00232EBB" w:rsidRDefault="00C50277" w:rsidP="006717EB">
      <w:pPr>
        <w:spacing w:line="360" w:lineRule="auto"/>
        <w:jc w:val="both"/>
        <w:rPr>
          <w:rFonts w:eastAsia="Calibri"/>
          <w:noProof/>
          <w:sz w:val="18"/>
          <w:szCs w:val="18"/>
          <w:lang w:val="es-ES"/>
        </w:rPr>
      </w:pPr>
      <w:r w:rsidRPr="00232EBB">
        <w:rPr>
          <w:rFonts w:eastAsia="Calibri"/>
          <w:b/>
          <w:bCs/>
          <w:noProof/>
          <w:sz w:val="18"/>
          <w:szCs w:val="18"/>
          <w:lang w:val="es-ES"/>
        </w:rPr>
        <w:t xml:space="preserve">Tabla </w:t>
      </w:r>
      <w:r w:rsidR="007B5587" w:rsidRPr="00232EBB">
        <w:rPr>
          <w:rFonts w:eastAsia="Calibri"/>
          <w:b/>
          <w:bCs/>
          <w:noProof/>
          <w:sz w:val="18"/>
          <w:szCs w:val="18"/>
          <w:lang w:val="es-ES"/>
        </w:rPr>
        <w:t>9</w:t>
      </w:r>
      <w:r w:rsidRPr="00232EBB">
        <w:rPr>
          <w:rFonts w:eastAsia="Calibri"/>
          <w:b/>
          <w:bCs/>
          <w:noProof/>
          <w:sz w:val="18"/>
          <w:szCs w:val="18"/>
          <w:lang w:val="es-ES"/>
        </w:rPr>
        <w:t>:</w:t>
      </w:r>
      <w:r w:rsidRPr="00232EBB">
        <w:rPr>
          <w:rFonts w:eastAsia="Calibri"/>
          <w:noProof/>
          <w:sz w:val="18"/>
          <w:szCs w:val="18"/>
          <w:lang w:val="es-ES"/>
        </w:rPr>
        <w:t xml:space="preserve"> Aportes recibidos del Gobierno y pagados al Régimen Subsidiado 202</w:t>
      </w:r>
      <w:r w:rsidR="0027210F" w:rsidRPr="00232EBB">
        <w:rPr>
          <w:rFonts w:eastAsia="Calibri"/>
          <w:noProof/>
          <w:sz w:val="18"/>
          <w:szCs w:val="18"/>
          <w:lang w:val="es-ES"/>
        </w:rPr>
        <w:t>5</w:t>
      </w:r>
    </w:p>
    <w:p w14:paraId="41B9C246" w14:textId="08FAE002" w:rsidR="00295F77" w:rsidRPr="00232EBB" w:rsidRDefault="00295F77" w:rsidP="00836944">
      <w:pPr>
        <w:spacing w:line="360" w:lineRule="auto"/>
        <w:ind w:right="90"/>
        <w:jc w:val="both"/>
        <w:rPr>
          <w:rFonts w:eastAsia="Calibri"/>
          <w:noProof/>
          <w:lang w:val="es-ES"/>
        </w:rPr>
      </w:pPr>
      <w:r w:rsidRPr="00232EBB">
        <w:rPr>
          <w:rFonts w:eastAsia="Calibri"/>
          <w:noProof/>
          <w:lang w:val="es-ES"/>
        </w:rPr>
        <w:t xml:space="preserve">La Dirección de Fiscalización Externa de la Tesorería de la Seguridad Social tiene como objetivo general desarrollar inspecciones y/o fiscalizaciones a los entes supervisados según lo establecido en la </w:t>
      </w:r>
      <w:r w:rsidRPr="00232EBB">
        <w:rPr>
          <w:rFonts w:eastAsia="Calibri"/>
          <w:noProof/>
          <w:lang w:val="es-ES"/>
        </w:rPr>
        <w:lastRenderedPageBreak/>
        <w:t>normativa vigente, a fin de garantizar la detección oportuna de la mora, evasión y elusión, combinando otras fuentes de información gubernamental y privada.</w:t>
      </w:r>
    </w:p>
    <w:p w14:paraId="007110A6" w14:textId="77777777" w:rsidR="00D2665C" w:rsidRPr="00232EBB" w:rsidRDefault="00295F77" w:rsidP="00D2665C">
      <w:pPr>
        <w:spacing w:line="360" w:lineRule="auto"/>
        <w:jc w:val="both"/>
        <w:rPr>
          <w:lang w:val="es-ES"/>
        </w:rPr>
      </w:pPr>
      <w:r w:rsidRPr="00232EBB">
        <w:rPr>
          <w:lang w:val="es-ES"/>
        </w:rPr>
        <w:t>Como parte de las acciones realizadas para dar cumplimiento a las funciones de la Dirección, podemos citar:</w:t>
      </w:r>
    </w:p>
    <w:p w14:paraId="48845990" w14:textId="77777777" w:rsidR="00D2665C" w:rsidRPr="00232EBB" w:rsidRDefault="00295F77" w:rsidP="00836944">
      <w:pPr>
        <w:pStyle w:val="ListParagraph"/>
        <w:numPr>
          <w:ilvl w:val="0"/>
          <w:numId w:val="9"/>
        </w:numPr>
        <w:spacing w:before="240" w:after="240" w:line="360" w:lineRule="auto"/>
        <w:ind w:right="90"/>
        <w:rPr>
          <w:rFonts w:ascii="Times New Roman" w:hAnsi="Times New Roman"/>
          <w:color w:val="767171"/>
          <w:spacing w:val="20"/>
          <w:sz w:val="24"/>
          <w:szCs w:val="24"/>
        </w:rPr>
      </w:pPr>
      <w:r w:rsidRPr="00232EBB">
        <w:rPr>
          <w:rFonts w:ascii="Times New Roman" w:hAnsi="Times New Roman"/>
          <w:color w:val="767171"/>
          <w:spacing w:val="20"/>
          <w:sz w:val="24"/>
          <w:szCs w:val="24"/>
        </w:rPr>
        <w:t>Auditorías a los empleadores; que abarca el cumplimiento de sus deberes formales, fiscalización ante presunción de fraude, uso correcto de la dispensa otorgada, entre otras.</w:t>
      </w:r>
    </w:p>
    <w:p w14:paraId="76AF83B9" w14:textId="4D837DF7" w:rsidR="00295F77" w:rsidRPr="00232EBB" w:rsidRDefault="00295F77" w:rsidP="00836944">
      <w:pPr>
        <w:pStyle w:val="ListParagraph"/>
        <w:numPr>
          <w:ilvl w:val="0"/>
          <w:numId w:val="9"/>
        </w:numPr>
        <w:spacing w:before="240" w:after="240" w:line="360" w:lineRule="auto"/>
        <w:ind w:right="90"/>
        <w:rPr>
          <w:rFonts w:ascii="Times New Roman" w:hAnsi="Times New Roman"/>
          <w:color w:val="767171"/>
          <w:spacing w:val="20"/>
          <w:sz w:val="24"/>
          <w:szCs w:val="24"/>
        </w:rPr>
      </w:pPr>
      <w:r w:rsidRPr="00232EBB">
        <w:rPr>
          <w:rFonts w:ascii="Times New Roman" w:hAnsi="Times New Roman"/>
          <w:color w:val="767171"/>
          <w:spacing w:val="20"/>
          <w:sz w:val="24"/>
          <w:szCs w:val="24"/>
        </w:rPr>
        <w:t xml:space="preserve">Auditoría a las ARS sobre el reporte real de titulares y dependientes al Seguro Familiar de Salud, así como las novedades correspondientes de los núcleos familiares. </w:t>
      </w:r>
    </w:p>
    <w:p w14:paraId="465D3788" w14:textId="77777777" w:rsidR="00295F77" w:rsidRPr="00232EBB" w:rsidRDefault="00295F77" w:rsidP="000E2299">
      <w:pPr>
        <w:pStyle w:val="ListParagraph"/>
        <w:numPr>
          <w:ilvl w:val="0"/>
          <w:numId w:val="9"/>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 xml:space="preserve">Visitas de inspección a empleadores, a través del Cuerpo Especial de Inspección. </w:t>
      </w:r>
    </w:p>
    <w:p w14:paraId="012848D5" w14:textId="77777777" w:rsidR="00295F77" w:rsidRPr="00232EBB" w:rsidRDefault="00295F77" w:rsidP="000E2299">
      <w:pPr>
        <w:pStyle w:val="ListParagraph"/>
        <w:numPr>
          <w:ilvl w:val="0"/>
          <w:numId w:val="9"/>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 xml:space="preserve">Evaluación de solicitudes realizadas por los empleadores. </w:t>
      </w:r>
    </w:p>
    <w:p w14:paraId="652E10FC" w14:textId="37765A6C" w:rsidR="00D2665C" w:rsidRPr="00232EBB" w:rsidRDefault="00D2665C" w:rsidP="000E2299">
      <w:pPr>
        <w:pStyle w:val="ListParagraph"/>
        <w:numPr>
          <w:ilvl w:val="0"/>
          <w:numId w:val="9"/>
        </w:numPr>
        <w:spacing w:before="240" w:after="240" w:line="360" w:lineRule="auto"/>
        <w:rPr>
          <w:rFonts w:ascii="Times New Roman" w:hAnsi="Times New Roman"/>
          <w:color w:val="767171"/>
          <w:spacing w:val="20"/>
          <w:sz w:val="24"/>
          <w:szCs w:val="24"/>
        </w:rPr>
      </w:pPr>
      <w:r w:rsidRPr="00232EBB">
        <w:rPr>
          <w:rFonts w:ascii="Times New Roman" w:hAnsi="Times New Roman"/>
          <w:color w:val="767171"/>
          <w:spacing w:val="20"/>
          <w:sz w:val="24"/>
          <w:szCs w:val="24"/>
        </w:rPr>
        <w:t>Otras acciones de fiscalización.</w:t>
      </w:r>
    </w:p>
    <w:p w14:paraId="2232409E" w14:textId="37D16AD6" w:rsidR="00295F77" w:rsidRPr="00232EBB" w:rsidRDefault="00295F77" w:rsidP="00836944">
      <w:pPr>
        <w:spacing w:line="360" w:lineRule="auto"/>
        <w:ind w:right="90"/>
        <w:jc w:val="both"/>
        <w:rPr>
          <w:rFonts w:eastAsia="Calibri"/>
          <w:noProof/>
          <w:lang w:val="es-DO"/>
        </w:rPr>
      </w:pPr>
      <w:r w:rsidRPr="00232EBB">
        <w:rPr>
          <w:lang w:val="es-ES"/>
        </w:rPr>
        <w:t xml:space="preserve">Para el período enero </w:t>
      </w:r>
      <w:r w:rsidR="00AA31E0" w:rsidRPr="00232EBB">
        <w:rPr>
          <w:lang w:val="es-ES"/>
        </w:rPr>
        <w:t>–</w:t>
      </w:r>
      <w:r w:rsidRPr="00232EBB">
        <w:rPr>
          <w:lang w:val="es-ES"/>
        </w:rPr>
        <w:t xml:space="preserve"> </w:t>
      </w:r>
      <w:r w:rsidR="00AA31E0" w:rsidRPr="00232EBB">
        <w:rPr>
          <w:lang w:val="es-ES"/>
        </w:rPr>
        <w:t xml:space="preserve">diciembre </w:t>
      </w:r>
      <w:r w:rsidRPr="00232EBB">
        <w:rPr>
          <w:lang w:val="es-ES"/>
        </w:rPr>
        <w:t>de 202</w:t>
      </w:r>
      <w:r w:rsidR="00CF1211" w:rsidRPr="00232EBB">
        <w:rPr>
          <w:lang w:val="es-ES"/>
        </w:rPr>
        <w:t>5</w:t>
      </w:r>
      <w:r w:rsidRPr="00232EBB">
        <w:rPr>
          <w:lang w:val="es-ES"/>
        </w:rPr>
        <w:t xml:space="preserve">, se procesaron </w:t>
      </w:r>
      <w:r w:rsidR="002E7F05" w:rsidRPr="00232EBB">
        <w:rPr>
          <w:lang w:val="es-ES"/>
        </w:rPr>
        <w:t>7,468</w:t>
      </w:r>
      <w:r w:rsidRPr="00232EBB">
        <w:rPr>
          <w:lang w:val="es-ES"/>
        </w:rPr>
        <w:t xml:space="preserve"> casos de fiscalización en toda la geografía nacional y se suministró información acorde a los tipos de casos o solicitudes, como se detalla a continuación</w:t>
      </w:r>
      <w:r w:rsidRPr="00232EBB">
        <w:rPr>
          <w:rFonts w:eastAsia="Calibri"/>
          <w:noProof/>
          <w:lang w:val="es-DO"/>
        </w:rPr>
        <w:t>:</w:t>
      </w:r>
    </w:p>
    <w:tbl>
      <w:tblPr>
        <w:tblW w:w="6273" w:type="dxa"/>
        <w:jc w:val="center"/>
        <w:tblCellMar>
          <w:left w:w="70" w:type="dxa"/>
          <w:right w:w="70" w:type="dxa"/>
        </w:tblCellMar>
        <w:tblLook w:val="04A0" w:firstRow="1" w:lastRow="0" w:firstColumn="1" w:lastColumn="0" w:noHBand="0" w:noVBand="1"/>
      </w:tblPr>
      <w:tblGrid>
        <w:gridCol w:w="4121"/>
        <w:gridCol w:w="2152"/>
      </w:tblGrid>
      <w:tr w:rsidR="00FD4B8E" w:rsidRPr="00232EBB" w14:paraId="6C625A80" w14:textId="77777777" w:rsidTr="00822846">
        <w:trPr>
          <w:trHeight w:val="647"/>
          <w:jc w:val="center"/>
        </w:trPr>
        <w:tc>
          <w:tcPr>
            <w:tcW w:w="412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B08F1FA" w14:textId="77777777" w:rsidR="00FD4B8E" w:rsidRPr="00232EBB" w:rsidRDefault="00FD4B8E" w:rsidP="00B13188">
            <w:pPr>
              <w:spacing w:after="0" w:line="240" w:lineRule="auto"/>
              <w:jc w:val="center"/>
              <w:rPr>
                <w:rFonts w:eastAsia="Times New Roman"/>
                <w:b/>
                <w:bCs/>
                <w:color w:val="FFFFFF" w:themeColor="background1"/>
                <w:spacing w:val="0"/>
                <w:lang w:val="es-DO" w:eastAsia="es-DO"/>
              </w:rPr>
            </w:pPr>
            <w:r w:rsidRPr="00232EBB">
              <w:rPr>
                <w:rFonts w:eastAsia="Times New Roman"/>
                <w:b/>
                <w:bCs/>
                <w:color w:val="FFFFFF" w:themeColor="background1"/>
                <w:spacing w:val="0"/>
                <w:lang w:val="es-DO" w:eastAsia="es-DO"/>
              </w:rPr>
              <w:t>Proceso</w:t>
            </w:r>
          </w:p>
        </w:tc>
        <w:tc>
          <w:tcPr>
            <w:tcW w:w="2152"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2A20339" w14:textId="6AB89EFC" w:rsidR="00FD4B8E" w:rsidRPr="00232EBB" w:rsidRDefault="00FD4B8E" w:rsidP="00FD4B8E">
            <w:pPr>
              <w:spacing w:after="0" w:line="240" w:lineRule="auto"/>
              <w:jc w:val="center"/>
              <w:rPr>
                <w:rFonts w:eastAsia="Times New Roman"/>
                <w:b/>
                <w:bCs/>
                <w:color w:val="FFFFFF" w:themeColor="background1"/>
                <w:spacing w:val="0"/>
                <w:lang w:val="es-DO" w:eastAsia="es-DO"/>
              </w:rPr>
            </w:pPr>
            <w:r w:rsidRPr="00232EBB">
              <w:rPr>
                <w:rFonts w:eastAsia="Times New Roman"/>
                <w:b/>
                <w:bCs/>
                <w:color w:val="FFFFFF" w:themeColor="background1"/>
                <w:spacing w:val="0"/>
                <w:lang w:val="es-DO" w:eastAsia="es-DO"/>
              </w:rPr>
              <w:t>Auditorías Realizadas</w:t>
            </w:r>
          </w:p>
        </w:tc>
      </w:tr>
      <w:tr w:rsidR="00FD4B8E" w:rsidRPr="00232EBB" w14:paraId="1723E829" w14:textId="77777777" w:rsidTr="00822846">
        <w:trPr>
          <w:trHeight w:val="341"/>
          <w:jc w:val="center"/>
        </w:trPr>
        <w:tc>
          <w:tcPr>
            <w:tcW w:w="4121" w:type="dxa"/>
            <w:tcBorders>
              <w:top w:val="nil"/>
              <w:left w:val="single" w:sz="4" w:space="0" w:color="auto"/>
              <w:bottom w:val="single" w:sz="4" w:space="0" w:color="auto"/>
              <w:right w:val="single" w:sz="4" w:space="0" w:color="auto"/>
            </w:tcBorders>
            <w:noWrap/>
            <w:vAlign w:val="bottom"/>
            <w:hideMark/>
          </w:tcPr>
          <w:p w14:paraId="1436D491" w14:textId="77777777" w:rsidR="00FD4B8E" w:rsidRPr="00232EBB" w:rsidRDefault="00FD4B8E" w:rsidP="00B13188">
            <w:pPr>
              <w:spacing w:after="0" w:line="240" w:lineRule="auto"/>
              <w:rPr>
                <w:lang w:val="es-ES"/>
              </w:rPr>
            </w:pPr>
            <w:r w:rsidRPr="00232EBB">
              <w:rPr>
                <w:lang w:val="es-ES"/>
              </w:rPr>
              <w:t>Auditoría ARS</w:t>
            </w:r>
          </w:p>
        </w:tc>
        <w:tc>
          <w:tcPr>
            <w:tcW w:w="2152" w:type="dxa"/>
            <w:tcBorders>
              <w:top w:val="nil"/>
              <w:left w:val="nil"/>
              <w:bottom w:val="single" w:sz="4" w:space="0" w:color="auto"/>
              <w:right w:val="single" w:sz="4" w:space="0" w:color="auto"/>
            </w:tcBorders>
            <w:noWrap/>
            <w:vAlign w:val="bottom"/>
            <w:hideMark/>
          </w:tcPr>
          <w:p w14:paraId="1A8FBBCA" w14:textId="77777777" w:rsidR="00FD4B8E" w:rsidRPr="00232EBB" w:rsidRDefault="00FD4B8E" w:rsidP="00B13188">
            <w:pPr>
              <w:spacing w:after="0" w:line="240" w:lineRule="auto"/>
              <w:jc w:val="center"/>
              <w:rPr>
                <w:lang w:val="es-ES"/>
              </w:rPr>
            </w:pPr>
            <w:r w:rsidRPr="00232EBB">
              <w:rPr>
                <w:lang w:val="es-ES"/>
              </w:rPr>
              <w:t>15</w:t>
            </w:r>
          </w:p>
        </w:tc>
      </w:tr>
      <w:tr w:rsidR="00FD4B8E" w:rsidRPr="00232EBB" w14:paraId="1AF17AC9" w14:textId="77777777" w:rsidTr="00822846">
        <w:trPr>
          <w:trHeight w:val="359"/>
          <w:jc w:val="center"/>
        </w:trPr>
        <w:tc>
          <w:tcPr>
            <w:tcW w:w="4121" w:type="dxa"/>
            <w:tcBorders>
              <w:top w:val="nil"/>
              <w:left w:val="single" w:sz="4" w:space="0" w:color="auto"/>
              <w:bottom w:val="single" w:sz="4" w:space="0" w:color="auto"/>
              <w:right w:val="single" w:sz="4" w:space="0" w:color="auto"/>
            </w:tcBorders>
            <w:noWrap/>
            <w:vAlign w:val="bottom"/>
            <w:hideMark/>
          </w:tcPr>
          <w:p w14:paraId="578E3413" w14:textId="77777777" w:rsidR="00FD4B8E" w:rsidRPr="00232EBB" w:rsidRDefault="00FD4B8E" w:rsidP="00B13188">
            <w:pPr>
              <w:spacing w:after="0" w:line="240" w:lineRule="auto"/>
              <w:rPr>
                <w:lang w:val="es-ES"/>
              </w:rPr>
            </w:pPr>
            <w:r w:rsidRPr="00232EBB">
              <w:rPr>
                <w:lang w:val="es-ES"/>
              </w:rPr>
              <w:t>Auditoría Empleadores</w:t>
            </w:r>
          </w:p>
        </w:tc>
        <w:tc>
          <w:tcPr>
            <w:tcW w:w="2152" w:type="dxa"/>
            <w:tcBorders>
              <w:top w:val="nil"/>
              <w:left w:val="nil"/>
              <w:bottom w:val="single" w:sz="4" w:space="0" w:color="auto"/>
              <w:right w:val="single" w:sz="4" w:space="0" w:color="auto"/>
            </w:tcBorders>
            <w:noWrap/>
            <w:vAlign w:val="bottom"/>
            <w:hideMark/>
          </w:tcPr>
          <w:p w14:paraId="4E89E3B5" w14:textId="77777777" w:rsidR="00FD4B8E" w:rsidRPr="00232EBB" w:rsidRDefault="00FD4B8E" w:rsidP="00B13188">
            <w:pPr>
              <w:spacing w:after="0" w:line="240" w:lineRule="auto"/>
              <w:jc w:val="center"/>
              <w:rPr>
                <w:lang w:val="es-ES"/>
              </w:rPr>
            </w:pPr>
            <w:r w:rsidRPr="00232EBB">
              <w:rPr>
                <w:lang w:val="es-ES"/>
              </w:rPr>
              <w:t>1,201</w:t>
            </w:r>
          </w:p>
        </w:tc>
      </w:tr>
      <w:tr w:rsidR="00FD4B8E" w:rsidRPr="00232EBB" w14:paraId="6830CCF9" w14:textId="77777777" w:rsidTr="00822846">
        <w:trPr>
          <w:trHeight w:val="350"/>
          <w:jc w:val="center"/>
        </w:trPr>
        <w:tc>
          <w:tcPr>
            <w:tcW w:w="4121" w:type="dxa"/>
            <w:tcBorders>
              <w:top w:val="single" w:sz="4" w:space="0" w:color="auto"/>
              <w:left w:val="single" w:sz="4" w:space="0" w:color="auto"/>
              <w:bottom w:val="single" w:sz="4" w:space="0" w:color="auto"/>
              <w:right w:val="single" w:sz="4" w:space="0" w:color="auto"/>
            </w:tcBorders>
            <w:noWrap/>
            <w:vAlign w:val="bottom"/>
          </w:tcPr>
          <w:p w14:paraId="3D00374E" w14:textId="77777777" w:rsidR="00FD4B8E" w:rsidRPr="00232EBB" w:rsidRDefault="00FD4B8E" w:rsidP="00B13188">
            <w:pPr>
              <w:spacing w:after="0" w:line="240" w:lineRule="auto"/>
              <w:rPr>
                <w:lang w:val="es-ES"/>
              </w:rPr>
            </w:pPr>
            <w:r w:rsidRPr="00232EBB">
              <w:rPr>
                <w:lang w:val="es-ES"/>
              </w:rPr>
              <w:t>Visitas de inspección *</w:t>
            </w:r>
          </w:p>
        </w:tc>
        <w:tc>
          <w:tcPr>
            <w:tcW w:w="2152" w:type="dxa"/>
            <w:tcBorders>
              <w:top w:val="single" w:sz="4" w:space="0" w:color="auto"/>
              <w:left w:val="nil"/>
              <w:bottom w:val="single" w:sz="4" w:space="0" w:color="auto"/>
              <w:right w:val="single" w:sz="4" w:space="0" w:color="auto"/>
            </w:tcBorders>
            <w:noWrap/>
            <w:vAlign w:val="bottom"/>
          </w:tcPr>
          <w:p w14:paraId="2AADCA26" w14:textId="77777777" w:rsidR="00FD4B8E" w:rsidRPr="00232EBB" w:rsidRDefault="00FD4B8E" w:rsidP="00B13188">
            <w:pPr>
              <w:spacing w:after="0" w:line="240" w:lineRule="auto"/>
              <w:jc w:val="center"/>
              <w:rPr>
                <w:lang w:val="es-ES"/>
              </w:rPr>
            </w:pPr>
            <w:r w:rsidRPr="00232EBB">
              <w:rPr>
                <w:lang w:val="es-ES"/>
              </w:rPr>
              <w:t>966</w:t>
            </w:r>
          </w:p>
        </w:tc>
      </w:tr>
      <w:tr w:rsidR="00FD4B8E" w:rsidRPr="00232EBB" w14:paraId="1514E887" w14:textId="77777777" w:rsidTr="00822846">
        <w:trPr>
          <w:trHeight w:val="260"/>
          <w:jc w:val="center"/>
        </w:trPr>
        <w:tc>
          <w:tcPr>
            <w:tcW w:w="4121" w:type="dxa"/>
            <w:tcBorders>
              <w:top w:val="single" w:sz="4" w:space="0" w:color="auto"/>
              <w:left w:val="single" w:sz="4" w:space="0" w:color="auto"/>
              <w:bottom w:val="single" w:sz="4" w:space="0" w:color="auto"/>
              <w:right w:val="single" w:sz="4" w:space="0" w:color="auto"/>
            </w:tcBorders>
            <w:noWrap/>
            <w:vAlign w:val="bottom"/>
            <w:hideMark/>
          </w:tcPr>
          <w:p w14:paraId="33345D00" w14:textId="77777777" w:rsidR="00FD4B8E" w:rsidRPr="00232EBB" w:rsidRDefault="00FD4B8E" w:rsidP="00B13188">
            <w:pPr>
              <w:spacing w:after="0" w:line="240" w:lineRule="auto"/>
              <w:rPr>
                <w:lang w:val="es-ES"/>
              </w:rPr>
            </w:pPr>
            <w:r w:rsidRPr="00232EBB">
              <w:rPr>
                <w:lang w:val="es-ES"/>
              </w:rPr>
              <w:t>Solicitudes Empleadores</w:t>
            </w:r>
          </w:p>
        </w:tc>
        <w:tc>
          <w:tcPr>
            <w:tcW w:w="2152" w:type="dxa"/>
            <w:tcBorders>
              <w:top w:val="single" w:sz="4" w:space="0" w:color="auto"/>
              <w:left w:val="nil"/>
              <w:bottom w:val="single" w:sz="4" w:space="0" w:color="auto"/>
              <w:right w:val="single" w:sz="4" w:space="0" w:color="auto"/>
            </w:tcBorders>
            <w:noWrap/>
            <w:vAlign w:val="bottom"/>
            <w:hideMark/>
          </w:tcPr>
          <w:p w14:paraId="15D12F6B" w14:textId="77777777" w:rsidR="00FD4B8E" w:rsidRPr="00232EBB" w:rsidRDefault="00FD4B8E" w:rsidP="00B13188">
            <w:pPr>
              <w:spacing w:after="0" w:line="240" w:lineRule="auto"/>
              <w:jc w:val="center"/>
              <w:rPr>
                <w:lang w:val="es-ES"/>
              </w:rPr>
            </w:pPr>
            <w:r w:rsidRPr="00232EBB">
              <w:rPr>
                <w:lang w:val="es-ES"/>
              </w:rPr>
              <w:t>5,219</w:t>
            </w:r>
          </w:p>
        </w:tc>
      </w:tr>
      <w:tr w:rsidR="00FD4B8E" w:rsidRPr="00232EBB" w14:paraId="58791157" w14:textId="77777777" w:rsidTr="00822846">
        <w:trPr>
          <w:trHeight w:val="341"/>
          <w:jc w:val="center"/>
        </w:trPr>
        <w:tc>
          <w:tcPr>
            <w:tcW w:w="4121" w:type="dxa"/>
            <w:tcBorders>
              <w:top w:val="nil"/>
              <w:left w:val="single" w:sz="4" w:space="0" w:color="auto"/>
              <w:bottom w:val="single" w:sz="4" w:space="0" w:color="auto"/>
              <w:right w:val="single" w:sz="4" w:space="0" w:color="auto"/>
            </w:tcBorders>
            <w:noWrap/>
            <w:vAlign w:val="bottom"/>
            <w:hideMark/>
          </w:tcPr>
          <w:p w14:paraId="5E292F8D" w14:textId="77777777" w:rsidR="00FD4B8E" w:rsidRPr="00232EBB" w:rsidRDefault="00FD4B8E" w:rsidP="00B13188">
            <w:pPr>
              <w:spacing w:after="0" w:line="240" w:lineRule="auto"/>
              <w:rPr>
                <w:lang w:val="es-ES"/>
              </w:rPr>
            </w:pPr>
            <w:r w:rsidRPr="00232EBB">
              <w:rPr>
                <w:lang w:val="es-ES"/>
              </w:rPr>
              <w:t>Multas impuestas **</w:t>
            </w:r>
          </w:p>
        </w:tc>
        <w:tc>
          <w:tcPr>
            <w:tcW w:w="2152" w:type="dxa"/>
            <w:tcBorders>
              <w:top w:val="nil"/>
              <w:left w:val="nil"/>
              <w:bottom w:val="single" w:sz="4" w:space="0" w:color="auto"/>
              <w:right w:val="single" w:sz="4" w:space="0" w:color="auto"/>
            </w:tcBorders>
            <w:noWrap/>
            <w:vAlign w:val="bottom"/>
            <w:hideMark/>
          </w:tcPr>
          <w:p w14:paraId="68171477" w14:textId="77777777" w:rsidR="00FD4B8E" w:rsidRPr="00232EBB" w:rsidRDefault="00FD4B8E" w:rsidP="00B13188">
            <w:pPr>
              <w:spacing w:after="0" w:line="240" w:lineRule="auto"/>
              <w:jc w:val="center"/>
              <w:rPr>
                <w:lang w:val="es-ES"/>
              </w:rPr>
            </w:pPr>
            <w:r w:rsidRPr="00232EBB">
              <w:rPr>
                <w:lang w:val="es-ES"/>
              </w:rPr>
              <w:t>67</w:t>
            </w:r>
          </w:p>
        </w:tc>
      </w:tr>
      <w:tr w:rsidR="00FD4B8E" w:rsidRPr="00232EBB" w14:paraId="15F2DF78" w14:textId="77777777" w:rsidTr="00822846">
        <w:trPr>
          <w:trHeight w:val="260"/>
          <w:jc w:val="center"/>
        </w:trPr>
        <w:tc>
          <w:tcPr>
            <w:tcW w:w="4121" w:type="dxa"/>
            <w:tcBorders>
              <w:top w:val="nil"/>
              <w:left w:val="single" w:sz="4" w:space="0" w:color="auto"/>
              <w:bottom w:val="single" w:sz="4" w:space="0" w:color="auto"/>
              <w:right w:val="single" w:sz="4" w:space="0" w:color="auto"/>
            </w:tcBorders>
            <w:noWrap/>
            <w:vAlign w:val="bottom"/>
            <w:hideMark/>
          </w:tcPr>
          <w:p w14:paraId="379B16F7" w14:textId="77777777" w:rsidR="00FD4B8E" w:rsidRPr="00232EBB" w:rsidRDefault="00FD4B8E" w:rsidP="00B13188">
            <w:pPr>
              <w:spacing w:after="0" w:line="240" w:lineRule="auto"/>
              <w:rPr>
                <w:lang w:val="es-ES"/>
              </w:rPr>
            </w:pPr>
            <w:r w:rsidRPr="00232EBB">
              <w:rPr>
                <w:lang w:val="es-ES"/>
              </w:rPr>
              <w:t>Total</w:t>
            </w:r>
          </w:p>
        </w:tc>
        <w:tc>
          <w:tcPr>
            <w:tcW w:w="2152" w:type="dxa"/>
            <w:tcBorders>
              <w:top w:val="nil"/>
              <w:left w:val="nil"/>
              <w:bottom w:val="single" w:sz="4" w:space="0" w:color="auto"/>
              <w:right w:val="single" w:sz="4" w:space="0" w:color="auto"/>
            </w:tcBorders>
            <w:noWrap/>
            <w:vAlign w:val="bottom"/>
            <w:hideMark/>
          </w:tcPr>
          <w:p w14:paraId="72B49CDE" w14:textId="77777777" w:rsidR="00FD4B8E" w:rsidRPr="00232EBB" w:rsidRDefault="00FD4B8E" w:rsidP="00B13188">
            <w:pPr>
              <w:spacing w:after="0" w:line="240" w:lineRule="auto"/>
              <w:jc w:val="center"/>
              <w:rPr>
                <w:b/>
                <w:bCs/>
                <w:lang w:val="es-ES"/>
              </w:rPr>
            </w:pPr>
            <w:r w:rsidRPr="00232EBB">
              <w:rPr>
                <w:b/>
                <w:bCs/>
                <w:lang w:val="es-ES"/>
              </w:rPr>
              <w:t>7,468</w:t>
            </w:r>
          </w:p>
        </w:tc>
      </w:tr>
    </w:tbl>
    <w:p w14:paraId="1A64B20D" w14:textId="11407451" w:rsidR="002E7F05" w:rsidRPr="00232EBB" w:rsidRDefault="002E7F05" w:rsidP="00BE09C4">
      <w:pPr>
        <w:spacing w:afterLines="160" w:after="384" w:line="360" w:lineRule="auto"/>
        <w:ind w:left="-810"/>
        <w:jc w:val="both"/>
        <w:rPr>
          <w:rFonts w:eastAsia="Calibri"/>
          <w:noProof/>
          <w:color w:val="4C4747"/>
          <w:lang w:val="es-DO"/>
        </w:rPr>
      </w:pPr>
      <w:r w:rsidRPr="00232EBB">
        <w:rPr>
          <w:rFonts w:eastAsia="Calibri"/>
          <w:b/>
          <w:bCs/>
          <w:noProof/>
          <w:color w:val="4C4747"/>
          <w:sz w:val="18"/>
          <w:szCs w:val="18"/>
          <w:lang w:val="es-DO"/>
        </w:rPr>
        <w:t xml:space="preserve">                        </w:t>
      </w:r>
      <w:r w:rsidRPr="00232EBB">
        <w:rPr>
          <w:rFonts w:eastAsia="Calibri"/>
          <w:b/>
          <w:bCs/>
          <w:noProof/>
          <w:sz w:val="18"/>
          <w:szCs w:val="18"/>
          <w:lang w:val="es-DO"/>
        </w:rPr>
        <w:t>Tabla 1</w:t>
      </w:r>
      <w:r w:rsidR="007B5587" w:rsidRPr="00232EBB">
        <w:rPr>
          <w:rFonts w:eastAsia="Calibri"/>
          <w:b/>
          <w:bCs/>
          <w:noProof/>
          <w:sz w:val="18"/>
          <w:szCs w:val="18"/>
          <w:lang w:val="es-DO"/>
        </w:rPr>
        <w:t>0</w:t>
      </w:r>
      <w:r w:rsidRPr="00232EBB">
        <w:rPr>
          <w:rFonts w:eastAsia="Calibri"/>
          <w:b/>
          <w:bCs/>
          <w:noProof/>
          <w:sz w:val="18"/>
          <w:szCs w:val="18"/>
          <w:lang w:val="es-DO"/>
        </w:rPr>
        <w:t>:</w:t>
      </w:r>
      <w:r w:rsidRPr="00232EBB">
        <w:rPr>
          <w:rFonts w:eastAsia="Calibri"/>
          <w:noProof/>
          <w:sz w:val="18"/>
          <w:szCs w:val="18"/>
          <w:lang w:val="es-DO"/>
        </w:rPr>
        <w:t xml:space="preserve"> Procesos de Auditoria.</w:t>
      </w:r>
    </w:p>
    <w:p w14:paraId="582AE514" w14:textId="61C06FAF" w:rsidR="002E7F05" w:rsidRPr="00232EBB" w:rsidRDefault="006F2505" w:rsidP="00BE09C4">
      <w:pPr>
        <w:spacing w:afterLines="160" w:after="384" w:line="276" w:lineRule="auto"/>
        <w:jc w:val="both"/>
        <w:rPr>
          <w:lang w:val="es-ES"/>
        </w:rPr>
      </w:pPr>
      <w:r w:rsidRPr="00232EBB">
        <w:rPr>
          <w:lang w:val="es-ES"/>
        </w:rPr>
        <w:t>*</w:t>
      </w:r>
      <w:r w:rsidR="002E7F05" w:rsidRPr="00232EBB">
        <w:rPr>
          <w:lang w:val="es-ES"/>
        </w:rPr>
        <w:t>Se realizaron 966 visitas de inspección, de las cuales se completaron 902 informes contentivos de los resultados obtenidos.</w:t>
      </w:r>
    </w:p>
    <w:p w14:paraId="00A32455" w14:textId="39CC7C3C" w:rsidR="002E7F05" w:rsidRPr="00232EBB" w:rsidRDefault="004F0A49" w:rsidP="002E7F05">
      <w:pPr>
        <w:spacing w:afterLines="160" w:after="384" w:line="276" w:lineRule="auto"/>
        <w:jc w:val="both"/>
        <w:rPr>
          <w:lang w:val="es-ES"/>
        </w:rPr>
      </w:pPr>
      <w:r w:rsidRPr="00232EBB">
        <w:rPr>
          <w:noProof/>
        </w:rPr>
        <w:lastRenderedPageBreak/>
        <w:drawing>
          <wp:anchor distT="0" distB="0" distL="114300" distR="114300" simplePos="0" relativeHeight="251680804" behindDoc="0" locked="0" layoutInCell="1" allowOverlap="1" wp14:anchorId="79065D80" wp14:editId="4991743E">
            <wp:simplePos x="0" y="0"/>
            <wp:positionH relativeFrom="margin">
              <wp:posOffset>220345</wp:posOffset>
            </wp:positionH>
            <wp:positionV relativeFrom="paragraph">
              <wp:posOffset>645160</wp:posOffset>
            </wp:positionV>
            <wp:extent cx="4648200" cy="2364740"/>
            <wp:effectExtent l="0" t="0" r="0" b="16510"/>
            <wp:wrapTopAndBottom/>
            <wp:docPr id="109546756" name="Chart 1">
              <a:extLst xmlns:a="http://schemas.openxmlformats.org/drawingml/2006/main">
                <a:ext uri="{FF2B5EF4-FFF2-40B4-BE49-F238E27FC236}">
                  <a16:creationId xmlns:a16="http://schemas.microsoft.com/office/drawing/2014/main" id="{8D3C18E0-2972-0F45-FA71-5C251A5B65E4}"/>
                </a:ext>
                <a:ext uri="{147F2762-F138-4A5C-976F-8EAC2B608ADB}">
                  <a16:predDERef xmlns:a16="http://schemas.microsoft.com/office/drawing/2014/main" pred="{67978796-2B17-4F6A-9E41-E8B24F1D2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2E7F05" w:rsidRPr="00232EBB">
        <w:rPr>
          <w:lang w:val="es-ES"/>
        </w:rPr>
        <w:t>** Basado en la fecha efectiva de notificación de la Resolución Sancionadora al empleador infractor.</w:t>
      </w:r>
    </w:p>
    <w:p w14:paraId="6FA96D49" w14:textId="53664AE2" w:rsidR="00295F77" w:rsidRPr="00232EBB" w:rsidRDefault="00295F77" w:rsidP="009E6B75">
      <w:pPr>
        <w:spacing w:after="0" w:line="240" w:lineRule="auto"/>
        <w:rPr>
          <w:rFonts w:eastAsia="Times New Roman"/>
          <w:b/>
          <w:bCs/>
          <w:spacing w:val="0"/>
          <w:lang w:val="es-MX"/>
        </w:rPr>
      </w:pPr>
    </w:p>
    <w:p w14:paraId="1950743B" w14:textId="134BAF52" w:rsidR="000F57D8" w:rsidRPr="00232EBB" w:rsidRDefault="00CB7EEC" w:rsidP="009E6B75">
      <w:pPr>
        <w:spacing w:after="0" w:line="240" w:lineRule="auto"/>
        <w:rPr>
          <w:rFonts w:eastAsia="Calibri"/>
          <w:noProof/>
          <w:sz w:val="18"/>
          <w:szCs w:val="18"/>
          <w:lang w:val="es-DO"/>
        </w:rPr>
      </w:pPr>
      <w:r w:rsidRPr="00232EBB">
        <w:rPr>
          <w:rFonts w:eastAsia="Calibri"/>
          <w:noProof/>
          <w:lang w:val="es-DO"/>
        </w:rPr>
        <w:t xml:space="preserve"> </w:t>
      </w:r>
      <w:r w:rsidR="000F57D8" w:rsidRPr="00232EBB">
        <w:rPr>
          <w:rFonts w:eastAsia="Calibri"/>
          <w:b/>
          <w:bCs/>
          <w:noProof/>
          <w:sz w:val="18"/>
          <w:szCs w:val="18"/>
          <w:lang w:val="es-DO"/>
        </w:rPr>
        <w:t>Gráfico 1</w:t>
      </w:r>
      <w:r w:rsidR="000F57D8" w:rsidRPr="00232EBB">
        <w:rPr>
          <w:rFonts w:eastAsia="Calibri"/>
          <w:noProof/>
          <w:sz w:val="18"/>
          <w:szCs w:val="18"/>
          <w:lang w:val="es-DO"/>
        </w:rPr>
        <w:t>: Distribución de Procesos de Fiscalización Externa</w:t>
      </w:r>
    </w:p>
    <w:p w14:paraId="7C577094" w14:textId="77777777" w:rsidR="009E6B75" w:rsidRPr="00232EBB" w:rsidRDefault="009E6B75" w:rsidP="009E6B75">
      <w:pPr>
        <w:spacing w:after="0" w:line="240" w:lineRule="auto"/>
        <w:rPr>
          <w:rFonts w:eastAsia="Times New Roman"/>
          <w:b/>
          <w:bCs/>
          <w:spacing w:val="0"/>
          <w:lang w:val="es-ES"/>
        </w:rPr>
      </w:pPr>
    </w:p>
    <w:p w14:paraId="064A5D1A" w14:textId="77777777" w:rsidR="002D2273" w:rsidRPr="00232EBB" w:rsidRDefault="00295F77" w:rsidP="002D2273">
      <w:pPr>
        <w:spacing w:afterLines="160" w:after="384" w:line="240" w:lineRule="auto"/>
        <w:jc w:val="both"/>
        <w:rPr>
          <w:rFonts w:eastAsia="Calibri"/>
          <w:lang w:val="es-DO"/>
        </w:rPr>
      </w:pPr>
      <w:r w:rsidRPr="00232EBB">
        <w:rPr>
          <w:rFonts w:eastAsia="Calibri"/>
          <w:b/>
          <w:bCs/>
          <w:noProof/>
          <w:lang w:val="es-DO"/>
        </w:rPr>
        <w:t>Notificaciones de Pagos Generadas por Auditorías (NPA):</w:t>
      </w:r>
    </w:p>
    <w:p w14:paraId="480E7C75" w14:textId="2B90E140" w:rsidR="00295F77" w:rsidRPr="00232EBB" w:rsidRDefault="007272A3" w:rsidP="002D2273">
      <w:pPr>
        <w:spacing w:afterLines="160" w:after="384" w:line="360" w:lineRule="auto"/>
        <w:jc w:val="both"/>
        <w:rPr>
          <w:rFonts w:eastAsia="Calibri"/>
          <w:lang w:val="es-DO"/>
        </w:rPr>
      </w:pPr>
      <w:r w:rsidRPr="00232EBB">
        <w:rPr>
          <w:b/>
          <w:bCs/>
          <w:noProof/>
          <w:sz w:val="18"/>
          <w:szCs w:val="18"/>
        </w:rPr>
        <w:drawing>
          <wp:anchor distT="0" distB="0" distL="114300" distR="114300" simplePos="0" relativeHeight="251658263" behindDoc="0" locked="0" layoutInCell="1" allowOverlap="1" wp14:anchorId="5B57420A" wp14:editId="562A12DA">
            <wp:simplePos x="0" y="0"/>
            <wp:positionH relativeFrom="margin">
              <wp:posOffset>15240</wp:posOffset>
            </wp:positionH>
            <wp:positionV relativeFrom="paragraph">
              <wp:posOffset>1041400</wp:posOffset>
            </wp:positionV>
            <wp:extent cx="5007610" cy="2159635"/>
            <wp:effectExtent l="0" t="0" r="2540" b="12065"/>
            <wp:wrapTopAndBottom/>
            <wp:docPr id="1110231004" name="Chart 1">
              <a:extLst xmlns:a="http://schemas.openxmlformats.org/drawingml/2006/main">
                <a:ext uri="{FF2B5EF4-FFF2-40B4-BE49-F238E27FC236}">
                  <a16:creationId xmlns:a16="http://schemas.microsoft.com/office/drawing/2014/main" id="{BF661C02-E0AC-424B-8163-1DD2297F10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295F77" w:rsidRPr="00232EBB">
        <w:rPr>
          <w:rFonts w:eastAsia="Calibri"/>
          <w:lang w:val="es-DO"/>
        </w:rPr>
        <w:t>Para el período</w:t>
      </w:r>
      <w:r w:rsidR="005C4045" w:rsidRPr="00232EBB">
        <w:rPr>
          <w:rFonts w:eastAsia="Calibri"/>
          <w:lang w:val="es-DO"/>
        </w:rPr>
        <w:t xml:space="preserve"> </w:t>
      </w:r>
      <w:r w:rsidR="00AC10A4" w:rsidRPr="00232EBB">
        <w:rPr>
          <w:rFonts w:eastAsia="Calibri"/>
          <w:lang w:val="es-DO"/>
        </w:rPr>
        <w:t>enero</w:t>
      </w:r>
      <w:r w:rsidR="00295F77" w:rsidRPr="00232EBB">
        <w:rPr>
          <w:rFonts w:eastAsia="Calibri"/>
          <w:lang w:val="es-DO"/>
        </w:rPr>
        <w:t xml:space="preserve"> - diciembre de 202</w:t>
      </w:r>
      <w:r w:rsidR="004E388D" w:rsidRPr="00232EBB">
        <w:rPr>
          <w:rFonts w:eastAsia="Calibri"/>
          <w:lang w:val="es-DO"/>
        </w:rPr>
        <w:t>5</w:t>
      </w:r>
      <w:r w:rsidR="00295F77" w:rsidRPr="00232EBB">
        <w:rPr>
          <w:rFonts w:eastAsia="Calibri"/>
          <w:lang w:val="es-DO"/>
        </w:rPr>
        <w:t xml:space="preserve">, se realizaron </w:t>
      </w:r>
      <w:r w:rsidR="002E7F05" w:rsidRPr="00232EBB">
        <w:rPr>
          <w:rFonts w:eastAsia="Calibri"/>
          <w:lang w:val="es-DO"/>
        </w:rPr>
        <w:t>479</w:t>
      </w:r>
      <w:r w:rsidR="00295F77" w:rsidRPr="00232EBB">
        <w:rPr>
          <w:rFonts w:eastAsia="Calibri"/>
          <w:lang w:val="es-DO"/>
        </w:rPr>
        <w:t xml:space="preserve"> cargas de Notificaciones de Auditoría, las cuales ascienden a un monto de RD$</w:t>
      </w:r>
      <w:r w:rsidR="002E7F05" w:rsidRPr="00232EBB">
        <w:rPr>
          <w:rFonts w:eastAsia="Calibri"/>
          <w:lang w:val="es-DO"/>
        </w:rPr>
        <w:t>56.5</w:t>
      </w:r>
      <w:r w:rsidR="00295F77" w:rsidRPr="00232EBB">
        <w:rPr>
          <w:rFonts w:eastAsia="Calibri"/>
          <w:lang w:val="es-DO"/>
        </w:rPr>
        <w:t xml:space="preserve"> MM, encontrándose el </w:t>
      </w:r>
      <w:r w:rsidR="002E7F05" w:rsidRPr="00232EBB">
        <w:rPr>
          <w:rFonts w:eastAsia="Calibri"/>
          <w:lang w:val="es-DO"/>
        </w:rPr>
        <w:t>37.25</w:t>
      </w:r>
      <w:r w:rsidR="00295F77" w:rsidRPr="00232EBB">
        <w:rPr>
          <w:rFonts w:eastAsia="Calibri"/>
          <w:lang w:val="es-DO"/>
        </w:rPr>
        <w:t xml:space="preserve">% en estatus pagado y el </w:t>
      </w:r>
      <w:r w:rsidR="002E7F05" w:rsidRPr="00232EBB">
        <w:rPr>
          <w:rFonts w:eastAsia="Calibri"/>
          <w:lang w:val="es-DO"/>
        </w:rPr>
        <w:t>62.75</w:t>
      </w:r>
      <w:r w:rsidR="00295F77" w:rsidRPr="00232EBB">
        <w:rPr>
          <w:rFonts w:eastAsia="Calibri"/>
          <w:lang w:val="es-DO"/>
        </w:rPr>
        <w:t>% en estatus vencido, tal como se indica a continuación:</w:t>
      </w:r>
    </w:p>
    <w:p w14:paraId="59D4545B" w14:textId="7BA60814" w:rsidR="00AA5CBC" w:rsidRPr="00232EBB" w:rsidRDefault="000F57D8" w:rsidP="00461E24">
      <w:pPr>
        <w:spacing w:afterLines="160" w:after="384" w:line="360" w:lineRule="auto"/>
        <w:rPr>
          <w:rFonts w:eastAsia="Calibri"/>
          <w:noProof/>
          <w:color w:val="4C4747"/>
          <w:sz w:val="18"/>
          <w:szCs w:val="18"/>
          <w:lang w:val="es-DO"/>
        </w:rPr>
      </w:pPr>
      <w:r w:rsidRPr="00232EBB">
        <w:rPr>
          <w:rFonts w:eastAsia="Calibri"/>
          <w:b/>
          <w:bCs/>
          <w:noProof/>
          <w:color w:val="7B7B7B" w:themeColor="accent3" w:themeShade="BF"/>
          <w:sz w:val="18"/>
          <w:szCs w:val="18"/>
          <w:lang w:val="es-DO"/>
        </w:rPr>
        <w:t>G</w:t>
      </w:r>
      <w:bookmarkStart w:id="48" w:name="_Hlk216335780"/>
      <w:r w:rsidRPr="00232EBB">
        <w:rPr>
          <w:rFonts w:eastAsia="Calibri"/>
          <w:b/>
          <w:bCs/>
          <w:noProof/>
          <w:color w:val="7B7B7B" w:themeColor="accent3" w:themeShade="BF"/>
          <w:sz w:val="18"/>
          <w:szCs w:val="18"/>
          <w:lang w:val="es-DO"/>
        </w:rPr>
        <w:t>ráfico 2</w:t>
      </w:r>
      <w:r w:rsidRPr="00232EBB">
        <w:rPr>
          <w:rFonts w:eastAsia="Calibri"/>
          <w:noProof/>
          <w:color w:val="7B7B7B" w:themeColor="accent3" w:themeShade="BF"/>
          <w:lang w:val="es-DO"/>
        </w:rPr>
        <w:t xml:space="preserve">: </w:t>
      </w:r>
      <w:r w:rsidRPr="00232EBB">
        <w:rPr>
          <w:rFonts w:eastAsia="Calibri"/>
          <w:noProof/>
          <w:color w:val="4C4747"/>
          <w:sz w:val="18"/>
          <w:szCs w:val="18"/>
          <w:lang w:val="es-DO"/>
        </w:rPr>
        <w:t>Notificaciones de Pago por Auditorias</w:t>
      </w:r>
    </w:p>
    <w:tbl>
      <w:tblPr>
        <w:tblStyle w:val="TableGrid1"/>
        <w:tblW w:w="7459" w:type="dxa"/>
        <w:tblLook w:val="04A0" w:firstRow="1" w:lastRow="0" w:firstColumn="1" w:lastColumn="0" w:noHBand="0" w:noVBand="1"/>
      </w:tblPr>
      <w:tblGrid>
        <w:gridCol w:w="2070"/>
        <w:gridCol w:w="1952"/>
        <w:gridCol w:w="1856"/>
        <w:gridCol w:w="1856"/>
      </w:tblGrid>
      <w:tr w:rsidR="006C03EF" w:rsidRPr="00232EBB" w14:paraId="7A6B7396" w14:textId="77777777" w:rsidTr="002B0854">
        <w:trPr>
          <w:trHeight w:val="313"/>
        </w:trPr>
        <w:tc>
          <w:tcPr>
            <w:tcW w:w="1939" w:type="dxa"/>
            <w:shd w:val="clear" w:color="auto" w:fill="1F3864" w:themeFill="accent1" w:themeFillShade="80"/>
            <w:noWrap/>
            <w:hideMark/>
          </w:tcPr>
          <w:bookmarkEnd w:id="48"/>
          <w:p w14:paraId="61C146AC" w14:textId="77777777" w:rsidR="006C03EF" w:rsidRPr="00232EBB" w:rsidRDefault="006C03EF" w:rsidP="006C03EF">
            <w:pPr>
              <w:jc w:val="center"/>
              <w:rPr>
                <w:rFonts w:eastAsia="Times New Roman"/>
                <w:b/>
                <w:bCs/>
                <w:color w:val="FFFFFF"/>
              </w:rPr>
            </w:pPr>
            <w:r w:rsidRPr="00232EBB">
              <w:rPr>
                <w:rFonts w:eastAsia="Times New Roman"/>
                <w:b/>
                <w:bCs/>
                <w:color w:val="FFFFFF"/>
              </w:rPr>
              <w:lastRenderedPageBreak/>
              <w:t>MES GENERACIÓN NPA</w:t>
            </w:r>
          </w:p>
        </w:tc>
        <w:tc>
          <w:tcPr>
            <w:tcW w:w="1952" w:type="dxa"/>
            <w:shd w:val="clear" w:color="auto" w:fill="1F3864" w:themeFill="accent1" w:themeFillShade="80"/>
            <w:noWrap/>
            <w:hideMark/>
          </w:tcPr>
          <w:p w14:paraId="4EC12327" w14:textId="77777777" w:rsidR="006C03EF" w:rsidRPr="00232EBB" w:rsidRDefault="006C03EF" w:rsidP="006C03EF">
            <w:pPr>
              <w:jc w:val="center"/>
              <w:rPr>
                <w:rFonts w:eastAsia="Times New Roman"/>
                <w:b/>
                <w:bCs/>
                <w:color w:val="FFFFFF"/>
                <w:lang w:val="es-DO"/>
              </w:rPr>
            </w:pPr>
            <w:r w:rsidRPr="00232EBB">
              <w:rPr>
                <w:rFonts w:eastAsia="Times New Roman"/>
                <w:b/>
                <w:bCs/>
                <w:color w:val="FFFFFF"/>
                <w:lang w:val="es-DO"/>
              </w:rPr>
              <w:t>Pagada</w:t>
            </w:r>
          </w:p>
        </w:tc>
        <w:tc>
          <w:tcPr>
            <w:tcW w:w="1802" w:type="dxa"/>
            <w:shd w:val="clear" w:color="auto" w:fill="1F3864" w:themeFill="accent1" w:themeFillShade="80"/>
            <w:noWrap/>
            <w:hideMark/>
          </w:tcPr>
          <w:p w14:paraId="626E73DF" w14:textId="77777777" w:rsidR="006C03EF" w:rsidRPr="00232EBB" w:rsidRDefault="006C03EF" w:rsidP="006C03EF">
            <w:pPr>
              <w:jc w:val="center"/>
              <w:rPr>
                <w:rFonts w:eastAsia="Times New Roman"/>
                <w:b/>
                <w:bCs/>
                <w:color w:val="FFFFFF"/>
                <w:lang w:val="es-DO"/>
              </w:rPr>
            </w:pPr>
            <w:r w:rsidRPr="00232EBB">
              <w:rPr>
                <w:rFonts w:eastAsia="Times New Roman"/>
                <w:b/>
                <w:bCs/>
                <w:color w:val="FFFFFF"/>
                <w:lang w:val="es-DO"/>
              </w:rPr>
              <w:t>Vencida</w:t>
            </w:r>
          </w:p>
        </w:tc>
        <w:tc>
          <w:tcPr>
            <w:tcW w:w="1766" w:type="dxa"/>
            <w:shd w:val="clear" w:color="auto" w:fill="1F3864" w:themeFill="accent1" w:themeFillShade="80"/>
            <w:noWrap/>
            <w:hideMark/>
          </w:tcPr>
          <w:p w14:paraId="426010A5" w14:textId="77777777" w:rsidR="006C03EF" w:rsidRPr="00232EBB" w:rsidRDefault="006C03EF" w:rsidP="006C03EF">
            <w:pPr>
              <w:jc w:val="center"/>
              <w:rPr>
                <w:rFonts w:eastAsia="Times New Roman"/>
                <w:b/>
                <w:bCs/>
                <w:color w:val="FFFFFF"/>
              </w:rPr>
            </w:pPr>
            <w:r w:rsidRPr="00232EBB">
              <w:rPr>
                <w:rFonts w:eastAsia="Times New Roman"/>
                <w:b/>
                <w:bCs/>
                <w:color w:val="FFFFFF"/>
              </w:rPr>
              <w:t>Monto Total</w:t>
            </w:r>
          </w:p>
        </w:tc>
      </w:tr>
      <w:tr w:rsidR="006C03EF" w:rsidRPr="00232EBB" w14:paraId="5993AAB2" w14:textId="77777777" w:rsidTr="002B0854">
        <w:trPr>
          <w:trHeight w:val="327"/>
        </w:trPr>
        <w:tc>
          <w:tcPr>
            <w:tcW w:w="1939" w:type="dxa"/>
            <w:noWrap/>
            <w:hideMark/>
          </w:tcPr>
          <w:p w14:paraId="073E460B" w14:textId="77777777" w:rsidR="006C03EF" w:rsidRPr="00232EBB" w:rsidRDefault="006C03EF" w:rsidP="006C03EF">
            <w:pPr>
              <w:jc w:val="center"/>
              <w:rPr>
                <w:noProof/>
              </w:rPr>
            </w:pPr>
            <w:r w:rsidRPr="00232EBB">
              <w:rPr>
                <w:noProof/>
              </w:rPr>
              <w:t>Enero</w:t>
            </w:r>
          </w:p>
        </w:tc>
        <w:tc>
          <w:tcPr>
            <w:tcW w:w="1952" w:type="dxa"/>
            <w:noWrap/>
            <w:hideMark/>
          </w:tcPr>
          <w:p w14:paraId="7B11D3E8" w14:textId="77777777" w:rsidR="006C03EF" w:rsidRPr="00232EBB" w:rsidRDefault="006C03EF" w:rsidP="006C03EF">
            <w:pPr>
              <w:jc w:val="center"/>
              <w:rPr>
                <w:noProof/>
              </w:rPr>
            </w:pPr>
            <w:r w:rsidRPr="00232EBB">
              <w:rPr>
                <w:noProof/>
              </w:rPr>
              <w:t>1,938,914.41</w:t>
            </w:r>
          </w:p>
        </w:tc>
        <w:tc>
          <w:tcPr>
            <w:tcW w:w="1802" w:type="dxa"/>
            <w:noWrap/>
            <w:hideMark/>
          </w:tcPr>
          <w:p w14:paraId="75FB6928" w14:textId="77777777" w:rsidR="006C03EF" w:rsidRPr="00232EBB" w:rsidRDefault="006C03EF" w:rsidP="006C03EF">
            <w:pPr>
              <w:jc w:val="center"/>
              <w:rPr>
                <w:noProof/>
              </w:rPr>
            </w:pPr>
            <w:r w:rsidRPr="00232EBB">
              <w:rPr>
                <w:noProof/>
              </w:rPr>
              <w:t>604,522.21</w:t>
            </w:r>
          </w:p>
        </w:tc>
        <w:tc>
          <w:tcPr>
            <w:tcW w:w="1766" w:type="dxa"/>
            <w:noWrap/>
            <w:hideMark/>
          </w:tcPr>
          <w:p w14:paraId="48FE29BA" w14:textId="77777777" w:rsidR="006C03EF" w:rsidRPr="00232EBB" w:rsidRDefault="006C03EF" w:rsidP="006C03EF">
            <w:pPr>
              <w:jc w:val="center"/>
              <w:rPr>
                <w:noProof/>
              </w:rPr>
            </w:pPr>
            <w:r w:rsidRPr="00232EBB">
              <w:rPr>
                <w:noProof/>
              </w:rPr>
              <w:t>2,543,436.62</w:t>
            </w:r>
          </w:p>
        </w:tc>
      </w:tr>
      <w:tr w:rsidR="006C03EF" w:rsidRPr="00232EBB" w14:paraId="693B94DE" w14:textId="77777777" w:rsidTr="002B0854">
        <w:trPr>
          <w:trHeight w:val="313"/>
        </w:trPr>
        <w:tc>
          <w:tcPr>
            <w:tcW w:w="1939" w:type="dxa"/>
            <w:noWrap/>
            <w:hideMark/>
          </w:tcPr>
          <w:p w14:paraId="11085E9C" w14:textId="77777777" w:rsidR="006C03EF" w:rsidRPr="00232EBB" w:rsidRDefault="006C03EF" w:rsidP="006C03EF">
            <w:pPr>
              <w:jc w:val="center"/>
              <w:rPr>
                <w:noProof/>
              </w:rPr>
            </w:pPr>
            <w:r w:rsidRPr="00232EBB">
              <w:rPr>
                <w:noProof/>
              </w:rPr>
              <w:t>Febrero</w:t>
            </w:r>
          </w:p>
        </w:tc>
        <w:tc>
          <w:tcPr>
            <w:tcW w:w="1952" w:type="dxa"/>
            <w:noWrap/>
            <w:hideMark/>
          </w:tcPr>
          <w:p w14:paraId="09224863" w14:textId="77777777" w:rsidR="006C03EF" w:rsidRPr="00232EBB" w:rsidRDefault="006C03EF" w:rsidP="006C03EF">
            <w:pPr>
              <w:jc w:val="center"/>
              <w:rPr>
                <w:noProof/>
              </w:rPr>
            </w:pPr>
            <w:r w:rsidRPr="00232EBB">
              <w:rPr>
                <w:noProof/>
              </w:rPr>
              <w:t>1,235,237.42</w:t>
            </w:r>
          </w:p>
        </w:tc>
        <w:tc>
          <w:tcPr>
            <w:tcW w:w="1802" w:type="dxa"/>
            <w:noWrap/>
            <w:hideMark/>
          </w:tcPr>
          <w:p w14:paraId="033FBCE9" w14:textId="77777777" w:rsidR="006C03EF" w:rsidRPr="00232EBB" w:rsidRDefault="006C03EF" w:rsidP="006C03EF">
            <w:pPr>
              <w:jc w:val="center"/>
              <w:rPr>
                <w:noProof/>
              </w:rPr>
            </w:pPr>
            <w:r w:rsidRPr="00232EBB">
              <w:rPr>
                <w:noProof/>
              </w:rPr>
              <w:t>524,364.73</w:t>
            </w:r>
          </w:p>
        </w:tc>
        <w:tc>
          <w:tcPr>
            <w:tcW w:w="1766" w:type="dxa"/>
            <w:noWrap/>
            <w:hideMark/>
          </w:tcPr>
          <w:p w14:paraId="3F3ED9F0" w14:textId="77777777" w:rsidR="006C03EF" w:rsidRPr="00232EBB" w:rsidRDefault="006C03EF" w:rsidP="006C03EF">
            <w:pPr>
              <w:jc w:val="center"/>
              <w:rPr>
                <w:noProof/>
              </w:rPr>
            </w:pPr>
            <w:r w:rsidRPr="00232EBB">
              <w:rPr>
                <w:noProof/>
              </w:rPr>
              <w:t>1,759,602.15</w:t>
            </w:r>
          </w:p>
        </w:tc>
      </w:tr>
      <w:tr w:rsidR="006C03EF" w:rsidRPr="00232EBB" w14:paraId="66AC3A44" w14:textId="77777777" w:rsidTr="002B0854">
        <w:trPr>
          <w:trHeight w:val="313"/>
        </w:trPr>
        <w:tc>
          <w:tcPr>
            <w:tcW w:w="1939" w:type="dxa"/>
            <w:noWrap/>
            <w:hideMark/>
          </w:tcPr>
          <w:p w14:paraId="2DCB00D6" w14:textId="77777777" w:rsidR="006C03EF" w:rsidRPr="00232EBB" w:rsidRDefault="006C03EF" w:rsidP="006C03EF">
            <w:pPr>
              <w:jc w:val="center"/>
              <w:rPr>
                <w:noProof/>
              </w:rPr>
            </w:pPr>
            <w:r w:rsidRPr="00232EBB">
              <w:rPr>
                <w:noProof/>
              </w:rPr>
              <w:t>Marzo</w:t>
            </w:r>
          </w:p>
        </w:tc>
        <w:tc>
          <w:tcPr>
            <w:tcW w:w="1952" w:type="dxa"/>
            <w:noWrap/>
            <w:hideMark/>
          </w:tcPr>
          <w:p w14:paraId="5FEBD2B4" w14:textId="77777777" w:rsidR="006C03EF" w:rsidRPr="00232EBB" w:rsidRDefault="006C03EF" w:rsidP="006C03EF">
            <w:pPr>
              <w:jc w:val="center"/>
              <w:rPr>
                <w:noProof/>
              </w:rPr>
            </w:pPr>
            <w:r w:rsidRPr="00232EBB">
              <w:rPr>
                <w:noProof/>
              </w:rPr>
              <w:t>2,819,794.42</w:t>
            </w:r>
          </w:p>
        </w:tc>
        <w:tc>
          <w:tcPr>
            <w:tcW w:w="1802" w:type="dxa"/>
            <w:noWrap/>
            <w:hideMark/>
          </w:tcPr>
          <w:p w14:paraId="74FF2FBC" w14:textId="77777777" w:rsidR="006C03EF" w:rsidRPr="00232EBB" w:rsidRDefault="006C03EF" w:rsidP="006C03EF">
            <w:pPr>
              <w:jc w:val="center"/>
              <w:rPr>
                <w:noProof/>
              </w:rPr>
            </w:pPr>
            <w:r w:rsidRPr="00232EBB">
              <w:rPr>
                <w:noProof/>
              </w:rPr>
              <w:t>2,351,955.06</w:t>
            </w:r>
          </w:p>
        </w:tc>
        <w:tc>
          <w:tcPr>
            <w:tcW w:w="1766" w:type="dxa"/>
            <w:noWrap/>
            <w:hideMark/>
          </w:tcPr>
          <w:p w14:paraId="7CD73229" w14:textId="77777777" w:rsidR="006C03EF" w:rsidRPr="00232EBB" w:rsidRDefault="006C03EF" w:rsidP="006C03EF">
            <w:pPr>
              <w:jc w:val="center"/>
              <w:rPr>
                <w:noProof/>
              </w:rPr>
            </w:pPr>
            <w:r w:rsidRPr="00232EBB">
              <w:rPr>
                <w:noProof/>
              </w:rPr>
              <w:t>5,171,749.48</w:t>
            </w:r>
          </w:p>
        </w:tc>
      </w:tr>
      <w:tr w:rsidR="006C03EF" w:rsidRPr="00232EBB" w14:paraId="7889BA86" w14:textId="77777777" w:rsidTr="002B0854">
        <w:trPr>
          <w:trHeight w:val="313"/>
        </w:trPr>
        <w:tc>
          <w:tcPr>
            <w:tcW w:w="1939" w:type="dxa"/>
            <w:noWrap/>
            <w:hideMark/>
          </w:tcPr>
          <w:p w14:paraId="784427C7" w14:textId="77777777" w:rsidR="006C03EF" w:rsidRPr="00232EBB" w:rsidRDefault="006C03EF" w:rsidP="006C03EF">
            <w:pPr>
              <w:jc w:val="center"/>
              <w:rPr>
                <w:noProof/>
              </w:rPr>
            </w:pPr>
            <w:r w:rsidRPr="00232EBB">
              <w:rPr>
                <w:noProof/>
              </w:rPr>
              <w:t>Abril</w:t>
            </w:r>
          </w:p>
        </w:tc>
        <w:tc>
          <w:tcPr>
            <w:tcW w:w="1952" w:type="dxa"/>
            <w:noWrap/>
            <w:hideMark/>
          </w:tcPr>
          <w:p w14:paraId="69B6FEC4" w14:textId="77777777" w:rsidR="006C03EF" w:rsidRPr="00232EBB" w:rsidRDefault="006C03EF" w:rsidP="006C03EF">
            <w:pPr>
              <w:jc w:val="center"/>
              <w:rPr>
                <w:noProof/>
              </w:rPr>
            </w:pPr>
            <w:r w:rsidRPr="00232EBB">
              <w:rPr>
                <w:noProof/>
              </w:rPr>
              <w:t>2,231,504.71</w:t>
            </w:r>
          </w:p>
        </w:tc>
        <w:tc>
          <w:tcPr>
            <w:tcW w:w="1802" w:type="dxa"/>
            <w:noWrap/>
            <w:hideMark/>
          </w:tcPr>
          <w:p w14:paraId="2C58A09D" w14:textId="77777777" w:rsidR="006C03EF" w:rsidRPr="00232EBB" w:rsidRDefault="006C03EF" w:rsidP="006C03EF">
            <w:pPr>
              <w:jc w:val="center"/>
              <w:rPr>
                <w:noProof/>
              </w:rPr>
            </w:pPr>
            <w:r w:rsidRPr="00232EBB">
              <w:rPr>
                <w:noProof/>
              </w:rPr>
              <w:t>11,504,870.02</w:t>
            </w:r>
          </w:p>
        </w:tc>
        <w:tc>
          <w:tcPr>
            <w:tcW w:w="1766" w:type="dxa"/>
            <w:noWrap/>
            <w:hideMark/>
          </w:tcPr>
          <w:p w14:paraId="5F1660BA" w14:textId="77777777" w:rsidR="006C03EF" w:rsidRPr="00232EBB" w:rsidRDefault="006C03EF" w:rsidP="006C03EF">
            <w:pPr>
              <w:jc w:val="center"/>
              <w:rPr>
                <w:noProof/>
              </w:rPr>
            </w:pPr>
            <w:r w:rsidRPr="00232EBB">
              <w:rPr>
                <w:noProof/>
              </w:rPr>
              <w:t>13,736,374.73</w:t>
            </w:r>
          </w:p>
        </w:tc>
      </w:tr>
      <w:tr w:rsidR="006C03EF" w:rsidRPr="00232EBB" w14:paraId="705B5B99" w14:textId="77777777" w:rsidTr="002B0854">
        <w:trPr>
          <w:trHeight w:val="313"/>
        </w:trPr>
        <w:tc>
          <w:tcPr>
            <w:tcW w:w="1939" w:type="dxa"/>
            <w:noWrap/>
            <w:hideMark/>
          </w:tcPr>
          <w:p w14:paraId="56C5A9A7" w14:textId="77777777" w:rsidR="006C03EF" w:rsidRPr="00232EBB" w:rsidRDefault="006C03EF" w:rsidP="006C03EF">
            <w:pPr>
              <w:jc w:val="center"/>
              <w:rPr>
                <w:noProof/>
              </w:rPr>
            </w:pPr>
            <w:r w:rsidRPr="00232EBB">
              <w:rPr>
                <w:noProof/>
              </w:rPr>
              <w:t>Mayo</w:t>
            </w:r>
          </w:p>
        </w:tc>
        <w:tc>
          <w:tcPr>
            <w:tcW w:w="1952" w:type="dxa"/>
            <w:noWrap/>
            <w:hideMark/>
          </w:tcPr>
          <w:p w14:paraId="780A58FC" w14:textId="77777777" w:rsidR="006C03EF" w:rsidRPr="00232EBB" w:rsidRDefault="006C03EF" w:rsidP="006C03EF">
            <w:pPr>
              <w:jc w:val="center"/>
              <w:rPr>
                <w:noProof/>
              </w:rPr>
            </w:pPr>
            <w:r w:rsidRPr="00232EBB">
              <w:rPr>
                <w:noProof/>
              </w:rPr>
              <w:t>1,053,805.63</w:t>
            </w:r>
          </w:p>
        </w:tc>
        <w:tc>
          <w:tcPr>
            <w:tcW w:w="1802" w:type="dxa"/>
            <w:noWrap/>
            <w:hideMark/>
          </w:tcPr>
          <w:p w14:paraId="4004BC46" w14:textId="77777777" w:rsidR="006C03EF" w:rsidRPr="00232EBB" w:rsidRDefault="006C03EF" w:rsidP="006C03EF">
            <w:pPr>
              <w:jc w:val="center"/>
              <w:rPr>
                <w:noProof/>
              </w:rPr>
            </w:pPr>
            <w:r w:rsidRPr="00232EBB">
              <w:rPr>
                <w:noProof/>
              </w:rPr>
              <w:t>1,327,669.91</w:t>
            </w:r>
          </w:p>
        </w:tc>
        <w:tc>
          <w:tcPr>
            <w:tcW w:w="1766" w:type="dxa"/>
            <w:noWrap/>
            <w:hideMark/>
          </w:tcPr>
          <w:p w14:paraId="10B7A5AB" w14:textId="77777777" w:rsidR="006C03EF" w:rsidRPr="00232EBB" w:rsidRDefault="006C03EF" w:rsidP="006C03EF">
            <w:pPr>
              <w:jc w:val="center"/>
              <w:rPr>
                <w:noProof/>
              </w:rPr>
            </w:pPr>
            <w:r w:rsidRPr="00232EBB">
              <w:rPr>
                <w:noProof/>
              </w:rPr>
              <w:t>2,381,475.54</w:t>
            </w:r>
          </w:p>
        </w:tc>
      </w:tr>
      <w:tr w:rsidR="006C03EF" w:rsidRPr="00232EBB" w14:paraId="256DC906" w14:textId="77777777" w:rsidTr="002B0854">
        <w:trPr>
          <w:trHeight w:val="313"/>
        </w:trPr>
        <w:tc>
          <w:tcPr>
            <w:tcW w:w="1939" w:type="dxa"/>
            <w:noWrap/>
            <w:hideMark/>
          </w:tcPr>
          <w:p w14:paraId="7BD5EB8C" w14:textId="77777777" w:rsidR="006C03EF" w:rsidRPr="00232EBB" w:rsidRDefault="006C03EF" w:rsidP="006C03EF">
            <w:pPr>
              <w:jc w:val="center"/>
              <w:rPr>
                <w:noProof/>
              </w:rPr>
            </w:pPr>
            <w:r w:rsidRPr="00232EBB">
              <w:rPr>
                <w:noProof/>
              </w:rPr>
              <w:t>Junio</w:t>
            </w:r>
          </w:p>
        </w:tc>
        <w:tc>
          <w:tcPr>
            <w:tcW w:w="1952" w:type="dxa"/>
            <w:noWrap/>
            <w:hideMark/>
          </w:tcPr>
          <w:p w14:paraId="58BA5A83" w14:textId="77777777" w:rsidR="006C03EF" w:rsidRPr="00232EBB" w:rsidRDefault="006C03EF" w:rsidP="006C03EF">
            <w:pPr>
              <w:jc w:val="center"/>
              <w:rPr>
                <w:noProof/>
              </w:rPr>
            </w:pPr>
            <w:r w:rsidRPr="00232EBB">
              <w:rPr>
                <w:noProof/>
              </w:rPr>
              <w:t>1,031,493.71</w:t>
            </w:r>
          </w:p>
        </w:tc>
        <w:tc>
          <w:tcPr>
            <w:tcW w:w="1802" w:type="dxa"/>
            <w:noWrap/>
            <w:hideMark/>
          </w:tcPr>
          <w:p w14:paraId="002F28CA" w14:textId="77777777" w:rsidR="006C03EF" w:rsidRPr="00232EBB" w:rsidRDefault="006C03EF" w:rsidP="006C03EF">
            <w:pPr>
              <w:jc w:val="center"/>
              <w:rPr>
                <w:noProof/>
              </w:rPr>
            </w:pPr>
            <w:r w:rsidRPr="00232EBB">
              <w:rPr>
                <w:noProof/>
              </w:rPr>
              <w:t>2,657,595.63</w:t>
            </w:r>
          </w:p>
        </w:tc>
        <w:tc>
          <w:tcPr>
            <w:tcW w:w="1766" w:type="dxa"/>
            <w:noWrap/>
            <w:hideMark/>
          </w:tcPr>
          <w:p w14:paraId="2C3C6EA7" w14:textId="77777777" w:rsidR="006C03EF" w:rsidRPr="00232EBB" w:rsidRDefault="006C03EF" w:rsidP="006C03EF">
            <w:pPr>
              <w:jc w:val="center"/>
              <w:rPr>
                <w:noProof/>
              </w:rPr>
            </w:pPr>
            <w:r w:rsidRPr="00232EBB">
              <w:rPr>
                <w:noProof/>
              </w:rPr>
              <w:t>3,689,089.34</w:t>
            </w:r>
          </w:p>
        </w:tc>
      </w:tr>
      <w:tr w:rsidR="006C03EF" w:rsidRPr="00232EBB" w14:paraId="7AEFE8EE" w14:textId="77777777" w:rsidTr="002B0854">
        <w:trPr>
          <w:trHeight w:val="313"/>
        </w:trPr>
        <w:tc>
          <w:tcPr>
            <w:tcW w:w="1939" w:type="dxa"/>
            <w:noWrap/>
            <w:hideMark/>
          </w:tcPr>
          <w:p w14:paraId="7FC5B08F" w14:textId="77777777" w:rsidR="006C03EF" w:rsidRPr="00232EBB" w:rsidRDefault="006C03EF" w:rsidP="006C03EF">
            <w:pPr>
              <w:jc w:val="center"/>
              <w:rPr>
                <w:noProof/>
              </w:rPr>
            </w:pPr>
            <w:r w:rsidRPr="00232EBB">
              <w:rPr>
                <w:noProof/>
              </w:rPr>
              <w:t>Julio</w:t>
            </w:r>
          </w:p>
        </w:tc>
        <w:tc>
          <w:tcPr>
            <w:tcW w:w="1952" w:type="dxa"/>
            <w:noWrap/>
            <w:hideMark/>
          </w:tcPr>
          <w:p w14:paraId="5E1365CB" w14:textId="77777777" w:rsidR="006C03EF" w:rsidRPr="00232EBB" w:rsidRDefault="006C03EF" w:rsidP="006C03EF">
            <w:pPr>
              <w:jc w:val="center"/>
              <w:rPr>
                <w:noProof/>
              </w:rPr>
            </w:pPr>
            <w:r w:rsidRPr="00232EBB">
              <w:rPr>
                <w:noProof/>
              </w:rPr>
              <w:t>4,532,313.43</w:t>
            </w:r>
          </w:p>
        </w:tc>
        <w:tc>
          <w:tcPr>
            <w:tcW w:w="1802" w:type="dxa"/>
            <w:noWrap/>
            <w:hideMark/>
          </w:tcPr>
          <w:p w14:paraId="293502BA" w14:textId="77777777" w:rsidR="006C03EF" w:rsidRPr="00232EBB" w:rsidRDefault="006C03EF" w:rsidP="006C03EF">
            <w:pPr>
              <w:jc w:val="center"/>
              <w:rPr>
                <w:noProof/>
              </w:rPr>
            </w:pPr>
            <w:r w:rsidRPr="00232EBB">
              <w:rPr>
                <w:noProof/>
              </w:rPr>
              <w:t>1,434,043.52</w:t>
            </w:r>
          </w:p>
        </w:tc>
        <w:tc>
          <w:tcPr>
            <w:tcW w:w="1766" w:type="dxa"/>
            <w:noWrap/>
            <w:hideMark/>
          </w:tcPr>
          <w:p w14:paraId="71B65536" w14:textId="77777777" w:rsidR="006C03EF" w:rsidRPr="00232EBB" w:rsidRDefault="006C03EF" w:rsidP="006C03EF">
            <w:pPr>
              <w:jc w:val="center"/>
              <w:rPr>
                <w:noProof/>
              </w:rPr>
            </w:pPr>
            <w:r w:rsidRPr="00232EBB">
              <w:rPr>
                <w:noProof/>
              </w:rPr>
              <w:t>5,966,356.95</w:t>
            </w:r>
          </w:p>
        </w:tc>
      </w:tr>
      <w:tr w:rsidR="006C03EF" w:rsidRPr="00232EBB" w14:paraId="6E3F0690" w14:textId="77777777" w:rsidTr="002B0854">
        <w:trPr>
          <w:trHeight w:val="313"/>
        </w:trPr>
        <w:tc>
          <w:tcPr>
            <w:tcW w:w="1939" w:type="dxa"/>
            <w:noWrap/>
            <w:hideMark/>
          </w:tcPr>
          <w:p w14:paraId="60C7FD74" w14:textId="77777777" w:rsidR="006C03EF" w:rsidRPr="00232EBB" w:rsidRDefault="006C03EF" w:rsidP="006C03EF">
            <w:pPr>
              <w:jc w:val="center"/>
              <w:rPr>
                <w:noProof/>
              </w:rPr>
            </w:pPr>
            <w:r w:rsidRPr="00232EBB">
              <w:rPr>
                <w:noProof/>
              </w:rPr>
              <w:t>Agosto</w:t>
            </w:r>
          </w:p>
        </w:tc>
        <w:tc>
          <w:tcPr>
            <w:tcW w:w="1952" w:type="dxa"/>
            <w:noWrap/>
            <w:hideMark/>
          </w:tcPr>
          <w:p w14:paraId="735322E1" w14:textId="77777777" w:rsidR="006C03EF" w:rsidRPr="00232EBB" w:rsidRDefault="006C03EF" w:rsidP="006C03EF">
            <w:pPr>
              <w:jc w:val="center"/>
              <w:rPr>
                <w:noProof/>
              </w:rPr>
            </w:pPr>
            <w:r w:rsidRPr="00232EBB">
              <w:rPr>
                <w:noProof/>
              </w:rPr>
              <w:t>1,105,867.92</w:t>
            </w:r>
          </w:p>
        </w:tc>
        <w:tc>
          <w:tcPr>
            <w:tcW w:w="1802" w:type="dxa"/>
            <w:noWrap/>
            <w:hideMark/>
          </w:tcPr>
          <w:p w14:paraId="576E067A" w14:textId="77777777" w:rsidR="006C03EF" w:rsidRPr="00232EBB" w:rsidRDefault="006C03EF" w:rsidP="006C03EF">
            <w:pPr>
              <w:jc w:val="center"/>
              <w:rPr>
                <w:noProof/>
              </w:rPr>
            </w:pPr>
            <w:r w:rsidRPr="00232EBB">
              <w:rPr>
                <w:noProof/>
              </w:rPr>
              <w:t>1,350,006.00</w:t>
            </w:r>
          </w:p>
        </w:tc>
        <w:tc>
          <w:tcPr>
            <w:tcW w:w="1766" w:type="dxa"/>
            <w:noWrap/>
            <w:hideMark/>
          </w:tcPr>
          <w:p w14:paraId="32FB5029" w14:textId="77777777" w:rsidR="006C03EF" w:rsidRPr="00232EBB" w:rsidRDefault="006C03EF" w:rsidP="006C03EF">
            <w:pPr>
              <w:jc w:val="center"/>
              <w:rPr>
                <w:noProof/>
              </w:rPr>
            </w:pPr>
            <w:r w:rsidRPr="00232EBB">
              <w:rPr>
                <w:noProof/>
              </w:rPr>
              <w:t>2,455,873.92</w:t>
            </w:r>
          </w:p>
        </w:tc>
      </w:tr>
      <w:tr w:rsidR="006C03EF" w:rsidRPr="00232EBB" w14:paraId="2F8AF4C0" w14:textId="77777777" w:rsidTr="002B0854">
        <w:trPr>
          <w:trHeight w:val="313"/>
        </w:trPr>
        <w:tc>
          <w:tcPr>
            <w:tcW w:w="1939" w:type="dxa"/>
            <w:noWrap/>
            <w:hideMark/>
          </w:tcPr>
          <w:p w14:paraId="02EBC212" w14:textId="77777777" w:rsidR="006C03EF" w:rsidRPr="00232EBB" w:rsidRDefault="006C03EF" w:rsidP="006C03EF">
            <w:pPr>
              <w:jc w:val="center"/>
              <w:rPr>
                <w:noProof/>
              </w:rPr>
            </w:pPr>
            <w:r w:rsidRPr="00232EBB">
              <w:rPr>
                <w:noProof/>
              </w:rPr>
              <w:t>Septiembre</w:t>
            </w:r>
          </w:p>
        </w:tc>
        <w:tc>
          <w:tcPr>
            <w:tcW w:w="1952" w:type="dxa"/>
            <w:noWrap/>
            <w:hideMark/>
          </w:tcPr>
          <w:p w14:paraId="2980D47A" w14:textId="77777777" w:rsidR="006C03EF" w:rsidRPr="00232EBB" w:rsidRDefault="006C03EF" w:rsidP="006C03EF">
            <w:pPr>
              <w:jc w:val="center"/>
              <w:rPr>
                <w:noProof/>
              </w:rPr>
            </w:pPr>
            <w:r w:rsidRPr="00232EBB">
              <w:rPr>
                <w:noProof/>
              </w:rPr>
              <w:t>949,111.59</w:t>
            </w:r>
          </w:p>
        </w:tc>
        <w:tc>
          <w:tcPr>
            <w:tcW w:w="1802" w:type="dxa"/>
            <w:noWrap/>
            <w:hideMark/>
          </w:tcPr>
          <w:p w14:paraId="4E641F0B" w14:textId="77777777" w:rsidR="006C03EF" w:rsidRPr="00232EBB" w:rsidRDefault="006C03EF" w:rsidP="006C03EF">
            <w:pPr>
              <w:jc w:val="center"/>
              <w:rPr>
                <w:noProof/>
              </w:rPr>
            </w:pPr>
            <w:r w:rsidRPr="00232EBB">
              <w:rPr>
                <w:noProof/>
              </w:rPr>
              <w:t>5,838,271.38</w:t>
            </w:r>
          </w:p>
        </w:tc>
        <w:tc>
          <w:tcPr>
            <w:tcW w:w="1766" w:type="dxa"/>
            <w:noWrap/>
            <w:hideMark/>
          </w:tcPr>
          <w:p w14:paraId="7207C7DA" w14:textId="77777777" w:rsidR="006C03EF" w:rsidRPr="00232EBB" w:rsidRDefault="006C03EF" w:rsidP="006C03EF">
            <w:pPr>
              <w:jc w:val="center"/>
              <w:rPr>
                <w:noProof/>
              </w:rPr>
            </w:pPr>
            <w:r w:rsidRPr="00232EBB">
              <w:rPr>
                <w:noProof/>
              </w:rPr>
              <w:t>6,787,382.97</w:t>
            </w:r>
          </w:p>
        </w:tc>
      </w:tr>
      <w:tr w:rsidR="006C03EF" w:rsidRPr="00232EBB" w14:paraId="1CD94CFA" w14:textId="77777777" w:rsidTr="002B0854">
        <w:trPr>
          <w:trHeight w:val="313"/>
        </w:trPr>
        <w:tc>
          <w:tcPr>
            <w:tcW w:w="1939" w:type="dxa"/>
            <w:noWrap/>
            <w:hideMark/>
          </w:tcPr>
          <w:p w14:paraId="00DC3BA7" w14:textId="77777777" w:rsidR="006C03EF" w:rsidRPr="00232EBB" w:rsidRDefault="006C03EF" w:rsidP="006C03EF">
            <w:pPr>
              <w:jc w:val="center"/>
              <w:rPr>
                <w:noProof/>
              </w:rPr>
            </w:pPr>
            <w:r w:rsidRPr="00232EBB">
              <w:rPr>
                <w:noProof/>
              </w:rPr>
              <w:t>Octubre</w:t>
            </w:r>
          </w:p>
        </w:tc>
        <w:tc>
          <w:tcPr>
            <w:tcW w:w="1952" w:type="dxa"/>
            <w:noWrap/>
            <w:hideMark/>
          </w:tcPr>
          <w:p w14:paraId="1BE9173D" w14:textId="77777777" w:rsidR="006C03EF" w:rsidRPr="00232EBB" w:rsidRDefault="006C03EF" w:rsidP="006C03EF">
            <w:pPr>
              <w:jc w:val="center"/>
              <w:rPr>
                <w:noProof/>
              </w:rPr>
            </w:pPr>
            <w:r w:rsidRPr="00232EBB">
              <w:rPr>
                <w:noProof/>
              </w:rPr>
              <w:t>1,497,689.10</w:t>
            </w:r>
          </w:p>
        </w:tc>
        <w:tc>
          <w:tcPr>
            <w:tcW w:w="1802" w:type="dxa"/>
            <w:noWrap/>
            <w:hideMark/>
          </w:tcPr>
          <w:p w14:paraId="582D4106" w14:textId="77777777" w:rsidR="006C03EF" w:rsidRPr="00232EBB" w:rsidRDefault="006C03EF" w:rsidP="006C03EF">
            <w:pPr>
              <w:jc w:val="center"/>
              <w:rPr>
                <w:noProof/>
              </w:rPr>
            </w:pPr>
            <w:r w:rsidRPr="00232EBB">
              <w:rPr>
                <w:noProof/>
              </w:rPr>
              <w:t>7,239,963.13</w:t>
            </w:r>
          </w:p>
        </w:tc>
        <w:tc>
          <w:tcPr>
            <w:tcW w:w="1766" w:type="dxa"/>
            <w:noWrap/>
            <w:hideMark/>
          </w:tcPr>
          <w:p w14:paraId="5B245B8E" w14:textId="77777777" w:rsidR="006C03EF" w:rsidRPr="00232EBB" w:rsidRDefault="006C03EF" w:rsidP="006C03EF">
            <w:pPr>
              <w:jc w:val="center"/>
              <w:rPr>
                <w:noProof/>
              </w:rPr>
            </w:pPr>
            <w:r w:rsidRPr="00232EBB">
              <w:rPr>
                <w:noProof/>
              </w:rPr>
              <w:t>8,737,652.23</w:t>
            </w:r>
          </w:p>
        </w:tc>
      </w:tr>
      <w:tr w:rsidR="006C03EF" w:rsidRPr="00232EBB" w14:paraId="69456945" w14:textId="77777777" w:rsidTr="002B0854">
        <w:trPr>
          <w:trHeight w:val="313"/>
        </w:trPr>
        <w:tc>
          <w:tcPr>
            <w:tcW w:w="1939" w:type="dxa"/>
            <w:noWrap/>
            <w:hideMark/>
          </w:tcPr>
          <w:p w14:paraId="576AC5FF" w14:textId="77777777" w:rsidR="006C03EF" w:rsidRPr="00232EBB" w:rsidRDefault="006C03EF" w:rsidP="006C03EF">
            <w:pPr>
              <w:jc w:val="center"/>
              <w:rPr>
                <w:noProof/>
              </w:rPr>
            </w:pPr>
            <w:r w:rsidRPr="00232EBB">
              <w:rPr>
                <w:noProof/>
              </w:rPr>
              <w:t>Noviembre</w:t>
            </w:r>
          </w:p>
        </w:tc>
        <w:tc>
          <w:tcPr>
            <w:tcW w:w="1952" w:type="dxa"/>
            <w:noWrap/>
            <w:hideMark/>
          </w:tcPr>
          <w:p w14:paraId="363AA3CD" w14:textId="77777777" w:rsidR="006C03EF" w:rsidRPr="00232EBB" w:rsidRDefault="006C03EF" w:rsidP="006C03EF">
            <w:pPr>
              <w:jc w:val="center"/>
              <w:rPr>
                <w:noProof/>
              </w:rPr>
            </w:pPr>
            <w:r w:rsidRPr="00232EBB">
              <w:rPr>
                <w:noProof/>
              </w:rPr>
              <w:t>2,659,486.61</w:t>
            </w:r>
          </w:p>
        </w:tc>
        <w:tc>
          <w:tcPr>
            <w:tcW w:w="1802" w:type="dxa"/>
            <w:noWrap/>
            <w:hideMark/>
          </w:tcPr>
          <w:p w14:paraId="02AAB2FD" w14:textId="77777777" w:rsidR="006C03EF" w:rsidRPr="00232EBB" w:rsidRDefault="006C03EF" w:rsidP="006C03EF">
            <w:pPr>
              <w:jc w:val="center"/>
              <w:rPr>
                <w:noProof/>
              </w:rPr>
            </w:pPr>
            <w:r w:rsidRPr="00232EBB">
              <w:rPr>
                <w:noProof/>
              </w:rPr>
              <w:t>629,596.27</w:t>
            </w:r>
          </w:p>
        </w:tc>
        <w:tc>
          <w:tcPr>
            <w:tcW w:w="1766" w:type="dxa"/>
            <w:noWrap/>
            <w:hideMark/>
          </w:tcPr>
          <w:p w14:paraId="69A13A45" w14:textId="77777777" w:rsidR="006C03EF" w:rsidRPr="00232EBB" w:rsidRDefault="006C03EF" w:rsidP="006C03EF">
            <w:pPr>
              <w:jc w:val="center"/>
              <w:rPr>
                <w:noProof/>
              </w:rPr>
            </w:pPr>
            <w:r w:rsidRPr="00232EBB">
              <w:rPr>
                <w:noProof/>
              </w:rPr>
              <w:t>3,289,082.88</w:t>
            </w:r>
          </w:p>
        </w:tc>
      </w:tr>
      <w:tr w:rsidR="006C03EF" w:rsidRPr="00232EBB" w14:paraId="50B55C2A" w14:textId="77777777" w:rsidTr="002B0854">
        <w:trPr>
          <w:trHeight w:val="313"/>
        </w:trPr>
        <w:tc>
          <w:tcPr>
            <w:tcW w:w="1939" w:type="dxa"/>
            <w:noWrap/>
            <w:hideMark/>
          </w:tcPr>
          <w:p w14:paraId="26E464BE" w14:textId="77777777" w:rsidR="006C03EF" w:rsidRPr="00232EBB" w:rsidRDefault="006C03EF" w:rsidP="006C03EF">
            <w:pPr>
              <w:jc w:val="center"/>
              <w:rPr>
                <w:b/>
                <w:bCs/>
                <w:noProof/>
              </w:rPr>
            </w:pPr>
            <w:r w:rsidRPr="00232EBB">
              <w:rPr>
                <w:b/>
                <w:bCs/>
                <w:noProof/>
              </w:rPr>
              <w:t>Total</w:t>
            </w:r>
          </w:p>
        </w:tc>
        <w:tc>
          <w:tcPr>
            <w:tcW w:w="1952" w:type="dxa"/>
            <w:noWrap/>
            <w:hideMark/>
          </w:tcPr>
          <w:p w14:paraId="22F99D59" w14:textId="77777777" w:rsidR="006C03EF" w:rsidRPr="00232EBB" w:rsidRDefault="006C03EF" w:rsidP="006C03EF">
            <w:pPr>
              <w:jc w:val="center"/>
              <w:rPr>
                <w:b/>
                <w:bCs/>
                <w:noProof/>
              </w:rPr>
            </w:pPr>
            <w:r w:rsidRPr="00232EBB">
              <w:rPr>
                <w:b/>
                <w:bCs/>
                <w:noProof/>
              </w:rPr>
              <w:t>21,055,218.95</w:t>
            </w:r>
          </w:p>
        </w:tc>
        <w:tc>
          <w:tcPr>
            <w:tcW w:w="1802" w:type="dxa"/>
            <w:noWrap/>
            <w:hideMark/>
          </w:tcPr>
          <w:p w14:paraId="5D162E61" w14:textId="77777777" w:rsidR="006C03EF" w:rsidRPr="00232EBB" w:rsidRDefault="006C03EF" w:rsidP="006C03EF">
            <w:pPr>
              <w:jc w:val="center"/>
              <w:rPr>
                <w:b/>
                <w:bCs/>
                <w:noProof/>
              </w:rPr>
            </w:pPr>
            <w:r w:rsidRPr="00232EBB">
              <w:rPr>
                <w:b/>
                <w:bCs/>
                <w:noProof/>
              </w:rPr>
              <w:t>35,462,857.86</w:t>
            </w:r>
          </w:p>
        </w:tc>
        <w:tc>
          <w:tcPr>
            <w:tcW w:w="1766" w:type="dxa"/>
            <w:noWrap/>
            <w:hideMark/>
          </w:tcPr>
          <w:p w14:paraId="36FE3148" w14:textId="77777777" w:rsidR="006C03EF" w:rsidRPr="00232EBB" w:rsidRDefault="006C03EF" w:rsidP="006C03EF">
            <w:pPr>
              <w:jc w:val="center"/>
              <w:rPr>
                <w:b/>
                <w:bCs/>
                <w:noProof/>
              </w:rPr>
            </w:pPr>
            <w:r w:rsidRPr="00232EBB">
              <w:rPr>
                <w:b/>
                <w:bCs/>
                <w:noProof/>
              </w:rPr>
              <w:t>56,518,076.81</w:t>
            </w:r>
          </w:p>
        </w:tc>
      </w:tr>
    </w:tbl>
    <w:p w14:paraId="182F343B" w14:textId="74A8F861" w:rsidR="00955A30" w:rsidRPr="00232EBB" w:rsidRDefault="00B45256" w:rsidP="00E37E86">
      <w:pPr>
        <w:spacing w:afterLines="160" w:after="384" w:line="360" w:lineRule="auto"/>
        <w:jc w:val="both"/>
        <w:rPr>
          <w:rFonts w:eastAsia="Calibri"/>
          <w:noProof/>
          <w:sz w:val="18"/>
          <w:szCs w:val="18"/>
          <w:lang w:val="es-DO"/>
        </w:rPr>
      </w:pPr>
      <w:r w:rsidRPr="00232EBB">
        <w:rPr>
          <w:rFonts w:eastAsia="Calibri"/>
          <w:b/>
          <w:bCs/>
          <w:noProof/>
          <w:sz w:val="18"/>
          <w:szCs w:val="18"/>
          <w:lang w:val="es-DO"/>
        </w:rPr>
        <w:t>Tabla</w:t>
      </w:r>
      <w:r w:rsidR="00DB3220" w:rsidRPr="00232EBB">
        <w:rPr>
          <w:rFonts w:eastAsia="Calibri"/>
          <w:b/>
          <w:bCs/>
          <w:noProof/>
          <w:sz w:val="18"/>
          <w:szCs w:val="18"/>
          <w:lang w:val="es-DO"/>
        </w:rPr>
        <w:t xml:space="preserve"> 1</w:t>
      </w:r>
      <w:r w:rsidR="007B5587" w:rsidRPr="00232EBB">
        <w:rPr>
          <w:rFonts w:eastAsia="Calibri"/>
          <w:b/>
          <w:bCs/>
          <w:noProof/>
          <w:sz w:val="18"/>
          <w:szCs w:val="18"/>
          <w:lang w:val="es-DO"/>
        </w:rPr>
        <w:t>1</w:t>
      </w:r>
      <w:r w:rsidRPr="00232EBB">
        <w:rPr>
          <w:rFonts w:eastAsia="Calibri"/>
          <w:noProof/>
          <w:sz w:val="18"/>
          <w:szCs w:val="18"/>
          <w:lang w:val="es-DO"/>
        </w:rPr>
        <w:t>: Cantidad de notificaciones de pago por auditoria.</w:t>
      </w:r>
    </w:p>
    <w:p w14:paraId="514D56B9" w14:textId="77777777" w:rsidR="006C03EF" w:rsidRPr="00232EBB" w:rsidRDefault="006C03EF" w:rsidP="00CB7EEC">
      <w:pPr>
        <w:spacing w:line="360" w:lineRule="auto"/>
        <w:jc w:val="both"/>
        <w:rPr>
          <w:rFonts w:eastAsia="Calibri"/>
          <w:lang w:val="es-DO"/>
        </w:rPr>
      </w:pPr>
      <w:r w:rsidRPr="00232EBB">
        <w:rPr>
          <w:rFonts w:eastAsia="Calibri"/>
          <w:lang w:val="es-DO"/>
        </w:rPr>
        <w:t>Cabe destacar que de las NPA que se encuentran en estatus vencida, RD$5.7 MM fueron incluidas en acuerdos de pago, denotando aceptación de los hallazgos por parte de los empleadores auditados.</w:t>
      </w:r>
    </w:p>
    <w:p w14:paraId="1671EB7F" w14:textId="12227190" w:rsidR="00E12BB6" w:rsidRPr="00232EBB" w:rsidRDefault="00295F77" w:rsidP="002D2273">
      <w:pPr>
        <w:spacing w:after="0" w:line="360" w:lineRule="auto"/>
        <w:jc w:val="both"/>
        <w:rPr>
          <w:rFonts w:eastAsia="Calibri"/>
          <w:b/>
          <w:bCs/>
          <w:lang w:val="es-DO"/>
        </w:rPr>
      </w:pPr>
      <w:r w:rsidRPr="00232EBB">
        <w:rPr>
          <w:rFonts w:eastAsia="Calibri"/>
          <w:b/>
          <w:bCs/>
          <w:lang w:val="es-DO"/>
        </w:rPr>
        <w:t>Supervisión sobre Dispensas otorgadas</w:t>
      </w:r>
    </w:p>
    <w:p w14:paraId="13F0789B" w14:textId="77777777" w:rsidR="006C03EF" w:rsidRPr="00232EBB" w:rsidRDefault="006C03EF" w:rsidP="00C96522">
      <w:pPr>
        <w:spacing w:line="360" w:lineRule="auto"/>
        <w:jc w:val="both"/>
        <w:rPr>
          <w:rFonts w:eastAsia="Calibri"/>
          <w:lang w:val="es-DO"/>
        </w:rPr>
      </w:pPr>
      <w:r w:rsidRPr="00232EBB">
        <w:rPr>
          <w:rFonts w:eastAsia="Calibri"/>
          <w:lang w:val="es-DO"/>
        </w:rPr>
        <w:t>La Dirección de Fiscalización Externa se mantiene en un proceso permanente de análisis y verificación de las Dispensas otorgadas a los empleadores registrados al Sistema Dominicano de la Seguridad Social, acorde con las disposiciones de la Resolución 471-02 emitida por el Consejo Nacional de la Seguridad Social, de fecha 23 de mayo de 2019.</w:t>
      </w:r>
    </w:p>
    <w:p w14:paraId="0B4F8B8F" w14:textId="30624E3C" w:rsidR="006C03EF" w:rsidRPr="00232EBB" w:rsidRDefault="006C03EF" w:rsidP="00C96522">
      <w:pPr>
        <w:spacing w:line="360" w:lineRule="auto"/>
        <w:jc w:val="both"/>
        <w:rPr>
          <w:rFonts w:eastAsia="Calibri"/>
          <w:lang w:val="es-DO"/>
        </w:rPr>
      </w:pPr>
      <w:r w:rsidRPr="00232EBB">
        <w:rPr>
          <w:rFonts w:eastAsia="Calibri"/>
          <w:lang w:val="es-DO"/>
        </w:rPr>
        <w:t xml:space="preserve">En ese sentido, </w:t>
      </w:r>
      <w:r w:rsidR="00501167" w:rsidRPr="00232EBB">
        <w:rPr>
          <w:rFonts w:eastAsia="Calibri"/>
          <w:lang w:val="es-DO"/>
        </w:rPr>
        <w:t>se</w:t>
      </w:r>
      <w:r w:rsidRPr="00232EBB">
        <w:rPr>
          <w:rFonts w:eastAsia="Calibri"/>
          <w:lang w:val="es-DO"/>
        </w:rPr>
        <w:t xml:space="preserve"> evalúa de forma permanente y continua el comportamiento de los salarios registrados de los trabajadores correspondientes a aquellos empleadores a quienes se le ha otorgado dispensas en el SUIR, a fin de verificar que no exista falsedad de datos en la información reportada.</w:t>
      </w:r>
    </w:p>
    <w:p w14:paraId="7D177E5A" w14:textId="77777777" w:rsidR="006C03EF" w:rsidRPr="00232EBB" w:rsidRDefault="006C03EF" w:rsidP="00C96522">
      <w:pPr>
        <w:spacing w:line="360" w:lineRule="auto"/>
        <w:jc w:val="both"/>
        <w:rPr>
          <w:rFonts w:eastAsia="Calibri"/>
          <w:lang w:val="es-DO"/>
        </w:rPr>
      </w:pPr>
      <w:r w:rsidRPr="00232EBB">
        <w:rPr>
          <w:rFonts w:eastAsia="Calibri"/>
          <w:lang w:val="es-DO"/>
        </w:rPr>
        <w:t xml:space="preserve">Producto de esta evaluación, nuestra Dirección ha revocado 396 nóminas dispensadas </w:t>
      </w:r>
      <w:r w:rsidRPr="00232EBB">
        <w:rPr>
          <w:rFonts w:eastAsia="Calibri"/>
          <w:lang w:val="es-DO"/>
        </w:rPr>
        <w:lastRenderedPageBreak/>
        <w:t>en el período de enero a diciembre de 2025, logrando así reducir la elusión en el reporte del salario cotizable de los trabajadores.</w:t>
      </w:r>
    </w:p>
    <w:p w14:paraId="539AEB90" w14:textId="57E8126B" w:rsidR="00295F77" w:rsidRPr="00232EBB" w:rsidRDefault="00295F77" w:rsidP="006C03EF">
      <w:pPr>
        <w:rPr>
          <w:b/>
          <w:bCs/>
          <w:lang w:val="es-DO"/>
        </w:rPr>
      </w:pPr>
      <w:r w:rsidRPr="00232EBB">
        <w:rPr>
          <w:b/>
          <w:bCs/>
          <w:lang w:val="es-DO"/>
        </w:rPr>
        <w:t>Presunción de Fraude</w:t>
      </w:r>
    </w:p>
    <w:p w14:paraId="09733F4B" w14:textId="77777777" w:rsidR="006C03EF" w:rsidRPr="00232EBB" w:rsidRDefault="006C03EF" w:rsidP="00E05196">
      <w:pPr>
        <w:spacing w:line="360" w:lineRule="auto"/>
        <w:jc w:val="both"/>
        <w:rPr>
          <w:lang w:val="es-ES"/>
        </w:rPr>
      </w:pPr>
      <w:bookmarkStart w:id="49" w:name="_Toc171677824"/>
      <w:bookmarkStart w:id="50" w:name="_Toc172118667"/>
      <w:bookmarkStart w:id="51" w:name="_Toc172119830"/>
      <w:bookmarkStart w:id="52" w:name="_Toc172120163"/>
      <w:bookmarkStart w:id="53" w:name="_Toc172121381"/>
      <w:r w:rsidRPr="00232EBB">
        <w:rPr>
          <w:lang w:val="es-ES"/>
        </w:rPr>
        <w:t>Con la finalidad de preservar la sostenibilidad financiera del Sistema Dominicano de la Seguridad Social, la Dirección monitorea, de forma permanente y continua, el comportamiento de los empleadores en el reporte de las novedades de sus trabajadores, a través de su base de datos.</w:t>
      </w:r>
    </w:p>
    <w:p w14:paraId="254FCD5B" w14:textId="77777777" w:rsidR="006C03EF" w:rsidRPr="00232EBB" w:rsidRDefault="006C03EF" w:rsidP="00E05196">
      <w:pPr>
        <w:spacing w:line="360" w:lineRule="auto"/>
        <w:jc w:val="both"/>
        <w:rPr>
          <w:lang w:val="es-ES"/>
        </w:rPr>
      </w:pPr>
      <w:r w:rsidRPr="00232EBB">
        <w:rPr>
          <w:lang w:val="es-ES"/>
        </w:rPr>
        <w:t>Producto de esta revisión, se tomaron las siguientes acciones:</w:t>
      </w:r>
    </w:p>
    <w:p w14:paraId="0185DCE0" w14:textId="77777777" w:rsidR="006C03EF" w:rsidRPr="00232EBB" w:rsidRDefault="006C03EF" w:rsidP="00E05196">
      <w:pPr>
        <w:spacing w:line="360" w:lineRule="auto"/>
        <w:jc w:val="both"/>
        <w:rPr>
          <w:lang w:val="es-ES"/>
        </w:rPr>
      </w:pPr>
      <w:r w:rsidRPr="00232EBB">
        <w:rPr>
          <w:lang w:val="es-ES"/>
        </w:rPr>
        <w:t>Suspensión de 246 RNC por presunción de fraude, lo cual inhabilita al empleador para interactuar con el SUIR.</w:t>
      </w:r>
    </w:p>
    <w:p w14:paraId="0777356D" w14:textId="77777777" w:rsidR="006C03EF" w:rsidRPr="00232EBB" w:rsidRDefault="006C03EF" w:rsidP="00E05196">
      <w:pPr>
        <w:spacing w:line="360" w:lineRule="auto"/>
        <w:jc w:val="both"/>
        <w:rPr>
          <w:lang w:val="es-ES"/>
        </w:rPr>
      </w:pPr>
      <w:r w:rsidRPr="00232EBB">
        <w:rPr>
          <w:lang w:val="es-ES"/>
        </w:rPr>
        <w:t>Bloqueo del acceso al SUIR de los representantes realizados por el empleador.</w:t>
      </w:r>
    </w:p>
    <w:p w14:paraId="332BAB71" w14:textId="57A92BD5" w:rsidR="006C03EF" w:rsidRPr="00232EBB" w:rsidRDefault="006C03EF" w:rsidP="006C03EF">
      <w:pPr>
        <w:rPr>
          <w:b/>
          <w:bCs/>
          <w:lang w:val="es-DO"/>
        </w:rPr>
      </w:pPr>
      <w:r w:rsidRPr="00232EBB">
        <w:rPr>
          <w:b/>
          <w:bCs/>
          <w:lang w:val="es-DO"/>
        </w:rPr>
        <w:t>Procedimiento Administrativo Sancionador</w:t>
      </w:r>
    </w:p>
    <w:p w14:paraId="4B903BFD" w14:textId="77777777" w:rsidR="006C03EF" w:rsidRPr="00232EBB" w:rsidRDefault="006C03EF" w:rsidP="00E05196">
      <w:pPr>
        <w:spacing w:line="360" w:lineRule="auto"/>
        <w:jc w:val="both"/>
        <w:rPr>
          <w:lang w:val="es-ES"/>
        </w:rPr>
      </w:pPr>
      <w:r w:rsidRPr="00232EBB">
        <w:rPr>
          <w:lang w:val="es-ES"/>
        </w:rPr>
        <w:t>Como parte de las atribuciones conferidas a esta Tesorería en el artículo 28 de la Ley 87-01 y sus modificaciones, se encuentra la imposición de multas y sanciones a los empleadores infractores de las disposiciones de la Ley, sus modificaciones y normas complementarias.</w:t>
      </w:r>
    </w:p>
    <w:p w14:paraId="775A33F2" w14:textId="77777777" w:rsidR="006C03EF" w:rsidRPr="00232EBB" w:rsidRDefault="006C03EF" w:rsidP="00E05196">
      <w:pPr>
        <w:spacing w:line="360" w:lineRule="auto"/>
        <w:jc w:val="both"/>
        <w:rPr>
          <w:lang w:val="es-ES"/>
        </w:rPr>
      </w:pPr>
      <w:r w:rsidRPr="00232EBB">
        <w:rPr>
          <w:lang w:val="es-ES"/>
        </w:rPr>
        <w:t>Para estos fines, la Dirección de Fiscalización Externa cuenta con una Sección de Sanciones y Multas, la cual es apoderada para la realización del procedimiento administrativo sancionador correspondiente, en los casos de empleadores a quienes se les ha identificado la comisión de una o varias infracciones, a través de los procesos de auditoría y fiscalización, las cuales citamos a continuación:</w:t>
      </w:r>
    </w:p>
    <w:p w14:paraId="5A87BF5A" w14:textId="4EC66CC5" w:rsidR="006C03EF" w:rsidRPr="00232EBB" w:rsidRDefault="006C03EF" w:rsidP="000E2299">
      <w:pPr>
        <w:pStyle w:val="ListParagraph"/>
        <w:numPr>
          <w:ilvl w:val="0"/>
          <w:numId w:val="14"/>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Cuando se determine que el empleador no ha reportado el salario completo de sus trabajadores</w:t>
      </w:r>
      <w:r w:rsidR="004F0A49" w:rsidRPr="00232EBB">
        <w:rPr>
          <w:rFonts w:ascii="Times New Roman" w:eastAsiaTheme="minorHAnsi" w:hAnsi="Times New Roman"/>
          <w:color w:val="767171"/>
          <w:spacing w:val="20"/>
          <w:sz w:val="24"/>
          <w:szCs w:val="24"/>
          <w:lang w:val="es-ES"/>
        </w:rPr>
        <w:t>.</w:t>
      </w:r>
    </w:p>
    <w:p w14:paraId="24C4C407" w14:textId="2D479590" w:rsidR="006C03EF" w:rsidRPr="00232EBB" w:rsidRDefault="006C03EF" w:rsidP="000E2299">
      <w:pPr>
        <w:pStyle w:val="ListParagraph"/>
        <w:numPr>
          <w:ilvl w:val="0"/>
          <w:numId w:val="14"/>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lastRenderedPageBreak/>
        <w:t>Cuando se determine que el empleador ha reducido el salario base de sus trabajadores</w:t>
      </w:r>
      <w:r w:rsidR="004F0A49" w:rsidRPr="00232EBB">
        <w:rPr>
          <w:rFonts w:ascii="Times New Roman" w:eastAsiaTheme="minorHAnsi" w:hAnsi="Times New Roman"/>
          <w:color w:val="767171"/>
          <w:spacing w:val="20"/>
          <w:sz w:val="24"/>
          <w:szCs w:val="24"/>
          <w:lang w:val="es-ES"/>
        </w:rPr>
        <w:t>.</w:t>
      </w:r>
    </w:p>
    <w:p w14:paraId="2BA0FC56" w14:textId="2E41808B" w:rsidR="006C03EF" w:rsidRPr="00232EBB" w:rsidRDefault="006C03EF" w:rsidP="000E2299">
      <w:pPr>
        <w:pStyle w:val="ListParagraph"/>
        <w:numPr>
          <w:ilvl w:val="0"/>
          <w:numId w:val="14"/>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Cuando se determine que el empleador ha retirado trabajadores de manera intermitente con la finalidad de evadir parte de sus obligaciones consagradas en los artículos 36, 62, 144 y 202 de la Ley</w:t>
      </w:r>
      <w:r w:rsidR="004F0A49" w:rsidRPr="00232EBB">
        <w:rPr>
          <w:rFonts w:ascii="Times New Roman" w:eastAsiaTheme="minorHAnsi" w:hAnsi="Times New Roman"/>
          <w:color w:val="767171"/>
          <w:spacing w:val="20"/>
          <w:sz w:val="24"/>
          <w:szCs w:val="24"/>
          <w:lang w:val="es-ES"/>
        </w:rPr>
        <w:t>.</w:t>
      </w:r>
    </w:p>
    <w:p w14:paraId="59FD4722" w14:textId="434F67D3" w:rsidR="006C03EF" w:rsidRPr="00232EBB" w:rsidRDefault="006C03EF" w:rsidP="000E2299">
      <w:pPr>
        <w:pStyle w:val="ListParagraph"/>
        <w:numPr>
          <w:ilvl w:val="0"/>
          <w:numId w:val="14"/>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Cuando se determine que el empleador ha reportado a personas en sus nóminas que no son sus trabajadores</w:t>
      </w:r>
      <w:r w:rsidR="004F0A49" w:rsidRPr="00232EBB">
        <w:rPr>
          <w:rFonts w:ascii="Times New Roman" w:eastAsiaTheme="minorHAnsi" w:hAnsi="Times New Roman"/>
          <w:color w:val="767171"/>
          <w:spacing w:val="20"/>
          <w:sz w:val="24"/>
          <w:szCs w:val="24"/>
          <w:lang w:val="es-ES"/>
        </w:rPr>
        <w:t>.</w:t>
      </w:r>
    </w:p>
    <w:p w14:paraId="649EBFA9" w14:textId="23079D22" w:rsidR="006C03EF" w:rsidRPr="00232EBB" w:rsidRDefault="006C03EF" w:rsidP="000E2299">
      <w:pPr>
        <w:pStyle w:val="ListParagraph"/>
        <w:numPr>
          <w:ilvl w:val="0"/>
          <w:numId w:val="14"/>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Cuando se determine que el empleador ha realizado operaciones comerciales, industriales o de servicios sin haberse registrado en la TSS y ha tenido trabajadores en relación de dependencia a los cuales no ha inscrito en esta.</w:t>
      </w:r>
    </w:p>
    <w:p w14:paraId="392BAE35" w14:textId="77777777" w:rsidR="006C03EF" w:rsidRPr="00232EBB" w:rsidRDefault="006C03EF" w:rsidP="00E05196">
      <w:pPr>
        <w:spacing w:line="360" w:lineRule="auto"/>
        <w:jc w:val="both"/>
        <w:rPr>
          <w:lang w:val="es-ES"/>
        </w:rPr>
      </w:pPr>
      <w:r w:rsidRPr="00232EBB">
        <w:rPr>
          <w:lang w:val="es-ES"/>
        </w:rPr>
        <w:t>En ese sentido, durante el período enero – diciembre 2025 fueron emitidas y notificadas efectivamente 65 Resoluciones Sancionadoras imponiendo las multas correspondientes en cada caso, las cuales ascienden en total a RD$10,658,355.</w:t>
      </w:r>
    </w:p>
    <w:p w14:paraId="5BC6EBBD" w14:textId="513C8136" w:rsidR="006C03EF" w:rsidRPr="00232EBB" w:rsidRDefault="00501167" w:rsidP="006C03EF">
      <w:pPr>
        <w:rPr>
          <w:b/>
          <w:bCs/>
          <w:lang w:val="es-DO"/>
        </w:rPr>
      </w:pPr>
      <w:r w:rsidRPr="00232EBB">
        <w:rPr>
          <w:b/>
          <w:bCs/>
          <w:lang w:val="es-DO"/>
        </w:rPr>
        <w:t xml:space="preserve">Otros </w:t>
      </w:r>
      <w:r w:rsidR="006C03EF" w:rsidRPr="00232EBB">
        <w:rPr>
          <w:b/>
          <w:bCs/>
          <w:lang w:val="es-DO"/>
        </w:rPr>
        <w:t>Logros</w:t>
      </w:r>
    </w:p>
    <w:p w14:paraId="794E8C3F" w14:textId="77777777" w:rsidR="006C03EF" w:rsidRPr="00232EBB" w:rsidRDefault="006C03EF" w:rsidP="00E05196">
      <w:pPr>
        <w:spacing w:line="360" w:lineRule="auto"/>
        <w:jc w:val="both"/>
        <w:rPr>
          <w:lang w:val="es-ES"/>
        </w:rPr>
      </w:pPr>
      <w:r w:rsidRPr="00232EBB">
        <w:rPr>
          <w:lang w:val="es-ES"/>
        </w:rPr>
        <w:t>Como resultado de las labores realizadas, se ha incrementado la recaudación de las aportaciones realizadas por los empleadores, como se describe a continuación:</w:t>
      </w:r>
    </w:p>
    <w:p w14:paraId="55673DE1" w14:textId="3FA3809E" w:rsidR="006C03EF" w:rsidRPr="00232EBB" w:rsidRDefault="006C03EF" w:rsidP="00E05196">
      <w:pPr>
        <w:spacing w:line="360" w:lineRule="auto"/>
        <w:jc w:val="both"/>
        <w:rPr>
          <w:lang w:val="es-ES"/>
        </w:rPr>
      </w:pPr>
      <w:r w:rsidRPr="00232EBB">
        <w:rPr>
          <w:lang w:val="es-ES"/>
        </w:rPr>
        <w:t>•Implementación e inicio de ejecución del Procedimiento Administrativo Sancionador sobre los empleadores infractores de la Ley 87-01, sus modificaciones y normas complementarias.</w:t>
      </w:r>
    </w:p>
    <w:p w14:paraId="74BDB747" w14:textId="7E8A0895" w:rsidR="006C03EF" w:rsidRPr="00232EBB" w:rsidRDefault="006C03EF" w:rsidP="00E05196">
      <w:pPr>
        <w:spacing w:line="360" w:lineRule="auto"/>
        <w:jc w:val="both"/>
        <w:rPr>
          <w:lang w:val="es-ES"/>
        </w:rPr>
      </w:pPr>
      <w:r w:rsidRPr="00232EBB">
        <w:rPr>
          <w:lang w:val="es-ES"/>
        </w:rPr>
        <w:t>•Suspensión temporal de 246 RNC por prácticas que se presumen fraudulentas, procurando así mantener la estabilidad financiera del SDSS.</w:t>
      </w:r>
    </w:p>
    <w:p w14:paraId="02692FC9" w14:textId="10783E82" w:rsidR="006C03EF" w:rsidRPr="00232EBB" w:rsidRDefault="006C03EF" w:rsidP="00E05196">
      <w:pPr>
        <w:spacing w:line="360" w:lineRule="auto"/>
        <w:jc w:val="both"/>
        <w:rPr>
          <w:lang w:val="es-ES"/>
        </w:rPr>
      </w:pPr>
      <w:r w:rsidRPr="00232EBB">
        <w:rPr>
          <w:lang w:val="es-ES"/>
        </w:rPr>
        <w:t xml:space="preserve">•Generación de Notificaciones de Pago por Auditoría por un total de RD$56.5MM, con lo cual se asegura que los trabajadores asociados reciban las </w:t>
      </w:r>
      <w:r w:rsidRPr="00232EBB">
        <w:rPr>
          <w:lang w:val="es-ES"/>
        </w:rPr>
        <w:lastRenderedPageBreak/>
        <w:t>aportaciones correctas en sus cuentas de capitalización individual, a la vez que se garantiza la sostenibilidad de la cuenta Cuidado de la Salud de la cual se realizan los pagos al Seguro Familiar de Salud.</w:t>
      </w:r>
    </w:p>
    <w:p w14:paraId="6CFA9CEC" w14:textId="77777777" w:rsidR="00862F3D" w:rsidRPr="00232EBB" w:rsidRDefault="00862F3D" w:rsidP="00862F3D">
      <w:pPr>
        <w:spacing w:line="360" w:lineRule="auto"/>
        <w:jc w:val="both"/>
        <w:rPr>
          <w:rFonts w:eastAsia="Calibri"/>
          <w:noProof/>
          <w:lang w:val="es-DO"/>
        </w:rPr>
      </w:pPr>
      <w:r w:rsidRPr="00232EBB">
        <w:rPr>
          <w:rFonts w:eastAsia="Calibri"/>
          <w:noProof/>
          <w:lang w:val="es-DO"/>
        </w:rPr>
        <w:t xml:space="preserve">En el año 2025, la Dirección de Servicios proporcionó asistencia a más de 200,000 solicitudes a nivel nacional a través de diversos canales de atención y Puntos GOB. Este número está en aumento, lo que demuestra el compromiso de la institución en alineación con el eje de acercamiento al usuario y la creciente conciencia entre los sectores sobre la importancia del pago de aportes y contribuciones a los trabajadores en cumplimiento con el Régimen Contributivo. </w:t>
      </w:r>
    </w:p>
    <w:p w14:paraId="656303A4" w14:textId="77777777" w:rsidR="00862F3D" w:rsidRPr="00232EBB" w:rsidRDefault="00862F3D" w:rsidP="00862F3D">
      <w:pPr>
        <w:spacing w:after="240" w:line="360" w:lineRule="auto"/>
        <w:jc w:val="both"/>
        <w:rPr>
          <w:rFonts w:eastAsia="Calibri"/>
          <w:noProof/>
          <w:lang w:val="es-DO"/>
        </w:rPr>
      </w:pPr>
      <w:r w:rsidRPr="00232EBB">
        <w:rPr>
          <w:rFonts w:eastAsia="Calibri"/>
          <w:noProof/>
          <w:lang w:val="es-DO"/>
        </w:rPr>
        <w:t>Con el objetivo de reducir las brechas en el reporte y pago de aportes a la seguridad social y promover el uso adecuado de nuestras plataformas, desarrollamos más de 80 jornadas de capacitación, impactando a 6,200 representantes, estudiantes universitarios y afiliados del SDSS. Estas acciones representaron un total de 24,309 horas/hombre dedicadas a fortalecer sus conocimientos sobre el manejo del Sistema Único de Información y Recaudo (SUIR), la Oficina Virtual TSS, la Plataforma de Servicios en Línea y sus responsabilidades dentro del Sistema Dominicano de Seguridad Social.</w:t>
      </w:r>
    </w:p>
    <w:p w14:paraId="1BECBE28" w14:textId="662322E0" w:rsidR="00656D15" w:rsidRPr="00232EBB" w:rsidRDefault="00862F3D" w:rsidP="00656D15">
      <w:pPr>
        <w:spacing w:line="360" w:lineRule="auto"/>
        <w:jc w:val="both"/>
        <w:rPr>
          <w:rFonts w:eastAsia="Times New Roman"/>
          <w:spacing w:val="0"/>
          <w:lang w:val="es-MX"/>
        </w:rPr>
      </w:pPr>
      <w:r w:rsidRPr="00232EBB">
        <w:rPr>
          <w:rFonts w:eastAsia="Times New Roman"/>
          <w:lang w:val="es-MX"/>
        </w:rPr>
        <w:t>En adición a esto, durante el 2025</w:t>
      </w:r>
      <w:r w:rsidR="00656D15" w:rsidRPr="00232EBB">
        <w:rPr>
          <w:rFonts w:eastAsia="Times New Roman"/>
          <w:lang w:val="es-MX"/>
        </w:rPr>
        <w:t xml:space="preserve"> los soportes brindados por nuestro equipo gestor suman al cierre del 2025 un total de 156,309 llamadas y chats con un cierre de brecha significativo en comparación con el año 2022 y 2023 donde la tasa de abandono del Centro de Asistencia al Usuario se ha ido reduciendo de un 53% en 2022 a un 11% en 2023 y en este 2025 a solo un 2%.</w:t>
      </w:r>
    </w:p>
    <w:p w14:paraId="1F5F5CE8" w14:textId="77777777" w:rsidR="007848B5" w:rsidRPr="00232EBB" w:rsidRDefault="00F13E16" w:rsidP="00C96522">
      <w:pPr>
        <w:spacing w:line="360" w:lineRule="auto"/>
        <w:jc w:val="both"/>
        <w:rPr>
          <w:b/>
          <w:bCs/>
          <w:lang w:val="es-DO"/>
        </w:rPr>
      </w:pPr>
      <w:r w:rsidRPr="00232EBB">
        <w:rPr>
          <w:b/>
          <w:bCs/>
          <w:lang w:val="es-DO"/>
        </w:rPr>
        <w:t>Registro de Empresas</w:t>
      </w:r>
      <w:bookmarkStart w:id="54" w:name="_Toc171677825"/>
      <w:bookmarkStart w:id="55" w:name="_Toc172118668"/>
      <w:bookmarkStart w:id="56" w:name="_Toc172119831"/>
      <w:bookmarkStart w:id="57" w:name="_Toc172120164"/>
      <w:bookmarkStart w:id="58" w:name="_Toc172121382"/>
      <w:bookmarkEnd w:id="49"/>
      <w:bookmarkEnd w:id="50"/>
      <w:bookmarkEnd w:id="51"/>
      <w:bookmarkEnd w:id="52"/>
      <w:bookmarkEnd w:id="53"/>
    </w:p>
    <w:p w14:paraId="5F849E38" w14:textId="787AF03D" w:rsidR="00862F3D" w:rsidRPr="00232EBB" w:rsidRDefault="00862F3D" w:rsidP="00C96522">
      <w:pPr>
        <w:spacing w:line="360" w:lineRule="auto"/>
        <w:jc w:val="both"/>
        <w:rPr>
          <w:b/>
          <w:bCs/>
          <w:lang w:val="es-DO"/>
        </w:rPr>
      </w:pPr>
      <w:r w:rsidRPr="00232EBB">
        <w:rPr>
          <w:rFonts w:eastAsia="Calibri"/>
          <w:noProof/>
          <w:lang w:val="es-ES"/>
        </w:rPr>
        <w:t xml:space="preserve">El servicio de registro de empresas de la Tesorería de la Seguridad Social (TSS) es </w:t>
      </w:r>
      <w:r w:rsidRPr="00232EBB">
        <w:rPr>
          <w:rFonts w:eastAsia="Calibri"/>
          <w:noProof/>
          <w:lang w:val="es-ES"/>
        </w:rPr>
        <w:lastRenderedPageBreak/>
        <w:t>una herramienta crucial para garantizar que las empresas operen dentro del marco legal y contribuyan al sistema de seguridad social siendo sus principales objetivos:</w:t>
      </w:r>
    </w:p>
    <w:p w14:paraId="7DB6B57D" w14:textId="77777777" w:rsidR="00862F3D" w:rsidRPr="00232EBB" w:rsidRDefault="00862F3D" w:rsidP="00C96522">
      <w:pPr>
        <w:pStyle w:val="ListParagraph"/>
        <w:numPr>
          <w:ilvl w:val="0"/>
          <w:numId w:val="3"/>
        </w:numPr>
        <w:spacing w:before="240" w:line="360" w:lineRule="auto"/>
        <w:rPr>
          <w:rFonts w:ascii="Times New Roman" w:hAnsi="Times New Roman"/>
          <w:noProof/>
          <w:color w:val="767171"/>
          <w:spacing w:val="20"/>
          <w:sz w:val="24"/>
          <w:szCs w:val="24"/>
          <w:lang w:val="es-ES"/>
        </w:rPr>
      </w:pPr>
      <w:r w:rsidRPr="00232EBB">
        <w:rPr>
          <w:rFonts w:ascii="Times New Roman" w:hAnsi="Times New Roman"/>
          <w:noProof/>
          <w:color w:val="767171"/>
          <w:spacing w:val="20"/>
          <w:sz w:val="24"/>
          <w:szCs w:val="24"/>
          <w:lang w:val="es-ES"/>
        </w:rPr>
        <w:t>Inscripción Formal: Garantizar que todas las empresas se inscriban formalmente en el sistema de seguridad social y puedan acceder a la plataforma de registro de novedades.</w:t>
      </w:r>
    </w:p>
    <w:p w14:paraId="655D72DF" w14:textId="77777777" w:rsidR="00862F3D" w:rsidRPr="00232EBB" w:rsidRDefault="00862F3D" w:rsidP="00C96522">
      <w:pPr>
        <w:pStyle w:val="ListParagraph"/>
        <w:numPr>
          <w:ilvl w:val="0"/>
          <w:numId w:val="3"/>
        </w:numPr>
        <w:spacing w:before="240" w:line="360" w:lineRule="auto"/>
        <w:rPr>
          <w:rFonts w:ascii="Times New Roman" w:hAnsi="Times New Roman"/>
          <w:noProof/>
          <w:color w:val="767171"/>
          <w:spacing w:val="20"/>
          <w:sz w:val="24"/>
          <w:szCs w:val="24"/>
          <w:lang w:val="es-ES"/>
        </w:rPr>
      </w:pPr>
      <w:r w:rsidRPr="00232EBB">
        <w:rPr>
          <w:rFonts w:ascii="Times New Roman" w:hAnsi="Times New Roman"/>
          <w:noProof/>
          <w:color w:val="767171"/>
          <w:spacing w:val="20"/>
          <w:sz w:val="24"/>
          <w:szCs w:val="24"/>
          <w:lang w:val="es-ES"/>
        </w:rPr>
        <w:t>Cumplimiento Legal: Asegurar que las empresas cumplan con las normativas vigentes del SDSS.</w:t>
      </w:r>
    </w:p>
    <w:p w14:paraId="4D0CB598" w14:textId="77777777" w:rsidR="00862F3D" w:rsidRPr="00232EBB" w:rsidRDefault="00862F3D" w:rsidP="00C96522">
      <w:pPr>
        <w:pStyle w:val="ListParagraph"/>
        <w:numPr>
          <w:ilvl w:val="0"/>
          <w:numId w:val="3"/>
        </w:numPr>
        <w:spacing w:before="240" w:line="360" w:lineRule="auto"/>
        <w:rPr>
          <w:rFonts w:ascii="Times New Roman" w:hAnsi="Times New Roman"/>
          <w:noProof/>
          <w:color w:val="767171"/>
          <w:spacing w:val="20"/>
          <w:sz w:val="24"/>
          <w:szCs w:val="24"/>
          <w:lang w:val="es-ES"/>
        </w:rPr>
      </w:pPr>
      <w:r w:rsidRPr="00232EBB">
        <w:rPr>
          <w:rFonts w:ascii="Times New Roman" w:hAnsi="Times New Roman"/>
          <w:noProof/>
          <w:color w:val="767171"/>
          <w:spacing w:val="20"/>
          <w:sz w:val="24"/>
          <w:szCs w:val="24"/>
          <w:lang w:val="es-ES"/>
        </w:rPr>
        <w:t>Recaudación Eficiente: Facilitar la recaudación de los aportes y contribuciones.</w:t>
      </w:r>
    </w:p>
    <w:p w14:paraId="7B9F6739" w14:textId="77777777" w:rsidR="00862F3D" w:rsidRPr="00232EBB" w:rsidRDefault="00862F3D" w:rsidP="00C96522">
      <w:pPr>
        <w:pStyle w:val="ListParagraph"/>
        <w:numPr>
          <w:ilvl w:val="0"/>
          <w:numId w:val="3"/>
        </w:numPr>
        <w:spacing w:before="240" w:line="360" w:lineRule="auto"/>
        <w:rPr>
          <w:rFonts w:ascii="Times New Roman" w:hAnsi="Times New Roman"/>
          <w:noProof/>
          <w:color w:val="767171"/>
          <w:spacing w:val="20"/>
          <w:sz w:val="24"/>
          <w:szCs w:val="24"/>
          <w:lang w:val="es-ES"/>
        </w:rPr>
      </w:pPr>
      <w:r w:rsidRPr="00232EBB">
        <w:rPr>
          <w:rFonts w:ascii="Times New Roman" w:hAnsi="Times New Roman"/>
          <w:noProof/>
          <w:color w:val="767171"/>
          <w:spacing w:val="20"/>
          <w:sz w:val="24"/>
          <w:szCs w:val="24"/>
          <w:lang w:val="es-ES"/>
        </w:rPr>
        <w:t>Protección de los Trabajadores: Proveer un marco que garantice los derechos y beneficios de seguridad social para los empleados.</w:t>
      </w:r>
    </w:p>
    <w:p w14:paraId="240B155B" w14:textId="62CCFA0A" w:rsidR="005F50C5" w:rsidRPr="00232EBB" w:rsidRDefault="00F13E16" w:rsidP="00C96522">
      <w:pPr>
        <w:spacing w:line="360" w:lineRule="auto"/>
        <w:rPr>
          <w:b/>
          <w:bCs/>
          <w:lang w:val="es-DO"/>
        </w:rPr>
      </w:pPr>
      <w:r w:rsidRPr="00232EBB">
        <w:rPr>
          <w:b/>
          <w:bCs/>
          <w:lang w:val="es-DO"/>
        </w:rPr>
        <w:t>Certificaciones</w:t>
      </w:r>
      <w:bookmarkStart w:id="59" w:name="_Toc184981192"/>
      <w:bookmarkEnd w:id="54"/>
      <w:bookmarkEnd w:id="55"/>
      <w:bookmarkEnd w:id="56"/>
      <w:bookmarkEnd w:id="57"/>
      <w:bookmarkEnd w:id="58"/>
    </w:p>
    <w:p w14:paraId="793B85E1" w14:textId="1862DED3" w:rsidR="00862F3D" w:rsidRPr="00232EBB" w:rsidRDefault="00862F3D" w:rsidP="00C96522">
      <w:pPr>
        <w:spacing w:line="360" w:lineRule="auto"/>
        <w:jc w:val="both"/>
        <w:rPr>
          <w:b/>
          <w:bCs/>
          <w:lang w:val="es-DO"/>
        </w:rPr>
      </w:pPr>
      <w:r w:rsidRPr="00232EBB">
        <w:rPr>
          <w:noProof/>
          <w:lang w:val="es-ES"/>
        </w:rPr>
        <w:t xml:space="preserve">Las certificaciones automáticas son productos que los usuarios generan a través del SUIR o vía la Oficina Virtual TSS permitiéndoles con esta información, la verificación de datos y la emisión pruebas de sus cotizaciones al Sistema Dominicano de Seguridad Social, eliminando la necesidad de intervención de terceros en el proceso de generación.  </w:t>
      </w:r>
    </w:p>
    <w:p w14:paraId="3B916421" w14:textId="14A15CD0" w:rsidR="00647680" w:rsidRPr="00232EBB" w:rsidRDefault="00862F3D" w:rsidP="00C96522">
      <w:pPr>
        <w:spacing w:before="240" w:line="360" w:lineRule="auto"/>
        <w:jc w:val="both"/>
        <w:rPr>
          <w:noProof/>
          <w:lang w:val="es-ES"/>
        </w:rPr>
      </w:pPr>
      <w:r w:rsidRPr="00232EBB">
        <w:rPr>
          <w:noProof/>
          <w:lang w:val="es-ES"/>
        </w:rPr>
        <w:t xml:space="preserve">En 2025, la TSS ha generado 1,536,314 certificaciones, divididas en dos categorías: automática y manual. En ambas categorías se destacan las cifras y resultados de satisfacción de los usuarios que supera el </w:t>
      </w:r>
      <w:r w:rsidR="00221654" w:rsidRPr="00232EBB">
        <w:rPr>
          <w:noProof/>
          <w:lang w:val="es-ES"/>
        </w:rPr>
        <w:t>93</w:t>
      </w:r>
      <w:r w:rsidRPr="00232EBB">
        <w:rPr>
          <w:noProof/>
          <w:lang w:val="es-ES"/>
        </w:rPr>
        <w:t>%, gracias a la eficiencia de del servicio, la facilidad de uso del portal en línea, la rapidez en la emisión, la disponibilidad a través de cualquier dispositivo tecnológico y la minimización de posibilidad de errores en la información por intervención humana</w:t>
      </w:r>
      <w:r w:rsidR="00501167" w:rsidRPr="00232EBB">
        <w:rPr>
          <w:noProof/>
          <w:lang w:val="es-ES"/>
        </w:rPr>
        <w:t>.</w:t>
      </w:r>
    </w:p>
    <w:p w14:paraId="763CED94" w14:textId="5986491E" w:rsidR="00862F3D" w:rsidRPr="00232EBB" w:rsidRDefault="00862F3D" w:rsidP="00862F3D">
      <w:pPr>
        <w:spacing w:before="240" w:after="0" w:line="360" w:lineRule="auto"/>
        <w:jc w:val="both"/>
        <w:rPr>
          <w:noProof/>
          <w:lang w:val="es-ES"/>
        </w:rPr>
      </w:pPr>
      <w:r w:rsidRPr="00232EBB">
        <w:rPr>
          <w:noProof/>
        </w:rPr>
        <w:lastRenderedPageBreak/>
        <w:drawing>
          <wp:inline distT="0" distB="0" distL="0" distR="0" wp14:anchorId="0FAFDA25" wp14:editId="6245CD85">
            <wp:extent cx="5029200" cy="1944139"/>
            <wp:effectExtent l="0" t="0" r="0" b="0"/>
            <wp:docPr id="576672465" name="drawing" descr="A graph of 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72465" name="drawing" descr="A graph of a graph of a number of people&#10;&#10;AI-generated content may be incorrect."/>
                    <pic:cNvPicPr/>
                  </pic:nvPicPr>
                  <pic:blipFill>
                    <a:blip r:embed="rId22">
                      <a:extLst>
                        <a:ext uri="{28A0092B-C50C-407E-A947-70E740481C1C}">
                          <a14:useLocalDpi xmlns:a14="http://schemas.microsoft.com/office/drawing/2010/main"/>
                        </a:ext>
                      </a:extLst>
                    </a:blip>
                    <a:stretch>
                      <a:fillRect/>
                    </a:stretch>
                  </pic:blipFill>
                  <pic:spPr>
                    <a:xfrm>
                      <a:off x="0" y="0"/>
                      <a:ext cx="5029200" cy="1944139"/>
                    </a:xfrm>
                    <a:prstGeom prst="rect">
                      <a:avLst/>
                    </a:prstGeom>
                  </pic:spPr>
                </pic:pic>
              </a:graphicData>
            </a:graphic>
          </wp:inline>
        </w:drawing>
      </w:r>
    </w:p>
    <w:p w14:paraId="5D7D6DF0" w14:textId="7A73A7DF" w:rsidR="00256FFA" w:rsidRPr="00232EBB" w:rsidRDefault="00256FFA" w:rsidP="00256FFA">
      <w:pPr>
        <w:spacing w:afterLines="160" w:after="384" w:line="360" w:lineRule="auto"/>
        <w:rPr>
          <w:rFonts w:eastAsia="Calibri"/>
          <w:noProof/>
          <w:color w:val="4C4747"/>
          <w:sz w:val="18"/>
          <w:szCs w:val="18"/>
          <w:lang w:val="es-DO"/>
        </w:rPr>
      </w:pPr>
      <w:r w:rsidRPr="00232EBB">
        <w:rPr>
          <w:rFonts w:eastAsia="Calibri"/>
          <w:b/>
          <w:bCs/>
          <w:noProof/>
          <w:color w:val="7B7B7B" w:themeColor="accent3" w:themeShade="BF"/>
          <w:sz w:val="18"/>
          <w:szCs w:val="18"/>
          <w:lang w:val="es-DO"/>
        </w:rPr>
        <w:t xml:space="preserve">Gráfico </w:t>
      </w:r>
      <w:r w:rsidR="00D33457" w:rsidRPr="00232EBB">
        <w:rPr>
          <w:rFonts w:eastAsia="Calibri"/>
          <w:b/>
          <w:bCs/>
          <w:noProof/>
          <w:color w:val="7B7B7B" w:themeColor="accent3" w:themeShade="BF"/>
          <w:sz w:val="18"/>
          <w:szCs w:val="18"/>
          <w:lang w:val="es-DO"/>
        </w:rPr>
        <w:t>3</w:t>
      </w:r>
      <w:r w:rsidRPr="00232EBB">
        <w:rPr>
          <w:rFonts w:eastAsia="Calibri"/>
          <w:noProof/>
          <w:color w:val="7B7B7B" w:themeColor="accent3" w:themeShade="BF"/>
          <w:lang w:val="es-DO"/>
        </w:rPr>
        <w:t xml:space="preserve">: </w:t>
      </w:r>
      <w:r w:rsidRPr="00232EBB">
        <w:rPr>
          <w:rFonts w:eastAsia="Calibri"/>
          <w:noProof/>
          <w:sz w:val="18"/>
          <w:szCs w:val="18"/>
          <w:lang w:val="es-DO"/>
        </w:rPr>
        <w:t>Certificaciones procesadas</w:t>
      </w:r>
      <w:r w:rsidR="007848B5" w:rsidRPr="00232EBB">
        <w:rPr>
          <w:rFonts w:eastAsia="Calibri"/>
          <w:noProof/>
          <w:sz w:val="18"/>
          <w:szCs w:val="18"/>
          <w:lang w:val="es-DO"/>
        </w:rPr>
        <w:t>.</w:t>
      </w:r>
    </w:p>
    <w:p w14:paraId="2DCD244A" w14:textId="77777777" w:rsidR="00862F3D" w:rsidRPr="00232EBB" w:rsidRDefault="00862F3D" w:rsidP="00862F3D">
      <w:pPr>
        <w:pStyle w:val="Heading1"/>
        <w:jc w:val="both"/>
        <w:rPr>
          <w:rFonts w:cs="Times New Roman"/>
          <w:spacing w:val="0"/>
          <w:sz w:val="24"/>
          <w:szCs w:val="24"/>
          <w:lang w:val="es-DO"/>
        </w:rPr>
      </w:pPr>
      <w:bookmarkStart w:id="60" w:name="_Toc171677826"/>
      <w:bookmarkStart w:id="61" w:name="_Toc172118669"/>
      <w:bookmarkStart w:id="62" w:name="_Toc172119832"/>
      <w:bookmarkStart w:id="63" w:name="_Toc172120165"/>
      <w:bookmarkStart w:id="64" w:name="_Toc172121383"/>
      <w:bookmarkStart w:id="65" w:name="_Toc216952217"/>
      <w:r w:rsidRPr="00232EBB">
        <w:rPr>
          <w:rFonts w:cs="Times New Roman"/>
          <w:spacing w:val="0"/>
          <w:sz w:val="24"/>
          <w:szCs w:val="24"/>
          <w:lang w:val="es-DO"/>
        </w:rPr>
        <w:t>Certificaciones Manuales</w:t>
      </w:r>
      <w:bookmarkEnd w:id="60"/>
      <w:bookmarkEnd w:id="61"/>
      <w:bookmarkEnd w:id="62"/>
      <w:bookmarkEnd w:id="63"/>
      <w:bookmarkEnd w:id="64"/>
      <w:bookmarkEnd w:id="65"/>
    </w:p>
    <w:p w14:paraId="31F5E734" w14:textId="77777777" w:rsidR="00862F3D" w:rsidRPr="00232EBB" w:rsidRDefault="00862F3D" w:rsidP="00C96522">
      <w:pPr>
        <w:spacing w:line="360" w:lineRule="auto"/>
        <w:jc w:val="both"/>
        <w:rPr>
          <w:rFonts w:eastAsia="Calibri"/>
          <w:noProof/>
          <w:lang w:val="es-DO"/>
        </w:rPr>
      </w:pPr>
      <w:r w:rsidRPr="00232EBB">
        <w:rPr>
          <w:rFonts w:eastAsia="Calibri"/>
          <w:noProof/>
          <w:lang w:val="es-DO"/>
        </w:rPr>
        <w:t xml:space="preserve">Las certificaciones manuales requieren la intervención de personal de la TSS, quienes revisan y validan la documentación presentada antes de emitir la certificación permitiendo la gestión de casos complejos que no pueden ser manejados por el sistema automático, con un trato más personalizado y adaptado a las necesidades específicas de los usuarios como lo son el Ministerio Público, la Procuraduría General de la República y otros organismos judiciales de la República Dominicana. En el año 2025 hemos gestionado un total de ochocientas cincuenta y cuatro </w:t>
      </w:r>
      <w:r w:rsidRPr="00232EBB">
        <w:rPr>
          <w:rFonts w:eastAsia="Calibri"/>
          <w:lang w:val="es-DO"/>
        </w:rPr>
        <w:t>(</w:t>
      </w:r>
      <w:r w:rsidRPr="00232EBB">
        <w:rPr>
          <w:rFonts w:eastAsia="Calibri"/>
          <w:noProof/>
          <w:lang w:val="es-DO"/>
        </w:rPr>
        <w:t>854) certificaciones que aportan a la gestión investigativa de las instituciones definidas para tales fines.</w:t>
      </w:r>
    </w:p>
    <w:p w14:paraId="2286012E" w14:textId="77777777" w:rsidR="007848B5" w:rsidRPr="00232EBB" w:rsidRDefault="00862F3D" w:rsidP="00C96522">
      <w:pPr>
        <w:spacing w:before="240" w:line="360" w:lineRule="auto"/>
        <w:jc w:val="both"/>
        <w:rPr>
          <w:rFonts w:eastAsia="Calibri"/>
          <w:noProof/>
          <w:lang w:val="es-DO"/>
        </w:rPr>
      </w:pPr>
      <w:r w:rsidRPr="00232EBB">
        <w:rPr>
          <w:rFonts w:eastAsia="Calibri"/>
          <w:noProof/>
          <w:lang w:val="es-DO"/>
        </w:rPr>
        <w:t xml:space="preserve">En un análisis comparativo podemos citar que las certificaciones automáticas representan el </w:t>
      </w:r>
      <w:r w:rsidRPr="00232EBB">
        <w:rPr>
          <w:rFonts w:eastAsia="Calibri"/>
          <w:lang w:val="es-DO"/>
        </w:rPr>
        <w:t>99.</w:t>
      </w:r>
      <w:r w:rsidRPr="00232EBB">
        <w:rPr>
          <w:rFonts w:eastAsia="Calibri"/>
          <w:noProof/>
          <w:lang w:val="es-DO"/>
        </w:rPr>
        <w:t>94</w:t>
      </w:r>
      <w:r w:rsidRPr="00232EBB">
        <w:rPr>
          <w:rFonts w:eastAsia="Calibri"/>
          <w:lang w:val="es-DO"/>
        </w:rPr>
        <w:t>%</w:t>
      </w:r>
      <w:r w:rsidRPr="00232EBB">
        <w:rPr>
          <w:rFonts w:eastAsia="Calibri"/>
          <w:noProof/>
          <w:lang w:val="es-DO"/>
        </w:rPr>
        <w:t xml:space="preserve"> del total de certificaciones gestionadas, mientras que las manuales apenas el </w:t>
      </w:r>
      <w:r w:rsidRPr="00232EBB">
        <w:rPr>
          <w:rFonts w:eastAsia="Calibri"/>
          <w:lang w:val="es-DO"/>
        </w:rPr>
        <w:t>0.</w:t>
      </w:r>
      <w:r w:rsidRPr="00232EBB">
        <w:rPr>
          <w:rFonts w:eastAsia="Calibri"/>
          <w:noProof/>
          <w:lang w:val="es-DO"/>
        </w:rPr>
        <w:t>06</w:t>
      </w:r>
      <w:r w:rsidRPr="00232EBB">
        <w:rPr>
          <w:rFonts w:eastAsia="Calibri"/>
          <w:lang w:val="es-DO"/>
        </w:rPr>
        <w:t>%</w:t>
      </w:r>
      <w:r w:rsidRPr="00232EBB">
        <w:rPr>
          <w:rFonts w:eastAsia="Calibri"/>
          <w:noProof/>
          <w:lang w:val="es-DO"/>
        </w:rPr>
        <w:t>, lo que se traduce en tendencias hacia la digitalización, automatización de procesos y uso de recursos tecnológicos como la firma digital y la entrega encriptada de los documentos, fortaleciendo a su vez la seguridad de la información de los datos.</w:t>
      </w:r>
      <w:bookmarkStart w:id="66" w:name="_Toc171677888"/>
      <w:bookmarkStart w:id="67" w:name="_Toc172118681"/>
      <w:bookmarkStart w:id="68" w:name="_Toc172119834"/>
      <w:bookmarkStart w:id="69" w:name="_Toc172120167"/>
      <w:bookmarkStart w:id="70" w:name="_Toc172121385"/>
    </w:p>
    <w:p w14:paraId="020BF6F8" w14:textId="2167B48B" w:rsidR="00862F3D" w:rsidRPr="00232EBB" w:rsidRDefault="00862F3D" w:rsidP="00C96522">
      <w:pPr>
        <w:pStyle w:val="Heading1"/>
        <w:spacing w:after="160"/>
        <w:jc w:val="both"/>
        <w:rPr>
          <w:rFonts w:cs="Times New Roman"/>
          <w:spacing w:val="0"/>
          <w:sz w:val="24"/>
          <w:szCs w:val="24"/>
          <w:lang w:val="es-DO"/>
        </w:rPr>
      </w:pPr>
      <w:bookmarkStart w:id="71" w:name="_Toc216952218"/>
      <w:r w:rsidRPr="00232EBB">
        <w:rPr>
          <w:rFonts w:cs="Times New Roman"/>
          <w:spacing w:val="0"/>
          <w:sz w:val="24"/>
          <w:szCs w:val="24"/>
          <w:lang w:val="es-DO"/>
        </w:rPr>
        <w:lastRenderedPageBreak/>
        <w:t>Asignación de Números de Seguridad Social</w:t>
      </w:r>
      <w:bookmarkEnd w:id="66"/>
      <w:bookmarkEnd w:id="67"/>
      <w:bookmarkEnd w:id="68"/>
      <w:bookmarkEnd w:id="69"/>
      <w:bookmarkEnd w:id="70"/>
      <w:bookmarkEnd w:id="71"/>
      <w:r w:rsidRPr="00232EBB">
        <w:rPr>
          <w:rFonts w:cs="Times New Roman"/>
          <w:spacing w:val="0"/>
          <w:sz w:val="24"/>
          <w:szCs w:val="24"/>
          <w:lang w:val="es-DO"/>
        </w:rPr>
        <w:t> </w:t>
      </w:r>
    </w:p>
    <w:p w14:paraId="200E392D" w14:textId="77777777" w:rsidR="00862F3D" w:rsidRPr="00232EBB" w:rsidRDefault="00862F3D" w:rsidP="00C96522">
      <w:pPr>
        <w:pStyle w:val="Heading1"/>
        <w:spacing w:before="0" w:after="160"/>
        <w:jc w:val="both"/>
        <w:rPr>
          <w:rFonts w:cs="Times New Roman"/>
          <w:spacing w:val="0"/>
          <w:sz w:val="24"/>
          <w:szCs w:val="24"/>
          <w:lang w:val="es-DO"/>
        </w:rPr>
      </w:pPr>
      <w:bookmarkStart w:id="72" w:name="_Toc171677889"/>
      <w:bookmarkStart w:id="73" w:name="_Toc172118682"/>
      <w:bookmarkStart w:id="74" w:name="_Toc172119835"/>
      <w:bookmarkStart w:id="75" w:name="_Toc172120168"/>
      <w:bookmarkStart w:id="76" w:name="_Toc172121386"/>
      <w:bookmarkStart w:id="77" w:name="_Toc216952219"/>
      <w:r w:rsidRPr="00232EBB">
        <w:rPr>
          <w:rFonts w:cs="Times New Roman"/>
          <w:spacing w:val="0"/>
          <w:sz w:val="24"/>
          <w:szCs w:val="24"/>
          <w:lang w:val="es-DO"/>
        </w:rPr>
        <w:t>Contexto y Función del Número de Seguridad Social (NSS)</w:t>
      </w:r>
      <w:bookmarkEnd w:id="72"/>
      <w:bookmarkEnd w:id="73"/>
      <w:bookmarkEnd w:id="74"/>
      <w:bookmarkEnd w:id="75"/>
      <w:bookmarkEnd w:id="76"/>
      <w:bookmarkEnd w:id="77"/>
      <w:r w:rsidRPr="00232EBB">
        <w:rPr>
          <w:rFonts w:cs="Times New Roman"/>
          <w:spacing w:val="0"/>
          <w:sz w:val="24"/>
          <w:szCs w:val="24"/>
          <w:lang w:val="es-DO"/>
        </w:rPr>
        <w:t> </w:t>
      </w:r>
    </w:p>
    <w:p w14:paraId="5CB425DA" w14:textId="77777777" w:rsidR="00862F3D" w:rsidRPr="00232EBB" w:rsidRDefault="00862F3D" w:rsidP="00C96522">
      <w:pPr>
        <w:spacing w:line="360" w:lineRule="auto"/>
        <w:jc w:val="both"/>
        <w:rPr>
          <w:rFonts w:eastAsia="Calibri"/>
          <w:noProof/>
          <w:lang w:val="es-DO"/>
        </w:rPr>
      </w:pPr>
      <w:r w:rsidRPr="00232EBB">
        <w:rPr>
          <w:rFonts w:eastAsia="Calibri"/>
          <w:noProof/>
          <w:lang w:val="es-DO"/>
        </w:rPr>
        <w:t>La asignación del número de seguridad social (NSS) es fundamental para la ciudadanía, ya que proporciona un identificador único que facilita su afiliación al Sistema Dominicano de Seguridad Social (SDSS). Este número es vital en el Régimen Contributivo, ya que permite a los empleadores registrar a sus trabajadores y gestionar el pago de los aportes y contribuciones a los seguros establecidos por la Ley no. 87-01 tales como: </w:t>
      </w:r>
    </w:p>
    <w:p w14:paraId="061CF703" w14:textId="77777777" w:rsidR="00862F3D" w:rsidRPr="00232EBB" w:rsidRDefault="00862F3D" w:rsidP="00C96522">
      <w:pPr>
        <w:pStyle w:val="ListParagraph"/>
        <w:numPr>
          <w:ilvl w:val="0"/>
          <w:numId w:val="42"/>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Seguro Familiar de Salud (SFS): Cubre los servicios de salud de los trabajadores y sus dependientes. </w:t>
      </w:r>
    </w:p>
    <w:p w14:paraId="203CE743" w14:textId="77777777" w:rsidR="00862F3D" w:rsidRPr="00232EBB" w:rsidRDefault="00862F3D" w:rsidP="00C96522">
      <w:pPr>
        <w:pStyle w:val="ListParagraph"/>
        <w:numPr>
          <w:ilvl w:val="0"/>
          <w:numId w:val="42"/>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Seguro de Vejez, Discapacidad y Sobrevivencia (SVDS): Ofrece pensiones y beneficios en casos de jubilación, discapacidad o muerte del afiliado. </w:t>
      </w:r>
    </w:p>
    <w:p w14:paraId="5B80BF84" w14:textId="77777777" w:rsidR="00862F3D" w:rsidRPr="00232EBB" w:rsidRDefault="00862F3D" w:rsidP="00C96522">
      <w:pPr>
        <w:pStyle w:val="ListParagraph"/>
        <w:numPr>
          <w:ilvl w:val="0"/>
          <w:numId w:val="42"/>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Seguro de Riesgos Laborales (SRL): Protege a los trabajadores en caso de accidentes laborales y enfermedades profesionales. </w:t>
      </w:r>
    </w:p>
    <w:p w14:paraId="75402469" w14:textId="77777777" w:rsidR="00862F3D" w:rsidRPr="00232EBB" w:rsidRDefault="00862F3D" w:rsidP="00C96522">
      <w:pPr>
        <w:pStyle w:val="ListParagraph"/>
        <w:numPr>
          <w:ilvl w:val="0"/>
          <w:numId w:val="42"/>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Fondo Nacional de Atención Médica por Accidentes de Tránsito (FONAMAT): Asegura la atención médica para las víctimas de accidentes de tránsito. </w:t>
      </w:r>
      <w:bookmarkStart w:id="78" w:name="_Toc171677890"/>
    </w:p>
    <w:p w14:paraId="38C1BAD8" w14:textId="77777777" w:rsidR="00862F3D" w:rsidRPr="00232EBB" w:rsidRDefault="00862F3D" w:rsidP="00C96522">
      <w:pPr>
        <w:pStyle w:val="Heading1"/>
        <w:spacing w:after="160"/>
        <w:jc w:val="both"/>
        <w:rPr>
          <w:rFonts w:cs="Times New Roman"/>
          <w:spacing w:val="0"/>
          <w:sz w:val="24"/>
          <w:szCs w:val="24"/>
          <w:lang w:val="es-DO"/>
        </w:rPr>
      </w:pPr>
      <w:bookmarkStart w:id="79" w:name="_Toc172118683"/>
      <w:bookmarkStart w:id="80" w:name="_Toc172119836"/>
      <w:bookmarkStart w:id="81" w:name="_Toc172120169"/>
      <w:bookmarkStart w:id="82" w:name="_Toc172121387"/>
      <w:bookmarkStart w:id="83" w:name="_Toc216952220"/>
      <w:r w:rsidRPr="00232EBB">
        <w:rPr>
          <w:rFonts w:cs="Times New Roman"/>
          <w:spacing w:val="0"/>
          <w:sz w:val="24"/>
          <w:szCs w:val="24"/>
          <w:lang w:val="es-DO"/>
        </w:rPr>
        <w:t>Datos de Asignación de NSS en 202</w:t>
      </w:r>
      <w:bookmarkEnd w:id="78"/>
      <w:bookmarkEnd w:id="79"/>
      <w:bookmarkEnd w:id="80"/>
      <w:bookmarkEnd w:id="81"/>
      <w:bookmarkEnd w:id="82"/>
      <w:r w:rsidRPr="00232EBB">
        <w:rPr>
          <w:rFonts w:cs="Times New Roman"/>
          <w:spacing w:val="0"/>
          <w:sz w:val="24"/>
          <w:szCs w:val="24"/>
          <w:lang w:val="es-DO"/>
        </w:rPr>
        <w:t>5</w:t>
      </w:r>
      <w:bookmarkEnd w:id="83"/>
      <w:r w:rsidRPr="00232EBB">
        <w:rPr>
          <w:rFonts w:cs="Times New Roman"/>
          <w:spacing w:val="0"/>
          <w:sz w:val="24"/>
          <w:szCs w:val="24"/>
          <w:lang w:val="es-DO"/>
        </w:rPr>
        <w:t> </w:t>
      </w:r>
    </w:p>
    <w:p w14:paraId="7B29BD1E" w14:textId="77777777" w:rsidR="00862F3D" w:rsidRPr="00232EBB" w:rsidRDefault="00862F3D" w:rsidP="00C96522">
      <w:pPr>
        <w:pStyle w:val="Heading1"/>
        <w:spacing w:after="160"/>
        <w:jc w:val="both"/>
        <w:rPr>
          <w:rFonts w:cs="Times New Roman"/>
          <w:spacing w:val="0"/>
          <w:sz w:val="24"/>
          <w:szCs w:val="24"/>
          <w:lang w:val="es-DO"/>
        </w:rPr>
      </w:pPr>
      <w:bookmarkStart w:id="84" w:name="_Toc216952221"/>
      <w:r w:rsidRPr="00232EBB">
        <w:rPr>
          <w:rFonts w:cs="Times New Roman"/>
          <w:spacing w:val="0"/>
          <w:sz w:val="24"/>
          <w:szCs w:val="24"/>
          <w:lang w:val="es-DO"/>
        </w:rPr>
        <w:t>Asignación Número de Seguridad Social</w:t>
      </w:r>
      <w:bookmarkEnd w:id="84"/>
    </w:p>
    <w:p w14:paraId="0B492123" w14:textId="77777777" w:rsidR="00862F3D" w:rsidRPr="00232EBB" w:rsidRDefault="00862F3D" w:rsidP="00C96522">
      <w:pPr>
        <w:spacing w:line="360" w:lineRule="auto"/>
        <w:jc w:val="both"/>
        <w:rPr>
          <w:rFonts w:eastAsia="Calibri"/>
          <w:noProof/>
          <w:lang w:val="es-DO"/>
        </w:rPr>
      </w:pPr>
      <w:r w:rsidRPr="00232EBB">
        <w:rPr>
          <w:rFonts w:eastAsia="Calibri"/>
          <w:noProof/>
          <w:lang w:val="es-DO"/>
        </w:rPr>
        <w:t xml:space="preserve">Durante el año 2025, la TSS, a través del Departamento de Trámites y Servicios, procesó un total de 19,427 nuevos números de seguridad social. Esta cifra refleja el continuo esfuerzo y capacidad operativa institucional para integrar a nuevos trabajadores en el sistema, garantizando que estos tengan acceso a los beneficios y protecciones que ofrece el Sistema de Seguridad Social.  </w:t>
      </w:r>
    </w:p>
    <w:p w14:paraId="0F88EB4C" w14:textId="77777777" w:rsidR="00862F3D" w:rsidRPr="00232EBB" w:rsidRDefault="00862F3D" w:rsidP="00862F3D">
      <w:pPr>
        <w:spacing w:after="0"/>
        <w:jc w:val="center"/>
      </w:pPr>
      <w:r w:rsidRPr="00232EBB">
        <w:rPr>
          <w:noProof/>
        </w:rPr>
        <w:lastRenderedPageBreak/>
        <w:drawing>
          <wp:inline distT="0" distB="0" distL="0" distR="0" wp14:anchorId="522373EF" wp14:editId="7652C431">
            <wp:extent cx="3544661" cy="3499104"/>
            <wp:effectExtent l="0" t="0" r="0" b="6350"/>
            <wp:docPr id="1152200784" name="drawing"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00784" name="drawing" descr="A blue circle with white text&#10;&#10;AI-generated content may be incorrect."/>
                    <pic:cNvPicPr/>
                  </pic:nvPicPr>
                  <pic:blipFill rotWithShape="1">
                    <a:blip r:embed="rId23">
                      <a:extLst>
                        <a:ext uri="{28A0092B-C50C-407E-A947-70E740481C1C}">
                          <a14:useLocalDpi xmlns:a14="http://schemas.microsoft.com/office/drawing/2010/main"/>
                        </a:ext>
                      </a:extLst>
                    </a:blip>
                    <a:srcRect b="10277"/>
                    <a:stretch>
                      <a:fillRect/>
                    </a:stretch>
                  </pic:blipFill>
                  <pic:spPr bwMode="auto">
                    <a:xfrm>
                      <a:off x="0" y="0"/>
                      <a:ext cx="3556603" cy="3510893"/>
                    </a:xfrm>
                    <a:prstGeom prst="rect">
                      <a:avLst/>
                    </a:prstGeom>
                    <a:ln>
                      <a:noFill/>
                    </a:ln>
                    <a:extLst>
                      <a:ext uri="{53640926-AAD7-44D8-BBD7-CCE9431645EC}">
                        <a14:shadowObscured xmlns:a14="http://schemas.microsoft.com/office/drawing/2010/main"/>
                      </a:ext>
                    </a:extLst>
                  </pic:spPr>
                </pic:pic>
              </a:graphicData>
            </a:graphic>
          </wp:inline>
        </w:drawing>
      </w:r>
    </w:p>
    <w:p w14:paraId="12B78333" w14:textId="6703B309" w:rsidR="00862F3D" w:rsidRPr="00232EBB" w:rsidRDefault="00862F3D" w:rsidP="00862F3D">
      <w:pPr>
        <w:spacing w:after="0" w:line="360" w:lineRule="auto"/>
        <w:jc w:val="both"/>
        <w:rPr>
          <w:rFonts w:eastAsia="Calibri"/>
          <w:noProof/>
          <w:sz w:val="22"/>
          <w:szCs w:val="22"/>
          <w:lang w:val="es-DO"/>
        </w:rPr>
      </w:pPr>
      <w:r w:rsidRPr="00232EBB">
        <w:rPr>
          <w:rFonts w:eastAsia="Calibri"/>
          <w:noProof/>
          <w:sz w:val="22"/>
          <w:szCs w:val="22"/>
          <w:lang w:val="es-DO"/>
        </w:rPr>
        <w:t xml:space="preserve">                                    </w:t>
      </w:r>
      <w:r w:rsidRPr="00232EBB">
        <w:rPr>
          <w:rFonts w:eastAsia="Calibri"/>
          <w:b/>
          <w:bCs/>
          <w:noProof/>
          <w:sz w:val="18"/>
          <w:szCs w:val="18"/>
          <w:lang w:val="es-DO"/>
        </w:rPr>
        <w:t xml:space="preserve">Gráfico </w:t>
      </w:r>
      <w:r w:rsidR="00256FFA" w:rsidRPr="00232EBB">
        <w:rPr>
          <w:rFonts w:eastAsia="Calibri"/>
          <w:b/>
          <w:bCs/>
          <w:noProof/>
          <w:sz w:val="18"/>
          <w:szCs w:val="18"/>
          <w:lang w:val="es-DO"/>
        </w:rPr>
        <w:t>4</w:t>
      </w:r>
      <w:r w:rsidRPr="00232EBB">
        <w:rPr>
          <w:rFonts w:eastAsia="Calibri"/>
          <w:noProof/>
          <w:sz w:val="18"/>
          <w:szCs w:val="18"/>
          <w:lang w:val="es-DO"/>
        </w:rPr>
        <w:t>: Asignación NSS</w:t>
      </w:r>
    </w:p>
    <w:p w14:paraId="444B6C5C" w14:textId="77777777" w:rsidR="002D2273" w:rsidRPr="00232EBB" w:rsidRDefault="00862F3D" w:rsidP="00C96522">
      <w:pPr>
        <w:pStyle w:val="Heading1"/>
        <w:spacing w:before="0" w:after="240"/>
        <w:jc w:val="both"/>
        <w:rPr>
          <w:rFonts w:cs="Times New Roman"/>
          <w:spacing w:val="0"/>
          <w:sz w:val="24"/>
          <w:szCs w:val="24"/>
          <w:lang w:val="es-DO"/>
        </w:rPr>
      </w:pPr>
      <w:bookmarkStart w:id="85" w:name="_Toc171677891"/>
      <w:bookmarkStart w:id="86" w:name="_Toc172118684"/>
      <w:bookmarkStart w:id="87" w:name="_Toc172119837"/>
      <w:bookmarkStart w:id="88" w:name="_Toc172120170"/>
      <w:bookmarkStart w:id="89" w:name="_Toc172121388"/>
      <w:bookmarkStart w:id="90" w:name="_Toc216952222"/>
      <w:r w:rsidRPr="00232EBB">
        <w:rPr>
          <w:rFonts w:cs="Times New Roman"/>
          <w:spacing w:val="0"/>
          <w:sz w:val="24"/>
          <w:szCs w:val="24"/>
          <w:lang w:val="es-DO"/>
        </w:rPr>
        <w:t>Importancia de la Asignación de NSS</w:t>
      </w:r>
      <w:bookmarkEnd w:id="85"/>
      <w:bookmarkEnd w:id="86"/>
      <w:bookmarkEnd w:id="87"/>
      <w:bookmarkEnd w:id="88"/>
      <w:bookmarkEnd w:id="89"/>
      <w:bookmarkEnd w:id="90"/>
      <w:r w:rsidRPr="00232EBB">
        <w:rPr>
          <w:rFonts w:cs="Times New Roman"/>
          <w:spacing w:val="0"/>
          <w:sz w:val="24"/>
          <w:szCs w:val="24"/>
          <w:lang w:val="es-DO"/>
        </w:rPr>
        <w:t> </w:t>
      </w:r>
    </w:p>
    <w:p w14:paraId="649AE503" w14:textId="68B008B8" w:rsidR="00862F3D" w:rsidRPr="00232EBB" w:rsidRDefault="00862F3D" w:rsidP="00232EBB">
      <w:pPr>
        <w:spacing w:line="360" w:lineRule="auto"/>
        <w:jc w:val="both"/>
        <w:rPr>
          <w:rFonts w:eastAsia="Calibri"/>
          <w:noProof/>
          <w:lang w:val="es-DO"/>
        </w:rPr>
      </w:pPr>
      <w:r w:rsidRPr="00232EBB">
        <w:rPr>
          <w:rFonts w:eastAsia="Calibri"/>
          <w:noProof/>
          <w:lang w:val="es-DO"/>
        </w:rPr>
        <w:t>La asignación de estos números es crucial para asegurar una gestión eficiente y un acceso efectivo a los servicios y beneficios del SDSS, pues con el NSS, los empleadores pueden cumplir con sus obligaciones legales, y los trabajadores pueden recibir además los beneficios de inclusión a su núcleo familiar de salud a cónyuge, hijos y padres y a través de sus cotizaciones, poder disfrutar de los subsidios de enfermedad común, maternidad, lactancia y garantizarles mejor garantías ciudadanas como lo establece nuestra Constitución. </w:t>
      </w:r>
    </w:p>
    <w:p w14:paraId="25508D84" w14:textId="77777777" w:rsidR="00862F3D" w:rsidRPr="00232EBB" w:rsidRDefault="00862F3D" w:rsidP="00C96522">
      <w:pPr>
        <w:pStyle w:val="Heading1"/>
        <w:spacing w:after="240"/>
        <w:jc w:val="both"/>
        <w:rPr>
          <w:rFonts w:cs="Times New Roman"/>
          <w:spacing w:val="0"/>
          <w:sz w:val="24"/>
          <w:szCs w:val="24"/>
          <w:lang w:val="es-DO"/>
        </w:rPr>
      </w:pPr>
      <w:bookmarkStart w:id="91" w:name="_Toc172118686"/>
      <w:bookmarkStart w:id="92" w:name="_Toc172119839"/>
      <w:bookmarkStart w:id="93" w:name="_Toc172120172"/>
      <w:bookmarkStart w:id="94" w:name="_Toc172121390"/>
      <w:bookmarkStart w:id="95" w:name="_Toc216952223"/>
      <w:r w:rsidRPr="00232EBB">
        <w:rPr>
          <w:rFonts w:cs="Times New Roman"/>
          <w:spacing w:val="0"/>
          <w:sz w:val="24"/>
          <w:szCs w:val="24"/>
          <w:lang w:val="es-DO"/>
        </w:rPr>
        <w:t>Capacitaciones a empleadores</w:t>
      </w:r>
      <w:bookmarkEnd w:id="91"/>
      <w:bookmarkEnd w:id="92"/>
      <w:bookmarkEnd w:id="93"/>
      <w:bookmarkEnd w:id="94"/>
      <w:bookmarkEnd w:id="95"/>
    </w:p>
    <w:p w14:paraId="1E51CA3C" w14:textId="77777777" w:rsidR="00862F3D" w:rsidRPr="00232EBB" w:rsidRDefault="00862F3D" w:rsidP="00232EBB">
      <w:pPr>
        <w:spacing w:line="360" w:lineRule="auto"/>
        <w:jc w:val="both"/>
        <w:rPr>
          <w:rFonts w:eastAsia="Calibri"/>
          <w:noProof/>
          <w:lang w:val="es-DO"/>
        </w:rPr>
      </w:pPr>
      <w:bookmarkStart w:id="96" w:name="_Hlk217032062"/>
      <w:r w:rsidRPr="00232EBB">
        <w:rPr>
          <w:rFonts w:eastAsia="Calibri"/>
          <w:noProof/>
          <w:lang w:val="es-DO"/>
        </w:rPr>
        <w:t xml:space="preserve">Con el objetivo de reducir las brechas en el reporte y pago de aportes a la seguridad social y promover el uso adecuado de nuestras plataformas, desarrollamos más de 80 jornadas de capacitación, impactando a 6,200 representantes, estudiantes universitarios y </w:t>
      </w:r>
      <w:r w:rsidRPr="00232EBB">
        <w:rPr>
          <w:rFonts w:eastAsia="Calibri"/>
          <w:noProof/>
          <w:lang w:val="es-DO"/>
        </w:rPr>
        <w:lastRenderedPageBreak/>
        <w:t>afiliados del SDSS. Estas acciones representaron un total de 24,309 horas/hombre dedicadas a fortalecer sus conocimientos sobre el manejo del Sistema Único de Información y Recaudo (SUIR), la Oficina Virtual TSS, la Plataforma de Servicios en Línea y sus responsabilidades dentro del Sistema Dominicano de Seguridad Social.</w:t>
      </w:r>
    </w:p>
    <w:bookmarkEnd w:id="96"/>
    <w:p w14:paraId="25EF525A" w14:textId="47FF81A9" w:rsidR="00704421" w:rsidRPr="00232EBB" w:rsidRDefault="00862F3D" w:rsidP="00232EBB">
      <w:pPr>
        <w:spacing w:line="360" w:lineRule="auto"/>
        <w:jc w:val="both"/>
        <w:rPr>
          <w:rFonts w:eastAsia="Calibri"/>
          <w:noProof/>
          <w:lang w:val="es-DO"/>
        </w:rPr>
      </w:pPr>
      <w:r w:rsidRPr="00232EBB">
        <w:rPr>
          <w:rFonts w:eastAsia="Calibri"/>
          <w:noProof/>
          <w:lang w:val="es-DO"/>
        </w:rPr>
        <w:t>A pesar del reto que implicó incrementar las horas invertidas en capacitación, logramos superar en un 50% la meta establecida para el año, que era de 16,000 horas/hombre.</w:t>
      </w:r>
      <w:bookmarkEnd w:id="59"/>
    </w:p>
    <w:p w14:paraId="39697D5B" w14:textId="77777777" w:rsidR="003227C2" w:rsidRPr="00232EBB" w:rsidRDefault="003227C2" w:rsidP="00C96522">
      <w:pPr>
        <w:spacing w:after="240" w:line="360" w:lineRule="auto"/>
        <w:rPr>
          <w:b/>
          <w:bCs/>
          <w:lang w:val="es-DO"/>
        </w:rPr>
      </w:pPr>
      <w:bookmarkStart w:id="97" w:name="_Toc153781771"/>
      <w:bookmarkStart w:id="98" w:name="_Toc153782118"/>
      <w:bookmarkStart w:id="99" w:name="_Toc154736698"/>
      <w:r w:rsidRPr="00232EBB">
        <w:rPr>
          <w:b/>
          <w:bCs/>
          <w:lang w:val="es-DO"/>
        </w:rPr>
        <w:t>Disponibilidad del SUIR</w:t>
      </w:r>
      <w:bookmarkEnd w:id="97"/>
      <w:bookmarkEnd w:id="98"/>
      <w:bookmarkEnd w:id="99"/>
    </w:p>
    <w:p w14:paraId="1EFAE2B7" w14:textId="39420808" w:rsidR="003227C2" w:rsidRPr="00232EBB" w:rsidRDefault="003227C2" w:rsidP="00C96522">
      <w:pPr>
        <w:spacing w:after="240" w:line="360" w:lineRule="auto"/>
        <w:jc w:val="both"/>
        <w:rPr>
          <w:lang w:val="es-ES"/>
        </w:rPr>
      </w:pPr>
      <w:r w:rsidRPr="00232EBB">
        <w:rPr>
          <w:lang w:val="es-ES"/>
        </w:rPr>
        <w:t xml:space="preserve">En relación con la disponibilidad de nuestra plataforma principal, el Sistema Único de Información y Recaudo (SUIR), nos complace informar que durante </w:t>
      </w:r>
      <w:r w:rsidR="00395BB6" w:rsidRPr="00232EBB">
        <w:rPr>
          <w:lang w:val="es-ES"/>
        </w:rPr>
        <w:t>al cierre del</w:t>
      </w:r>
      <w:r w:rsidRPr="00232EBB">
        <w:rPr>
          <w:lang w:val="es-ES"/>
        </w:rPr>
        <w:t xml:space="preserve"> 202</w:t>
      </w:r>
      <w:r w:rsidR="007823A3" w:rsidRPr="00232EBB">
        <w:rPr>
          <w:lang w:val="es-ES"/>
        </w:rPr>
        <w:t>5</w:t>
      </w:r>
      <w:r w:rsidRPr="00232EBB">
        <w:rPr>
          <w:lang w:val="es-ES"/>
        </w:rPr>
        <w:t xml:space="preserve">, hemos alcanzado un destacado desempeño del </w:t>
      </w:r>
      <w:r w:rsidR="00C4793A" w:rsidRPr="00232EBB">
        <w:rPr>
          <w:lang w:val="es-ES"/>
        </w:rPr>
        <w:t>98.93</w:t>
      </w:r>
      <w:r w:rsidRPr="00232EBB">
        <w:rPr>
          <w:lang w:val="es-ES"/>
        </w:rPr>
        <w:t>%. Este logro refleja nuestro compromiso con la eficiencia operativa y la calidad del servicio.</w:t>
      </w:r>
    </w:p>
    <w:tbl>
      <w:tblPr>
        <w:tblW w:w="7650" w:type="dxa"/>
        <w:tblInd w:w="85" w:type="dxa"/>
        <w:tblLayout w:type="fixed"/>
        <w:tblLook w:val="04A0" w:firstRow="1" w:lastRow="0" w:firstColumn="1" w:lastColumn="0" w:noHBand="0" w:noVBand="1"/>
      </w:tblPr>
      <w:tblGrid>
        <w:gridCol w:w="3420"/>
        <w:gridCol w:w="1170"/>
        <w:gridCol w:w="3060"/>
      </w:tblGrid>
      <w:tr w:rsidR="003227C2" w:rsidRPr="00232EBB" w14:paraId="455BF064" w14:textId="77777777" w:rsidTr="00A86894">
        <w:trPr>
          <w:trHeight w:val="537"/>
        </w:trPr>
        <w:tc>
          <w:tcPr>
            <w:tcW w:w="342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19D84FC3" w14:textId="4D1C7D25" w:rsidR="003227C2" w:rsidRPr="00232EBB" w:rsidRDefault="003F1875">
            <w:pPr>
              <w:pStyle w:val="xxmsonormal"/>
              <w:jc w:val="center"/>
              <w:rPr>
                <w:rFonts w:ascii="Times New Roman" w:hAnsi="Times New Roman" w:cs="Times New Roman"/>
                <w:b/>
                <w:bCs/>
                <w:color w:val="FFFFFF" w:themeColor="background1"/>
                <w:spacing w:val="20"/>
                <w:sz w:val="24"/>
                <w:szCs w:val="24"/>
                <w:lang w:eastAsia="en-US"/>
              </w:rPr>
            </w:pPr>
            <w:r w:rsidRPr="00232EBB">
              <w:rPr>
                <w:rFonts w:ascii="Times New Roman" w:hAnsi="Times New Roman" w:cs="Times New Roman"/>
                <w:b/>
                <w:bCs/>
                <w:color w:val="FFFFFF" w:themeColor="background1"/>
                <w:spacing w:val="20"/>
                <w:sz w:val="24"/>
                <w:szCs w:val="24"/>
                <w:lang w:eastAsia="en-US"/>
              </w:rPr>
              <w:t>Tiempo de Disponibilidad</w:t>
            </w:r>
          </w:p>
        </w:tc>
        <w:tc>
          <w:tcPr>
            <w:tcW w:w="1170" w:type="dxa"/>
            <w:tcBorders>
              <w:top w:val="single" w:sz="4" w:space="0" w:color="auto"/>
              <w:left w:val="nil"/>
              <w:bottom w:val="single" w:sz="4" w:space="0" w:color="auto"/>
              <w:right w:val="single" w:sz="4" w:space="0" w:color="auto"/>
            </w:tcBorders>
            <w:noWrap/>
            <w:vAlign w:val="center"/>
            <w:hideMark/>
          </w:tcPr>
          <w:p w14:paraId="1A78B80B" w14:textId="2DE6D64E" w:rsidR="003227C2" w:rsidRPr="00232EBB" w:rsidRDefault="003227C2">
            <w:pPr>
              <w:spacing w:after="0" w:line="240" w:lineRule="auto"/>
              <w:jc w:val="center"/>
              <w:rPr>
                <w:rFonts w:eastAsia="Calibri"/>
                <w:lang w:val="es-DO"/>
              </w:rPr>
            </w:pPr>
            <w:r w:rsidRPr="00232EBB">
              <w:rPr>
                <w:rFonts w:eastAsia="Calibri"/>
                <w:lang w:val="es-DO"/>
              </w:rPr>
              <w:t>98.</w:t>
            </w:r>
            <w:r w:rsidR="007823A3" w:rsidRPr="00232EBB">
              <w:rPr>
                <w:rFonts w:eastAsia="Calibri"/>
                <w:lang w:val="es-DO"/>
              </w:rPr>
              <w:t>9</w:t>
            </w:r>
            <w:r w:rsidR="00C4793A" w:rsidRPr="00232EBB">
              <w:rPr>
                <w:rFonts w:eastAsia="Calibri"/>
                <w:lang w:val="es-DO"/>
              </w:rPr>
              <w:t>3</w:t>
            </w:r>
            <w:r w:rsidRPr="00232EBB">
              <w:rPr>
                <w:rFonts w:eastAsia="Calibri"/>
                <w:lang w:val="es-DO"/>
              </w:rPr>
              <w:t>%</w:t>
            </w:r>
          </w:p>
        </w:tc>
        <w:tc>
          <w:tcPr>
            <w:tcW w:w="3060" w:type="dxa"/>
            <w:tcBorders>
              <w:top w:val="single" w:sz="4" w:space="0" w:color="auto"/>
              <w:left w:val="nil"/>
              <w:bottom w:val="single" w:sz="4" w:space="0" w:color="auto"/>
              <w:right w:val="single" w:sz="4" w:space="0" w:color="000000"/>
            </w:tcBorders>
            <w:noWrap/>
            <w:vAlign w:val="center"/>
            <w:hideMark/>
          </w:tcPr>
          <w:p w14:paraId="24394D6C" w14:textId="75ABB93C" w:rsidR="003227C2" w:rsidRPr="00232EBB" w:rsidRDefault="00C4793A" w:rsidP="003F1875">
            <w:pPr>
              <w:spacing w:after="0" w:line="240" w:lineRule="auto"/>
              <w:rPr>
                <w:rFonts w:eastAsia="Calibri"/>
                <w:lang w:val="es-DO"/>
              </w:rPr>
            </w:pPr>
            <w:r w:rsidRPr="00232EBB">
              <w:rPr>
                <w:rFonts w:eastAsia="Calibri"/>
                <w:lang w:val="es-DO"/>
              </w:rPr>
              <w:t>7,929</w:t>
            </w:r>
            <w:r w:rsidR="003227C2" w:rsidRPr="00232EBB">
              <w:rPr>
                <w:rFonts w:eastAsia="Calibri"/>
                <w:lang w:val="es-DO"/>
              </w:rPr>
              <w:t xml:space="preserve"> horas, </w:t>
            </w:r>
            <w:r w:rsidRPr="00232EBB">
              <w:rPr>
                <w:rFonts w:eastAsia="Calibri"/>
                <w:lang w:val="es-DO"/>
              </w:rPr>
              <w:t>55</w:t>
            </w:r>
            <w:r w:rsidR="003227C2" w:rsidRPr="00232EBB">
              <w:rPr>
                <w:rFonts w:eastAsia="Calibri"/>
                <w:lang w:val="es-DO"/>
              </w:rPr>
              <w:t xml:space="preserve"> minutos</w:t>
            </w:r>
          </w:p>
        </w:tc>
      </w:tr>
      <w:tr w:rsidR="003227C2" w:rsidRPr="00232EBB" w14:paraId="3CE3FA13" w14:textId="77777777" w:rsidTr="00A86894">
        <w:trPr>
          <w:trHeight w:val="576"/>
        </w:trPr>
        <w:tc>
          <w:tcPr>
            <w:tcW w:w="342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3220318" w14:textId="01EA17A7" w:rsidR="003227C2" w:rsidRPr="00232EBB" w:rsidRDefault="003F1875">
            <w:pPr>
              <w:pStyle w:val="xxmsonormal"/>
              <w:jc w:val="center"/>
              <w:rPr>
                <w:rFonts w:ascii="Times New Roman" w:hAnsi="Times New Roman" w:cs="Times New Roman"/>
                <w:b/>
                <w:bCs/>
                <w:color w:val="FFFFFF" w:themeColor="background1"/>
                <w:spacing w:val="20"/>
                <w:sz w:val="24"/>
                <w:szCs w:val="24"/>
                <w:lang w:eastAsia="en-US"/>
              </w:rPr>
            </w:pPr>
            <w:r w:rsidRPr="00232EBB">
              <w:rPr>
                <w:rFonts w:ascii="Times New Roman" w:hAnsi="Times New Roman" w:cs="Times New Roman"/>
                <w:b/>
                <w:bCs/>
                <w:color w:val="FFFFFF" w:themeColor="background1"/>
                <w:spacing w:val="20"/>
                <w:sz w:val="24"/>
                <w:szCs w:val="24"/>
                <w:lang w:eastAsia="en-US"/>
              </w:rPr>
              <w:t>Tiempo Fuera de Servicio</w:t>
            </w:r>
          </w:p>
        </w:tc>
        <w:tc>
          <w:tcPr>
            <w:tcW w:w="1170" w:type="dxa"/>
            <w:tcBorders>
              <w:top w:val="single" w:sz="4" w:space="0" w:color="auto"/>
              <w:left w:val="nil"/>
              <w:bottom w:val="single" w:sz="4" w:space="0" w:color="auto"/>
              <w:right w:val="single" w:sz="4" w:space="0" w:color="auto"/>
            </w:tcBorders>
            <w:noWrap/>
            <w:vAlign w:val="center"/>
            <w:hideMark/>
          </w:tcPr>
          <w:p w14:paraId="7ADD9698" w14:textId="2F720D4B" w:rsidR="003227C2" w:rsidRPr="00232EBB" w:rsidRDefault="003227C2">
            <w:pPr>
              <w:spacing w:after="0" w:line="240" w:lineRule="auto"/>
              <w:jc w:val="center"/>
              <w:rPr>
                <w:rFonts w:eastAsia="Calibri"/>
                <w:lang w:val="es-DO"/>
              </w:rPr>
            </w:pPr>
            <w:r w:rsidRPr="00232EBB">
              <w:rPr>
                <w:rFonts w:eastAsia="Calibri"/>
                <w:lang w:val="es-DO"/>
              </w:rPr>
              <w:t>1.</w:t>
            </w:r>
            <w:r w:rsidR="00C4793A" w:rsidRPr="00232EBB">
              <w:rPr>
                <w:rFonts w:eastAsia="Calibri"/>
                <w:lang w:val="es-DO"/>
              </w:rPr>
              <w:t>07</w:t>
            </w:r>
            <w:r w:rsidRPr="00232EBB">
              <w:rPr>
                <w:rFonts w:eastAsia="Calibri"/>
                <w:lang w:val="es-DO"/>
              </w:rPr>
              <w:t>%</w:t>
            </w:r>
          </w:p>
        </w:tc>
        <w:tc>
          <w:tcPr>
            <w:tcW w:w="3060" w:type="dxa"/>
            <w:tcBorders>
              <w:top w:val="single" w:sz="4" w:space="0" w:color="auto"/>
              <w:left w:val="nil"/>
              <w:bottom w:val="single" w:sz="4" w:space="0" w:color="auto"/>
              <w:right w:val="single" w:sz="4" w:space="0" w:color="000000"/>
            </w:tcBorders>
            <w:noWrap/>
            <w:vAlign w:val="center"/>
            <w:hideMark/>
          </w:tcPr>
          <w:p w14:paraId="21E72E32" w14:textId="262B3579" w:rsidR="003227C2" w:rsidRPr="00232EBB" w:rsidRDefault="00C4793A" w:rsidP="003F1875">
            <w:pPr>
              <w:spacing w:after="0" w:line="240" w:lineRule="auto"/>
              <w:rPr>
                <w:rFonts w:eastAsia="Calibri"/>
                <w:lang w:val="es-DO"/>
              </w:rPr>
            </w:pPr>
            <w:r w:rsidRPr="00232EBB">
              <w:rPr>
                <w:rFonts w:eastAsia="Calibri"/>
                <w:lang w:val="es-DO"/>
              </w:rPr>
              <w:t>86</w:t>
            </w:r>
            <w:r w:rsidR="003227C2" w:rsidRPr="00232EBB">
              <w:rPr>
                <w:rFonts w:eastAsia="Calibri"/>
                <w:lang w:val="es-DO"/>
              </w:rPr>
              <w:t xml:space="preserve"> horas, </w:t>
            </w:r>
            <w:r w:rsidRPr="00232EBB">
              <w:rPr>
                <w:rFonts w:eastAsia="Calibri"/>
                <w:lang w:val="es-DO"/>
              </w:rPr>
              <w:t>5</w:t>
            </w:r>
            <w:r w:rsidR="003227C2" w:rsidRPr="00232EBB">
              <w:rPr>
                <w:rFonts w:eastAsia="Calibri"/>
                <w:lang w:val="es-DO"/>
              </w:rPr>
              <w:t xml:space="preserve"> minutos</w:t>
            </w:r>
          </w:p>
        </w:tc>
      </w:tr>
    </w:tbl>
    <w:p w14:paraId="09DBCD5D" w14:textId="69206A6A" w:rsidR="003227C2" w:rsidRPr="00232EBB" w:rsidRDefault="00B6091C" w:rsidP="003227C2">
      <w:pPr>
        <w:rPr>
          <w:rFonts w:eastAsia="Calibri"/>
          <w:sz w:val="18"/>
          <w:szCs w:val="18"/>
          <w:lang w:val="es-DO"/>
        </w:rPr>
      </w:pPr>
      <w:r w:rsidRPr="00232EBB">
        <w:rPr>
          <w:rFonts w:eastAsia="Calibri"/>
          <w:b/>
          <w:bCs/>
          <w:sz w:val="18"/>
          <w:szCs w:val="18"/>
          <w:lang w:val="es-DO"/>
        </w:rPr>
        <w:t xml:space="preserve">  </w:t>
      </w:r>
      <w:r w:rsidR="003227C2" w:rsidRPr="00232EBB">
        <w:rPr>
          <w:rFonts w:eastAsia="Calibri"/>
          <w:b/>
          <w:bCs/>
          <w:sz w:val="18"/>
          <w:szCs w:val="18"/>
          <w:lang w:val="es-DO"/>
        </w:rPr>
        <w:t>Tabla 1</w:t>
      </w:r>
      <w:r w:rsidR="007B5587" w:rsidRPr="00232EBB">
        <w:rPr>
          <w:rFonts w:eastAsia="Calibri"/>
          <w:b/>
          <w:bCs/>
          <w:sz w:val="18"/>
          <w:szCs w:val="18"/>
          <w:lang w:val="es-DO"/>
        </w:rPr>
        <w:t>2</w:t>
      </w:r>
      <w:r w:rsidR="003227C2" w:rsidRPr="00232EBB">
        <w:rPr>
          <w:rFonts w:eastAsia="Calibri"/>
          <w:b/>
          <w:bCs/>
          <w:sz w:val="18"/>
          <w:szCs w:val="18"/>
          <w:lang w:val="es-DO"/>
        </w:rPr>
        <w:t>:</w:t>
      </w:r>
      <w:r w:rsidR="003227C2" w:rsidRPr="00232EBB">
        <w:rPr>
          <w:rFonts w:eastAsia="Calibri"/>
          <w:sz w:val="18"/>
          <w:szCs w:val="18"/>
          <w:lang w:val="es-DO"/>
        </w:rPr>
        <w:t xml:space="preserve"> Porcentaje y tiempo disponible del SUIR 202</w:t>
      </w:r>
      <w:r w:rsidR="007823A3" w:rsidRPr="00232EBB">
        <w:rPr>
          <w:rFonts w:eastAsia="Calibri"/>
          <w:sz w:val="18"/>
          <w:szCs w:val="18"/>
          <w:lang w:val="es-DO"/>
        </w:rPr>
        <w:t>5</w:t>
      </w:r>
      <w:r w:rsidR="003227C2" w:rsidRPr="00232EBB">
        <w:rPr>
          <w:rFonts w:eastAsia="Calibri"/>
          <w:sz w:val="18"/>
          <w:szCs w:val="18"/>
          <w:lang w:val="es-DO"/>
        </w:rPr>
        <w:t>.</w:t>
      </w:r>
    </w:p>
    <w:p w14:paraId="19912A23" w14:textId="77777777" w:rsidR="003F1875" w:rsidRPr="00232EBB" w:rsidRDefault="003F1875" w:rsidP="003227C2">
      <w:pPr>
        <w:rPr>
          <w:rFonts w:eastAsia="Calibri"/>
          <w:sz w:val="18"/>
          <w:szCs w:val="18"/>
          <w:lang w:val="es-DO"/>
        </w:rPr>
      </w:pPr>
    </w:p>
    <w:p w14:paraId="4708CA3A" w14:textId="08AA5863" w:rsidR="007823A3" w:rsidRPr="00232EBB" w:rsidRDefault="00C4793A" w:rsidP="007823A3">
      <w:pPr>
        <w:spacing w:line="360" w:lineRule="auto"/>
        <w:ind w:left="90"/>
        <w:jc w:val="center"/>
        <w:rPr>
          <w:noProof/>
          <w:lang w:val="es-DO"/>
        </w:rPr>
      </w:pPr>
      <w:r w:rsidRPr="00232EBB">
        <w:rPr>
          <w:noProof/>
        </w:rPr>
        <w:drawing>
          <wp:inline distT="0" distB="0" distL="0" distR="0" wp14:anchorId="0A0D7AB3" wp14:editId="7CA5F6A4">
            <wp:extent cx="4815205" cy="1910080"/>
            <wp:effectExtent l="0" t="0" r="4445" b="13970"/>
            <wp:docPr id="280917394" name="Chart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A2AE51C" w14:textId="2D39E4A5" w:rsidR="00B462AE" w:rsidRPr="00232EBB" w:rsidRDefault="003D0040" w:rsidP="003D0040">
      <w:pPr>
        <w:spacing w:line="360" w:lineRule="auto"/>
        <w:ind w:left="90"/>
        <w:rPr>
          <w:lang w:val="es-DO"/>
        </w:rPr>
      </w:pPr>
      <w:r w:rsidRPr="00232EBB">
        <w:rPr>
          <w:b/>
          <w:bCs/>
          <w:sz w:val="18"/>
          <w:szCs w:val="18"/>
          <w:lang w:val="es-DO"/>
        </w:rPr>
        <w:t xml:space="preserve">         </w:t>
      </w:r>
      <w:r w:rsidR="00DB3220" w:rsidRPr="00232EBB">
        <w:rPr>
          <w:b/>
          <w:bCs/>
          <w:sz w:val="18"/>
          <w:szCs w:val="18"/>
          <w:lang w:val="es-DO"/>
        </w:rPr>
        <w:t xml:space="preserve">Gráfico </w:t>
      </w:r>
      <w:r w:rsidR="001E35AC" w:rsidRPr="00232EBB">
        <w:rPr>
          <w:b/>
          <w:bCs/>
          <w:sz w:val="18"/>
          <w:szCs w:val="18"/>
          <w:lang w:val="es-DO"/>
        </w:rPr>
        <w:t>4</w:t>
      </w:r>
      <w:r w:rsidR="00DB3220" w:rsidRPr="00232EBB">
        <w:rPr>
          <w:sz w:val="18"/>
          <w:szCs w:val="18"/>
          <w:lang w:val="es-DO"/>
        </w:rPr>
        <w:t>: Disponibilidad del SUIR</w:t>
      </w:r>
      <w:r w:rsidR="005878DD" w:rsidRPr="00232EBB">
        <w:rPr>
          <w:sz w:val="18"/>
          <w:szCs w:val="18"/>
          <w:lang w:val="es-DO"/>
        </w:rPr>
        <w:t>.</w:t>
      </w:r>
    </w:p>
    <w:p w14:paraId="632DC4BC" w14:textId="77777777" w:rsidR="00840D69" w:rsidRPr="00232EBB" w:rsidRDefault="00840D69" w:rsidP="00FF46AB">
      <w:pPr>
        <w:spacing w:line="360" w:lineRule="auto"/>
        <w:jc w:val="both"/>
        <w:rPr>
          <w:lang w:val="es-DO"/>
        </w:rPr>
        <w:sectPr w:rsidR="00840D69" w:rsidRPr="00232EBB" w:rsidSect="00D51790">
          <w:pgSz w:w="12240" w:h="15840"/>
          <w:pgMar w:top="1440" w:right="2160" w:bottom="1440" w:left="2160" w:header="720" w:footer="720" w:gutter="0"/>
          <w:cols w:space="720"/>
          <w:docGrid w:linePitch="360"/>
        </w:sectPr>
      </w:pPr>
    </w:p>
    <w:p w14:paraId="064D59E5" w14:textId="77777777" w:rsidR="009B7F1B" w:rsidRPr="00232EBB" w:rsidRDefault="009B7F1B" w:rsidP="005878DD">
      <w:pPr>
        <w:spacing w:line="360" w:lineRule="auto"/>
        <w:rPr>
          <w:b/>
          <w:bCs/>
          <w:lang w:val="es-DO"/>
        </w:rPr>
      </w:pPr>
      <w:bookmarkStart w:id="100" w:name="_Toc153781772"/>
      <w:bookmarkStart w:id="101" w:name="_Toc153782119"/>
      <w:bookmarkStart w:id="102" w:name="_Toc154736699"/>
      <w:bookmarkStart w:id="103" w:name="_Toc184981193"/>
      <w:r w:rsidRPr="00232EBB">
        <w:rPr>
          <w:b/>
          <w:bCs/>
          <w:lang w:val="es-DO"/>
        </w:rPr>
        <w:lastRenderedPageBreak/>
        <w:t>Principales Indicadores de los Procesos Misionales:</w:t>
      </w:r>
      <w:bookmarkEnd w:id="100"/>
      <w:bookmarkEnd w:id="101"/>
      <w:bookmarkEnd w:id="102"/>
      <w:bookmarkEnd w:id="103"/>
    </w:p>
    <w:tbl>
      <w:tblPr>
        <w:tblW w:w="12600" w:type="dxa"/>
        <w:tblInd w:w="-280" w:type="dxa"/>
        <w:tblLayout w:type="fixed"/>
        <w:tblLook w:val="04A0" w:firstRow="1" w:lastRow="0" w:firstColumn="1" w:lastColumn="0" w:noHBand="0" w:noVBand="1"/>
      </w:tblPr>
      <w:tblGrid>
        <w:gridCol w:w="1710"/>
        <w:gridCol w:w="1710"/>
        <w:gridCol w:w="4140"/>
        <w:gridCol w:w="5040"/>
      </w:tblGrid>
      <w:tr w:rsidR="009B7F1B" w:rsidRPr="00232EBB" w14:paraId="065A81EF" w14:textId="77777777" w:rsidTr="00916C44">
        <w:trPr>
          <w:trHeight w:val="574"/>
          <w:tblHeader/>
        </w:trPr>
        <w:tc>
          <w:tcPr>
            <w:tcW w:w="1710"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607E62F5" w14:textId="77777777" w:rsidR="009B7F1B" w:rsidRPr="00232EBB" w:rsidRDefault="009B7F1B" w:rsidP="009B7F1B">
            <w:pPr>
              <w:spacing w:after="0" w:line="240" w:lineRule="auto"/>
              <w:jc w:val="center"/>
              <w:rPr>
                <w:rFonts w:eastAsia="Times New Roman"/>
                <w:b/>
                <w:bCs/>
                <w:color w:val="FFFFFF" w:themeColor="background1"/>
                <w:spacing w:val="0"/>
                <w:sz w:val="22"/>
                <w:szCs w:val="22"/>
                <w:lang w:val="es-DO"/>
              </w:rPr>
            </w:pPr>
            <w:r w:rsidRPr="00232EBB">
              <w:rPr>
                <w:rFonts w:eastAsia="Times New Roman"/>
                <w:b/>
                <w:bCs/>
                <w:color w:val="FFFFFF" w:themeColor="background1"/>
                <w:spacing w:val="0"/>
                <w:sz w:val="22"/>
                <w:szCs w:val="22"/>
                <w:lang w:val="es-DO"/>
              </w:rPr>
              <w:t>POLÍTICA PRIORIZADA</w:t>
            </w:r>
          </w:p>
        </w:tc>
        <w:tc>
          <w:tcPr>
            <w:tcW w:w="1710" w:type="dxa"/>
            <w:tcBorders>
              <w:top w:val="single" w:sz="8" w:space="0" w:color="auto"/>
              <w:left w:val="nil"/>
              <w:bottom w:val="single" w:sz="4" w:space="0" w:color="auto"/>
              <w:right w:val="single" w:sz="4" w:space="0" w:color="auto"/>
            </w:tcBorders>
            <w:shd w:val="clear" w:color="000000" w:fill="002060"/>
            <w:vAlign w:val="center"/>
            <w:hideMark/>
          </w:tcPr>
          <w:p w14:paraId="6BA736C1" w14:textId="77777777" w:rsidR="009B7F1B" w:rsidRPr="00232EBB" w:rsidRDefault="009B7F1B" w:rsidP="009B7F1B">
            <w:pPr>
              <w:spacing w:after="0" w:line="240" w:lineRule="auto"/>
              <w:jc w:val="center"/>
              <w:rPr>
                <w:rFonts w:eastAsia="Times New Roman"/>
                <w:b/>
                <w:bCs/>
                <w:color w:val="FFFFFF" w:themeColor="background1"/>
                <w:spacing w:val="0"/>
                <w:sz w:val="22"/>
                <w:szCs w:val="22"/>
                <w:lang w:val="es-DO"/>
              </w:rPr>
            </w:pPr>
            <w:r w:rsidRPr="00232EBB">
              <w:rPr>
                <w:rFonts w:eastAsia="Times New Roman"/>
                <w:b/>
                <w:bCs/>
                <w:color w:val="FFFFFF" w:themeColor="background1"/>
                <w:spacing w:val="0"/>
                <w:sz w:val="22"/>
                <w:szCs w:val="22"/>
                <w:lang w:val="es-DO"/>
              </w:rPr>
              <w:t>RESULTADOS PNPSP</w:t>
            </w:r>
          </w:p>
        </w:tc>
        <w:tc>
          <w:tcPr>
            <w:tcW w:w="4140" w:type="dxa"/>
            <w:tcBorders>
              <w:top w:val="single" w:sz="8" w:space="0" w:color="auto"/>
              <w:left w:val="nil"/>
              <w:bottom w:val="single" w:sz="4" w:space="0" w:color="auto"/>
              <w:right w:val="single" w:sz="4" w:space="0" w:color="auto"/>
            </w:tcBorders>
            <w:shd w:val="clear" w:color="000000" w:fill="002060"/>
            <w:vAlign w:val="center"/>
            <w:hideMark/>
          </w:tcPr>
          <w:p w14:paraId="08EC7D95" w14:textId="77777777" w:rsidR="009B7F1B" w:rsidRPr="00232EBB" w:rsidRDefault="009B7F1B" w:rsidP="009B7F1B">
            <w:pPr>
              <w:spacing w:after="0" w:line="240" w:lineRule="auto"/>
              <w:jc w:val="center"/>
              <w:rPr>
                <w:rFonts w:eastAsia="Times New Roman"/>
                <w:b/>
                <w:bCs/>
                <w:color w:val="FFFFFF" w:themeColor="background1"/>
                <w:spacing w:val="0"/>
                <w:sz w:val="22"/>
                <w:szCs w:val="22"/>
                <w:lang w:val="es-DO"/>
              </w:rPr>
            </w:pPr>
            <w:r w:rsidRPr="00232EBB">
              <w:rPr>
                <w:rFonts w:eastAsia="Times New Roman"/>
                <w:b/>
                <w:bCs/>
                <w:color w:val="FFFFFF" w:themeColor="background1"/>
                <w:spacing w:val="0"/>
                <w:sz w:val="22"/>
                <w:szCs w:val="22"/>
                <w:lang w:val="es-DO"/>
              </w:rPr>
              <w:t>RESULTADOS ESTRATÉGICOS</w:t>
            </w:r>
          </w:p>
        </w:tc>
        <w:tc>
          <w:tcPr>
            <w:tcW w:w="5040" w:type="dxa"/>
            <w:tcBorders>
              <w:top w:val="single" w:sz="8" w:space="0" w:color="auto"/>
              <w:left w:val="nil"/>
              <w:bottom w:val="single" w:sz="4" w:space="0" w:color="auto"/>
              <w:right w:val="single" w:sz="8" w:space="0" w:color="auto"/>
            </w:tcBorders>
            <w:shd w:val="clear" w:color="000000" w:fill="002060"/>
            <w:vAlign w:val="center"/>
            <w:hideMark/>
          </w:tcPr>
          <w:p w14:paraId="739A6D28" w14:textId="77777777" w:rsidR="009B7F1B" w:rsidRPr="00232EBB" w:rsidRDefault="009B7F1B" w:rsidP="009B7F1B">
            <w:pPr>
              <w:spacing w:after="0" w:line="240" w:lineRule="auto"/>
              <w:jc w:val="center"/>
              <w:rPr>
                <w:rFonts w:eastAsia="Times New Roman"/>
                <w:b/>
                <w:bCs/>
                <w:color w:val="FFFFFF" w:themeColor="background1"/>
                <w:spacing w:val="0"/>
                <w:sz w:val="22"/>
                <w:szCs w:val="22"/>
                <w:lang w:val="es-DO"/>
              </w:rPr>
            </w:pPr>
            <w:r w:rsidRPr="00232EBB">
              <w:rPr>
                <w:rFonts w:eastAsia="Times New Roman"/>
                <w:b/>
                <w:bCs/>
                <w:color w:val="FFFFFF" w:themeColor="background1"/>
                <w:spacing w:val="0"/>
                <w:sz w:val="22"/>
                <w:szCs w:val="22"/>
                <w:lang w:val="es-DO"/>
              </w:rPr>
              <w:t>PRODUCTOS Y ACCIONES</w:t>
            </w:r>
          </w:p>
        </w:tc>
      </w:tr>
      <w:tr w:rsidR="009B7F1B" w:rsidRPr="00232EBB" w14:paraId="58327047" w14:textId="77777777" w:rsidTr="00916C44">
        <w:trPr>
          <w:trHeight w:val="1986"/>
        </w:trPr>
        <w:tc>
          <w:tcPr>
            <w:tcW w:w="1710" w:type="dxa"/>
            <w:tcBorders>
              <w:top w:val="nil"/>
              <w:left w:val="single" w:sz="8" w:space="0" w:color="auto"/>
              <w:bottom w:val="single" w:sz="4" w:space="0" w:color="auto"/>
              <w:right w:val="single" w:sz="4" w:space="0" w:color="auto"/>
            </w:tcBorders>
            <w:vAlign w:val="center"/>
            <w:hideMark/>
          </w:tcPr>
          <w:p w14:paraId="59375E9A" w14:textId="77777777" w:rsidR="009B7F1B" w:rsidRPr="00232EBB" w:rsidRDefault="009B7F1B" w:rsidP="009B7F1B">
            <w:pPr>
              <w:spacing w:after="0" w:line="360" w:lineRule="auto"/>
              <w:jc w:val="both"/>
              <w:rPr>
                <w:rFonts w:eastAsia="Calibri"/>
                <w:lang w:val="es-DO"/>
              </w:rPr>
            </w:pPr>
            <w:r w:rsidRPr="00232EBB">
              <w:rPr>
                <w:rFonts w:eastAsia="Calibri"/>
                <w:lang w:val="es-DO"/>
              </w:rPr>
              <w:t>Acceso a salud universal</w:t>
            </w:r>
          </w:p>
        </w:tc>
        <w:tc>
          <w:tcPr>
            <w:tcW w:w="1710" w:type="dxa"/>
            <w:tcBorders>
              <w:top w:val="nil"/>
              <w:left w:val="nil"/>
              <w:bottom w:val="single" w:sz="4" w:space="0" w:color="auto"/>
              <w:right w:val="single" w:sz="4" w:space="0" w:color="auto"/>
            </w:tcBorders>
            <w:vAlign w:val="center"/>
            <w:hideMark/>
          </w:tcPr>
          <w:p w14:paraId="3C351D4D" w14:textId="77777777" w:rsidR="009B7F1B" w:rsidRPr="00232EBB" w:rsidRDefault="009B7F1B" w:rsidP="009B7F1B">
            <w:pPr>
              <w:spacing w:after="0" w:line="360" w:lineRule="auto"/>
              <w:jc w:val="both"/>
              <w:rPr>
                <w:rFonts w:eastAsia="Calibri"/>
                <w:lang w:val="es-DO"/>
              </w:rPr>
            </w:pPr>
            <w:r w:rsidRPr="00232EBB">
              <w:rPr>
                <w:rFonts w:eastAsia="Calibri"/>
                <w:lang w:val="es-DO"/>
              </w:rPr>
              <w:t>Garantizada la cobertura universal de aseguramiento en salud de la población</w:t>
            </w:r>
          </w:p>
        </w:tc>
        <w:tc>
          <w:tcPr>
            <w:tcW w:w="4140" w:type="dxa"/>
            <w:tcBorders>
              <w:top w:val="nil"/>
              <w:left w:val="nil"/>
              <w:bottom w:val="single" w:sz="4" w:space="0" w:color="auto"/>
              <w:right w:val="single" w:sz="4" w:space="0" w:color="auto"/>
            </w:tcBorders>
            <w:vAlign w:val="center"/>
            <w:hideMark/>
          </w:tcPr>
          <w:p w14:paraId="5CB1E744" w14:textId="77777777" w:rsidR="009B7F1B" w:rsidRPr="00232EBB" w:rsidRDefault="009B7F1B" w:rsidP="009B7F1B">
            <w:pPr>
              <w:spacing w:after="0" w:line="360" w:lineRule="auto"/>
              <w:jc w:val="both"/>
              <w:rPr>
                <w:rFonts w:eastAsia="Calibri"/>
                <w:lang w:val="es-DO"/>
              </w:rPr>
            </w:pPr>
            <w:r w:rsidRPr="00232EBB">
              <w:rPr>
                <w:rFonts w:eastAsia="Calibri"/>
                <w:lang w:val="es-DO"/>
              </w:rPr>
              <w:t>Disminuido los índices de evasión y omisión para el fortalecimiento del SDSS tomando acción apalancándonos sobre las alianzas estratégicas interinstitucionales, así como para el fortalecimiento de las estadísticas internas / </w:t>
            </w:r>
            <w:r w:rsidRPr="00232EBB">
              <w:rPr>
                <w:rFonts w:eastAsia="Calibri"/>
                <w:b/>
                <w:bCs/>
                <w:lang w:val="es-DO"/>
              </w:rPr>
              <w:t>Cantidad de auditorías realizadas a empleadores y unidades receptoras de fondos.</w:t>
            </w:r>
          </w:p>
        </w:tc>
        <w:tc>
          <w:tcPr>
            <w:tcW w:w="5040" w:type="dxa"/>
            <w:tcBorders>
              <w:top w:val="nil"/>
              <w:left w:val="nil"/>
              <w:bottom w:val="single" w:sz="4" w:space="0" w:color="auto"/>
              <w:right w:val="single" w:sz="8" w:space="0" w:color="auto"/>
            </w:tcBorders>
            <w:vAlign w:val="center"/>
            <w:hideMark/>
          </w:tcPr>
          <w:p w14:paraId="300202CE" w14:textId="2FE31ECD" w:rsidR="009B7F1B" w:rsidRPr="00232EBB" w:rsidRDefault="009B7F1B" w:rsidP="009B7F1B">
            <w:pPr>
              <w:spacing w:after="0" w:line="360" w:lineRule="auto"/>
              <w:jc w:val="both"/>
              <w:rPr>
                <w:rFonts w:eastAsia="Calibri"/>
                <w:lang w:val="es-DO"/>
              </w:rPr>
            </w:pPr>
            <w:r w:rsidRPr="00232EBB">
              <w:rPr>
                <w:rFonts w:eastAsia="Calibri"/>
                <w:lang w:val="es-DO"/>
              </w:rPr>
              <w:t xml:space="preserve">Se realizaron </w:t>
            </w:r>
            <w:r w:rsidR="00D534E9" w:rsidRPr="00232EBB">
              <w:rPr>
                <w:rFonts w:eastAsia="Calibri"/>
                <w:lang w:val="es-DO"/>
              </w:rPr>
              <w:t>7,468</w:t>
            </w:r>
            <w:r w:rsidRPr="00232EBB">
              <w:rPr>
                <w:rFonts w:eastAsia="Calibri"/>
                <w:lang w:val="es-DO"/>
              </w:rPr>
              <w:t xml:space="preserve"> </w:t>
            </w:r>
            <w:r w:rsidR="00560EE6" w:rsidRPr="00232EBB">
              <w:rPr>
                <w:rFonts w:eastAsia="Calibri"/>
                <w:lang w:val="es-DO"/>
              </w:rPr>
              <w:t xml:space="preserve">casos de </w:t>
            </w:r>
            <w:r w:rsidR="00BC081A" w:rsidRPr="00232EBB">
              <w:rPr>
                <w:rFonts w:eastAsia="Calibri"/>
                <w:lang w:val="es-DO"/>
              </w:rPr>
              <w:t>fiscalización</w:t>
            </w:r>
            <w:r w:rsidRPr="00232EBB">
              <w:rPr>
                <w:rFonts w:eastAsia="Calibri"/>
                <w:lang w:val="es-DO"/>
              </w:rPr>
              <w:t xml:space="preserve"> durante año 202</w:t>
            </w:r>
            <w:r w:rsidR="00D534E9" w:rsidRPr="00232EBB">
              <w:rPr>
                <w:rFonts w:eastAsia="Calibri"/>
                <w:lang w:val="es-DO"/>
              </w:rPr>
              <w:t>5</w:t>
            </w:r>
            <w:r w:rsidRPr="00232EBB">
              <w:rPr>
                <w:rFonts w:eastAsia="Calibri"/>
                <w:lang w:val="es-DO"/>
              </w:rPr>
              <w:t>.</w:t>
            </w:r>
            <w:r w:rsidRPr="00232EBB">
              <w:rPr>
                <w:rFonts w:eastAsia="Calibri"/>
                <w:lang w:val="es-DO"/>
              </w:rPr>
              <w:br/>
              <w:t xml:space="preserve">Se han generado facturación de Notificación de Pagos por Auditorías por RD$ </w:t>
            </w:r>
            <w:r w:rsidR="00D534E9" w:rsidRPr="00232EBB">
              <w:rPr>
                <w:rFonts w:eastAsia="Calibri"/>
                <w:lang w:val="es-DO"/>
              </w:rPr>
              <w:t>56.5</w:t>
            </w:r>
            <w:r w:rsidRPr="00232EBB">
              <w:rPr>
                <w:rFonts w:eastAsia="Calibri"/>
                <w:lang w:val="es-DO"/>
              </w:rPr>
              <w:t xml:space="preserve"> MM, a favor del SDSS.</w:t>
            </w:r>
            <w:r w:rsidRPr="00232EBB">
              <w:rPr>
                <w:rFonts w:eastAsia="Calibri"/>
                <w:lang w:val="es-DO"/>
              </w:rPr>
              <w:br/>
            </w:r>
            <w:r w:rsidR="00D534E9" w:rsidRPr="00232EBB">
              <w:rPr>
                <w:rFonts w:eastAsia="Calibri"/>
                <w:lang w:val="es-DO"/>
              </w:rPr>
              <w:t>37.25</w:t>
            </w:r>
            <w:r w:rsidRPr="00232EBB">
              <w:rPr>
                <w:rFonts w:eastAsia="Calibri"/>
                <w:lang w:val="es-DO"/>
              </w:rPr>
              <w:t>%</w:t>
            </w:r>
            <w:r w:rsidR="00560EE6" w:rsidRPr="00232EBB">
              <w:rPr>
                <w:rFonts w:eastAsia="Calibri"/>
                <w:lang w:val="es-DO"/>
              </w:rPr>
              <w:t xml:space="preserve"> encontrándose</w:t>
            </w:r>
            <w:r w:rsidR="002053DE" w:rsidRPr="00232EBB">
              <w:rPr>
                <w:rFonts w:eastAsia="Calibri"/>
                <w:lang w:val="es-DO"/>
              </w:rPr>
              <w:t xml:space="preserve"> paga</w:t>
            </w:r>
            <w:r w:rsidR="00560EE6" w:rsidRPr="00232EBB">
              <w:rPr>
                <w:rFonts w:eastAsia="Calibri"/>
                <w:lang w:val="es-DO"/>
              </w:rPr>
              <w:t>das</w:t>
            </w:r>
            <w:r w:rsidR="002053DE" w:rsidRPr="00232EBB">
              <w:rPr>
                <w:rFonts w:eastAsia="Calibri"/>
                <w:lang w:val="es-DO"/>
              </w:rPr>
              <w:t xml:space="preserve"> y el </w:t>
            </w:r>
            <w:r w:rsidR="00D534E9" w:rsidRPr="00232EBB">
              <w:rPr>
                <w:rFonts w:eastAsia="Calibri"/>
                <w:lang w:val="es-DO"/>
              </w:rPr>
              <w:t>62.75</w:t>
            </w:r>
            <w:r w:rsidR="002053DE" w:rsidRPr="00232EBB">
              <w:rPr>
                <w:rFonts w:eastAsia="Calibri"/>
                <w:lang w:val="es-DO"/>
              </w:rPr>
              <w:t xml:space="preserve">% en </w:t>
            </w:r>
            <w:r w:rsidR="00035F71" w:rsidRPr="00232EBB">
              <w:rPr>
                <w:rFonts w:eastAsia="Calibri"/>
                <w:lang w:val="es-DO"/>
              </w:rPr>
              <w:t>estatus</w:t>
            </w:r>
            <w:r w:rsidR="002053DE" w:rsidRPr="00232EBB">
              <w:rPr>
                <w:rFonts w:eastAsia="Calibri"/>
                <w:lang w:val="es-DO"/>
              </w:rPr>
              <w:t xml:space="preserve"> vencido.</w:t>
            </w:r>
          </w:p>
        </w:tc>
      </w:tr>
      <w:tr w:rsidR="009B7F1B" w:rsidRPr="00232EBB" w14:paraId="51071ACC" w14:textId="77777777" w:rsidTr="00916C44">
        <w:trPr>
          <w:trHeight w:val="566"/>
        </w:trPr>
        <w:tc>
          <w:tcPr>
            <w:tcW w:w="1710" w:type="dxa"/>
            <w:tcBorders>
              <w:top w:val="nil"/>
              <w:left w:val="single" w:sz="8" w:space="0" w:color="auto"/>
              <w:bottom w:val="single" w:sz="4" w:space="0" w:color="auto"/>
              <w:right w:val="single" w:sz="4" w:space="0" w:color="auto"/>
            </w:tcBorders>
            <w:vAlign w:val="center"/>
            <w:hideMark/>
          </w:tcPr>
          <w:p w14:paraId="220A2CA9" w14:textId="77777777" w:rsidR="009B7F1B" w:rsidRPr="00232EBB" w:rsidRDefault="009B7F1B" w:rsidP="009B7F1B">
            <w:pPr>
              <w:spacing w:after="0" w:line="360" w:lineRule="auto"/>
              <w:jc w:val="both"/>
              <w:rPr>
                <w:rFonts w:eastAsia="Calibri"/>
                <w:lang w:val="es-DO"/>
              </w:rPr>
            </w:pPr>
            <w:r w:rsidRPr="00232EBB">
              <w:rPr>
                <w:rFonts w:eastAsia="Calibri"/>
                <w:lang w:val="es-DO"/>
              </w:rPr>
              <w:t>Acceso a salud universal</w:t>
            </w:r>
          </w:p>
        </w:tc>
        <w:tc>
          <w:tcPr>
            <w:tcW w:w="1710" w:type="dxa"/>
            <w:tcBorders>
              <w:top w:val="nil"/>
              <w:left w:val="nil"/>
              <w:bottom w:val="single" w:sz="4" w:space="0" w:color="auto"/>
              <w:right w:val="single" w:sz="4" w:space="0" w:color="auto"/>
            </w:tcBorders>
            <w:vAlign w:val="center"/>
            <w:hideMark/>
          </w:tcPr>
          <w:p w14:paraId="7B601334" w14:textId="77777777" w:rsidR="009B7F1B" w:rsidRPr="00232EBB" w:rsidRDefault="009B7F1B" w:rsidP="009B7F1B">
            <w:pPr>
              <w:spacing w:after="0" w:line="360" w:lineRule="auto"/>
              <w:jc w:val="both"/>
              <w:rPr>
                <w:rFonts w:eastAsia="Calibri"/>
                <w:lang w:val="es-DO"/>
              </w:rPr>
            </w:pPr>
            <w:r w:rsidRPr="00232EBB">
              <w:rPr>
                <w:rFonts w:eastAsia="Calibri"/>
                <w:lang w:val="es-DO"/>
              </w:rPr>
              <w:t>Garantizada la cobertura universal de aseguramiento en salud de la población</w:t>
            </w:r>
          </w:p>
        </w:tc>
        <w:tc>
          <w:tcPr>
            <w:tcW w:w="4140" w:type="dxa"/>
            <w:tcBorders>
              <w:top w:val="nil"/>
              <w:left w:val="nil"/>
              <w:bottom w:val="single" w:sz="4" w:space="0" w:color="auto"/>
              <w:right w:val="single" w:sz="4" w:space="0" w:color="auto"/>
            </w:tcBorders>
            <w:vAlign w:val="center"/>
            <w:hideMark/>
          </w:tcPr>
          <w:p w14:paraId="2FCD9A7E" w14:textId="77777777" w:rsidR="009B7F1B" w:rsidRPr="00232EBB" w:rsidRDefault="009B7F1B" w:rsidP="009B7F1B">
            <w:pPr>
              <w:spacing w:after="0" w:line="360" w:lineRule="auto"/>
              <w:jc w:val="both"/>
              <w:rPr>
                <w:rFonts w:eastAsia="Calibri"/>
                <w:lang w:val="es-DO"/>
              </w:rPr>
            </w:pPr>
            <w:r w:rsidRPr="00232EBB">
              <w:rPr>
                <w:rFonts w:eastAsia="Calibri"/>
                <w:lang w:val="es-DO"/>
              </w:rPr>
              <w:t xml:space="preserve">Mayor efectividad en la ejecución del procedimiento de cobros y aplicación de multas para someter infractores </w:t>
            </w:r>
            <w:r w:rsidRPr="00232EBB">
              <w:rPr>
                <w:rFonts w:eastAsia="Calibri"/>
                <w:b/>
                <w:bCs/>
                <w:lang w:val="es-DO"/>
              </w:rPr>
              <w:t>/ Índice de Recaudo.</w:t>
            </w:r>
          </w:p>
        </w:tc>
        <w:tc>
          <w:tcPr>
            <w:tcW w:w="5040" w:type="dxa"/>
            <w:tcBorders>
              <w:top w:val="nil"/>
              <w:left w:val="nil"/>
              <w:bottom w:val="single" w:sz="4" w:space="0" w:color="auto"/>
              <w:right w:val="single" w:sz="8" w:space="0" w:color="auto"/>
            </w:tcBorders>
            <w:vAlign w:val="center"/>
            <w:hideMark/>
          </w:tcPr>
          <w:p w14:paraId="5335C659" w14:textId="392D31B5" w:rsidR="009B7F1B" w:rsidRPr="00232EBB" w:rsidRDefault="002D0A83" w:rsidP="009759FB">
            <w:pPr>
              <w:spacing w:line="276" w:lineRule="auto"/>
              <w:jc w:val="both"/>
              <w:rPr>
                <w:rFonts w:eastAsia="Calibri"/>
                <w:lang w:val="es-DO"/>
              </w:rPr>
            </w:pPr>
            <w:r w:rsidRPr="00232EBB">
              <w:rPr>
                <w:rFonts w:eastAsia="Calibri"/>
                <w:lang w:val="es-DO"/>
              </w:rPr>
              <w:t xml:space="preserve">Al cierre </w:t>
            </w:r>
            <w:r w:rsidR="00C91B9A" w:rsidRPr="00232EBB">
              <w:rPr>
                <w:rFonts w:eastAsia="Calibri"/>
                <w:lang w:val="es-DO"/>
              </w:rPr>
              <w:t>del 2025</w:t>
            </w:r>
            <w:r w:rsidRPr="00232EBB">
              <w:rPr>
                <w:rFonts w:eastAsia="Calibri"/>
                <w:lang w:val="es-DO"/>
              </w:rPr>
              <w:t xml:space="preserve"> </w:t>
            </w:r>
            <w:r w:rsidR="009F3349" w:rsidRPr="00232EBB">
              <w:rPr>
                <w:rFonts w:eastAsia="Calibri"/>
                <w:lang w:val="es-DO"/>
              </w:rPr>
              <w:t xml:space="preserve">los montos recuperados en la gestión de cobranzas ascendieron a un total de Treinta y Cuatro Mil Cuatrocientos Sesenta y Cuatro Millones Ochocientos Diez Mil Ciento Treinta y Dos </w:t>
            </w:r>
            <w:r w:rsidR="00F85E14" w:rsidRPr="00232EBB">
              <w:rPr>
                <w:rFonts w:eastAsia="Calibri"/>
                <w:lang w:val="es-DO"/>
              </w:rPr>
              <w:t>pesos dominicanos</w:t>
            </w:r>
            <w:r w:rsidR="009F3349" w:rsidRPr="00232EBB">
              <w:rPr>
                <w:rFonts w:eastAsia="Calibri"/>
                <w:lang w:val="es-DO"/>
              </w:rPr>
              <w:t xml:space="preserve"> con 00/100 (RD$34,464,810,132.00), con un total de 488,350 notificaciones en atraso pagadas.</w:t>
            </w:r>
          </w:p>
        </w:tc>
      </w:tr>
      <w:tr w:rsidR="009B7F1B" w:rsidRPr="00232EBB" w14:paraId="0F0970F4" w14:textId="77777777" w:rsidTr="00916C44">
        <w:trPr>
          <w:trHeight w:val="2987"/>
        </w:trPr>
        <w:tc>
          <w:tcPr>
            <w:tcW w:w="1710" w:type="dxa"/>
            <w:tcBorders>
              <w:top w:val="nil"/>
              <w:left w:val="single" w:sz="8" w:space="0" w:color="auto"/>
              <w:bottom w:val="single" w:sz="4" w:space="0" w:color="auto"/>
              <w:right w:val="single" w:sz="4" w:space="0" w:color="auto"/>
            </w:tcBorders>
            <w:vAlign w:val="center"/>
          </w:tcPr>
          <w:p w14:paraId="189BF57B" w14:textId="77777777" w:rsidR="009B7F1B" w:rsidRPr="00232EBB" w:rsidRDefault="009B7F1B" w:rsidP="009B7F1B">
            <w:pPr>
              <w:spacing w:after="0" w:line="360" w:lineRule="auto"/>
              <w:jc w:val="both"/>
              <w:rPr>
                <w:rFonts w:eastAsia="Calibri"/>
                <w:lang w:val="es-DO"/>
              </w:rPr>
            </w:pPr>
            <w:r w:rsidRPr="00232EBB">
              <w:rPr>
                <w:rFonts w:eastAsia="Calibri"/>
                <w:lang w:val="es-DO"/>
              </w:rPr>
              <w:lastRenderedPageBreak/>
              <w:t>Hacia un Estado Moderno e Institucional</w:t>
            </w:r>
          </w:p>
        </w:tc>
        <w:tc>
          <w:tcPr>
            <w:tcW w:w="1710" w:type="dxa"/>
            <w:tcBorders>
              <w:top w:val="nil"/>
              <w:left w:val="nil"/>
              <w:bottom w:val="single" w:sz="4" w:space="0" w:color="auto"/>
              <w:right w:val="single" w:sz="4" w:space="0" w:color="auto"/>
            </w:tcBorders>
            <w:vAlign w:val="center"/>
          </w:tcPr>
          <w:p w14:paraId="32251C58" w14:textId="77777777" w:rsidR="009B7F1B" w:rsidRPr="00232EBB" w:rsidRDefault="009B7F1B" w:rsidP="009B7F1B">
            <w:pPr>
              <w:spacing w:after="0" w:line="360" w:lineRule="auto"/>
              <w:jc w:val="both"/>
              <w:rPr>
                <w:rFonts w:eastAsia="Calibri"/>
                <w:lang w:val="es-DO"/>
              </w:rPr>
            </w:pPr>
            <w:r w:rsidRPr="00232EBB">
              <w:rPr>
                <w:rFonts w:eastAsia="Calibri"/>
                <w:lang w:val="es-DO"/>
              </w:rPr>
              <w:t>Mejorada la calidad de los servicios públicos</w:t>
            </w:r>
          </w:p>
        </w:tc>
        <w:tc>
          <w:tcPr>
            <w:tcW w:w="4140" w:type="dxa"/>
            <w:tcBorders>
              <w:top w:val="nil"/>
              <w:left w:val="nil"/>
              <w:bottom w:val="single" w:sz="4" w:space="0" w:color="auto"/>
              <w:right w:val="single" w:sz="4" w:space="0" w:color="auto"/>
            </w:tcBorders>
            <w:vAlign w:val="center"/>
          </w:tcPr>
          <w:p w14:paraId="54BD1956" w14:textId="77777777" w:rsidR="009B7F1B" w:rsidRPr="00232EBB" w:rsidRDefault="009B7F1B" w:rsidP="009B7F1B">
            <w:pPr>
              <w:spacing w:after="0" w:line="360" w:lineRule="auto"/>
              <w:jc w:val="both"/>
              <w:rPr>
                <w:rFonts w:eastAsia="Calibri"/>
                <w:lang w:val="es-DO"/>
              </w:rPr>
            </w:pPr>
            <w:r w:rsidRPr="00232EBB">
              <w:rPr>
                <w:rFonts w:eastAsia="Calibri"/>
                <w:lang w:val="es-DO"/>
              </w:rPr>
              <w:t xml:space="preserve">Garantizado el acceso y disponibilidad de la información hacia los empleadores mediante la ampliación y mejora de los servicios a través de herramientas tecnológicas innovadoras / </w:t>
            </w:r>
            <w:r w:rsidRPr="00232EBB">
              <w:rPr>
                <w:rFonts w:eastAsia="Calibri"/>
                <w:b/>
                <w:bCs/>
                <w:lang w:val="es-DO"/>
              </w:rPr>
              <w:t>Índice de Satisfacción del Usuario</w:t>
            </w:r>
          </w:p>
        </w:tc>
        <w:tc>
          <w:tcPr>
            <w:tcW w:w="5040" w:type="dxa"/>
            <w:tcBorders>
              <w:top w:val="nil"/>
              <w:left w:val="nil"/>
              <w:bottom w:val="single" w:sz="4" w:space="0" w:color="auto"/>
              <w:right w:val="single" w:sz="8" w:space="0" w:color="auto"/>
            </w:tcBorders>
            <w:vAlign w:val="center"/>
          </w:tcPr>
          <w:p w14:paraId="7581C903" w14:textId="3508CA41" w:rsidR="009B7F1B" w:rsidRPr="00232EBB" w:rsidRDefault="009B7F1B" w:rsidP="009B7F1B">
            <w:pPr>
              <w:spacing w:after="0" w:line="360" w:lineRule="auto"/>
              <w:rPr>
                <w:rFonts w:eastAsia="Calibri"/>
                <w:lang w:val="es-DO"/>
              </w:rPr>
            </w:pPr>
            <w:r w:rsidRPr="00232EBB">
              <w:rPr>
                <w:rFonts w:eastAsia="Calibri"/>
                <w:lang w:val="es-DO"/>
              </w:rPr>
              <w:t>9</w:t>
            </w:r>
            <w:r w:rsidR="00325F40" w:rsidRPr="00232EBB">
              <w:rPr>
                <w:rFonts w:eastAsia="Calibri"/>
                <w:lang w:val="es-DO"/>
              </w:rPr>
              <w:t>3</w:t>
            </w:r>
            <w:r w:rsidRPr="00232EBB">
              <w:rPr>
                <w:rFonts w:eastAsia="Calibri"/>
                <w:lang w:val="es-DO"/>
              </w:rPr>
              <w:t>% (meta)</w:t>
            </w:r>
            <w:r w:rsidRPr="00232EBB">
              <w:rPr>
                <w:rFonts w:eastAsia="Calibri"/>
                <w:lang w:val="es-DO"/>
              </w:rPr>
              <w:br/>
              <w:t>9</w:t>
            </w:r>
            <w:r w:rsidR="00325F40" w:rsidRPr="00232EBB">
              <w:rPr>
                <w:rFonts w:eastAsia="Calibri"/>
                <w:lang w:val="es-DO"/>
              </w:rPr>
              <w:t>3</w:t>
            </w:r>
            <w:r w:rsidRPr="00232EBB">
              <w:rPr>
                <w:rFonts w:eastAsia="Calibri"/>
                <w:lang w:val="es-DO"/>
              </w:rPr>
              <w:t>% (cumplimiento)</w:t>
            </w:r>
          </w:p>
        </w:tc>
      </w:tr>
      <w:tr w:rsidR="009B7F1B" w:rsidRPr="00232EBB" w14:paraId="5AECA0FA" w14:textId="77777777" w:rsidTr="00916C44">
        <w:trPr>
          <w:trHeight w:val="4787"/>
        </w:trPr>
        <w:tc>
          <w:tcPr>
            <w:tcW w:w="1710" w:type="dxa"/>
            <w:tcBorders>
              <w:top w:val="nil"/>
              <w:left w:val="single" w:sz="8" w:space="0" w:color="auto"/>
              <w:bottom w:val="single" w:sz="4" w:space="0" w:color="auto"/>
              <w:right w:val="single" w:sz="4" w:space="0" w:color="auto"/>
            </w:tcBorders>
            <w:vAlign w:val="center"/>
          </w:tcPr>
          <w:p w14:paraId="783EF3AA" w14:textId="77777777" w:rsidR="009B7F1B" w:rsidRPr="00232EBB" w:rsidRDefault="009B7F1B" w:rsidP="009B7F1B">
            <w:pPr>
              <w:spacing w:after="0" w:line="360" w:lineRule="auto"/>
              <w:jc w:val="both"/>
              <w:rPr>
                <w:rFonts w:eastAsia="Calibri"/>
                <w:lang w:val="es-DO"/>
              </w:rPr>
            </w:pPr>
            <w:r w:rsidRPr="00232EBB">
              <w:rPr>
                <w:rFonts w:eastAsia="Calibri"/>
                <w:lang w:val="es-DO"/>
              </w:rPr>
              <w:t>Acceso a salud universal</w:t>
            </w:r>
          </w:p>
        </w:tc>
        <w:tc>
          <w:tcPr>
            <w:tcW w:w="1710" w:type="dxa"/>
            <w:tcBorders>
              <w:top w:val="nil"/>
              <w:left w:val="nil"/>
              <w:bottom w:val="single" w:sz="4" w:space="0" w:color="auto"/>
              <w:right w:val="single" w:sz="4" w:space="0" w:color="auto"/>
            </w:tcBorders>
            <w:vAlign w:val="center"/>
          </w:tcPr>
          <w:p w14:paraId="2216B559" w14:textId="77777777" w:rsidR="009B7F1B" w:rsidRPr="00232EBB" w:rsidRDefault="009B7F1B" w:rsidP="009B7F1B">
            <w:pPr>
              <w:spacing w:after="0" w:line="360" w:lineRule="auto"/>
              <w:jc w:val="both"/>
              <w:rPr>
                <w:rFonts w:eastAsia="Calibri"/>
                <w:lang w:val="es-DO"/>
              </w:rPr>
            </w:pPr>
            <w:r w:rsidRPr="00232EBB">
              <w:rPr>
                <w:rFonts w:eastAsia="Calibri"/>
                <w:lang w:val="es-DO"/>
              </w:rPr>
              <w:t>Garantizada la cobertura universal de aseguramiento en salud de la población</w:t>
            </w:r>
          </w:p>
        </w:tc>
        <w:tc>
          <w:tcPr>
            <w:tcW w:w="4140" w:type="dxa"/>
            <w:tcBorders>
              <w:top w:val="nil"/>
              <w:left w:val="nil"/>
              <w:bottom w:val="single" w:sz="4" w:space="0" w:color="auto"/>
              <w:right w:val="single" w:sz="4" w:space="0" w:color="auto"/>
            </w:tcBorders>
            <w:vAlign w:val="center"/>
          </w:tcPr>
          <w:p w14:paraId="5C37E315" w14:textId="77777777" w:rsidR="009B7F1B" w:rsidRPr="00232EBB" w:rsidRDefault="009B7F1B" w:rsidP="009B7F1B">
            <w:pPr>
              <w:spacing w:after="0" w:line="360" w:lineRule="auto"/>
              <w:jc w:val="both"/>
              <w:rPr>
                <w:rFonts w:eastAsia="Calibri"/>
                <w:lang w:val="es-DO"/>
              </w:rPr>
            </w:pPr>
            <w:r w:rsidRPr="00232EBB">
              <w:rPr>
                <w:rFonts w:eastAsia="Calibri"/>
                <w:lang w:val="es-DO"/>
              </w:rPr>
              <w:t>Mayor efectividad en la ejecución del procedimiento de cobros y aplicación de multas para someter infractores /</w:t>
            </w:r>
            <w:r w:rsidRPr="00232EBB">
              <w:rPr>
                <w:rFonts w:eastAsia="Calibri"/>
                <w:b/>
                <w:bCs/>
                <w:lang w:val="es-DO"/>
              </w:rPr>
              <w:t> Disminuir el Índice de Morosidad</w:t>
            </w:r>
          </w:p>
        </w:tc>
        <w:tc>
          <w:tcPr>
            <w:tcW w:w="5040" w:type="dxa"/>
            <w:tcBorders>
              <w:top w:val="nil"/>
              <w:left w:val="nil"/>
              <w:bottom w:val="single" w:sz="4" w:space="0" w:color="auto"/>
              <w:right w:val="single" w:sz="8" w:space="0" w:color="auto"/>
            </w:tcBorders>
            <w:vAlign w:val="center"/>
          </w:tcPr>
          <w:p w14:paraId="670F8EF8" w14:textId="248EA71A" w:rsidR="009B7F1B" w:rsidRPr="00232EBB" w:rsidRDefault="009B7F1B" w:rsidP="009B7F1B">
            <w:pPr>
              <w:spacing w:after="0" w:line="360" w:lineRule="auto"/>
              <w:jc w:val="both"/>
              <w:rPr>
                <w:rFonts w:eastAsia="Calibri"/>
                <w:lang w:val="es-DO"/>
              </w:rPr>
            </w:pPr>
            <w:r w:rsidRPr="00232EBB">
              <w:rPr>
                <w:rFonts w:eastAsia="Calibri"/>
                <w:lang w:val="es-DO"/>
              </w:rPr>
              <w:t>24%(meta)</w:t>
            </w:r>
            <w:r w:rsidRPr="00232EBB">
              <w:rPr>
                <w:rFonts w:eastAsia="Calibri"/>
                <w:lang w:val="es-DO"/>
              </w:rPr>
              <w:br/>
              <w:t xml:space="preserve">1-Al </w:t>
            </w:r>
            <w:r w:rsidR="003B2C0F" w:rsidRPr="00232EBB">
              <w:rPr>
                <w:rFonts w:eastAsia="Calibri"/>
                <w:lang w:val="es-DO"/>
              </w:rPr>
              <w:t>mes de diciembre</w:t>
            </w:r>
            <w:r w:rsidRPr="00232EBB">
              <w:rPr>
                <w:rFonts w:eastAsia="Calibri"/>
                <w:lang w:val="es-DO"/>
              </w:rPr>
              <w:t xml:space="preserve"> del año se depositaron </w:t>
            </w:r>
            <w:r w:rsidR="003B2C0F" w:rsidRPr="00232EBB">
              <w:rPr>
                <w:rFonts w:eastAsia="Calibri"/>
                <w:lang w:val="es-DO"/>
              </w:rPr>
              <w:t>483</w:t>
            </w:r>
            <w:r w:rsidR="00D92020" w:rsidRPr="00232EBB">
              <w:rPr>
                <w:rFonts w:eastAsia="Calibri"/>
                <w:lang w:val="es-DO"/>
              </w:rPr>
              <w:t xml:space="preserve"> </w:t>
            </w:r>
            <w:r w:rsidR="003B2C0F" w:rsidRPr="00232EBB">
              <w:rPr>
                <w:rFonts w:eastAsia="Calibri"/>
                <w:lang w:val="es-DO"/>
              </w:rPr>
              <w:t xml:space="preserve">intimaciones de pago a empleadores morosos en el Gran Santo Domingo y las provincias San Cristóbal, Santiago, San Pedro de Macorís, La Romana y La Altagracia. Como resultado de estas acciones, se ha logrado recuperar alrededor de Treinta y Seis Millones Trescientos Veinticinco Mil Quinientos Cuarenta y Siete </w:t>
            </w:r>
            <w:r w:rsidR="003D126C" w:rsidRPr="00232EBB">
              <w:rPr>
                <w:rFonts w:eastAsia="Calibri"/>
                <w:lang w:val="es-DO"/>
              </w:rPr>
              <w:t>pesos dominicanos</w:t>
            </w:r>
            <w:r w:rsidR="003B2C0F" w:rsidRPr="00232EBB">
              <w:rPr>
                <w:rFonts w:eastAsia="Calibri"/>
                <w:lang w:val="es-DO"/>
              </w:rPr>
              <w:t xml:space="preserve"> con 67/100 (RD$36,325,547.67)</w:t>
            </w:r>
            <w:r w:rsidR="0053054F" w:rsidRPr="00232EBB">
              <w:rPr>
                <w:rFonts w:eastAsia="Calibri"/>
                <w:lang w:val="es-DO"/>
              </w:rPr>
              <w:t>.</w:t>
            </w:r>
          </w:p>
        </w:tc>
      </w:tr>
    </w:tbl>
    <w:p w14:paraId="4E73D4B7" w14:textId="4B971AEB" w:rsidR="009B7F1B" w:rsidRPr="00232EBB" w:rsidRDefault="00DB3220" w:rsidP="009B7F1B">
      <w:pPr>
        <w:ind w:left="-720"/>
        <w:rPr>
          <w:b/>
          <w:color w:val="auto"/>
          <w:spacing w:val="0"/>
          <w:sz w:val="22"/>
          <w:szCs w:val="22"/>
          <w:lang w:val="es-DO"/>
        </w:rPr>
        <w:sectPr w:rsidR="009B7F1B" w:rsidRPr="00232EBB" w:rsidSect="0024725E">
          <w:footerReference w:type="default" r:id="rId25"/>
          <w:pgSz w:w="15840" w:h="12240" w:orient="landscape"/>
          <w:pgMar w:top="1440" w:right="2160" w:bottom="1440" w:left="2160" w:header="720" w:footer="720" w:gutter="0"/>
          <w:cols w:space="720"/>
          <w:docGrid w:linePitch="360"/>
        </w:sectPr>
      </w:pPr>
      <w:r w:rsidRPr="00232EBB">
        <w:rPr>
          <w:rFonts w:eastAsia="Calibri"/>
          <w:b/>
          <w:bCs/>
          <w:sz w:val="18"/>
          <w:szCs w:val="18"/>
          <w:lang w:val="es-DO"/>
        </w:rPr>
        <w:t xml:space="preserve">          </w:t>
      </w:r>
      <w:r w:rsidR="009B7F1B" w:rsidRPr="00232EBB">
        <w:rPr>
          <w:rFonts w:eastAsia="Calibri"/>
          <w:b/>
          <w:bCs/>
          <w:sz w:val="18"/>
          <w:szCs w:val="18"/>
          <w:lang w:val="es-DO"/>
        </w:rPr>
        <w:t>Tabla</w:t>
      </w:r>
      <w:r w:rsidR="009B7F1B" w:rsidRPr="00232EBB">
        <w:rPr>
          <w:color w:val="auto"/>
          <w:spacing w:val="0"/>
          <w:sz w:val="22"/>
          <w:szCs w:val="22"/>
          <w:lang w:val="es-DO"/>
        </w:rPr>
        <w:t xml:space="preserve"> </w:t>
      </w:r>
      <w:r w:rsidR="009B7F1B" w:rsidRPr="00232EBB">
        <w:rPr>
          <w:rFonts w:eastAsia="Calibri"/>
          <w:b/>
          <w:bCs/>
          <w:sz w:val="18"/>
          <w:szCs w:val="18"/>
          <w:lang w:val="es-DO"/>
        </w:rPr>
        <w:t>1</w:t>
      </w:r>
      <w:r w:rsidR="007B5587" w:rsidRPr="00232EBB">
        <w:rPr>
          <w:rFonts w:eastAsia="Calibri"/>
          <w:b/>
          <w:bCs/>
          <w:sz w:val="18"/>
          <w:szCs w:val="18"/>
          <w:lang w:val="es-DO"/>
        </w:rPr>
        <w:t>3</w:t>
      </w:r>
      <w:r w:rsidR="009B7F1B" w:rsidRPr="00232EBB">
        <w:rPr>
          <w:rFonts w:eastAsia="Calibri"/>
          <w:b/>
          <w:bCs/>
          <w:sz w:val="18"/>
          <w:szCs w:val="18"/>
          <w:lang w:val="es-DO"/>
        </w:rPr>
        <w:t xml:space="preserve">:  </w:t>
      </w:r>
      <w:r w:rsidR="009B7F1B" w:rsidRPr="00232EBB">
        <w:rPr>
          <w:rFonts w:eastAsia="Calibri"/>
          <w:sz w:val="18"/>
          <w:szCs w:val="18"/>
          <w:lang w:val="es-DO"/>
        </w:rPr>
        <w:t>Principales indicadores misionales al 202</w:t>
      </w:r>
      <w:r w:rsidR="00C457E4" w:rsidRPr="00232EBB">
        <w:rPr>
          <w:rFonts w:eastAsia="Calibri"/>
          <w:sz w:val="18"/>
          <w:szCs w:val="18"/>
          <w:lang w:val="es-DO"/>
        </w:rPr>
        <w:t>5</w:t>
      </w:r>
    </w:p>
    <w:bookmarkStart w:id="104" w:name="_Toc216952224"/>
    <w:p w14:paraId="480AB252" w14:textId="6C35C0AB" w:rsidR="00654164" w:rsidRPr="00232EBB" w:rsidRDefault="00771010" w:rsidP="00771010">
      <w:pPr>
        <w:pStyle w:val="Heading1"/>
        <w:spacing w:after="240"/>
        <w:ind w:left="270" w:hanging="360"/>
        <w:rPr>
          <w:rFonts w:cs="Times New Roman"/>
          <w:spacing w:val="0"/>
          <w:lang w:val="es-DO"/>
        </w:rPr>
      </w:pPr>
      <w:r w:rsidRPr="00232EBB">
        <w:rPr>
          <w:rFonts w:eastAsia="Calibri" w:cs="Times New Roman"/>
          <w:noProof/>
          <w:color w:val="4C4747"/>
          <w:sz w:val="18"/>
        </w:rPr>
        <w:lastRenderedPageBreak/>
        <mc:AlternateContent>
          <mc:Choice Requires="wps">
            <w:drawing>
              <wp:anchor distT="0" distB="0" distL="114300" distR="114300" simplePos="0" relativeHeight="251658254" behindDoc="0" locked="0" layoutInCell="1" allowOverlap="1" wp14:anchorId="76EDFA29" wp14:editId="0BAE9CF2">
                <wp:simplePos x="0" y="0"/>
                <wp:positionH relativeFrom="margin">
                  <wp:posOffset>2238616</wp:posOffset>
                </wp:positionH>
                <wp:positionV relativeFrom="paragraph">
                  <wp:posOffset>680720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9FCEF68" id="Straight Connector 15"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25pt,53.6pt" to="212.7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" strokecolor="#ee2a24" strokeweight="2.25pt">
                <v:stroke joinstyle="miter"/>
                <w10:wrap anchorx="margin"/>
              </v:line>
            </w:pict>
          </mc:Fallback>
        </mc:AlternateContent>
      </w:r>
      <w:r w:rsidRPr="00232EBB">
        <w:rPr>
          <w:rFonts w:cs="Times New Roman"/>
          <w:spacing w:val="0"/>
          <w:lang w:val="es-DO"/>
        </w:rPr>
        <w:t xml:space="preserve">IV. </w:t>
      </w:r>
      <w:r w:rsidR="00654164" w:rsidRPr="00232EBB">
        <w:rPr>
          <w:rFonts w:cs="Times New Roman"/>
          <w:spacing w:val="0"/>
          <w:lang w:val="es-DO"/>
        </w:rPr>
        <w:t>RESULTADOS DE LAS ÁREAS TRANSVERSALES Y DE APOYO</w:t>
      </w:r>
      <w:bookmarkEnd w:id="104"/>
    </w:p>
    <w:p w14:paraId="742E354D" w14:textId="4F1DFDC1" w:rsidR="00654164" w:rsidRPr="00232EBB" w:rsidRDefault="00771010" w:rsidP="00771010">
      <w:pPr>
        <w:spacing w:line="360" w:lineRule="auto"/>
        <w:jc w:val="both"/>
        <w:rPr>
          <w:sz w:val="22"/>
          <w:szCs w:val="36"/>
          <w:lang w:val="es-DO"/>
        </w:rPr>
      </w:pPr>
      <w:r w:rsidRPr="00232EBB">
        <w:rPr>
          <w:sz w:val="22"/>
          <w:szCs w:val="36"/>
          <w:lang w:val="es-DO"/>
        </w:rPr>
        <w:t xml:space="preserve">                                    </w:t>
      </w:r>
      <w:r w:rsidR="00654164" w:rsidRPr="00232EBB">
        <w:rPr>
          <w:sz w:val="22"/>
          <w:szCs w:val="36"/>
          <w:lang w:val="es-DO"/>
        </w:rPr>
        <w:t xml:space="preserve">Memoria </w:t>
      </w:r>
      <w:r w:rsidR="00F05DF4" w:rsidRPr="00232EBB">
        <w:rPr>
          <w:sz w:val="22"/>
          <w:szCs w:val="36"/>
          <w:lang w:val="es-DO"/>
        </w:rPr>
        <w:t>I</w:t>
      </w:r>
      <w:r w:rsidR="00654164" w:rsidRPr="00232EBB">
        <w:rPr>
          <w:sz w:val="22"/>
          <w:szCs w:val="36"/>
          <w:lang w:val="es-DO"/>
        </w:rPr>
        <w:t xml:space="preserve">nstitucional </w:t>
      </w:r>
      <w:r w:rsidR="000025D4" w:rsidRPr="00232EBB">
        <w:rPr>
          <w:sz w:val="22"/>
          <w:szCs w:val="36"/>
          <w:lang w:val="es-DO"/>
        </w:rPr>
        <w:t>202</w:t>
      </w:r>
      <w:r w:rsidR="004E388D" w:rsidRPr="00232EBB">
        <w:rPr>
          <w:sz w:val="22"/>
          <w:szCs w:val="36"/>
          <w:lang w:val="es-DO"/>
        </w:rPr>
        <w:t>5</w:t>
      </w:r>
    </w:p>
    <w:p w14:paraId="681CE754" w14:textId="117FA82D" w:rsidR="00771010" w:rsidRPr="00232EBB" w:rsidRDefault="00044655" w:rsidP="00044655">
      <w:pPr>
        <w:pStyle w:val="Heading1"/>
        <w:spacing w:after="240" w:line="259" w:lineRule="auto"/>
        <w:jc w:val="both"/>
        <w:rPr>
          <w:rFonts w:cs="Times New Roman"/>
          <w:spacing w:val="0"/>
          <w:lang w:val="es-DO"/>
        </w:rPr>
      </w:pPr>
      <w:bookmarkStart w:id="105" w:name="_Toc154736701"/>
      <w:bookmarkStart w:id="106" w:name="_Toc216952225"/>
      <w:r w:rsidRPr="00232EBB">
        <w:rPr>
          <w:rFonts w:cs="Times New Roman"/>
          <w:spacing w:val="0"/>
          <w:lang w:val="es-DO"/>
        </w:rPr>
        <w:t xml:space="preserve">4.1 </w:t>
      </w:r>
      <w:r w:rsidR="00771010" w:rsidRPr="00232EBB">
        <w:rPr>
          <w:rFonts w:cs="Times New Roman"/>
          <w:spacing w:val="0"/>
          <w:lang w:val="es-DO"/>
        </w:rPr>
        <w:t>Desempeño Área Administrativa y Financiera</w:t>
      </w:r>
      <w:bookmarkEnd w:id="105"/>
      <w:bookmarkEnd w:id="106"/>
    </w:p>
    <w:p w14:paraId="1DE35B0E" w14:textId="43EA13B5" w:rsidR="00A02E84" w:rsidRPr="00232EBB" w:rsidRDefault="00A02E84" w:rsidP="006B7E81">
      <w:pPr>
        <w:spacing w:line="360" w:lineRule="auto"/>
        <w:jc w:val="both"/>
        <w:rPr>
          <w:rFonts w:eastAsia="Calibri"/>
          <w:noProof/>
          <w:color w:val="808080" w:themeColor="background1" w:themeShade="80"/>
          <w:lang w:val="es-DO"/>
        </w:rPr>
      </w:pPr>
      <w:r w:rsidRPr="00232EBB">
        <w:rPr>
          <w:rFonts w:eastAsia="Calibri"/>
          <w:noProof/>
          <w:color w:val="808080" w:themeColor="background1" w:themeShade="80"/>
          <w:lang w:val="es-DO"/>
        </w:rPr>
        <w:t>La Gestión Administrativa de la TSS sigue fortaleciéndose y consolidando jun</w:t>
      </w:r>
      <w:r w:rsidR="005C6E7B" w:rsidRPr="00232EBB">
        <w:rPr>
          <w:rFonts w:eastAsia="Calibri"/>
          <w:noProof/>
          <w:color w:val="808080" w:themeColor="background1" w:themeShade="80"/>
          <w:lang w:val="es-DO"/>
        </w:rPr>
        <w:t>t</w:t>
      </w:r>
      <w:r w:rsidRPr="00232EBB">
        <w:rPr>
          <w:rFonts w:eastAsia="Calibri"/>
          <w:noProof/>
          <w:color w:val="808080" w:themeColor="background1" w:themeShade="80"/>
          <w:lang w:val="es-DO"/>
        </w:rPr>
        <w:t xml:space="preserve">o al crecimiento y desarrollo de la institución, sirviendo con claros estándares de ética, transparencia y excelencia que dan vida a nuestra filosofía institucional. </w:t>
      </w:r>
    </w:p>
    <w:p w14:paraId="3628EA66" w14:textId="77777777" w:rsidR="00A02E84" w:rsidRPr="00232EBB" w:rsidRDefault="00A02E84" w:rsidP="00667D63">
      <w:pPr>
        <w:spacing w:line="360" w:lineRule="auto"/>
        <w:jc w:val="both"/>
        <w:rPr>
          <w:b/>
          <w:bCs/>
          <w:lang w:val="es-DO"/>
        </w:rPr>
      </w:pPr>
      <w:bookmarkStart w:id="107" w:name="_Toc140587624"/>
      <w:bookmarkStart w:id="108" w:name="_Toc171677830"/>
      <w:bookmarkStart w:id="109" w:name="_Toc172118689"/>
      <w:bookmarkStart w:id="110" w:name="_Toc172119842"/>
      <w:bookmarkStart w:id="111" w:name="_Toc172120175"/>
      <w:bookmarkStart w:id="112" w:name="_Toc172121393"/>
      <w:r w:rsidRPr="00232EBB">
        <w:rPr>
          <w:b/>
          <w:bCs/>
          <w:lang w:val="es-DO"/>
        </w:rPr>
        <w:t>Gestión de Compras y Contrataciones</w:t>
      </w:r>
      <w:bookmarkEnd w:id="107"/>
      <w:bookmarkEnd w:id="108"/>
      <w:bookmarkEnd w:id="109"/>
      <w:bookmarkEnd w:id="110"/>
      <w:bookmarkEnd w:id="111"/>
      <w:bookmarkEnd w:id="112"/>
    </w:p>
    <w:p w14:paraId="0E6FF563" w14:textId="77777777" w:rsidR="00345EDB" w:rsidRPr="00232EBB" w:rsidRDefault="00345EDB" w:rsidP="00AF6F01">
      <w:pPr>
        <w:spacing w:line="360" w:lineRule="auto"/>
        <w:jc w:val="both"/>
        <w:rPr>
          <w:rFonts w:eastAsia="Calibri"/>
          <w:noProof/>
          <w:color w:val="808080" w:themeColor="background1" w:themeShade="80"/>
          <w:lang w:val="es-DO"/>
        </w:rPr>
      </w:pPr>
      <w:bookmarkStart w:id="113" w:name="_Toc139461512"/>
      <w:bookmarkStart w:id="114" w:name="_Toc140587631"/>
      <w:r w:rsidRPr="00232EBB">
        <w:rPr>
          <w:rFonts w:eastAsia="Calibri"/>
          <w:noProof/>
          <w:color w:val="808080" w:themeColor="background1" w:themeShade="80"/>
          <w:lang w:val="es-DO"/>
        </w:rPr>
        <w:t xml:space="preserve">En el área de compras y contrataciones se planifican los procesos a través del Plan Anual de Compras y Contrataciones, que incluye todos los bienes, servicios y obras que serán adquiridos durante el período de un (01) año, actualizado trimestralmente. </w:t>
      </w:r>
    </w:p>
    <w:p w14:paraId="3910600F" w14:textId="77777777" w:rsidR="006B7E81" w:rsidRPr="00232EBB" w:rsidRDefault="00345EDB" w:rsidP="00AF6F01">
      <w:pPr>
        <w:spacing w:line="360" w:lineRule="auto"/>
        <w:jc w:val="both"/>
        <w:rPr>
          <w:rFonts w:eastAsia="Calibri"/>
          <w:noProof/>
          <w:color w:val="808080" w:themeColor="background1" w:themeShade="80"/>
          <w:lang w:val="es-DO"/>
        </w:rPr>
      </w:pPr>
      <w:r w:rsidRPr="00232EBB">
        <w:rPr>
          <w:rFonts w:eastAsia="Calibri"/>
          <w:noProof/>
          <w:color w:val="808080" w:themeColor="background1" w:themeShade="80"/>
          <w:lang w:val="es-DO"/>
        </w:rPr>
        <w:t xml:space="preserve">La ejecución del Plan Anual de Compras y Contrataciones se mide en el Indicador de Uso del Sistema Nacional de Contrataciones Públicas por medio del subindicador Planificación de Compras, con un total de 20 puntos. </w:t>
      </w:r>
    </w:p>
    <w:p w14:paraId="775B5788" w14:textId="75E6F9F7" w:rsidR="00345EDB" w:rsidRPr="00232EBB" w:rsidRDefault="00345EDB" w:rsidP="00AF6F01">
      <w:pPr>
        <w:spacing w:line="360" w:lineRule="auto"/>
        <w:jc w:val="both"/>
        <w:rPr>
          <w:noProof/>
          <w:color w:val="808080" w:themeColor="background1" w:themeShade="80"/>
          <w:lang w:val="es-MX"/>
        </w:rPr>
      </w:pPr>
      <w:r w:rsidRPr="00232EBB">
        <w:rPr>
          <w:rFonts w:eastAsia="Calibri"/>
          <w:noProof/>
          <w:color w:val="808080" w:themeColor="background1" w:themeShade="80"/>
          <w:lang w:val="es-DO"/>
        </w:rPr>
        <w:t xml:space="preserve">Una ponderación de 5 puntos a la Publicación del PACC, al publicar el PACC del año en curso dentro del tiempo estipulado, y una ponderación de 15 puntos a la Gestión Eficiente del PACC, que evalúa la correcta ejecución de las adquisiciones planificadas en cada trimestre y que todo lo convocado esté contemplado en alguna etapa del plan. </w:t>
      </w:r>
    </w:p>
    <w:p w14:paraId="7A4656DC" w14:textId="796CF979" w:rsidR="00345EDB" w:rsidRPr="00232EBB" w:rsidRDefault="00345EDB" w:rsidP="007431CB">
      <w:pPr>
        <w:spacing w:after="0" w:line="360" w:lineRule="auto"/>
        <w:jc w:val="center"/>
        <w:rPr>
          <w:noProof/>
          <w:color w:val="808080" w:themeColor="background1" w:themeShade="80"/>
        </w:rPr>
      </w:pPr>
      <w:r w:rsidRPr="00232EBB">
        <w:rPr>
          <w:noProof/>
        </w:rPr>
        <w:lastRenderedPageBreak/>
        <w:drawing>
          <wp:inline distT="0" distB="0" distL="0" distR="0" wp14:anchorId="64AB8447" wp14:editId="12738491">
            <wp:extent cx="4096385" cy="2251881"/>
            <wp:effectExtent l="0" t="0" r="0" b="0"/>
            <wp:docPr id="2006021310" name="Gráfico 1">
              <a:extLst xmlns:a="http://schemas.openxmlformats.org/drawingml/2006/main">
                <a:ext uri="{FF2B5EF4-FFF2-40B4-BE49-F238E27FC236}">
                  <a16:creationId xmlns:a16="http://schemas.microsoft.com/office/drawing/2014/main" id="{1C4B3233-2A78-2891-E170-98527AA93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6A7889" w14:textId="4D0BEFC6" w:rsidR="00A02E84" w:rsidRPr="00232EBB" w:rsidRDefault="00A02E84" w:rsidP="00345EDB">
      <w:pPr>
        <w:spacing w:after="0" w:line="360" w:lineRule="auto"/>
        <w:jc w:val="both"/>
        <w:rPr>
          <w:rFonts w:eastAsia="Calibri"/>
          <w:noProof/>
          <w:color w:val="808080" w:themeColor="background1" w:themeShade="80"/>
          <w:sz w:val="18"/>
          <w:szCs w:val="18"/>
          <w:lang w:val="es-DO"/>
        </w:rPr>
      </w:pPr>
      <w:r w:rsidRPr="00232EBB">
        <w:rPr>
          <w:rFonts w:eastAsia="Calibri"/>
          <w:b/>
          <w:bCs/>
          <w:noProof/>
          <w:color w:val="808080" w:themeColor="background1" w:themeShade="80"/>
          <w:lang w:val="es-ES"/>
        </w:rPr>
        <w:t xml:space="preserve"> </w:t>
      </w:r>
      <w:r w:rsidRPr="00232EBB">
        <w:rPr>
          <w:rFonts w:eastAsia="Calibri"/>
          <w:b/>
          <w:bCs/>
          <w:noProof/>
          <w:color w:val="808080" w:themeColor="background1" w:themeShade="80"/>
          <w:sz w:val="18"/>
          <w:szCs w:val="18"/>
          <w:lang w:val="es-ES"/>
        </w:rPr>
        <w:t xml:space="preserve">Gráfico </w:t>
      </w:r>
      <w:r w:rsidR="000743EE" w:rsidRPr="00232EBB">
        <w:rPr>
          <w:rFonts w:eastAsia="Calibri"/>
          <w:b/>
          <w:bCs/>
          <w:noProof/>
          <w:color w:val="808080" w:themeColor="background1" w:themeShade="80"/>
          <w:sz w:val="18"/>
          <w:szCs w:val="18"/>
          <w:lang w:val="es-ES"/>
        </w:rPr>
        <w:t>5</w:t>
      </w:r>
      <w:r w:rsidRPr="00232EBB">
        <w:rPr>
          <w:rFonts w:eastAsia="Calibri"/>
          <w:b/>
          <w:bCs/>
          <w:noProof/>
          <w:color w:val="808080" w:themeColor="background1" w:themeShade="80"/>
          <w:sz w:val="18"/>
          <w:szCs w:val="18"/>
          <w:lang w:val="es-ES"/>
        </w:rPr>
        <w:t>:</w:t>
      </w:r>
      <w:r w:rsidRPr="00232EBB">
        <w:rPr>
          <w:rFonts w:eastAsia="Calibri"/>
          <w:noProof/>
          <w:color w:val="808080" w:themeColor="background1" w:themeShade="80"/>
          <w:sz w:val="18"/>
          <w:szCs w:val="18"/>
          <w:lang w:val="es-ES"/>
        </w:rPr>
        <w:t xml:space="preserve">Subindicador planificación de compras al </w:t>
      </w:r>
      <w:r w:rsidR="00565DB3" w:rsidRPr="00232EBB">
        <w:rPr>
          <w:rFonts w:eastAsia="Calibri"/>
          <w:noProof/>
          <w:color w:val="808080" w:themeColor="background1" w:themeShade="80"/>
          <w:sz w:val="18"/>
          <w:szCs w:val="18"/>
          <w:lang w:val="es-ES"/>
        </w:rPr>
        <w:t>cierre del</w:t>
      </w:r>
      <w:r w:rsidR="00345EDB" w:rsidRPr="00232EBB">
        <w:rPr>
          <w:rFonts w:eastAsia="Calibri"/>
          <w:noProof/>
          <w:color w:val="808080" w:themeColor="background1" w:themeShade="80"/>
          <w:sz w:val="18"/>
          <w:szCs w:val="18"/>
          <w:lang w:val="es-ES"/>
        </w:rPr>
        <w:t xml:space="preserve"> 2025</w:t>
      </w:r>
      <w:r w:rsidRPr="00232EBB">
        <w:rPr>
          <w:rFonts w:eastAsia="Calibri"/>
          <w:noProof/>
          <w:color w:val="808080" w:themeColor="background1" w:themeShade="80"/>
          <w:sz w:val="18"/>
          <w:szCs w:val="18"/>
          <w:lang w:val="es-ES"/>
        </w:rPr>
        <w:t>.</w:t>
      </w:r>
    </w:p>
    <w:p w14:paraId="1EC94B63" w14:textId="67906A61" w:rsidR="00B33174" w:rsidRPr="00232EBB" w:rsidRDefault="005F0428" w:rsidP="00B33174">
      <w:pPr>
        <w:spacing w:before="240" w:line="360" w:lineRule="auto"/>
        <w:jc w:val="both"/>
        <w:rPr>
          <w:rFonts w:eastAsia="Calibri"/>
          <w:noProof/>
          <w:color w:val="808080" w:themeColor="background1" w:themeShade="80"/>
          <w:sz w:val="22"/>
          <w:szCs w:val="22"/>
          <w:lang w:val="es-MX"/>
        </w:rPr>
      </w:pPr>
      <w:bookmarkStart w:id="115" w:name="_Hlk216346684"/>
      <w:r w:rsidRPr="00232EBB">
        <w:rPr>
          <w:rFonts w:eastAsia="Calibri"/>
          <w:noProof/>
          <w:color w:val="808080" w:themeColor="background1" w:themeShade="80"/>
          <w:sz w:val="22"/>
          <w:szCs w:val="22"/>
          <w:lang w:val="es-MX"/>
        </w:rPr>
        <w:t>Al cierre</w:t>
      </w:r>
      <w:r w:rsidR="00B33174" w:rsidRPr="00232EBB">
        <w:rPr>
          <w:rFonts w:eastAsia="Calibri"/>
          <w:noProof/>
          <w:color w:val="808080" w:themeColor="background1" w:themeShade="80"/>
          <w:sz w:val="22"/>
          <w:szCs w:val="22"/>
          <w:lang w:val="es-MX"/>
        </w:rPr>
        <w:t xml:space="preserve"> del 2025 gestionamos un total de 2</w:t>
      </w:r>
      <w:r w:rsidR="00F85E14" w:rsidRPr="00232EBB">
        <w:rPr>
          <w:rFonts w:eastAsia="Calibri"/>
          <w:noProof/>
          <w:color w:val="808080" w:themeColor="background1" w:themeShade="80"/>
          <w:sz w:val="22"/>
          <w:szCs w:val="22"/>
          <w:lang w:val="es-MX"/>
        </w:rPr>
        <w:t>73</w:t>
      </w:r>
      <w:r w:rsidR="00B33174" w:rsidRPr="00232EBB">
        <w:rPr>
          <w:rFonts w:eastAsia="Calibri"/>
          <w:noProof/>
          <w:color w:val="808080" w:themeColor="background1" w:themeShade="80"/>
          <w:sz w:val="22"/>
          <w:szCs w:val="22"/>
          <w:lang w:val="es-MX"/>
        </w:rPr>
        <w:t xml:space="preserve"> procesos</w:t>
      </w:r>
      <w:r w:rsidR="00B33174" w:rsidRPr="00232EBB">
        <w:rPr>
          <w:rFonts w:eastAsia="Calibri"/>
          <w:noProof/>
          <w:color w:val="FFFFFF" w:themeColor="background1"/>
          <w:sz w:val="22"/>
          <w:szCs w:val="22"/>
          <w:lang w:val="es-MX"/>
        </w:rPr>
        <w:t xml:space="preserve"> </w:t>
      </w:r>
      <w:r w:rsidR="00B33174" w:rsidRPr="00232EBB">
        <w:rPr>
          <w:rFonts w:eastAsia="Calibri"/>
          <w:noProof/>
          <w:color w:val="808080" w:themeColor="background1" w:themeShade="80"/>
          <w:sz w:val="22"/>
          <w:szCs w:val="22"/>
          <w:lang w:val="es-MX"/>
        </w:rPr>
        <w:t>de compras en el Sistema Electrónico de Compras y Contrataciones, de los cuales 194 se encuentran adjudicados</w:t>
      </w:r>
      <w:bookmarkEnd w:id="115"/>
      <w:r w:rsidR="00B33174" w:rsidRPr="00232EBB">
        <w:rPr>
          <w:rFonts w:eastAsia="Calibri"/>
          <w:noProof/>
          <w:color w:val="808080" w:themeColor="background1" w:themeShade="80"/>
          <w:sz w:val="22"/>
          <w:szCs w:val="22"/>
          <w:lang w:val="es-MX"/>
        </w:rPr>
        <w:t>.</w:t>
      </w:r>
    </w:p>
    <w:tbl>
      <w:tblPr>
        <w:tblW w:w="6259" w:type="dxa"/>
        <w:jc w:val="center"/>
        <w:tblCellMar>
          <w:left w:w="70" w:type="dxa"/>
          <w:right w:w="70" w:type="dxa"/>
        </w:tblCellMar>
        <w:tblLook w:val="04A0" w:firstRow="1" w:lastRow="0" w:firstColumn="1" w:lastColumn="0" w:noHBand="0" w:noVBand="1"/>
      </w:tblPr>
      <w:tblGrid>
        <w:gridCol w:w="1467"/>
        <w:gridCol w:w="2335"/>
        <w:gridCol w:w="2457"/>
      </w:tblGrid>
      <w:tr w:rsidR="00013E91" w:rsidRPr="00232EBB" w14:paraId="454384D6" w14:textId="77777777" w:rsidTr="00013E91">
        <w:trPr>
          <w:trHeight w:val="1222"/>
          <w:jc w:val="center"/>
        </w:trPr>
        <w:tc>
          <w:tcPr>
            <w:tcW w:w="1467"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F5AF003" w14:textId="77777777" w:rsidR="00013E91" w:rsidRPr="00094160" w:rsidRDefault="00013E91" w:rsidP="0055368C">
            <w:pPr>
              <w:spacing w:after="0" w:line="240" w:lineRule="auto"/>
              <w:jc w:val="center"/>
              <w:rPr>
                <w:rFonts w:eastAsia="Calibri"/>
                <w:b/>
                <w:bCs/>
                <w:noProof/>
                <w:color w:val="FFFFFF" w:themeColor="background1"/>
                <w:lang w:val="es-MX"/>
              </w:rPr>
            </w:pPr>
            <w:r w:rsidRPr="00094160">
              <w:rPr>
                <w:rFonts w:eastAsia="Calibri"/>
                <w:b/>
                <w:bCs/>
                <w:noProof/>
                <w:color w:val="FFFFFF" w:themeColor="background1"/>
                <w:lang w:val="es-MX"/>
              </w:rPr>
              <w:t>Mes</w:t>
            </w:r>
          </w:p>
        </w:tc>
        <w:tc>
          <w:tcPr>
            <w:tcW w:w="2335" w:type="dxa"/>
            <w:tcBorders>
              <w:top w:val="single" w:sz="4" w:space="0" w:color="auto"/>
              <w:left w:val="nil"/>
              <w:bottom w:val="single" w:sz="4" w:space="0" w:color="auto"/>
              <w:right w:val="single" w:sz="4" w:space="0" w:color="auto"/>
            </w:tcBorders>
            <w:shd w:val="clear" w:color="auto" w:fill="002060"/>
            <w:vAlign w:val="center"/>
            <w:hideMark/>
          </w:tcPr>
          <w:p w14:paraId="5EB69128" w14:textId="77777777" w:rsidR="00013E91" w:rsidRPr="00094160" w:rsidRDefault="00013E91" w:rsidP="0055368C">
            <w:pPr>
              <w:spacing w:after="0" w:line="240" w:lineRule="auto"/>
              <w:jc w:val="center"/>
              <w:rPr>
                <w:rFonts w:eastAsia="Calibri"/>
                <w:b/>
                <w:bCs/>
                <w:noProof/>
                <w:color w:val="FFFFFF" w:themeColor="background1"/>
                <w:lang w:val="es-MX"/>
              </w:rPr>
            </w:pPr>
            <w:r w:rsidRPr="00094160">
              <w:rPr>
                <w:rFonts w:eastAsia="Calibri"/>
                <w:b/>
                <w:bCs/>
                <w:noProof/>
                <w:color w:val="FFFFFF" w:themeColor="background1"/>
                <w:lang w:val="es-MX"/>
              </w:rPr>
              <w:t xml:space="preserve">Cantidad de </w:t>
            </w:r>
          </w:p>
          <w:p w14:paraId="1CEBA54B" w14:textId="77777777" w:rsidR="00013E91" w:rsidRPr="00094160" w:rsidRDefault="00013E91" w:rsidP="0055368C">
            <w:pPr>
              <w:spacing w:after="0" w:line="240" w:lineRule="auto"/>
              <w:jc w:val="center"/>
              <w:rPr>
                <w:rFonts w:eastAsia="Calibri"/>
                <w:b/>
                <w:bCs/>
                <w:noProof/>
                <w:color w:val="FFFFFF" w:themeColor="background1"/>
                <w:lang w:val="es-MX"/>
              </w:rPr>
            </w:pPr>
            <w:r w:rsidRPr="00094160">
              <w:rPr>
                <w:rFonts w:eastAsia="Calibri"/>
                <w:b/>
                <w:bCs/>
                <w:noProof/>
                <w:color w:val="FFFFFF" w:themeColor="background1"/>
                <w:lang w:val="es-MX"/>
              </w:rPr>
              <w:t>Procesos Publicados</w:t>
            </w:r>
          </w:p>
        </w:tc>
        <w:tc>
          <w:tcPr>
            <w:tcW w:w="2457" w:type="dxa"/>
            <w:tcBorders>
              <w:top w:val="single" w:sz="4" w:space="0" w:color="auto"/>
              <w:left w:val="nil"/>
              <w:bottom w:val="single" w:sz="4" w:space="0" w:color="auto"/>
              <w:right w:val="single" w:sz="4" w:space="0" w:color="auto"/>
            </w:tcBorders>
            <w:shd w:val="clear" w:color="auto" w:fill="002060"/>
            <w:vAlign w:val="center"/>
            <w:hideMark/>
          </w:tcPr>
          <w:p w14:paraId="1730E818" w14:textId="77777777" w:rsidR="00013E91" w:rsidRPr="00094160" w:rsidRDefault="00013E91" w:rsidP="0055368C">
            <w:pPr>
              <w:spacing w:after="0" w:line="240" w:lineRule="auto"/>
              <w:jc w:val="center"/>
              <w:rPr>
                <w:rFonts w:eastAsia="Calibri"/>
                <w:b/>
                <w:bCs/>
                <w:noProof/>
                <w:color w:val="FFFFFF" w:themeColor="background1"/>
                <w:lang w:val="es-MX"/>
              </w:rPr>
            </w:pPr>
            <w:r w:rsidRPr="00094160">
              <w:rPr>
                <w:rFonts w:eastAsia="Calibri"/>
                <w:b/>
                <w:bCs/>
                <w:noProof/>
                <w:color w:val="FFFFFF" w:themeColor="background1"/>
                <w:lang w:val="es-MX"/>
              </w:rPr>
              <w:t xml:space="preserve">Cantidad de </w:t>
            </w:r>
          </w:p>
          <w:p w14:paraId="4A449CE3" w14:textId="77777777" w:rsidR="00013E91" w:rsidRPr="00094160" w:rsidRDefault="00013E91" w:rsidP="0055368C">
            <w:pPr>
              <w:spacing w:after="0" w:line="240" w:lineRule="auto"/>
              <w:jc w:val="center"/>
              <w:rPr>
                <w:rFonts w:eastAsia="Calibri"/>
                <w:b/>
                <w:bCs/>
                <w:noProof/>
                <w:color w:val="FFFFFF" w:themeColor="background1"/>
                <w:lang w:val="es-MX"/>
              </w:rPr>
            </w:pPr>
            <w:r w:rsidRPr="00094160">
              <w:rPr>
                <w:rFonts w:eastAsia="Calibri"/>
                <w:b/>
                <w:bCs/>
                <w:noProof/>
                <w:color w:val="FFFFFF" w:themeColor="background1"/>
                <w:lang w:val="es-MX"/>
              </w:rPr>
              <w:t>Procesos Adjudicados</w:t>
            </w:r>
          </w:p>
        </w:tc>
      </w:tr>
      <w:tr w:rsidR="00013E91" w:rsidRPr="00232EBB" w14:paraId="36003071"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4A4BCD73"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Ene</w:t>
            </w:r>
          </w:p>
        </w:tc>
        <w:tc>
          <w:tcPr>
            <w:tcW w:w="2335" w:type="dxa"/>
            <w:tcBorders>
              <w:top w:val="nil"/>
              <w:left w:val="nil"/>
              <w:bottom w:val="single" w:sz="4" w:space="0" w:color="auto"/>
              <w:right w:val="single" w:sz="4" w:space="0" w:color="auto"/>
            </w:tcBorders>
            <w:noWrap/>
            <w:vAlign w:val="center"/>
            <w:hideMark/>
          </w:tcPr>
          <w:p w14:paraId="59158819"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w:t>
            </w:r>
          </w:p>
        </w:tc>
        <w:tc>
          <w:tcPr>
            <w:tcW w:w="2457" w:type="dxa"/>
            <w:tcBorders>
              <w:top w:val="nil"/>
              <w:left w:val="nil"/>
              <w:bottom w:val="single" w:sz="4" w:space="0" w:color="auto"/>
              <w:right w:val="single" w:sz="4" w:space="0" w:color="auto"/>
            </w:tcBorders>
            <w:noWrap/>
            <w:vAlign w:val="center"/>
            <w:hideMark/>
          </w:tcPr>
          <w:p w14:paraId="2A130053"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0</w:t>
            </w:r>
          </w:p>
        </w:tc>
      </w:tr>
      <w:tr w:rsidR="00013E91" w:rsidRPr="00232EBB" w14:paraId="0ED7083E"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404F330C"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Feb</w:t>
            </w:r>
          </w:p>
        </w:tc>
        <w:tc>
          <w:tcPr>
            <w:tcW w:w="2335" w:type="dxa"/>
            <w:tcBorders>
              <w:top w:val="nil"/>
              <w:left w:val="nil"/>
              <w:bottom w:val="single" w:sz="4" w:space="0" w:color="auto"/>
              <w:right w:val="single" w:sz="4" w:space="0" w:color="auto"/>
            </w:tcBorders>
            <w:noWrap/>
            <w:vAlign w:val="center"/>
            <w:hideMark/>
          </w:tcPr>
          <w:p w14:paraId="39661E97"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22</w:t>
            </w:r>
          </w:p>
        </w:tc>
        <w:tc>
          <w:tcPr>
            <w:tcW w:w="2457" w:type="dxa"/>
            <w:tcBorders>
              <w:top w:val="nil"/>
              <w:left w:val="nil"/>
              <w:bottom w:val="single" w:sz="4" w:space="0" w:color="auto"/>
              <w:right w:val="single" w:sz="4" w:space="0" w:color="auto"/>
            </w:tcBorders>
            <w:noWrap/>
            <w:vAlign w:val="center"/>
            <w:hideMark/>
          </w:tcPr>
          <w:p w14:paraId="1DB0486C"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12</w:t>
            </w:r>
          </w:p>
        </w:tc>
      </w:tr>
      <w:tr w:rsidR="00013E91" w:rsidRPr="00232EBB" w14:paraId="2A37841C"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6A63DE0E"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Mar</w:t>
            </w:r>
          </w:p>
        </w:tc>
        <w:tc>
          <w:tcPr>
            <w:tcW w:w="2335" w:type="dxa"/>
            <w:tcBorders>
              <w:top w:val="nil"/>
              <w:left w:val="nil"/>
              <w:bottom w:val="single" w:sz="4" w:space="0" w:color="auto"/>
              <w:right w:val="single" w:sz="4" w:space="0" w:color="auto"/>
            </w:tcBorders>
            <w:noWrap/>
            <w:vAlign w:val="center"/>
            <w:hideMark/>
          </w:tcPr>
          <w:p w14:paraId="144AAD62"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16</w:t>
            </w:r>
          </w:p>
        </w:tc>
        <w:tc>
          <w:tcPr>
            <w:tcW w:w="2457" w:type="dxa"/>
            <w:tcBorders>
              <w:top w:val="nil"/>
              <w:left w:val="nil"/>
              <w:bottom w:val="single" w:sz="4" w:space="0" w:color="auto"/>
              <w:right w:val="single" w:sz="4" w:space="0" w:color="auto"/>
            </w:tcBorders>
            <w:noWrap/>
            <w:vAlign w:val="center"/>
            <w:hideMark/>
          </w:tcPr>
          <w:p w14:paraId="0FEA4A77"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16</w:t>
            </w:r>
          </w:p>
        </w:tc>
      </w:tr>
      <w:tr w:rsidR="00013E91" w:rsidRPr="00232EBB" w14:paraId="539E718E"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2ED3E796"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Abr</w:t>
            </w:r>
          </w:p>
        </w:tc>
        <w:tc>
          <w:tcPr>
            <w:tcW w:w="2335" w:type="dxa"/>
            <w:tcBorders>
              <w:top w:val="nil"/>
              <w:left w:val="nil"/>
              <w:bottom w:val="single" w:sz="4" w:space="0" w:color="auto"/>
              <w:right w:val="single" w:sz="4" w:space="0" w:color="auto"/>
            </w:tcBorders>
            <w:noWrap/>
            <w:vAlign w:val="center"/>
            <w:hideMark/>
          </w:tcPr>
          <w:p w14:paraId="12682EED"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16</w:t>
            </w:r>
          </w:p>
        </w:tc>
        <w:tc>
          <w:tcPr>
            <w:tcW w:w="2457" w:type="dxa"/>
            <w:tcBorders>
              <w:top w:val="nil"/>
              <w:left w:val="nil"/>
              <w:bottom w:val="single" w:sz="4" w:space="0" w:color="auto"/>
              <w:right w:val="single" w:sz="4" w:space="0" w:color="auto"/>
            </w:tcBorders>
            <w:noWrap/>
            <w:vAlign w:val="center"/>
            <w:hideMark/>
          </w:tcPr>
          <w:p w14:paraId="41DCEDE0"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14</w:t>
            </w:r>
          </w:p>
        </w:tc>
      </w:tr>
      <w:tr w:rsidR="00013E91" w:rsidRPr="00232EBB" w14:paraId="03DEF157"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007743DC"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May</w:t>
            </w:r>
          </w:p>
        </w:tc>
        <w:tc>
          <w:tcPr>
            <w:tcW w:w="2335" w:type="dxa"/>
            <w:tcBorders>
              <w:top w:val="nil"/>
              <w:left w:val="nil"/>
              <w:bottom w:val="single" w:sz="4" w:space="0" w:color="auto"/>
              <w:right w:val="single" w:sz="4" w:space="0" w:color="auto"/>
            </w:tcBorders>
            <w:noWrap/>
            <w:vAlign w:val="center"/>
            <w:hideMark/>
          </w:tcPr>
          <w:p w14:paraId="7A72F847"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23</w:t>
            </w:r>
          </w:p>
        </w:tc>
        <w:tc>
          <w:tcPr>
            <w:tcW w:w="2457" w:type="dxa"/>
            <w:tcBorders>
              <w:top w:val="nil"/>
              <w:left w:val="nil"/>
              <w:bottom w:val="single" w:sz="4" w:space="0" w:color="auto"/>
              <w:right w:val="single" w:sz="4" w:space="0" w:color="auto"/>
            </w:tcBorders>
            <w:noWrap/>
            <w:vAlign w:val="center"/>
            <w:hideMark/>
          </w:tcPr>
          <w:p w14:paraId="27ABC630"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19</w:t>
            </w:r>
          </w:p>
        </w:tc>
      </w:tr>
      <w:tr w:rsidR="00013E91" w:rsidRPr="00232EBB" w14:paraId="3570358D"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1ADD382D"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Jun</w:t>
            </w:r>
          </w:p>
        </w:tc>
        <w:tc>
          <w:tcPr>
            <w:tcW w:w="2335" w:type="dxa"/>
            <w:tcBorders>
              <w:top w:val="nil"/>
              <w:left w:val="nil"/>
              <w:bottom w:val="single" w:sz="4" w:space="0" w:color="auto"/>
              <w:right w:val="single" w:sz="4" w:space="0" w:color="auto"/>
            </w:tcBorders>
            <w:noWrap/>
            <w:vAlign w:val="center"/>
            <w:hideMark/>
          </w:tcPr>
          <w:p w14:paraId="33C0D836"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42</w:t>
            </w:r>
          </w:p>
        </w:tc>
        <w:tc>
          <w:tcPr>
            <w:tcW w:w="2457" w:type="dxa"/>
            <w:tcBorders>
              <w:top w:val="nil"/>
              <w:left w:val="nil"/>
              <w:bottom w:val="single" w:sz="4" w:space="0" w:color="auto"/>
              <w:right w:val="single" w:sz="4" w:space="0" w:color="auto"/>
            </w:tcBorders>
            <w:noWrap/>
            <w:vAlign w:val="center"/>
            <w:hideMark/>
          </w:tcPr>
          <w:p w14:paraId="08335C7F"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18</w:t>
            </w:r>
          </w:p>
        </w:tc>
      </w:tr>
      <w:tr w:rsidR="00013E91" w:rsidRPr="00232EBB" w14:paraId="2BD14B82"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2CC32BA7"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Jul</w:t>
            </w:r>
          </w:p>
        </w:tc>
        <w:tc>
          <w:tcPr>
            <w:tcW w:w="2335" w:type="dxa"/>
            <w:tcBorders>
              <w:top w:val="nil"/>
              <w:left w:val="nil"/>
              <w:bottom w:val="single" w:sz="4" w:space="0" w:color="auto"/>
              <w:right w:val="single" w:sz="4" w:space="0" w:color="auto"/>
            </w:tcBorders>
            <w:noWrap/>
            <w:vAlign w:val="center"/>
            <w:hideMark/>
          </w:tcPr>
          <w:p w14:paraId="566E7FCE"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14</w:t>
            </w:r>
          </w:p>
        </w:tc>
        <w:tc>
          <w:tcPr>
            <w:tcW w:w="2457" w:type="dxa"/>
            <w:tcBorders>
              <w:top w:val="nil"/>
              <w:left w:val="nil"/>
              <w:bottom w:val="single" w:sz="4" w:space="0" w:color="auto"/>
              <w:right w:val="single" w:sz="4" w:space="0" w:color="auto"/>
            </w:tcBorders>
            <w:noWrap/>
            <w:vAlign w:val="center"/>
            <w:hideMark/>
          </w:tcPr>
          <w:p w14:paraId="6829EF61"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23</w:t>
            </w:r>
          </w:p>
        </w:tc>
      </w:tr>
      <w:tr w:rsidR="00013E91" w:rsidRPr="00232EBB" w14:paraId="27141C90"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174A89F4"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Ago</w:t>
            </w:r>
          </w:p>
        </w:tc>
        <w:tc>
          <w:tcPr>
            <w:tcW w:w="2335" w:type="dxa"/>
            <w:tcBorders>
              <w:top w:val="nil"/>
              <w:left w:val="nil"/>
              <w:bottom w:val="single" w:sz="4" w:space="0" w:color="auto"/>
              <w:right w:val="single" w:sz="4" w:space="0" w:color="auto"/>
            </w:tcBorders>
            <w:noWrap/>
            <w:vAlign w:val="center"/>
            <w:hideMark/>
          </w:tcPr>
          <w:p w14:paraId="219B134F"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30</w:t>
            </w:r>
          </w:p>
        </w:tc>
        <w:tc>
          <w:tcPr>
            <w:tcW w:w="2457" w:type="dxa"/>
            <w:tcBorders>
              <w:top w:val="nil"/>
              <w:left w:val="nil"/>
              <w:bottom w:val="single" w:sz="4" w:space="0" w:color="auto"/>
              <w:right w:val="single" w:sz="4" w:space="0" w:color="auto"/>
            </w:tcBorders>
            <w:noWrap/>
            <w:vAlign w:val="center"/>
            <w:hideMark/>
          </w:tcPr>
          <w:p w14:paraId="554083FB"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21</w:t>
            </w:r>
          </w:p>
        </w:tc>
      </w:tr>
      <w:tr w:rsidR="00013E91" w:rsidRPr="00232EBB" w14:paraId="72FB6154"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499874C3"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Sep</w:t>
            </w:r>
          </w:p>
        </w:tc>
        <w:tc>
          <w:tcPr>
            <w:tcW w:w="2335" w:type="dxa"/>
            <w:tcBorders>
              <w:top w:val="nil"/>
              <w:left w:val="nil"/>
              <w:bottom w:val="single" w:sz="4" w:space="0" w:color="auto"/>
              <w:right w:val="single" w:sz="4" w:space="0" w:color="auto"/>
            </w:tcBorders>
            <w:noWrap/>
            <w:vAlign w:val="center"/>
            <w:hideMark/>
          </w:tcPr>
          <w:p w14:paraId="78C43C5F"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38</w:t>
            </w:r>
          </w:p>
        </w:tc>
        <w:tc>
          <w:tcPr>
            <w:tcW w:w="2457" w:type="dxa"/>
            <w:tcBorders>
              <w:top w:val="nil"/>
              <w:left w:val="nil"/>
              <w:bottom w:val="single" w:sz="4" w:space="0" w:color="auto"/>
              <w:right w:val="single" w:sz="4" w:space="0" w:color="auto"/>
            </w:tcBorders>
            <w:noWrap/>
            <w:vAlign w:val="center"/>
            <w:hideMark/>
          </w:tcPr>
          <w:p w14:paraId="1B4CF90E"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30</w:t>
            </w:r>
          </w:p>
        </w:tc>
      </w:tr>
      <w:tr w:rsidR="00013E91" w:rsidRPr="00232EBB" w14:paraId="67C74DA5"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30D1CC27"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Oct</w:t>
            </w:r>
          </w:p>
        </w:tc>
        <w:tc>
          <w:tcPr>
            <w:tcW w:w="2335" w:type="dxa"/>
            <w:tcBorders>
              <w:top w:val="nil"/>
              <w:left w:val="nil"/>
              <w:bottom w:val="single" w:sz="4" w:space="0" w:color="auto"/>
              <w:right w:val="single" w:sz="4" w:space="0" w:color="auto"/>
            </w:tcBorders>
            <w:noWrap/>
            <w:vAlign w:val="center"/>
            <w:hideMark/>
          </w:tcPr>
          <w:p w14:paraId="7B91B8B9"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23</w:t>
            </w:r>
          </w:p>
        </w:tc>
        <w:tc>
          <w:tcPr>
            <w:tcW w:w="2457" w:type="dxa"/>
            <w:tcBorders>
              <w:top w:val="nil"/>
              <w:left w:val="nil"/>
              <w:bottom w:val="single" w:sz="4" w:space="0" w:color="auto"/>
              <w:right w:val="single" w:sz="4" w:space="0" w:color="auto"/>
            </w:tcBorders>
            <w:noWrap/>
            <w:vAlign w:val="center"/>
            <w:hideMark/>
          </w:tcPr>
          <w:p w14:paraId="20689921"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19</w:t>
            </w:r>
          </w:p>
        </w:tc>
      </w:tr>
      <w:tr w:rsidR="00013E91" w:rsidRPr="00232EBB" w14:paraId="55B84950"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63FA97CB"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Nov</w:t>
            </w:r>
          </w:p>
        </w:tc>
        <w:tc>
          <w:tcPr>
            <w:tcW w:w="2335" w:type="dxa"/>
            <w:tcBorders>
              <w:top w:val="nil"/>
              <w:left w:val="nil"/>
              <w:bottom w:val="single" w:sz="4" w:space="0" w:color="auto"/>
              <w:right w:val="single" w:sz="4" w:space="0" w:color="auto"/>
            </w:tcBorders>
            <w:noWrap/>
            <w:vAlign w:val="center"/>
            <w:hideMark/>
          </w:tcPr>
          <w:p w14:paraId="1F9E3352"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29</w:t>
            </w:r>
          </w:p>
        </w:tc>
        <w:tc>
          <w:tcPr>
            <w:tcW w:w="2457" w:type="dxa"/>
            <w:tcBorders>
              <w:top w:val="nil"/>
              <w:left w:val="nil"/>
              <w:bottom w:val="single" w:sz="4" w:space="0" w:color="auto"/>
              <w:right w:val="single" w:sz="4" w:space="0" w:color="auto"/>
            </w:tcBorders>
            <w:noWrap/>
            <w:vAlign w:val="center"/>
            <w:hideMark/>
          </w:tcPr>
          <w:p w14:paraId="13238BD6"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23</w:t>
            </w:r>
          </w:p>
        </w:tc>
      </w:tr>
      <w:tr w:rsidR="00013E91" w:rsidRPr="00232EBB" w14:paraId="64EFBD82"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tcPr>
          <w:p w14:paraId="19E16139"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Dic</w:t>
            </w:r>
          </w:p>
        </w:tc>
        <w:tc>
          <w:tcPr>
            <w:tcW w:w="2335" w:type="dxa"/>
            <w:tcBorders>
              <w:top w:val="nil"/>
              <w:left w:val="nil"/>
              <w:bottom w:val="single" w:sz="4" w:space="0" w:color="auto"/>
              <w:right w:val="single" w:sz="4" w:space="0" w:color="auto"/>
            </w:tcBorders>
            <w:noWrap/>
            <w:vAlign w:val="center"/>
          </w:tcPr>
          <w:p w14:paraId="765B9568" w14:textId="33034C5F" w:rsidR="00013E91" w:rsidRPr="00232EBB" w:rsidRDefault="00F85E14"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19</w:t>
            </w:r>
          </w:p>
        </w:tc>
        <w:tc>
          <w:tcPr>
            <w:tcW w:w="2457" w:type="dxa"/>
            <w:tcBorders>
              <w:top w:val="nil"/>
              <w:left w:val="nil"/>
              <w:bottom w:val="single" w:sz="4" w:space="0" w:color="auto"/>
              <w:right w:val="single" w:sz="4" w:space="0" w:color="auto"/>
            </w:tcBorders>
            <w:noWrap/>
            <w:vAlign w:val="center"/>
          </w:tcPr>
          <w:p w14:paraId="327F9E7C" w14:textId="27C01133" w:rsidR="00013E91" w:rsidRPr="00232EBB" w:rsidRDefault="00F85E14"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17</w:t>
            </w:r>
          </w:p>
        </w:tc>
      </w:tr>
      <w:tr w:rsidR="00013E91" w:rsidRPr="00232EBB" w14:paraId="48A1F5E5" w14:textId="77777777" w:rsidTr="00013E91">
        <w:trPr>
          <w:trHeight w:val="353"/>
          <w:jc w:val="center"/>
        </w:trPr>
        <w:tc>
          <w:tcPr>
            <w:tcW w:w="1467" w:type="dxa"/>
            <w:tcBorders>
              <w:top w:val="nil"/>
              <w:left w:val="single" w:sz="4" w:space="0" w:color="auto"/>
              <w:bottom w:val="single" w:sz="4" w:space="0" w:color="auto"/>
              <w:right w:val="single" w:sz="4" w:space="0" w:color="auto"/>
            </w:tcBorders>
            <w:noWrap/>
            <w:vAlign w:val="center"/>
            <w:hideMark/>
          </w:tcPr>
          <w:p w14:paraId="5C46027C" w14:textId="77777777" w:rsidR="00013E91" w:rsidRPr="00232EBB" w:rsidRDefault="00013E91" w:rsidP="0055368C">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TOTAL</w:t>
            </w:r>
          </w:p>
        </w:tc>
        <w:tc>
          <w:tcPr>
            <w:tcW w:w="2335" w:type="dxa"/>
            <w:tcBorders>
              <w:top w:val="nil"/>
              <w:left w:val="nil"/>
              <w:bottom w:val="single" w:sz="4" w:space="0" w:color="auto"/>
              <w:right w:val="single" w:sz="4" w:space="0" w:color="auto"/>
            </w:tcBorders>
            <w:noWrap/>
            <w:vAlign w:val="center"/>
            <w:hideMark/>
          </w:tcPr>
          <w:p w14:paraId="04DA3C39" w14:textId="3D65FC4A" w:rsidR="00013E91" w:rsidRPr="00232EBB" w:rsidRDefault="00F85E14" w:rsidP="0055368C">
            <w:pPr>
              <w:spacing w:after="0" w:line="240" w:lineRule="auto"/>
              <w:jc w:val="center"/>
              <w:rPr>
                <w:rFonts w:eastAsia="Calibri"/>
                <w:b/>
                <w:bCs/>
                <w:noProof/>
                <w:color w:val="808080" w:themeColor="background1" w:themeShade="80"/>
                <w:sz w:val="22"/>
                <w:szCs w:val="22"/>
                <w:lang w:val="es-MX"/>
              </w:rPr>
            </w:pPr>
            <w:r w:rsidRPr="00232EBB">
              <w:rPr>
                <w:rFonts w:eastAsia="Calibri"/>
                <w:b/>
                <w:bCs/>
                <w:noProof/>
                <w:color w:val="808080" w:themeColor="background1" w:themeShade="80"/>
                <w:sz w:val="22"/>
                <w:szCs w:val="22"/>
                <w:lang w:val="es-MX"/>
              </w:rPr>
              <w:t>273</w:t>
            </w:r>
          </w:p>
        </w:tc>
        <w:tc>
          <w:tcPr>
            <w:tcW w:w="2457" w:type="dxa"/>
            <w:tcBorders>
              <w:top w:val="nil"/>
              <w:left w:val="nil"/>
              <w:bottom w:val="single" w:sz="4" w:space="0" w:color="auto"/>
              <w:right w:val="single" w:sz="4" w:space="0" w:color="auto"/>
            </w:tcBorders>
            <w:noWrap/>
            <w:vAlign w:val="center"/>
            <w:hideMark/>
          </w:tcPr>
          <w:p w14:paraId="4344FCC5" w14:textId="0BA07F59" w:rsidR="00013E91" w:rsidRPr="00232EBB" w:rsidRDefault="00F85E14" w:rsidP="0055368C">
            <w:pPr>
              <w:spacing w:after="0" w:line="240" w:lineRule="auto"/>
              <w:jc w:val="center"/>
              <w:rPr>
                <w:rFonts w:eastAsia="Calibri"/>
                <w:b/>
                <w:bCs/>
                <w:noProof/>
                <w:color w:val="808080" w:themeColor="background1" w:themeShade="80"/>
                <w:sz w:val="22"/>
                <w:szCs w:val="22"/>
                <w:lang w:val="es-MX"/>
              </w:rPr>
            </w:pPr>
            <w:r w:rsidRPr="00232EBB">
              <w:rPr>
                <w:rFonts w:eastAsia="Calibri"/>
                <w:b/>
                <w:bCs/>
                <w:noProof/>
                <w:color w:val="808080" w:themeColor="background1" w:themeShade="80"/>
                <w:sz w:val="22"/>
                <w:szCs w:val="22"/>
                <w:lang w:val="es-MX"/>
              </w:rPr>
              <w:t>212</w:t>
            </w:r>
          </w:p>
        </w:tc>
      </w:tr>
    </w:tbl>
    <w:p w14:paraId="746C1088" w14:textId="6C3F4170" w:rsidR="00A02E84" w:rsidRPr="00232EBB" w:rsidRDefault="00A02E84" w:rsidP="00A02E84">
      <w:pPr>
        <w:spacing w:before="240" w:after="0" w:line="360" w:lineRule="auto"/>
        <w:ind w:right="-180"/>
        <w:jc w:val="both"/>
        <w:rPr>
          <w:rFonts w:eastAsia="Calibri"/>
          <w:noProof/>
          <w:color w:val="808080" w:themeColor="background1" w:themeShade="80"/>
          <w:sz w:val="18"/>
          <w:szCs w:val="18"/>
          <w:lang w:val="es-ES"/>
        </w:rPr>
      </w:pPr>
      <w:r w:rsidRPr="00232EBB">
        <w:rPr>
          <w:rFonts w:eastAsia="Calibri"/>
          <w:b/>
          <w:bCs/>
          <w:noProof/>
          <w:color w:val="808080" w:themeColor="background1" w:themeShade="80"/>
          <w:sz w:val="18"/>
          <w:szCs w:val="18"/>
          <w:lang w:val="es-ES"/>
        </w:rPr>
        <w:t>Tabla 1</w:t>
      </w:r>
      <w:r w:rsidR="003E1BC1" w:rsidRPr="00232EBB">
        <w:rPr>
          <w:rFonts w:eastAsia="Calibri"/>
          <w:b/>
          <w:bCs/>
          <w:noProof/>
          <w:color w:val="808080" w:themeColor="background1" w:themeShade="80"/>
          <w:sz w:val="18"/>
          <w:szCs w:val="18"/>
          <w:lang w:val="es-ES"/>
        </w:rPr>
        <w:t>4</w:t>
      </w:r>
      <w:r w:rsidRPr="00232EBB">
        <w:rPr>
          <w:rFonts w:eastAsia="Calibri"/>
          <w:b/>
          <w:bCs/>
          <w:noProof/>
          <w:color w:val="808080" w:themeColor="background1" w:themeShade="80"/>
          <w:sz w:val="18"/>
          <w:szCs w:val="18"/>
          <w:lang w:val="es-ES"/>
        </w:rPr>
        <w:t xml:space="preserve">: </w:t>
      </w:r>
      <w:r w:rsidRPr="00232EBB">
        <w:rPr>
          <w:rFonts w:eastAsia="Calibri"/>
          <w:noProof/>
          <w:color w:val="808080" w:themeColor="background1" w:themeShade="80"/>
          <w:sz w:val="18"/>
          <w:szCs w:val="18"/>
          <w:lang w:val="es-ES"/>
        </w:rPr>
        <w:t xml:space="preserve">Total de procesos publicados y adjudicados </w:t>
      </w:r>
      <w:r w:rsidR="0085502A" w:rsidRPr="00232EBB">
        <w:rPr>
          <w:rFonts w:eastAsia="Calibri"/>
          <w:noProof/>
          <w:color w:val="808080" w:themeColor="background1" w:themeShade="80"/>
          <w:sz w:val="18"/>
          <w:szCs w:val="18"/>
          <w:lang w:val="es-ES"/>
        </w:rPr>
        <w:t>al cierre de diciembre</w:t>
      </w:r>
      <w:r w:rsidRPr="00232EBB">
        <w:rPr>
          <w:rFonts w:eastAsia="Calibri"/>
          <w:noProof/>
          <w:color w:val="808080" w:themeColor="background1" w:themeShade="80"/>
          <w:sz w:val="18"/>
          <w:szCs w:val="18"/>
          <w:lang w:val="es-ES"/>
        </w:rPr>
        <w:t xml:space="preserve"> 202</w:t>
      </w:r>
      <w:r w:rsidR="0032575C" w:rsidRPr="00232EBB">
        <w:rPr>
          <w:rFonts w:eastAsia="Calibri"/>
          <w:noProof/>
          <w:color w:val="808080" w:themeColor="background1" w:themeShade="80"/>
          <w:sz w:val="18"/>
          <w:szCs w:val="18"/>
          <w:lang w:val="es-ES"/>
        </w:rPr>
        <w:t>5</w:t>
      </w:r>
      <w:r w:rsidRPr="00232EBB">
        <w:rPr>
          <w:rFonts w:eastAsia="Calibri"/>
          <w:noProof/>
          <w:color w:val="808080" w:themeColor="background1" w:themeShade="80"/>
          <w:sz w:val="18"/>
          <w:szCs w:val="18"/>
          <w:lang w:val="es-ES"/>
        </w:rPr>
        <w:t>.</w:t>
      </w:r>
    </w:p>
    <w:p w14:paraId="046D3512" w14:textId="77777777" w:rsidR="00013E91" w:rsidRPr="00232EBB" w:rsidRDefault="00013E91" w:rsidP="00013E91">
      <w:pPr>
        <w:spacing w:before="240" w:after="0" w:line="360" w:lineRule="auto"/>
        <w:ind w:right="-180"/>
        <w:jc w:val="both"/>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 xml:space="preserve">Esta ejecución de procesos se mide por medio de dos subindicadores, el primer Subindicador Gestión de Procesos, que mide que los procesos publicados se encuentran gestionados en el SECP, agotando cada una de </w:t>
      </w:r>
      <w:r w:rsidRPr="00232EBB">
        <w:rPr>
          <w:rFonts w:eastAsia="Calibri"/>
          <w:noProof/>
          <w:color w:val="808080" w:themeColor="background1" w:themeShade="80"/>
          <w:sz w:val="22"/>
          <w:szCs w:val="22"/>
          <w:lang w:val="es-MX"/>
        </w:rPr>
        <w:lastRenderedPageBreak/>
        <w:t xml:space="preserve">las etapas establecidas del cronograma, tiene una ponderación de 15 puntos. </w:t>
      </w:r>
    </w:p>
    <w:p w14:paraId="20846B94" w14:textId="33CEB611" w:rsidR="0032575C" w:rsidRPr="00232EBB" w:rsidRDefault="0032575C" w:rsidP="009333AD">
      <w:pPr>
        <w:spacing w:after="0" w:line="360" w:lineRule="auto"/>
        <w:rPr>
          <w:noProof/>
          <w:color w:val="808080" w:themeColor="background1" w:themeShade="80"/>
        </w:rPr>
      </w:pPr>
      <w:r w:rsidRPr="00232EBB">
        <w:rPr>
          <w:noProof/>
        </w:rPr>
        <w:drawing>
          <wp:inline distT="0" distB="0" distL="0" distR="0" wp14:anchorId="1C2B85AA" wp14:editId="7EC5560E">
            <wp:extent cx="4817110" cy="2657856"/>
            <wp:effectExtent l="0" t="0" r="0" b="0"/>
            <wp:docPr id="1932374799" name="Gráfico 1">
              <a:extLst xmlns:a="http://schemas.openxmlformats.org/drawingml/2006/main">
                <a:ext uri="{FF2B5EF4-FFF2-40B4-BE49-F238E27FC236}">
                  <a16:creationId xmlns:a16="http://schemas.microsoft.com/office/drawing/2014/main" id="{1C4B3233-2A78-2891-E170-98527AA93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301FD7" w14:textId="669CC136" w:rsidR="00A02E84" w:rsidRPr="00232EBB" w:rsidRDefault="00A02E84" w:rsidP="009333AD">
      <w:pPr>
        <w:spacing w:after="0" w:line="360" w:lineRule="auto"/>
        <w:rPr>
          <w:rFonts w:eastAsia="Calibri"/>
          <w:noProof/>
          <w:color w:val="808080" w:themeColor="background1" w:themeShade="80"/>
          <w:sz w:val="18"/>
          <w:szCs w:val="18"/>
          <w:lang w:val="es-ES"/>
        </w:rPr>
      </w:pPr>
      <w:r w:rsidRPr="00232EBB">
        <w:rPr>
          <w:rFonts w:eastAsia="Calibri"/>
          <w:b/>
          <w:bCs/>
          <w:noProof/>
          <w:color w:val="808080" w:themeColor="background1" w:themeShade="80"/>
          <w:sz w:val="18"/>
          <w:szCs w:val="18"/>
          <w:lang w:val="es-ES"/>
        </w:rPr>
        <w:t xml:space="preserve">Gráfico </w:t>
      </w:r>
      <w:r w:rsidR="000743EE" w:rsidRPr="00232EBB">
        <w:rPr>
          <w:rFonts w:eastAsia="Calibri"/>
          <w:b/>
          <w:bCs/>
          <w:noProof/>
          <w:color w:val="808080" w:themeColor="background1" w:themeShade="80"/>
          <w:sz w:val="18"/>
          <w:szCs w:val="18"/>
          <w:lang w:val="es-ES"/>
        </w:rPr>
        <w:t>6</w:t>
      </w:r>
      <w:r w:rsidRPr="00232EBB">
        <w:rPr>
          <w:rFonts w:eastAsia="Calibri"/>
          <w:b/>
          <w:bCs/>
          <w:noProof/>
          <w:color w:val="808080" w:themeColor="background1" w:themeShade="80"/>
          <w:sz w:val="18"/>
          <w:szCs w:val="18"/>
          <w:lang w:val="es-ES"/>
        </w:rPr>
        <w:t>:</w:t>
      </w:r>
      <w:r w:rsidR="0032575C" w:rsidRPr="00232EBB">
        <w:rPr>
          <w:rFonts w:eastAsia="Calibri"/>
          <w:b/>
          <w:bCs/>
          <w:noProof/>
          <w:color w:val="808080" w:themeColor="background1" w:themeShade="80"/>
          <w:sz w:val="18"/>
          <w:szCs w:val="18"/>
          <w:lang w:val="es-ES"/>
        </w:rPr>
        <w:t xml:space="preserve"> </w:t>
      </w:r>
      <w:r w:rsidRPr="00232EBB">
        <w:rPr>
          <w:rFonts w:eastAsia="Calibri"/>
          <w:noProof/>
          <w:color w:val="808080" w:themeColor="background1" w:themeShade="80"/>
          <w:sz w:val="18"/>
          <w:szCs w:val="18"/>
          <w:lang w:val="es-ES"/>
        </w:rPr>
        <w:t>Gestión de procesos</w:t>
      </w:r>
      <w:r w:rsidRPr="00232EBB">
        <w:rPr>
          <w:rFonts w:eastAsia="Calibri"/>
          <w:b/>
          <w:bCs/>
          <w:noProof/>
          <w:color w:val="808080" w:themeColor="background1" w:themeShade="80"/>
          <w:sz w:val="18"/>
          <w:szCs w:val="18"/>
          <w:lang w:val="es-ES"/>
        </w:rPr>
        <w:t xml:space="preserve"> </w:t>
      </w:r>
      <w:r w:rsidRPr="00232EBB">
        <w:rPr>
          <w:rFonts w:eastAsia="Calibri"/>
          <w:noProof/>
          <w:color w:val="808080" w:themeColor="background1" w:themeShade="80"/>
          <w:sz w:val="18"/>
          <w:szCs w:val="18"/>
          <w:lang w:val="es-ES"/>
        </w:rPr>
        <w:t xml:space="preserve">al </w:t>
      </w:r>
      <w:r w:rsidR="00E14CB6" w:rsidRPr="00232EBB">
        <w:rPr>
          <w:rFonts w:eastAsia="Calibri"/>
          <w:noProof/>
          <w:color w:val="808080" w:themeColor="background1" w:themeShade="80"/>
          <w:sz w:val="18"/>
          <w:szCs w:val="18"/>
          <w:lang w:val="es-ES"/>
        </w:rPr>
        <w:t>cierre del</w:t>
      </w:r>
      <w:r w:rsidR="001E21CC" w:rsidRPr="00232EBB">
        <w:rPr>
          <w:rFonts w:eastAsia="Calibri"/>
          <w:noProof/>
          <w:color w:val="808080" w:themeColor="background1" w:themeShade="80"/>
          <w:sz w:val="18"/>
          <w:szCs w:val="18"/>
          <w:lang w:val="es-ES"/>
        </w:rPr>
        <w:t xml:space="preserve"> </w:t>
      </w:r>
      <w:r w:rsidRPr="00232EBB">
        <w:rPr>
          <w:rFonts w:eastAsia="Calibri"/>
          <w:noProof/>
          <w:color w:val="808080" w:themeColor="background1" w:themeShade="80"/>
          <w:sz w:val="18"/>
          <w:szCs w:val="18"/>
          <w:lang w:val="es-ES"/>
        </w:rPr>
        <w:t>202</w:t>
      </w:r>
      <w:r w:rsidR="001E21CC" w:rsidRPr="00232EBB">
        <w:rPr>
          <w:rFonts w:eastAsia="Calibri"/>
          <w:noProof/>
          <w:color w:val="808080" w:themeColor="background1" w:themeShade="80"/>
          <w:sz w:val="18"/>
          <w:szCs w:val="18"/>
          <w:lang w:val="es-ES"/>
        </w:rPr>
        <w:t>5</w:t>
      </w:r>
      <w:r w:rsidRPr="00232EBB">
        <w:rPr>
          <w:rFonts w:eastAsia="Calibri"/>
          <w:noProof/>
          <w:color w:val="808080" w:themeColor="background1" w:themeShade="80"/>
          <w:sz w:val="18"/>
          <w:szCs w:val="18"/>
          <w:lang w:val="es-ES"/>
        </w:rPr>
        <w:t>.</w:t>
      </w:r>
    </w:p>
    <w:p w14:paraId="68AE57E4" w14:textId="77777777" w:rsidR="00E14CB6" w:rsidRPr="00232EBB" w:rsidRDefault="00E14CB6" w:rsidP="009333AD">
      <w:pPr>
        <w:spacing w:after="0" w:line="360" w:lineRule="auto"/>
        <w:rPr>
          <w:noProof/>
          <w:color w:val="808080" w:themeColor="background1" w:themeShade="80"/>
          <w:lang w:val="es-ES"/>
        </w:rPr>
      </w:pPr>
    </w:p>
    <w:p w14:paraId="4B6FB056" w14:textId="77777777" w:rsidR="001E21CC" w:rsidRPr="00232EBB" w:rsidRDefault="001E21CC" w:rsidP="0038526E">
      <w:pPr>
        <w:spacing w:line="360" w:lineRule="auto"/>
        <w:jc w:val="both"/>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 xml:space="preserve">El tercer subindicador, Tiempo de Gestión de Procesos, que mide que los procesos sean adjudicados según la fecha estimada de adjudicación establecida en el cronograma, con una ponderación de 15 puntos. </w:t>
      </w:r>
    </w:p>
    <w:p w14:paraId="0E9C2E58" w14:textId="487FD1D3" w:rsidR="001E21CC" w:rsidRPr="00232EBB" w:rsidRDefault="001E21CC" w:rsidP="0038526E">
      <w:pPr>
        <w:spacing w:line="360" w:lineRule="auto"/>
        <w:jc w:val="both"/>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Este indicador fue impactado durante el año 2025 con la actualización de la linea base del SISCOMPRAS, afectando en el primer trimestre.</w:t>
      </w:r>
    </w:p>
    <w:p w14:paraId="63911ECD" w14:textId="5B0001E6" w:rsidR="001E21CC" w:rsidRPr="00232EBB" w:rsidRDefault="001E21CC" w:rsidP="001E21CC">
      <w:pPr>
        <w:spacing w:before="240" w:after="0" w:line="360" w:lineRule="auto"/>
        <w:rPr>
          <w:rFonts w:eastAsia="Calibri"/>
          <w:noProof/>
          <w:color w:val="808080" w:themeColor="background1" w:themeShade="80"/>
          <w:sz w:val="22"/>
          <w:szCs w:val="22"/>
          <w:lang w:val="es-MX"/>
        </w:rPr>
      </w:pPr>
      <w:r w:rsidRPr="00232EBB">
        <w:rPr>
          <w:noProof/>
        </w:rPr>
        <w:drawing>
          <wp:inline distT="0" distB="0" distL="0" distR="0" wp14:anchorId="2A55AAA6" wp14:editId="73836586">
            <wp:extent cx="4724400" cy="2706624"/>
            <wp:effectExtent l="0" t="0" r="0" b="0"/>
            <wp:docPr id="249507259" name="Gráfico 1">
              <a:extLst xmlns:a="http://schemas.openxmlformats.org/drawingml/2006/main">
                <a:ext uri="{FF2B5EF4-FFF2-40B4-BE49-F238E27FC236}">
                  <a16:creationId xmlns:a16="http://schemas.microsoft.com/office/drawing/2014/main" id="{1C4B3233-2A78-2891-E170-98527AA93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7C86897" w14:textId="5D5A5343" w:rsidR="00A02E84" w:rsidRPr="00232EBB" w:rsidRDefault="00A02E84" w:rsidP="001E21CC">
      <w:pPr>
        <w:spacing w:before="240" w:after="0" w:line="360" w:lineRule="auto"/>
        <w:rPr>
          <w:rFonts w:eastAsia="Calibri"/>
          <w:noProof/>
          <w:color w:val="808080" w:themeColor="background1" w:themeShade="80"/>
          <w:sz w:val="18"/>
          <w:szCs w:val="18"/>
          <w:lang w:val="es-ES"/>
        </w:rPr>
      </w:pPr>
      <w:r w:rsidRPr="00232EBB">
        <w:rPr>
          <w:rFonts w:eastAsia="Calibri"/>
          <w:b/>
          <w:bCs/>
          <w:noProof/>
          <w:color w:val="808080" w:themeColor="background1" w:themeShade="80"/>
          <w:sz w:val="18"/>
          <w:szCs w:val="18"/>
          <w:lang w:val="es-ES"/>
        </w:rPr>
        <w:t xml:space="preserve">Gráfico </w:t>
      </w:r>
      <w:r w:rsidR="000743EE" w:rsidRPr="00232EBB">
        <w:rPr>
          <w:rFonts w:eastAsia="Calibri"/>
          <w:b/>
          <w:bCs/>
          <w:noProof/>
          <w:color w:val="808080" w:themeColor="background1" w:themeShade="80"/>
          <w:sz w:val="18"/>
          <w:szCs w:val="18"/>
          <w:lang w:val="es-ES"/>
        </w:rPr>
        <w:t>7</w:t>
      </w:r>
      <w:r w:rsidRPr="00232EBB">
        <w:rPr>
          <w:rFonts w:eastAsia="Calibri"/>
          <w:noProof/>
          <w:color w:val="808080" w:themeColor="background1" w:themeShade="80"/>
          <w:sz w:val="18"/>
          <w:szCs w:val="18"/>
          <w:lang w:val="es-ES"/>
        </w:rPr>
        <w:t xml:space="preserve">:Tiempo gestión de procesos al </w:t>
      </w:r>
      <w:r w:rsidR="00E14CB6" w:rsidRPr="00232EBB">
        <w:rPr>
          <w:rFonts w:eastAsia="Calibri"/>
          <w:noProof/>
          <w:color w:val="808080" w:themeColor="background1" w:themeShade="80"/>
          <w:sz w:val="18"/>
          <w:szCs w:val="18"/>
          <w:lang w:val="es-ES"/>
        </w:rPr>
        <w:t>cierre del</w:t>
      </w:r>
      <w:r w:rsidRPr="00232EBB">
        <w:rPr>
          <w:rFonts w:eastAsia="Calibri"/>
          <w:noProof/>
          <w:color w:val="808080" w:themeColor="background1" w:themeShade="80"/>
          <w:sz w:val="18"/>
          <w:szCs w:val="18"/>
          <w:lang w:val="es-ES"/>
        </w:rPr>
        <w:t xml:space="preserve"> 202</w:t>
      </w:r>
      <w:r w:rsidR="001E21CC" w:rsidRPr="00232EBB">
        <w:rPr>
          <w:rFonts w:eastAsia="Calibri"/>
          <w:noProof/>
          <w:color w:val="808080" w:themeColor="background1" w:themeShade="80"/>
          <w:sz w:val="18"/>
          <w:szCs w:val="18"/>
          <w:lang w:val="es-ES"/>
        </w:rPr>
        <w:t>5</w:t>
      </w:r>
      <w:r w:rsidRPr="00232EBB">
        <w:rPr>
          <w:rFonts w:eastAsia="Calibri"/>
          <w:noProof/>
          <w:color w:val="808080" w:themeColor="background1" w:themeShade="80"/>
          <w:sz w:val="18"/>
          <w:szCs w:val="18"/>
          <w:lang w:val="es-ES"/>
        </w:rPr>
        <w:t>.</w:t>
      </w:r>
    </w:p>
    <w:p w14:paraId="0D3DAA5B" w14:textId="2DDD273A" w:rsidR="001E21CC" w:rsidRPr="00232EBB" w:rsidRDefault="001E21CC" w:rsidP="001E21CC">
      <w:pPr>
        <w:spacing w:before="240" w:line="360" w:lineRule="auto"/>
        <w:jc w:val="both"/>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lastRenderedPageBreak/>
        <w:t xml:space="preserve">El porcentaje de montos adjudicados por modalidad de compras </w:t>
      </w:r>
      <w:r w:rsidR="00CC60F9" w:rsidRPr="00232EBB">
        <w:rPr>
          <w:rFonts w:eastAsia="Calibri"/>
          <w:noProof/>
          <w:color w:val="808080" w:themeColor="background1" w:themeShade="80"/>
          <w:sz w:val="22"/>
          <w:szCs w:val="22"/>
          <w:lang w:val="es-MX"/>
        </w:rPr>
        <w:t>s</w:t>
      </w:r>
      <w:r w:rsidRPr="00232EBB">
        <w:rPr>
          <w:rFonts w:eastAsia="Calibri"/>
          <w:noProof/>
          <w:color w:val="808080" w:themeColor="background1" w:themeShade="80"/>
          <w:sz w:val="22"/>
          <w:szCs w:val="22"/>
          <w:lang w:val="es-MX"/>
        </w:rPr>
        <w:t>e encuentra a continuación:</w:t>
      </w:r>
    </w:p>
    <w:p w14:paraId="7B388ED6" w14:textId="13B9EC89" w:rsidR="00A84E0E" w:rsidRPr="00232EBB" w:rsidRDefault="001E21CC" w:rsidP="00A84E0E">
      <w:pPr>
        <w:spacing w:after="0" w:line="360" w:lineRule="auto"/>
        <w:ind w:right="-180"/>
        <w:jc w:val="both"/>
        <w:rPr>
          <w:rFonts w:eastAsia="Calibri"/>
          <w:noProof/>
          <w:color w:val="808080" w:themeColor="background1" w:themeShade="80"/>
          <w:sz w:val="10"/>
          <w:szCs w:val="10"/>
          <w:lang w:val="es-MX"/>
        </w:rPr>
      </w:pPr>
      <w:r w:rsidRPr="00232EBB">
        <w:rPr>
          <w:noProof/>
        </w:rPr>
        <w:drawing>
          <wp:anchor distT="0" distB="0" distL="114300" distR="114300" simplePos="0" relativeHeight="251682852" behindDoc="0" locked="0" layoutInCell="1" allowOverlap="1" wp14:anchorId="11BD2700" wp14:editId="74B169DE">
            <wp:simplePos x="0" y="0"/>
            <wp:positionH relativeFrom="margin">
              <wp:posOffset>-128270</wp:posOffset>
            </wp:positionH>
            <wp:positionV relativeFrom="paragraph">
              <wp:posOffset>196215</wp:posOffset>
            </wp:positionV>
            <wp:extent cx="5095875" cy="3364865"/>
            <wp:effectExtent l="0" t="0" r="0" b="6985"/>
            <wp:wrapTopAndBottom/>
            <wp:docPr id="230839575" name="Gráfico 1">
              <a:extLst xmlns:a="http://schemas.openxmlformats.org/drawingml/2006/main">
                <a:ext uri="{FF2B5EF4-FFF2-40B4-BE49-F238E27FC236}">
                  <a16:creationId xmlns:a16="http://schemas.microsoft.com/office/drawing/2014/main" id="{20069FBC-1468-A4DF-5C06-F35F688189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213023D5" w14:textId="42B07B63" w:rsidR="00A02E84" w:rsidRPr="00232EBB" w:rsidRDefault="00A02E84" w:rsidP="00A02E84">
      <w:pPr>
        <w:spacing w:after="0" w:line="360" w:lineRule="auto"/>
        <w:ind w:right="-180"/>
        <w:jc w:val="both"/>
        <w:rPr>
          <w:rFonts w:eastAsia="Calibri"/>
          <w:noProof/>
          <w:color w:val="808080" w:themeColor="background1" w:themeShade="80"/>
          <w:sz w:val="18"/>
          <w:szCs w:val="18"/>
          <w:lang w:val="es-ES"/>
        </w:rPr>
      </w:pPr>
      <w:r w:rsidRPr="00232EBB">
        <w:rPr>
          <w:rFonts w:eastAsia="Calibri"/>
          <w:b/>
          <w:bCs/>
          <w:noProof/>
          <w:color w:val="808080" w:themeColor="background1" w:themeShade="80"/>
          <w:sz w:val="18"/>
          <w:szCs w:val="18"/>
          <w:lang w:val="es-ES"/>
        </w:rPr>
        <w:t xml:space="preserve">Gráfico </w:t>
      </w:r>
      <w:r w:rsidR="000743EE" w:rsidRPr="00232EBB">
        <w:rPr>
          <w:rFonts w:eastAsia="Calibri"/>
          <w:b/>
          <w:bCs/>
          <w:noProof/>
          <w:color w:val="808080" w:themeColor="background1" w:themeShade="80"/>
          <w:sz w:val="18"/>
          <w:szCs w:val="18"/>
          <w:lang w:val="es-ES"/>
        </w:rPr>
        <w:t>8</w:t>
      </w:r>
      <w:r w:rsidRPr="00232EBB">
        <w:rPr>
          <w:rFonts w:eastAsia="Calibri"/>
          <w:b/>
          <w:bCs/>
          <w:noProof/>
          <w:color w:val="808080" w:themeColor="background1" w:themeShade="80"/>
          <w:sz w:val="18"/>
          <w:szCs w:val="18"/>
          <w:lang w:val="es-ES"/>
        </w:rPr>
        <w:t>:</w:t>
      </w:r>
      <w:r w:rsidRPr="00232EBB">
        <w:rPr>
          <w:rFonts w:eastAsia="Calibri"/>
          <w:noProof/>
          <w:color w:val="808080" w:themeColor="background1" w:themeShade="80"/>
          <w:sz w:val="18"/>
          <w:szCs w:val="18"/>
          <w:lang w:val="es-ES"/>
        </w:rPr>
        <w:t xml:space="preserve"> </w:t>
      </w:r>
      <w:r w:rsidR="001E21CC" w:rsidRPr="00232EBB">
        <w:rPr>
          <w:rFonts w:eastAsia="Calibri"/>
          <w:noProof/>
          <w:color w:val="808080" w:themeColor="background1" w:themeShade="80"/>
          <w:sz w:val="18"/>
          <w:szCs w:val="18"/>
          <w:lang w:val="es-ES"/>
        </w:rPr>
        <w:t xml:space="preserve">Compras por modalidad al </w:t>
      </w:r>
      <w:r w:rsidR="00E14CB6" w:rsidRPr="00232EBB">
        <w:rPr>
          <w:rFonts w:eastAsia="Calibri"/>
          <w:noProof/>
          <w:color w:val="808080" w:themeColor="background1" w:themeShade="80"/>
          <w:sz w:val="18"/>
          <w:szCs w:val="18"/>
          <w:lang w:val="es-ES"/>
        </w:rPr>
        <w:t>cierre del</w:t>
      </w:r>
      <w:r w:rsidR="001E21CC" w:rsidRPr="00232EBB">
        <w:rPr>
          <w:rFonts w:eastAsia="Calibri"/>
          <w:noProof/>
          <w:color w:val="808080" w:themeColor="background1" w:themeShade="80"/>
          <w:sz w:val="18"/>
          <w:szCs w:val="18"/>
          <w:lang w:val="es-ES"/>
        </w:rPr>
        <w:t xml:space="preserve"> 2025.</w:t>
      </w:r>
    </w:p>
    <w:p w14:paraId="0835EF5B" w14:textId="77777777" w:rsidR="001E21CC" w:rsidRPr="00232EBB" w:rsidRDefault="001E21CC" w:rsidP="001E21CC">
      <w:pPr>
        <w:spacing w:before="240"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t xml:space="preserve">El siguiente subindicador, Administración de Contratos, consta de 3 aspectos cada uno con una ponderación de 10 puntos: Contratos Actualizados, Planes de Entrega Cargados y Contratos Concluidos. </w:t>
      </w:r>
    </w:p>
    <w:p w14:paraId="7FB158C2" w14:textId="46A0DEA4" w:rsidR="00C87087" w:rsidRPr="00232EBB" w:rsidRDefault="001E21CC" w:rsidP="001E21CC">
      <w:pPr>
        <w:rPr>
          <w:rFonts w:eastAsia="Calibri"/>
          <w:lang w:val="es-DO"/>
        </w:rPr>
      </w:pPr>
      <w:r w:rsidRPr="00232EBB">
        <w:rPr>
          <w:noProof/>
        </w:rPr>
        <w:drawing>
          <wp:inline distT="0" distB="0" distL="0" distR="0" wp14:anchorId="660B7B3B" wp14:editId="2DDBEB8C">
            <wp:extent cx="4817110" cy="2511552"/>
            <wp:effectExtent l="0" t="0" r="0" b="0"/>
            <wp:docPr id="1441094362" name="Gráfico 1">
              <a:extLst xmlns:a="http://schemas.openxmlformats.org/drawingml/2006/main">
                <a:ext uri="{FF2B5EF4-FFF2-40B4-BE49-F238E27FC236}">
                  <a16:creationId xmlns:a16="http://schemas.microsoft.com/office/drawing/2014/main" id="{1C4B3233-2A78-2891-E170-98527AA93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F61EF1" w14:textId="7EDE3C1F" w:rsidR="00A02E84" w:rsidRPr="00232EBB" w:rsidRDefault="00A02E84" w:rsidP="001C044F">
      <w:pPr>
        <w:spacing w:before="240" w:after="0" w:line="360" w:lineRule="auto"/>
        <w:jc w:val="both"/>
        <w:rPr>
          <w:rFonts w:eastAsia="Calibri"/>
          <w:b/>
          <w:bCs/>
          <w:noProof/>
          <w:color w:val="808080" w:themeColor="background1" w:themeShade="80"/>
          <w:lang w:val="es-ES"/>
        </w:rPr>
      </w:pPr>
      <w:r w:rsidRPr="00232EBB">
        <w:rPr>
          <w:rFonts w:eastAsia="Calibri"/>
          <w:b/>
          <w:bCs/>
          <w:noProof/>
          <w:color w:val="808080" w:themeColor="background1" w:themeShade="80"/>
          <w:sz w:val="18"/>
          <w:szCs w:val="18"/>
          <w:lang w:val="es-ES"/>
        </w:rPr>
        <w:t xml:space="preserve">Gráfico </w:t>
      </w:r>
      <w:r w:rsidR="000743EE" w:rsidRPr="00232EBB">
        <w:rPr>
          <w:rFonts w:eastAsia="Calibri"/>
          <w:b/>
          <w:bCs/>
          <w:noProof/>
          <w:color w:val="808080" w:themeColor="background1" w:themeShade="80"/>
          <w:sz w:val="18"/>
          <w:szCs w:val="18"/>
          <w:lang w:val="es-ES"/>
        </w:rPr>
        <w:t>9</w:t>
      </w:r>
      <w:r w:rsidRPr="00232EBB">
        <w:rPr>
          <w:rFonts w:eastAsia="Calibri"/>
          <w:b/>
          <w:bCs/>
          <w:noProof/>
          <w:color w:val="808080" w:themeColor="background1" w:themeShade="80"/>
          <w:sz w:val="18"/>
          <w:szCs w:val="18"/>
          <w:lang w:val="es-ES"/>
        </w:rPr>
        <w:t>:</w:t>
      </w:r>
      <w:r w:rsidRPr="00232EBB">
        <w:rPr>
          <w:rFonts w:eastAsia="Calibri"/>
          <w:noProof/>
          <w:color w:val="808080" w:themeColor="background1" w:themeShade="80"/>
          <w:sz w:val="18"/>
          <w:szCs w:val="18"/>
          <w:lang w:val="es-ES"/>
        </w:rPr>
        <w:t xml:space="preserve"> Gestión de administración de contratos Dirección Administrativa </w:t>
      </w:r>
      <w:r w:rsidR="00EE0F4F" w:rsidRPr="00232EBB">
        <w:rPr>
          <w:rFonts w:eastAsia="Calibri"/>
          <w:noProof/>
          <w:color w:val="808080" w:themeColor="background1" w:themeShade="80"/>
          <w:sz w:val="18"/>
          <w:szCs w:val="18"/>
          <w:lang w:val="es-ES"/>
        </w:rPr>
        <w:t xml:space="preserve">al </w:t>
      </w:r>
      <w:r w:rsidR="00E14CB6" w:rsidRPr="00232EBB">
        <w:rPr>
          <w:rFonts w:eastAsia="Calibri"/>
          <w:noProof/>
          <w:color w:val="808080" w:themeColor="background1" w:themeShade="80"/>
          <w:sz w:val="18"/>
          <w:szCs w:val="18"/>
          <w:lang w:val="es-ES"/>
        </w:rPr>
        <w:t>cierre del</w:t>
      </w:r>
      <w:r w:rsidRPr="00232EBB">
        <w:rPr>
          <w:rFonts w:eastAsia="Calibri"/>
          <w:noProof/>
          <w:color w:val="808080" w:themeColor="background1" w:themeShade="80"/>
          <w:sz w:val="18"/>
          <w:szCs w:val="18"/>
          <w:lang w:val="es-ES"/>
        </w:rPr>
        <w:t xml:space="preserve"> 202</w:t>
      </w:r>
      <w:r w:rsidR="001E21CC" w:rsidRPr="00232EBB">
        <w:rPr>
          <w:rFonts w:eastAsia="Calibri"/>
          <w:noProof/>
          <w:color w:val="808080" w:themeColor="background1" w:themeShade="80"/>
          <w:sz w:val="18"/>
          <w:szCs w:val="18"/>
          <w:lang w:val="es-ES"/>
        </w:rPr>
        <w:t>5</w:t>
      </w:r>
      <w:r w:rsidRPr="00232EBB">
        <w:rPr>
          <w:rFonts w:eastAsia="Calibri"/>
          <w:noProof/>
          <w:color w:val="808080" w:themeColor="background1" w:themeShade="80"/>
          <w:sz w:val="18"/>
          <w:szCs w:val="18"/>
          <w:lang w:val="es-ES"/>
        </w:rPr>
        <w:t>.</w:t>
      </w:r>
    </w:p>
    <w:p w14:paraId="29B0D7A8" w14:textId="77777777" w:rsidR="001E21CC" w:rsidRPr="00232EBB" w:rsidRDefault="001E21CC" w:rsidP="001E21CC">
      <w:pPr>
        <w:spacing w:before="240"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lastRenderedPageBreak/>
        <w:t>Por último, y para cumplir con las ponderaciones de procesos dirigidos a Compras a Mipymes y Mipymes Mujeres, con un total de 20 puntos, la Tesorería de la Seguridad Social.</w:t>
      </w:r>
    </w:p>
    <w:p w14:paraId="03818C1A" w14:textId="0B4A8F80" w:rsidR="001E21CC" w:rsidRPr="00232EBB" w:rsidRDefault="001E21CC" w:rsidP="00953914">
      <w:pPr>
        <w:spacing w:after="0" w:line="360" w:lineRule="auto"/>
        <w:ind w:right="26"/>
        <w:jc w:val="both"/>
        <w:rPr>
          <w:rFonts w:eastAsia="Calibri"/>
          <w:b/>
          <w:bCs/>
          <w:noProof/>
          <w:color w:val="808080" w:themeColor="background1" w:themeShade="80"/>
          <w:sz w:val="18"/>
          <w:szCs w:val="18"/>
          <w:lang w:val="es-MX"/>
        </w:rPr>
      </w:pPr>
      <w:r w:rsidRPr="00232EBB">
        <w:rPr>
          <w:noProof/>
        </w:rPr>
        <w:drawing>
          <wp:inline distT="0" distB="0" distL="0" distR="0" wp14:anchorId="466FE203" wp14:editId="21A58400">
            <wp:extent cx="4638675" cy="1999488"/>
            <wp:effectExtent l="0" t="0" r="0" b="0"/>
            <wp:docPr id="2067460190" name="Gráfico 1">
              <a:extLst xmlns:a="http://schemas.openxmlformats.org/drawingml/2006/main">
                <a:ext uri="{FF2B5EF4-FFF2-40B4-BE49-F238E27FC236}">
                  <a16:creationId xmlns:a16="http://schemas.microsoft.com/office/drawing/2014/main" id="{1C4B3233-2A78-2891-E170-98527AA93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309CA1" w14:textId="023BEF11" w:rsidR="0073369E" w:rsidRPr="00232EBB" w:rsidRDefault="0073369E" w:rsidP="00953914">
      <w:pPr>
        <w:spacing w:after="0" w:line="360" w:lineRule="auto"/>
        <w:ind w:right="26"/>
        <w:jc w:val="both"/>
        <w:rPr>
          <w:rFonts w:eastAsia="Calibri"/>
          <w:noProof/>
          <w:color w:val="808080" w:themeColor="background1" w:themeShade="80"/>
          <w:sz w:val="18"/>
          <w:szCs w:val="18"/>
          <w:lang w:val="es-ES"/>
        </w:rPr>
      </w:pPr>
      <w:r w:rsidRPr="00232EBB">
        <w:rPr>
          <w:rFonts w:eastAsia="Calibri"/>
          <w:b/>
          <w:bCs/>
          <w:noProof/>
          <w:color w:val="808080" w:themeColor="background1" w:themeShade="80"/>
          <w:sz w:val="18"/>
          <w:szCs w:val="18"/>
          <w:lang w:val="es-ES"/>
        </w:rPr>
        <w:t xml:space="preserve">Gráfico </w:t>
      </w:r>
      <w:r w:rsidR="00DE5E63" w:rsidRPr="00232EBB">
        <w:rPr>
          <w:rFonts w:eastAsia="Calibri"/>
          <w:b/>
          <w:bCs/>
          <w:noProof/>
          <w:color w:val="808080" w:themeColor="background1" w:themeShade="80"/>
          <w:sz w:val="18"/>
          <w:szCs w:val="18"/>
          <w:lang w:val="es-ES"/>
        </w:rPr>
        <w:t>1</w:t>
      </w:r>
      <w:r w:rsidR="000743EE" w:rsidRPr="00232EBB">
        <w:rPr>
          <w:rFonts w:eastAsia="Calibri"/>
          <w:b/>
          <w:bCs/>
          <w:noProof/>
          <w:color w:val="808080" w:themeColor="background1" w:themeShade="80"/>
          <w:sz w:val="18"/>
          <w:szCs w:val="18"/>
          <w:lang w:val="es-ES"/>
        </w:rPr>
        <w:t>0</w:t>
      </w:r>
      <w:r w:rsidRPr="00232EBB">
        <w:rPr>
          <w:rFonts w:eastAsia="Calibri"/>
          <w:b/>
          <w:bCs/>
          <w:noProof/>
          <w:color w:val="808080" w:themeColor="background1" w:themeShade="80"/>
          <w:sz w:val="18"/>
          <w:szCs w:val="18"/>
          <w:lang w:val="es-ES"/>
        </w:rPr>
        <w:t>:</w:t>
      </w:r>
      <w:r w:rsidRPr="00232EBB">
        <w:rPr>
          <w:rFonts w:eastAsia="Calibri"/>
          <w:noProof/>
          <w:color w:val="808080" w:themeColor="background1" w:themeShade="80"/>
          <w:sz w:val="18"/>
          <w:szCs w:val="18"/>
          <w:lang w:val="es-ES"/>
        </w:rPr>
        <w:t xml:space="preserve"> Compras a Mipymes al </w:t>
      </w:r>
      <w:r w:rsidR="00E14CB6" w:rsidRPr="00232EBB">
        <w:rPr>
          <w:rFonts w:eastAsia="Calibri"/>
          <w:noProof/>
          <w:color w:val="808080" w:themeColor="background1" w:themeShade="80"/>
          <w:sz w:val="18"/>
          <w:szCs w:val="18"/>
          <w:lang w:val="es-ES"/>
        </w:rPr>
        <w:t>cierre del</w:t>
      </w:r>
      <w:r w:rsidRPr="00232EBB">
        <w:rPr>
          <w:rFonts w:eastAsia="Calibri"/>
          <w:noProof/>
          <w:color w:val="808080" w:themeColor="background1" w:themeShade="80"/>
          <w:sz w:val="18"/>
          <w:szCs w:val="18"/>
          <w:lang w:val="es-ES"/>
        </w:rPr>
        <w:t xml:space="preserve"> 2025</w:t>
      </w:r>
    </w:p>
    <w:p w14:paraId="12C2048E" w14:textId="1E23B29A" w:rsidR="004668C8" w:rsidRPr="00232EBB" w:rsidRDefault="004668C8" w:rsidP="004668C8">
      <w:pPr>
        <w:spacing w:before="240" w:line="360" w:lineRule="auto"/>
        <w:jc w:val="both"/>
        <w:rPr>
          <w:color w:val="7F7F7F" w:themeColor="text1" w:themeTint="80"/>
          <w:sz w:val="22"/>
          <w:szCs w:val="22"/>
          <w:lang w:val="es-MX"/>
        </w:rPr>
      </w:pPr>
      <w:r w:rsidRPr="00232EBB">
        <w:rPr>
          <w:color w:val="7F7F7F" w:themeColor="text1" w:themeTint="80"/>
          <w:lang w:val="es-MX"/>
        </w:rPr>
        <w:t xml:space="preserve">El 58% de estos procesos fueron adjudicados a </w:t>
      </w:r>
      <w:r w:rsidR="00247D12" w:rsidRPr="00232EBB">
        <w:rPr>
          <w:color w:val="7F7F7F" w:themeColor="text1" w:themeTint="80"/>
          <w:lang w:val="es-MX"/>
        </w:rPr>
        <w:t>MiPymes</w:t>
      </w:r>
      <w:r w:rsidRPr="00232EBB">
        <w:rPr>
          <w:color w:val="7F7F7F" w:themeColor="text1" w:themeTint="80"/>
          <w:lang w:val="es-MX"/>
        </w:rPr>
        <w:t xml:space="preserve"> y </w:t>
      </w:r>
      <w:r w:rsidR="00247D12" w:rsidRPr="00232EBB">
        <w:rPr>
          <w:color w:val="7F7F7F" w:themeColor="text1" w:themeTint="80"/>
          <w:lang w:val="es-DO"/>
        </w:rPr>
        <w:t>MiPymes</w:t>
      </w:r>
      <w:r w:rsidRPr="00232EBB">
        <w:rPr>
          <w:color w:val="7F7F7F" w:themeColor="text1" w:themeTint="80"/>
          <w:lang w:val="es-MX"/>
        </w:rPr>
        <w:t xml:space="preserve"> Mujer, mientras que el 42% fue adjudicado a las grandes empresas</w:t>
      </w:r>
      <w:r w:rsidRPr="00232EBB">
        <w:rPr>
          <w:color w:val="7F7F7F" w:themeColor="text1" w:themeTint="80"/>
          <w:sz w:val="22"/>
          <w:szCs w:val="22"/>
          <w:lang w:val="es-MX"/>
        </w:rPr>
        <w:t>.</w:t>
      </w:r>
    </w:p>
    <w:tbl>
      <w:tblPr>
        <w:tblW w:w="5593" w:type="dxa"/>
        <w:jc w:val="center"/>
        <w:tblCellMar>
          <w:left w:w="70" w:type="dxa"/>
          <w:right w:w="70" w:type="dxa"/>
        </w:tblCellMar>
        <w:tblLook w:val="04A0" w:firstRow="1" w:lastRow="0" w:firstColumn="1" w:lastColumn="0" w:noHBand="0" w:noVBand="1"/>
      </w:tblPr>
      <w:tblGrid>
        <w:gridCol w:w="2704"/>
        <w:gridCol w:w="2889"/>
      </w:tblGrid>
      <w:tr w:rsidR="004668C8" w:rsidRPr="00232EBB" w14:paraId="42448B99" w14:textId="77777777" w:rsidTr="00953914">
        <w:trPr>
          <w:trHeight w:val="397"/>
          <w:jc w:val="center"/>
        </w:trPr>
        <w:tc>
          <w:tcPr>
            <w:tcW w:w="2704"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090BEA9A" w14:textId="77777777" w:rsidR="004668C8" w:rsidRPr="00232EBB" w:rsidRDefault="004668C8" w:rsidP="0055368C">
            <w:pPr>
              <w:spacing w:after="0" w:line="240" w:lineRule="auto"/>
              <w:jc w:val="center"/>
              <w:rPr>
                <w:b/>
                <w:bCs/>
                <w:color w:val="FFFFFF" w:themeColor="background1"/>
                <w:lang w:val="es-MX"/>
              </w:rPr>
            </w:pPr>
            <w:r w:rsidRPr="00232EBB">
              <w:rPr>
                <w:b/>
                <w:bCs/>
                <w:color w:val="FFFFFF" w:themeColor="background1"/>
                <w:lang w:val="es-MX"/>
              </w:rPr>
              <w:t>Clasificación Empresarial</w:t>
            </w:r>
          </w:p>
        </w:tc>
        <w:tc>
          <w:tcPr>
            <w:tcW w:w="2889"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2933C620" w14:textId="77777777" w:rsidR="004668C8" w:rsidRPr="00232EBB" w:rsidRDefault="004668C8" w:rsidP="0055368C">
            <w:pPr>
              <w:spacing w:after="0" w:line="240" w:lineRule="auto"/>
              <w:jc w:val="center"/>
              <w:rPr>
                <w:b/>
                <w:bCs/>
                <w:color w:val="FFFFFF" w:themeColor="background1"/>
                <w:lang w:val="es-MX"/>
              </w:rPr>
            </w:pPr>
            <w:r w:rsidRPr="00232EBB">
              <w:rPr>
                <w:b/>
                <w:bCs/>
                <w:color w:val="FFFFFF" w:themeColor="background1"/>
                <w:lang w:val="es-MX"/>
              </w:rPr>
              <w:t>Total</w:t>
            </w:r>
          </w:p>
        </w:tc>
      </w:tr>
      <w:tr w:rsidR="004668C8" w:rsidRPr="00232EBB" w14:paraId="79812FA1" w14:textId="77777777" w:rsidTr="00953914">
        <w:trPr>
          <w:trHeight w:val="363"/>
          <w:jc w:val="center"/>
        </w:trPr>
        <w:tc>
          <w:tcPr>
            <w:tcW w:w="2704" w:type="dxa"/>
            <w:tcBorders>
              <w:top w:val="nil"/>
              <w:left w:val="single" w:sz="4" w:space="0" w:color="auto"/>
              <w:bottom w:val="single" w:sz="4" w:space="0" w:color="auto"/>
              <w:right w:val="single" w:sz="4" w:space="0" w:color="auto"/>
            </w:tcBorders>
            <w:noWrap/>
            <w:vAlign w:val="center"/>
            <w:hideMark/>
          </w:tcPr>
          <w:p w14:paraId="5AAC3B7B" w14:textId="77777777" w:rsidR="004668C8" w:rsidRPr="00232EBB" w:rsidRDefault="004668C8" w:rsidP="0055368C">
            <w:pPr>
              <w:spacing w:after="0" w:line="240" w:lineRule="auto"/>
              <w:jc w:val="center"/>
              <w:rPr>
                <w:color w:val="7F7F7F" w:themeColor="text1" w:themeTint="80"/>
                <w:lang w:val="es-MX"/>
              </w:rPr>
            </w:pPr>
            <w:r w:rsidRPr="00232EBB">
              <w:rPr>
                <w:color w:val="7F7F7F" w:themeColor="text1" w:themeTint="80"/>
                <w:lang w:val="es-MX"/>
              </w:rPr>
              <w:t>Grande</w:t>
            </w:r>
          </w:p>
        </w:tc>
        <w:tc>
          <w:tcPr>
            <w:tcW w:w="2889" w:type="dxa"/>
            <w:tcBorders>
              <w:top w:val="nil"/>
              <w:left w:val="nil"/>
              <w:bottom w:val="single" w:sz="4" w:space="0" w:color="auto"/>
              <w:right w:val="single" w:sz="4" w:space="0" w:color="auto"/>
            </w:tcBorders>
            <w:noWrap/>
            <w:vAlign w:val="center"/>
            <w:hideMark/>
          </w:tcPr>
          <w:p w14:paraId="1C72C1CA" w14:textId="77777777" w:rsidR="004668C8" w:rsidRPr="00232EBB" w:rsidRDefault="004668C8" w:rsidP="0055368C">
            <w:pPr>
              <w:spacing w:after="0" w:line="240" w:lineRule="auto"/>
              <w:jc w:val="center"/>
              <w:rPr>
                <w:color w:val="7F7F7F" w:themeColor="text1" w:themeTint="80"/>
                <w:lang w:val="es-MX"/>
              </w:rPr>
            </w:pPr>
            <w:r w:rsidRPr="00232EBB">
              <w:rPr>
                <w:color w:val="7F7F7F" w:themeColor="text1" w:themeTint="80"/>
                <w:lang w:val="es-MX"/>
              </w:rPr>
              <w:t>116,253,914.00</w:t>
            </w:r>
          </w:p>
        </w:tc>
      </w:tr>
      <w:tr w:rsidR="004668C8" w:rsidRPr="00232EBB" w14:paraId="51AC0E77" w14:textId="77777777" w:rsidTr="00953914">
        <w:trPr>
          <w:trHeight w:val="363"/>
          <w:jc w:val="center"/>
        </w:trPr>
        <w:tc>
          <w:tcPr>
            <w:tcW w:w="2704" w:type="dxa"/>
            <w:tcBorders>
              <w:top w:val="nil"/>
              <w:left w:val="single" w:sz="4" w:space="0" w:color="auto"/>
              <w:bottom w:val="single" w:sz="4" w:space="0" w:color="auto"/>
              <w:right w:val="single" w:sz="4" w:space="0" w:color="auto"/>
            </w:tcBorders>
            <w:noWrap/>
            <w:vAlign w:val="center"/>
            <w:hideMark/>
          </w:tcPr>
          <w:p w14:paraId="6C0D3E1A" w14:textId="77777777" w:rsidR="004668C8" w:rsidRPr="00232EBB" w:rsidRDefault="004668C8" w:rsidP="0055368C">
            <w:pPr>
              <w:spacing w:after="0" w:line="240" w:lineRule="auto"/>
              <w:jc w:val="center"/>
              <w:rPr>
                <w:color w:val="7F7F7F" w:themeColor="text1" w:themeTint="80"/>
                <w:lang w:val="es-MX"/>
              </w:rPr>
            </w:pPr>
            <w:r w:rsidRPr="00232EBB">
              <w:rPr>
                <w:color w:val="7F7F7F" w:themeColor="text1" w:themeTint="80"/>
                <w:lang w:val="es-MX"/>
              </w:rPr>
              <w:t>MIPYME</w:t>
            </w:r>
          </w:p>
        </w:tc>
        <w:tc>
          <w:tcPr>
            <w:tcW w:w="2889" w:type="dxa"/>
            <w:tcBorders>
              <w:top w:val="nil"/>
              <w:left w:val="nil"/>
              <w:bottom w:val="single" w:sz="4" w:space="0" w:color="auto"/>
              <w:right w:val="single" w:sz="4" w:space="0" w:color="auto"/>
            </w:tcBorders>
            <w:noWrap/>
            <w:vAlign w:val="center"/>
            <w:hideMark/>
          </w:tcPr>
          <w:p w14:paraId="53146D25" w14:textId="77777777" w:rsidR="004668C8" w:rsidRPr="00232EBB" w:rsidRDefault="004668C8" w:rsidP="0055368C">
            <w:pPr>
              <w:spacing w:after="0" w:line="240" w:lineRule="auto"/>
              <w:jc w:val="center"/>
              <w:rPr>
                <w:color w:val="7F7F7F" w:themeColor="text1" w:themeTint="80"/>
                <w:lang w:val="es-MX"/>
              </w:rPr>
            </w:pPr>
            <w:r w:rsidRPr="00232EBB">
              <w:rPr>
                <w:color w:val="7F7F7F" w:themeColor="text1" w:themeTint="80"/>
                <w:lang w:val="es-MX"/>
              </w:rPr>
              <w:t>104,470,097.00</w:t>
            </w:r>
          </w:p>
        </w:tc>
      </w:tr>
      <w:tr w:rsidR="004668C8" w:rsidRPr="00232EBB" w14:paraId="0AED1ECF" w14:textId="77777777" w:rsidTr="00953914">
        <w:trPr>
          <w:trHeight w:val="363"/>
          <w:jc w:val="center"/>
        </w:trPr>
        <w:tc>
          <w:tcPr>
            <w:tcW w:w="2704" w:type="dxa"/>
            <w:tcBorders>
              <w:top w:val="nil"/>
              <w:left w:val="single" w:sz="4" w:space="0" w:color="auto"/>
              <w:bottom w:val="single" w:sz="4" w:space="0" w:color="auto"/>
              <w:right w:val="single" w:sz="4" w:space="0" w:color="auto"/>
            </w:tcBorders>
            <w:noWrap/>
            <w:vAlign w:val="center"/>
            <w:hideMark/>
          </w:tcPr>
          <w:p w14:paraId="50B3C5E5" w14:textId="77777777" w:rsidR="004668C8" w:rsidRPr="00232EBB" w:rsidRDefault="004668C8" w:rsidP="0055368C">
            <w:pPr>
              <w:spacing w:after="0" w:line="240" w:lineRule="auto"/>
              <w:jc w:val="center"/>
              <w:rPr>
                <w:color w:val="7F7F7F" w:themeColor="text1" w:themeTint="80"/>
                <w:lang w:val="es-MX"/>
              </w:rPr>
            </w:pPr>
            <w:r w:rsidRPr="00232EBB">
              <w:rPr>
                <w:color w:val="7F7F7F" w:themeColor="text1" w:themeTint="80"/>
                <w:lang w:val="es-MX"/>
              </w:rPr>
              <w:t>MIPYME Mujer</w:t>
            </w:r>
          </w:p>
        </w:tc>
        <w:tc>
          <w:tcPr>
            <w:tcW w:w="2889" w:type="dxa"/>
            <w:tcBorders>
              <w:top w:val="nil"/>
              <w:left w:val="nil"/>
              <w:bottom w:val="single" w:sz="4" w:space="0" w:color="auto"/>
              <w:right w:val="single" w:sz="4" w:space="0" w:color="auto"/>
            </w:tcBorders>
            <w:noWrap/>
            <w:vAlign w:val="center"/>
            <w:hideMark/>
          </w:tcPr>
          <w:p w14:paraId="1BBBB3CA" w14:textId="77777777" w:rsidR="004668C8" w:rsidRPr="00232EBB" w:rsidRDefault="004668C8" w:rsidP="0055368C">
            <w:pPr>
              <w:spacing w:after="0" w:line="240" w:lineRule="auto"/>
              <w:jc w:val="center"/>
              <w:rPr>
                <w:color w:val="7F7F7F" w:themeColor="text1" w:themeTint="80"/>
                <w:lang w:val="es-MX"/>
              </w:rPr>
            </w:pPr>
            <w:r w:rsidRPr="00232EBB">
              <w:rPr>
                <w:color w:val="7F7F7F" w:themeColor="text1" w:themeTint="80"/>
                <w:lang w:val="es-MX"/>
              </w:rPr>
              <w:t>18,788,116.00</w:t>
            </w:r>
          </w:p>
        </w:tc>
      </w:tr>
      <w:tr w:rsidR="004668C8" w:rsidRPr="00232EBB" w14:paraId="39237EA4" w14:textId="77777777" w:rsidTr="00953914">
        <w:trPr>
          <w:trHeight w:val="363"/>
          <w:jc w:val="center"/>
        </w:trPr>
        <w:tc>
          <w:tcPr>
            <w:tcW w:w="2704" w:type="dxa"/>
            <w:tcBorders>
              <w:top w:val="nil"/>
              <w:left w:val="single" w:sz="4" w:space="0" w:color="auto"/>
              <w:bottom w:val="single" w:sz="4" w:space="0" w:color="auto"/>
              <w:right w:val="single" w:sz="4" w:space="0" w:color="auto"/>
            </w:tcBorders>
            <w:noWrap/>
            <w:vAlign w:val="center"/>
            <w:hideMark/>
          </w:tcPr>
          <w:p w14:paraId="45C3972F" w14:textId="77777777" w:rsidR="004668C8" w:rsidRPr="00232EBB" w:rsidRDefault="004668C8" w:rsidP="0055368C">
            <w:pPr>
              <w:spacing w:after="0" w:line="240" w:lineRule="auto"/>
              <w:jc w:val="center"/>
              <w:rPr>
                <w:b/>
                <w:bCs/>
                <w:color w:val="7F7F7F" w:themeColor="text1" w:themeTint="80"/>
                <w:lang w:val="es-MX"/>
              </w:rPr>
            </w:pPr>
            <w:r w:rsidRPr="00232EBB">
              <w:rPr>
                <w:b/>
                <w:bCs/>
                <w:color w:val="7F7F7F" w:themeColor="text1" w:themeTint="80"/>
                <w:lang w:val="es-MX"/>
              </w:rPr>
              <w:t>TOTAL</w:t>
            </w:r>
          </w:p>
        </w:tc>
        <w:tc>
          <w:tcPr>
            <w:tcW w:w="2889" w:type="dxa"/>
            <w:tcBorders>
              <w:top w:val="nil"/>
              <w:left w:val="nil"/>
              <w:bottom w:val="single" w:sz="4" w:space="0" w:color="auto"/>
              <w:right w:val="single" w:sz="4" w:space="0" w:color="auto"/>
            </w:tcBorders>
            <w:noWrap/>
            <w:vAlign w:val="center"/>
            <w:hideMark/>
          </w:tcPr>
          <w:p w14:paraId="7B8BB173" w14:textId="77777777" w:rsidR="004668C8" w:rsidRPr="00232EBB" w:rsidRDefault="004668C8" w:rsidP="0055368C">
            <w:pPr>
              <w:spacing w:after="0" w:line="240" w:lineRule="auto"/>
              <w:jc w:val="center"/>
              <w:rPr>
                <w:b/>
                <w:bCs/>
                <w:color w:val="7F7F7F" w:themeColor="text1" w:themeTint="80"/>
                <w:lang w:val="es-MX"/>
              </w:rPr>
            </w:pPr>
            <w:r w:rsidRPr="00232EBB">
              <w:rPr>
                <w:b/>
                <w:bCs/>
                <w:color w:val="7F7F7F" w:themeColor="text1" w:themeTint="80"/>
                <w:lang w:val="es-MX"/>
              </w:rPr>
              <w:t>239,512,127.00</w:t>
            </w:r>
          </w:p>
        </w:tc>
      </w:tr>
    </w:tbl>
    <w:p w14:paraId="45084B15" w14:textId="183694A5" w:rsidR="00BB6F13" w:rsidRPr="00232EBB" w:rsidRDefault="00AD6BE3" w:rsidP="00BB6F13">
      <w:pPr>
        <w:spacing w:before="240" w:after="0" w:line="360" w:lineRule="auto"/>
        <w:ind w:right="26"/>
        <w:jc w:val="both"/>
        <w:rPr>
          <w:rFonts w:eastAsia="Calibri"/>
          <w:noProof/>
          <w:color w:val="808080" w:themeColor="background1" w:themeShade="80"/>
          <w:sz w:val="18"/>
          <w:szCs w:val="18"/>
          <w:lang w:val="es-ES"/>
        </w:rPr>
      </w:pPr>
      <w:r w:rsidRPr="00232EBB">
        <w:rPr>
          <w:rFonts w:eastAsia="Calibri"/>
          <w:b/>
          <w:bCs/>
          <w:noProof/>
          <w:color w:val="808080" w:themeColor="background1" w:themeShade="80"/>
          <w:sz w:val="18"/>
          <w:szCs w:val="18"/>
          <w:lang w:val="es-ES"/>
        </w:rPr>
        <w:t>Tabla</w:t>
      </w:r>
      <w:r w:rsidR="001C044F" w:rsidRPr="00232EBB">
        <w:rPr>
          <w:rFonts w:eastAsia="Calibri"/>
          <w:b/>
          <w:bCs/>
          <w:noProof/>
          <w:color w:val="808080" w:themeColor="background1" w:themeShade="80"/>
          <w:sz w:val="18"/>
          <w:szCs w:val="18"/>
          <w:lang w:val="es-ES"/>
        </w:rPr>
        <w:t xml:space="preserve"> </w:t>
      </w:r>
      <w:r w:rsidRPr="00232EBB">
        <w:rPr>
          <w:rFonts w:eastAsia="Calibri"/>
          <w:b/>
          <w:bCs/>
          <w:noProof/>
          <w:color w:val="808080" w:themeColor="background1" w:themeShade="80"/>
          <w:sz w:val="18"/>
          <w:szCs w:val="18"/>
          <w:lang w:val="es-ES"/>
        </w:rPr>
        <w:t>1</w:t>
      </w:r>
      <w:r w:rsidR="003E1BC1" w:rsidRPr="00232EBB">
        <w:rPr>
          <w:rFonts w:eastAsia="Calibri"/>
          <w:b/>
          <w:bCs/>
          <w:noProof/>
          <w:color w:val="808080" w:themeColor="background1" w:themeShade="80"/>
          <w:sz w:val="18"/>
          <w:szCs w:val="18"/>
          <w:lang w:val="es-ES"/>
        </w:rPr>
        <w:t>5</w:t>
      </w:r>
      <w:r w:rsidRPr="00232EBB">
        <w:rPr>
          <w:rFonts w:eastAsia="Calibri"/>
          <w:b/>
          <w:bCs/>
          <w:noProof/>
          <w:color w:val="808080" w:themeColor="background1" w:themeShade="80"/>
          <w:sz w:val="18"/>
          <w:szCs w:val="18"/>
          <w:lang w:val="es-ES"/>
        </w:rPr>
        <w:t xml:space="preserve">: </w:t>
      </w:r>
      <w:r w:rsidRPr="00232EBB">
        <w:rPr>
          <w:rFonts w:eastAsia="Calibri"/>
          <w:noProof/>
          <w:color w:val="808080" w:themeColor="background1" w:themeShade="80"/>
          <w:sz w:val="18"/>
          <w:szCs w:val="18"/>
          <w:lang w:val="es-ES"/>
        </w:rPr>
        <w:t>Total de procesos publicados por tipo de empresa adjudicada por la Dirección Administrativa 202</w:t>
      </w:r>
      <w:r w:rsidR="004668C8" w:rsidRPr="00232EBB">
        <w:rPr>
          <w:rFonts w:eastAsia="Calibri"/>
          <w:noProof/>
          <w:color w:val="808080" w:themeColor="background1" w:themeShade="80"/>
          <w:sz w:val="18"/>
          <w:szCs w:val="18"/>
          <w:lang w:val="es-ES"/>
        </w:rPr>
        <w:t>5</w:t>
      </w:r>
      <w:r w:rsidRPr="00232EBB">
        <w:rPr>
          <w:rFonts w:eastAsia="Calibri"/>
          <w:noProof/>
          <w:color w:val="808080" w:themeColor="background1" w:themeShade="80"/>
          <w:sz w:val="18"/>
          <w:szCs w:val="18"/>
          <w:lang w:val="es-ES"/>
        </w:rPr>
        <w:t>.</w:t>
      </w:r>
    </w:p>
    <w:p w14:paraId="07C8CAF6" w14:textId="0258A6B3" w:rsidR="004668C8" w:rsidRPr="00232EBB" w:rsidRDefault="004668C8" w:rsidP="00BB6F13">
      <w:pPr>
        <w:spacing w:before="240" w:after="0" w:line="360" w:lineRule="auto"/>
        <w:ind w:right="26"/>
        <w:jc w:val="both"/>
        <w:rPr>
          <w:rFonts w:eastAsia="Calibri"/>
          <w:noProof/>
          <w:color w:val="808080" w:themeColor="background1" w:themeShade="80"/>
          <w:sz w:val="18"/>
          <w:szCs w:val="18"/>
          <w:lang w:val="es-ES"/>
        </w:rPr>
      </w:pPr>
      <w:r w:rsidRPr="00232EBB">
        <w:rPr>
          <w:noProof/>
        </w:rPr>
        <w:drawing>
          <wp:inline distT="0" distB="0" distL="0" distR="0" wp14:anchorId="1DFFD1F5" wp14:editId="55375685">
            <wp:extent cx="4669155" cy="1755648"/>
            <wp:effectExtent l="0" t="0" r="0" b="0"/>
            <wp:docPr id="197194034" name="Gráfico 1">
              <a:extLst xmlns:a="http://schemas.openxmlformats.org/drawingml/2006/main">
                <a:ext uri="{FF2B5EF4-FFF2-40B4-BE49-F238E27FC236}">
                  <a16:creationId xmlns:a16="http://schemas.microsoft.com/office/drawing/2014/main" id="{6FE18EB9-5BB3-5BDB-DA22-33936A072C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33A269D" w14:textId="300CB720" w:rsidR="00A02E84" w:rsidRPr="00232EBB" w:rsidRDefault="00A02E84" w:rsidP="002D008B">
      <w:pPr>
        <w:spacing w:after="0" w:line="360" w:lineRule="auto"/>
        <w:rPr>
          <w:rFonts w:eastAsia="Calibri"/>
          <w:noProof/>
          <w:color w:val="808080" w:themeColor="background1" w:themeShade="80"/>
          <w:sz w:val="18"/>
          <w:szCs w:val="18"/>
          <w:lang w:val="es-ES"/>
        </w:rPr>
      </w:pPr>
      <w:r w:rsidRPr="00232EBB">
        <w:rPr>
          <w:rFonts w:eastAsia="Calibri"/>
          <w:b/>
          <w:bCs/>
          <w:noProof/>
          <w:color w:val="808080" w:themeColor="background1" w:themeShade="80"/>
          <w:sz w:val="18"/>
          <w:szCs w:val="18"/>
          <w:lang w:val="es-ES"/>
        </w:rPr>
        <w:t xml:space="preserve">Gráfico </w:t>
      </w:r>
      <w:r w:rsidR="000743EE" w:rsidRPr="00232EBB">
        <w:rPr>
          <w:rFonts w:eastAsia="Calibri"/>
          <w:b/>
          <w:bCs/>
          <w:noProof/>
          <w:color w:val="808080" w:themeColor="background1" w:themeShade="80"/>
          <w:sz w:val="18"/>
          <w:szCs w:val="18"/>
          <w:lang w:val="es-ES"/>
        </w:rPr>
        <w:t>11</w:t>
      </w:r>
      <w:r w:rsidRPr="00232EBB">
        <w:rPr>
          <w:rFonts w:eastAsia="Calibri"/>
          <w:b/>
          <w:bCs/>
          <w:noProof/>
          <w:color w:val="808080" w:themeColor="background1" w:themeShade="80"/>
          <w:sz w:val="18"/>
          <w:szCs w:val="18"/>
          <w:lang w:val="es-ES"/>
        </w:rPr>
        <w:t>:</w:t>
      </w:r>
      <w:r w:rsidRPr="00232EBB">
        <w:rPr>
          <w:rFonts w:eastAsia="Calibri"/>
          <w:noProof/>
          <w:color w:val="808080" w:themeColor="background1" w:themeShade="80"/>
          <w:sz w:val="18"/>
          <w:szCs w:val="18"/>
          <w:lang w:val="es-ES"/>
        </w:rPr>
        <w:t xml:space="preserve"> </w:t>
      </w:r>
      <w:r w:rsidR="004668C8" w:rsidRPr="00232EBB">
        <w:rPr>
          <w:rFonts w:eastAsia="Calibri"/>
          <w:noProof/>
          <w:color w:val="808080" w:themeColor="background1" w:themeShade="80"/>
          <w:sz w:val="18"/>
          <w:szCs w:val="18"/>
          <w:lang w:val="es-ES"/>
        </w:rPr>
        <w:t>Compras por el tipo de empresa</w:t>
      </w:r>
      <w:r w:rsidR="00CC60F9" w:rsidRPr="00232EBB">
        <w:rPr>
          <w:rFonts w:eastAsia="Calibri"/>
          <w:noProof/>
          <w:color w:val="808080" w:themeColor="background1" w:themeShade="80"/>
          <w:sz w:val="18"/>
          <w:szCs w:val="18"/>
          <w:lang w:val="es-ES"/>
        </w:rPr>
        <w:t>.</w:t>
      </w:r>
    </w:p>
    <w:p w14:paraId="2ED6DF4E" w14:textId="38001E15" w:rsidR="004668C8" w:rsidRPr="00232EBB" w:rsidRDefault="004668C8" w:rsidP="004668C8">
      <w:pPr>
        <w:spacing w:before="240" w:line="360" w:lineRule="auto"/>
        <w:jc w:val="both"/>
        <w:rPr>
          <w:rFonts w:eastAsia="Calibri"/>
          <w:noProof/>
          <w:color w:val="7F7F7F" w:themeColor="text1" w:themeTint="80"/>
          <w:lang w:val="es-MX"/>
        </w:rPr>
      </w:pPr>
      <w:r w:rsidRPr="00232EBB">
        <w:rPr>
          <w:rFonts w:eastAsia="Calibri"/>
          <w:noProof/>
          <w:color w:val="808080" w:themeColor="background1" w:themeShade="80"/>
          <w:lang w:val="es-MX"/>
        </w:rPr>
        <w:lastRenderedPageBreak/>
        <w:t>Siguiendo el objetivo estratégico de orientar el desempeño de la institución hacia la sostenibilidad ambiental, hemos</w:t>
      </w:r>
      <w:r w:rsidRPr="00232EBB">
        <w:rPr>
          <w:rFonts w:eastAsia="Calibri"/>
          <w:noProof/>
          <w:color w:val="7F7F7F" w:themeColor="text1" w:themeTint="80"/>
          <w:lang w:val="es-MX"/>
        </w:rPr>
        <w:t xml:space="preserve"> publicado 27 procesos utilizando la metodología de compras sostenibles. </w:t>
      </w:r>
    </w:p>
    <w:tbl>
      <w:tblPr>
        <w:tblW w:w="7131" w:type="dxa"/>
        <w:tblInd w:w="445" w:type="dxa"/>
        <w:tblCellMar>
          <w:left w:w="70" w:type="dxa"/>
          <w:right w:w="70" w:type="dxa"/>
        </w:tblCellMar>
        <w:tblLook w:val="04A0" w:firstRow="1" w:lastRow="0" w:firstColumn="1" w:lastColumn="0" w:noHBand="0" w:noVBand="1"/>
      </w:tblPr>
      <w:tblGrid>
        <w:gridCol w:w="3150"/>
        <w:gridCol w:w="2220"/>
        <w:gridCol w:w="1761"/>
      </w:tblGrid>
      <w:tr w:rsidR="004668C8" w:rsidRPr="00232EBB" w14:paraId="5A8CF9B8" w14:textId="77777777" w:rsidTr="004668C8">
        <w:trPr>
          <w:trHeight w:val="800"/>
        </w:trPr>
        <w:tc>
          <w:tcPr>
            <w:tcW w:w="315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44188D5" w14:textId="77777777" w:rsidR="004668C8" w:rsidRPr="00232EBB" w:rsidRDefault="004668C8" w:rsidP="0055368C">
            <w:pPr>
              <w:spacing w:after="0" w:line="240" w:lineRule="auto"/>
              <w:jc w:val="center"/>
              <w:rPr>
                <w:rFonts w:eastAsia="Calibri"/>
                <w:noProof/>
                <w:color w:val="FFFFFF" w:themeColor="background1"/>
                <w:sz w:val="22"/>
                <w:szCs w:val="22"/>
                <w:lang w:val="es-MX"/>
              </w:rPr>
            </w:pPr>
            <w:r w:rsidRPr="00232EBB">
              <w:rPr>
                <w:rFonts w:eastAsia="Calibri"/>
                <w:noProof/>
                <w:color w:val="FFFFFF" w:themeColor="background1"/>
                <w:sz w:val="22"/>
                <w:szCs w:val="22"/>
                <w:lang w:val="es-MX"/>
              </w:rPr>
              <w:t>Modalidad</w:t>
            </w:r>
          </w:p>
        </w:tc>
        <w:tc>
          <w:tcPr>
            <w:tcW w:w="2220" w:type="dxa"/>
            <w:tcBorders>
              <w:top w:val="single" w:sz="4" w:space="0" w:color="auto"/>
              <w:left w:val="nil"/>
              <w:bottom w:val="single" w:sz="4" w:space="0" w:color="auto"/>
              <w:right w:val="single" w:sz="4" w:space="0" w:color="auto"/>
            </w:tcBorders>
            <w:shd w:val="clear" w:color="auto" w:fill="002060"/>
            <w:vAlign w:val="center"/>
            <w:hideMark/>
          </w:tcPr>
          <w:p w14:paraId="612B1085" w14:textId="77777777" w:rsidR="004668C8" w:rsidRPr="00232EBB" w:rsidRDefault="004668C8" w:rsidP="0055368C">
            <w:pPr>
              <w:spacing w:after="0" w:line="240" w:lineRule="auto"/>
              <w:jc w:val="center"/>
              <w:rPr>
                <w:rFonts w:eastAsia="Calibri"/>
                <w:noProof/>
                <w:color w:val="FFFFFF" w:themeColor="background1"/>
                <w:sz w:val="22"/>
                <w:szCs w:val="22"/>
                <w:lang w:val="es-MX"/>
              </w:rPr>
            </w:pPr>
            <w:r w:rsidRPr="00232EBB">
              <w:rPr>
                <w:rFonts w:eastAsia="Calibri"/>
                <w:noProof/>
                <w:color w:val="FFFFFF" w:themeColor="background1"/>
                <w:sz w:val="22"/>
                <w:szCs w:val="22"/>
                <w:lang w:val="es-MX"/>
              </w:rPr>
              <w:t>Cantidad de Procesos Adjudicados</w:t>
            </w:r>
          </w:p>
        </w:tc>
        <w:tc>
          <w:tcPr>
            <w:tcW w:w="1761" w:type="dxa"/>
            <w:tcBorders>
              <w:top w:val="single" w:sz="4" w:space="0" w:color="auto"/>
              <w:left w:val="nil"/>
              <w:bottom w:val="single" w:sz="4" w:space="0" w:color="auto"/>
              <w:right w:val="single" w:sz="4" w:space="0" w:color="auto"/>
            </w:tcBorders>
            <w:shd w:val="clear" w:color="auto" w:fill="002060"/>
            <w:vAlign w:val="center"/>
            <w:hideMark/>
          </w:tcPr>
          <w:p w14:paraId="4C25A08C" w14:textId="77777777" w:rsidR="004668C8" w:rsidRPr="00232EBB" w:rsidRDefault="004668C8" w:rsidP="0055368C">
            <w:pPr>
              <w:spacing w:after="0" w:line="240" w:lineRule="auto"/>
              <w:jc w:val="center"/>
              <w:rPr>
                <w:rFonts w:eastAsia="Calibri"/>
                <w:noProof/>
                <w:color w:val="FFFFFF" w:themeColor="background1"/>
                <w:sz w:val="22"/>
                <w:szCs w:val="22"/>
                <w:lang w:val="es-MX"/>
              </w:rPr>
            </w:pPr>
            <w:r w:rsidRPr="00232EBB">
              <w:rPr>
                <w:rFonts w:eastAsia="Calibri"/>
                <w:noProof/>
                <w:color w:val="FFFFFF" w:themeColor="background1"/>
                <w:sz w:val="22"/>
                <w:szCs w:val="22"/>
                <w:lang w:val="es-MX"/>
              </w:rPr>
              <w:t>Monto Total Adjudicado</w:t>
            </w:r>
          </w:p>
        </w:tc>
      </w:tr>
      <w:tr w:rsidR="004668C8" w:rsidRPr="00232EBB" w14:paraId="37D477A2" w14:textId="77777777" w:rsidTr="00604F8F">
        <w:trPr>
          <w:trHeight w:val="323"/>
        </w:trPr>
        <w:tc>
          <w:tcPr>
            <w:tcW w:w="3150" w:type="dxa"/>
            <w:tcBorders>
              <w:top w:val="nil"/>
              <w:left w:val="single" w:sz="4" w:space="0" w:color="auto"/>
              <w:bottom w:val="single" w:sz="4" w:space="0" w:color="auto"/>
              <w:right w:val="single" w:sz="4" w:space="0" w:color="auto"/>
            </w:tcBorders>
            <w:shd w:val="clear" w:color="000000" w:fill="FFFFFF"/>
            <w:noWrap/>
            <w:vAlign w:val="center"/>
            <w:hideMark/>
          </w:tcPr>
          <w:p w14:paraId="6D54E008" w14:textId="77777777" w:rsidR="004668C8" w:rsidRPr="00232EBB" w:rsidRDefault="004668C8" w:rsidP="0055368C">
            <w:pPr>
              <w:spacing w:after="0" w:line="240" w:lineRule="auto"/>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Compras Menores</w:t>
            </w:r>
          </w:p>
        </w:tc>
        <w:tc>
          <w:tcPr>
            <w:tcW w:w="2220" w:type="dxa"/>
            <w:tcBorders>
              <w:top w:val="nil"/>
              <w:left w:val="nil"/>
              <w:bottom w:val="single" w:sz="4" w:space="0" w:color="auto"/>
              <w:right w:val="single" w:sz="4" w:space="0" w:color="auto"/>
            </w:tcBorders>
            <w:noWrap/>
            <w:vAlign w:val="center"/>
            <w:hideMark/>
          </w:tcPr>
          <w:p w14:paraId="6C238B17" w14:textId="77777777" w:rsidR="004668C8" w:rsidRPr="00232EBB" w:rsidRDefault="004668C8" w:rsidP="00604F8F">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8</w:t>
            </w:r>
          </w:p>
        </w:tc>
        <w:tc>
          <w:tcPr>
            <w:tcW w:w="1761" w:type="dxa"/>
            <w:tcBorders>
              <w:top w:val="nil"/>
              <w:left w:val="nil"/>
              <w:bottom w:val="single" w:sz="4" w:space="0" w:color="auto"/>
              <w:right w:val="single" w:sz="4" w:space="0" w:color="auto"/>
            </w:tcBorders>
            <w:noWrap/>
            <w:vAlign w:val="center"/>
            <w:hideMark/>
          </w:tcPr>
          <w:p w14:paraId="2A9BD8AF" w14:textId="4A2E0460" w:rsidR="004668C8" w:rsidRPr="00232EBB" w:rsidRDefault="004668C8" w:rsidP="00604F8F">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4,037,401.03</w:t>
            </w:r>
          </w:p>
        </w:tc>
      </w:tr>
      <w:tr w:rsidR="004668C8" w:rsidRPr="00232EBB" w14:paraId="75568CC4" w14:textId="77777777" w:rsidTr="00604F8F">
        <w:trPr>
          <w:trHeight w:val="350"/>
        </w:trPr>
        <w:tc>
          <w:tcPr>
            <w:tcW w:w="3150" w:type="dxa"/>
            <w:tcBorders>
              <w:top w:val="nil"/>
              <w:left w:val="single" w:sz="4" w:space="0" w:color="auto"/>
              <w:bottom w:val="single" w:sz="4" w:space="0" w:color="auto"/>
              <w:right w:val="single" w:sz="4" w:space="0" w:color="auto"/>
            </w:tcBorders>
            <w:shd w:val="clear" w:color="000000" w:fill="FFFFFF"/>
            <w:noWrap/>
            <w:vAlign w:val="center"/>
            <w:hideMark/>
          </w:tcPr>
          <w:p w14:paraId="6CFE5552" w14:textId="77777777" w:rsidR="004668C8" w:rsidRPr="00232EBB" w:rsidRDefault="004668C8" w:rsidP="0055368C">
            <w:pPr>
              <w:spacing w:after="0" w:line="240" w:lineRule="auto"/>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Compras por Debajo del Umbral</w:t>
            </w:r>
          </w:p>
        </w:tc>
        <w:tc>
          <w:tcPr>
            <w:tcW w:w="2220" w:type="dxa"/>
            <w:tcBorders>
              <w:top w:val="nil"/>
              <w:left w:val="nil"/>
              <w:bottom w:val="single" w:sz="4" w:space="0" w:color="auto"/>
              <w:right w:val="single" w:sz="4" w:space="0" w:color="auto"/>
            </w:tcBorders>
            <w:noWrap/>
            <w:vAlign w:val="center"/>
            <w:hideMark/>
          </w:tcPr>
          <w:p w14:paraId="741C11F6" w14:textId="77777777" w:rsidR="004668C8" w:rsidRPr="00232EBB" w:rsidRDefault="004668C8" w:rsidP="00604F8F">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7</w:t>
            </w:r>
          </w:p>
        </w:tc>
        <w:tc>
          <w:tcPr>
            <w:tcW w:w="1761" w:type="dxa"/>
            <w:tcBorders>
              <w:top w:val="nil"/>
              <w:left w:val="nil"/>
              <w:bottom w:val="single" w:sz="4" w:space="0" w:color="auto"/>
              <w:right w:val="single" w:sz="4" w:space="0" w:color="auto"/>
            </w:tcBorders>
            <w:noWrap/>
            <w:vAlign w:val="center"/>
            <w:hideMark/>
          </w:tcPr>
          <w:p w14:paraId="73EA0F36" w14:textId="301604A8" w:rsidR="004668C8" w:rsidRPr="00232EBB" w:rsidRDefault="004668C8" w:rsidP="00604F8F">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825,795.52</w:t>
            </w:r>
          </w:p>
        </w:tc>
      </w:tr>
      <w:tr w:rsidR="004668C8" w:rsidRPr="00232EBB" w14:paraId="4EFEBBD4" w14:textId="77777777" w:rsidTr="00604F8F">
        <w:trPr>
          <w:trHeight w:val="350"/>
        </w:trPr>
        <w:tc>
          <w:tcPr>
            <w:tcW w:w="3150" w:type="dxa"/>
            <w:tcBorders>
              <w:top w:val="nil"/>
              <w:left w:val="single" w:sz="4" w:space="0" w:color="auto"/>
              <w:bottom w:val="single" w:sz="4" w:space="0" w:color="auto"/>
              <w:right w:val="single" w:sz="4" w:space="0" w:color="auto"/>
            </w:tcBorders>
            <w:shd w:val="clear" w:color="000000" w:fill="FFFFFF"/>
            <w:noWrap/>
            <w:vAlign w:val="center"/>
            <w:hideMark/>
          </w:tcPr>
          <w:p w14:paraId="146328AD" w14:textId="77777777" w:rsidR="004668C8" w:rsidRPr="00232EBB" w:rsidRDefault="004668C8" w:rsidP="0055368C">
            <w:pPr>
              <w:spacing w:after="0" w:line="240" w:lineRule="auto"/>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Licitación Pública Nacional</w:t>
            </w:r>
          </w:p>
        </w:tc>
        <w:tc>
          <w:tcPr>
            <w:tcW w:w="2220" w:type="dxa"/>
            <w:tcBorders>
              <w:top w:val="nil"/>
              <w:left w:val="nil"/>
              <w:bottom w:val="single" w:sz="4" w:space="0" w:color="auto"/>
              <w:right w:val="single" w:sz="4" w:space="0" w:color="auto"/>
            </w:tcBorders>
            <w:noWrap/>
            <w:vAlign w:val="center"/>
            <w:hideMark/>
          </w:tcPr>
          <w:p w14:paraId="3B1C36DC" w14:textId="77777777" w:rsidR="004668C8" w:rsidRPr="00232EBB" w:rsidRDefault="004668C8" w:rsidP="00604F8F">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w:t>
            </w:r>
          </w:p>
        </w:tc>
        <w:tc>
          <w:tcPr>
            <w:tcW w:w="1761" w:type="dxa"/>
            <w:tcBorders>
              <w:top w:val="nil"/>
              <w:left w:val="nil"/>
              <w:bottom w:val="single" w:sz="4" w:space="0" w:color="auto"/>
              <w:right w:val="single" w:sz="4" w:space="0" w:color="auto"/>
            </w:tcBorders>
            <w:noWrap/>
            <w:vAlign w:val="center"/>
            <w:hideMark/>
          </w:tcPr>
          <w:p w14:paraId="447170BC" w14:textId="194823E5" w:rsidR="004668C8" w:rsidRPr="00232EBB" w:rsidRDefault="004668C8" w:rsidP="00604F8F">
            <w:pPr>
              <w:spacing w:after="0" w:line="240" w:lineRule="auto"/>
              <w:jc w:val="center"/>
              <w:rPr>
                <w:rFonts w:eastAsia="Calibri"/>
                <w:noProof/>
                <w:color w:val="808080" w:themeColor="background1" w:themeShade="80"/>
                <w:sz w:val="22"/>
                <w:szCs w:val="22"/>
                <w:lang w:val="es-MX"/>
              </w:rPr>
            </w:pPr>
            <w:r w:rsidRPr="00232EBB">
              <w:rPr>
                <w:rFonts w:eastAsia="Calibri"/>
                <w:noProof/>
                <w:color w:val="808080" w:themeColor="background1" w:themeShade="80"/>
                <w:sz w:val="22"/>
                <w:szCs w:val="22"/>
                <w:lang w:val="es-MX"/>
              </w:rPr>
              <w:t>19,171,762.65</w:t>
            </w:r>
          </w:p>
        </w:tc>
      </w:tr>
    </w:tbl>
    <w:p w14:paraId="1D78A48F" w14:textId="33533B77" w:rsidR="004668C8" w:rsidRPr="00232EBB" w:rsidRDefault="004668C8" w:rsidP="00953914">
      <w:pPr>
        <w:spacing w:before="240" w:after="0" w:line="360" w:lineRule="auto"/>
        <w:ind w:right="-180"/>
        <w:rPr>
          <w:rFonts w:eastAsia="Calibri"/>
          <w:noProof/>
          <w:color w:val="808080" w:themeColor="background1" w:themeShade="80"/>
          <w:sz w:val="18"/>
          <w:szCs w:val="18"/>
          <w:lang w:val="es-ES"/>
        </w:rPr>
      </w:pPr>
      <w:r w:rsidRPr="00232EBB">
        <w:rPr>
          <w:rFonts w:eastAsia="Calibri"/>
          <w:b/>
          <w:bCs/>
          <w:noProof/>
          <w:color w:val="808080" w:themeColor="background1" w:themeShade="80"/>
          <w:sz w:val="18"/>
          <w:szCs w:val="18"/>
          <w:lang w:val="es-ES"/>
        </w:rPr>
        <w:t xml:space="preserve">Tabla </w:t>
      </w:r>
      <w:r w:rsidR="003E1BC1" w:rsidRPr="00232EBB">
        <w:rPr>
          <w:rFonts w:eastAsia="Calibri"/>
          <w:b/>
          <w:bCs/>
          <w:noProof/>
          <w:color w:val="808080" w:themeColor="background1" w:themeShade="80"/>
          <w:sz w:val="18"/>
          <w:szCs w:val="18"/>
          <w:lang w:val="es-ES"/>
        </w:rPr>
        <w:t>16</w:t>
      </w:r>
      <w:r w:rsidRPr="00232EBB">
        <w:rPr>
          <w:rFonts w:eastAsia="Calibri"/>
          <w:b/>
          <w:bCs/>
          <w:noProof/>
          <w:color w:val="808080" w:themeColor="background1" w:themeShade="80"/>
          <w:sz w:val="18"/>
          <w:szCs w:val="18"/>
          <w:lang w:val="es-ES"/>
        </w:rPr>
        <w:t xml:space="preserve">: </w:t>
      </w:r>
      <w:r w:rsidRPr="00232EBB">
        <w:rPr>
          <w:rFonts w:eastAsia="Calibri"/>
          <w:noProof/>
          <w:color w:val="808080" w:themeColor="background1" w:themeShade="80"/>
          <w:sz w:val="18"/>
          <w:szCs w:val="18"/>
          <w:lang w:val="es-ES"/>
        </w:rPr>
        <w:t>Compras verdes por la Dirección Administrativa</w:t>
      </w:r>
      <w:r w:rsidR="00CC60F9" w:rsidRPr="00232EBB">
        <w:rPr>
          <w:rFonts w:eastAsia="Calibri"/>
          <w:noProof/>
          <w:color w:val="808080" w:themeColor="background1" w:themeShade="80"/>
          <w:sz w:val="18"/>
          <w:szCs w:val="18"/>
          <w:lang w:val="es-ES"/>
        </w:rPr>
        <w:t>.</w:t>
      </w:r>
    </w:p>
    <w:p w14:paraId="3B00F57F" w14:textId="77777777" w:rsidR="004668C8" w:rsidRPr="00232EBB" w:rsidRDefault="004668C8" w:rsidP="002D008B">
      <w:pPr>
        <w:spacing w:after="0" w:line="360" w:lineRule="auto"/>
        <w:rPr>
          <w:rFonts w:eastAsia="Calibri"/>
          <w:noProof/>
          <w:color w:val="808080" w:themeColor="background1" w:themeShade="80"/>
          <w:sz w:val="18"/>
          <w:szCs w:val="18"/>
          <w:lang w:val="es-ES"/>
        </w:rPr>
      </w:pPr>
    </w:p>
    <w:p w14:paraId="3055D3A1" w14:textId="09203099" w:rsidR="00DB1AE3" w:rsidRPr="00232EBB" w:rsidRDefault="00DB1AE3" w:rsidP="005F0428">
      <w:pPr>
        <w:spacing w:after="0" w:line="360" w:lineRule="auto"/>
        <w:jc w:val="both"/>
        <w:rPr>
          <w:rFonts w:eastAsia="Calibri"/>
          <w:noProof/>
          <w:color w:val="808080" w:themeColor="background1" w:themeShade="80"/>
          <w:lang w:val="es-MX"/>
        </w:rPr>
      </w:pPr>
      <w:bookmarkStart w:id="116" w:name="_Hlk216083876"/>
      <w:bookmarkEnd w:id="113"/>
      <w:bookmarkEnd w:id="114"/>
      <w:r w:rsidRPr="00232EBB">
        <w:rPr>
          <w:rFonts w:eastAsia="Calibri"/>
          <w:noProof/>
          <w:color w:val="808080" w:themeColor="background1" w:themeShade="80"/>
          <w:lang w:val="es-MX"/>
        </w:rPr>
        <w:t>En la última medición disponible en el portal de la Dirección General de Contrataciones Públicas, en su calidad de Órgano Rector del Sistema Nacional de Compras (SNCC) hemos alcanzado una puntuación de 9</w:t>
      </w:r>
      <w:r w:rsidR="009E0777" w:rsidRPr="00232EBB">
        <w:rPr>
          <w:rFonts w:eastAsia="Calibri"/>
          <w:noProof/>
          <w:color w:val="808080" w:themeColor="background1" w:themeShade="80"/>
          <w:lang w:val="es-MX"/>
        </w:rPr>
        <w:t>4.53</w:t>
      </w:r>
      <w:r w:rsidRPr="00232EBB">
        <w:rPr>
          <w:rFonts w:eastAsia="Calibri"/>
          <w:noProof/>
          <w:color w:val="808080" w:themeColor="background1" w:themeShade="80"/>
          <w:lang w:val="es-MX"/>
        </w:rPr>
        <w:t>.%.</w:t>
      </w:r>
    </w:p>
    <w:p w14:paraId="2C5683DD" w14:textId="74D015F0" w:rsidR="00DB1AE3" w:rsidRPr="00232EBB" w:rsidRDefault="00BC0886" w:rsidP="00DB1AE3">
      <w:pPr>
        <w:pStyle w:val="NormalWeb"/>
      </w:pPr>
      <w:r w:rsidRPr="00232EBB">
        <w:rPr>
          <w:noProof/>
        </w:rPr>
        <w:drawing>
          <wp:inline distT="0" distB="0" distL="0" distR="0" wp14:anchorId="6DE67EE9" wp14:editId="62DBA7FE">
            <wp:extent cx="4914425" cy="3803904"/>
            <wp:effectExtent l="0" t="0" r="635" b="6350"/>
            <wp:docPr id="605450655" name="Picture 605450655"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50655" name="Picture 605450655" descr="A computer screen shot of a computer&#10;&#10;Description automatically generated"/>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0852" cy="3808878"/>
                    </a:xfrm>
                    <a:prstGeom prst="rect">
                      <a:avLst/>
                    </a:prstGeom>
                    <a:noFill/>
                    <a:ln>
                      <a:noFill/>
                    </a:ln>
                  </pic:spPr>
                </pic:pic>
              </a:graphicData>
            </a:graphic>
          </wp:inline>
        </w:drawing>
      </w:r>
    </w:p>
    <w:p w14:paraId="50812E4E" w14:textId="2BF6EE45" w:rsidR="00DB1AE3" w:rsidRPr="00232EBB" w:rsidRDefault="00DB1AE3" w:rsidP="00DB1AE3">
      <w:pPr>
        <w:pStyle w:val="Heading1"/>
        <w:jc w:val="both"/>
        <w:rPr>
          <w:rFonts w:cs="Times New Roman"/>
          <w:b w:val="0"/>
          <w:color w:val="808080" w:themeColor="background1" w:themeShade="80"/>
          <w:sz w:val="18"/>
          <w:szCs w:val="20"/>
          <w:lang w:val="es-ES"/>
        </w:rPr>
      </w:pPr>
      <w:bookmarkStart w:id="117" w:name="_Toc216952226"/>
      <w:r w:rsidRPr="00232EBB">
        <w:rPr>
          <w:rFonts w:cs="Times New Roman"/>
          <w:bCs/>
          <w:color w:val="808080" w:themeColor="background1" w:themeShade="80"/>
          <w:sz w:val="18"/>
          <w:szCs w:val="20"/>
          <w:lang w:val="es-ES"/>
        </w:rPr>
        <w:t>Imagen 1</w:t>
      </w:r>
      <w:r w:rsidRPr="00232EBB">
        <w:rPr>
          <w:rFonts w:cs="Times New Roman"/>
          <w:b w:val="0"/>
          <w:color w:val="808080" w:themeColor="background1" w:themeShade="80"/>
          <w:sz w:val="18"/>
          <w:szCs w:val="20"/>
          <w:lang w:val="es-ES"/>
        </w:rPr>
        <w:t xml:space="preserve">: Calificación Portal </w:t>
      </w:r>
      <w:r w:rsidR="00247D12" w:rsidRPr="00232EBB">
        <w:rPr>
          <w:rFonts w:cs="Times New Roman"/>
          <w:b w:val="0"/>
          <w:color w:val="808080" w:themeColor="background1" w:themeShade="80"/>
          <w:sz w:val="18"/>
          <w:szCs w:val="20"/>
          <w:lang w:val="es-ES"/>
        </w:rPr>
        <w:t>SISCOMPRAS</w:t>
      </w:r>
      <w:r w:rsidRPr="00232EBB">
        <w:rPr>
          <w:rFonts w:cs="Times New Roman"/>
          <w:b w:val="0"/>
          <w:color w:val="808080" w:themeColor="background1" w:themeShade="80"/>
          <w:sz w:val="18"/>
          <w:szCs w:val="20"/>
          <w:lang w:val="es-ES"/>
        </w:rPr>
        <w:t xml:space="preserve"> </w:t>
      </w:r>
      <w:r w:rsidR="006E5ACF" w:rsidRPr="00232EBB">
        <w:rPr>
          <w:rFonts w:cs="Times New Roman"/>
          <w:b w:val="0"/>
          <w:color w:val="808080" w:themeColor="background1" w:themeShade="80"/>
          <w:sz w:val="18"/>
          <w:szCs w:val="20"/>
          <w:lang w:val="es-ES"/>
        </w:rPr>
        <w:t>a diciembre</w:t>
      </w:r>
      <w:r w:rsidRPr="00232EBB">
        <w:rPr>
          <w:rFonts w:cs="Times New Roman"/>
          <w:b w:val="0"/>
          <w:color w:val="808080" w:themeColor="background1" w:themeShade="80"/>
          <w:sz w:val="18"/>
          <w:szCs w:val="20"/>
          <w:lang w:val="es-ES"/>
        </w:rPr>
        <w:t xml:space="preserve"> 2025.</w:t>
      </w:r>
      <w:bookmarkEnd w:id="117"/>
    </w:p>
    <w:p w14:paraId="48A64034" w14:textId="77777777" w:rsidR="006E5ACF" w:rsidRPr="00232EBB" w:rsidRDefault="006E5ACF" w:rsidP="006E5ACF">
      <w:pPr>
        <w:rPr>
          <w:lang w:val="es-ES"/>
        </w:rPr>
      </w:pPr>
    </w:p>
    <w:p w14:paraId="663E9F68" w14:textId="77777777" w:rsidR="00DB1AE3" w:rsidRPr="00094160" w:rsidRDefault="00DB1AE3" w:rsidP="00DB1AE3">
      <w:pPr>
        <w:spacing w:after="0" w:line="240" w:lineRule="auto"/>
        <w:rPr>
          <w:rFonts w:eastAsia="Times New Roman"/>
          <w:b/>
          <w:bCs/>
          <w:color w:val="000000"/>
          <w:spacing w:val="0"/>
          <w:sz w:val="22"/>
          <w:szCs w:val="22"/>
          <w:lang w:val="es-ES"/>
        </w:rPr>
      </w:pPr>
    </w:p>
    <w:tbl>
      <w:tblPr>
        <w:tblW w:w="7650" w:type="dxa"/>
        <w:shd w:val="clear" w:color="auto" w:fill="FFFFFF"/>
        <w:tblCellMar>
          <w:left w:w="0" w:type="dxa"/>
          <w:right w:w="0" w:type="dxa"/>
        </w:tblCellMar>
        <w:tblLook w:val="04A0" w:firstRow="1" w:lastRow="0" w:firstColumn="1" w:lastColumn="0" w:noHBand="0" w:noVBand="1"/>
      </w:tblPr>
      <w:tblGrid>
        <w:gridCol w:w="3150"/>
        <w:gridCol w:w="1125"/>
        <w:gridCol w:w="1125"/>
        <w:gridCol w:w="1125"/>
        <w:gridCol w:w="1125"/>
      </w:tblGrid>
      <w:tr w:rsidR="0076370C" w:rsidRPr="00094160" w14:paraId="6F6C139F" w14:textId="77777777" w:rsidTr="00836944">
        <w:trPr>
          <w:trHeight w:val="226"/>
        </w:trPr>
        <w:tc>
          <w:tcPr>
            <w:tcW w:w="3150" w:type="dxa"/>
            <w:tcBorders>
              <w:top w:val="single" w:sz="8" w:space="0" w:color="auto"/>
              <w:left w:val="single" w:sz="8" w:space="0" w:color="auto"/>
              <w:bottom w:val="single" w:sz="8" w:space="0" w:color="auto"/>
              <w:right w:val="single" w:sz="8" w:space="0" w:color="auto"/>
            </w:tcBorders>
            <w:shd w:val="clear" w:color="auto" w:fill="002060"/>
            <w:tcMar>
              <w:top w:w="15" w:type="dxa"/>
              <w:left w:w="15" w:type="dxa"/>
              <w:bottom w:w="0" w:type="dxa"/>
              <w:right w:w="15" w:type="dxa"/>
            </w:tcMar>
            <w:vAlign w:val="center"/>
            <w:hideMark/>
          </w:tcPr>
          <w:p w14:paraId="579683E5" w14:textId="77777777" w:rsidR="0076370C" w:rsidRPr="00094160" w:rsidRDefault="0076370C">
            <w:pPr>
              <w:pStyle w:val="elementtoproof"/>
              <w:jc w:val="center"/>
              <w:rPr>
                <w:rFonts w:ascii="Times New Roman" w:eastAsia="Times New Roman" w:hAnsi="Times New Roman" w:cs="Times New Roman"/>
                <w:b/>
                <w:bCs/>
                <w:color w:val="FFFFFF" w:themeColor="background1"/>
                <w:sz w:val="24"/>
                <w:szCs w:val="24"/>
                <w:lang w:val="es-DO"/>
              </w:rPr>
            </w:pPr>
            <w:r w:rsidRPr="00094160">
              <w:rPr>
                <w:rFonts w:ascii="Times New Roman" w:eastAsia="Times New Roman" w:hAnsi="Times New Roman" w:cs="Times New Roman"/>
                <w:b/>
                <w:bCs/>
                <w:color w:val="FFFFFF" w:themeColor="background1"/>
                <w:sz w:val="24"/>
                <w:szCs w:val="24"/>
                <w:lang w:val="es-DO"/>
              </w:rPr>
              <w:t>Puntuación SISCOMPRAS </w:t>
            </w:r>
          </w:p>
        </w:tc>
        <w:tc>
          <w:tcPr>
            <w:tcW w:w="1125" w:type="dxa"/>
            <w:tcBorders>
              <w:top w:val="single" w:sz="8" w:space="0" w:color="auto"/>
              <w:left w:val="nil"/>
              <w:bottom w:val="single" w:sz="8" w:space="0" w:color="auto"/>
              <w:right w:val="single" w:sz="8" w:space="0" w:color="auto"/>
            </w:tcBorders>
            <w:shd w:val="clear" w:color="auto" w:fill="002060"/>
            <w:tcMar>
              <w:top w:w="15" w:type="dxa"/>
              <w:left w:w="15" w:type="dxa"/>
              <w:bottom w:w="0" w:type="dxa"/>
              <w:right w:w="15" w:type="dxa"/>
            </w:tcMar>
            <w:vAlign w:val="center"/>
            <w:hideMark/>
          </w:tcPr>
          <w:p w14:paraId="444EBEA9" w14:textId="77777777" w:rsidR="0076370C" w:rsidRPr="00094160" w:rsidRDefault="0076370C">
            <w:pPr>
              <w:pStyle w:val="NormalWeb"/>
              <w:jc w:val="center"/>
              <w:rPr>
                <w:b/>
                <w:bCs/>
                <w:color w:val="242424"/>
              </w:rPr>
            </w:pPr>
            <w:r w:rsidRPr="00094160">
              <w:rPr>
                <w:b/>
                <w:bCs/>
                <w:color w:val="FFFFFF"/>
              </w:rPr>
              <w:t>T1</w:t>
            </w:r>
          </w:p>
        </w:tc>
        <w:tc>
          <w:tcPr>
            <w:tcW w:w="1125" w:type="dxa"/>
            <w:tcBorders>
              <w:top w:val="single" w:sz="8" w:space="0" w:color="auto"/>
              <w:left w:val="nil"/>
              <w:bottom w:val="single" w:sz="8" w:space="0" w:color="auto"/>
              <w:right w:val="single" w:sz="8" w:space="0" w:color="auto"/>
            </w:tcBorders>
            <w:shd w:val="clear" w:color="auto" w:fill="002060"/>
            <w:tcMar>
              <w:top w:w="15" w:type="dxa"/>
              <w:left w:w="15" w:type="dxa"/>
              <w:bottom w:w="0" w:type="dxa"/>
              <w:right w:w="15" w:type="dxa"/>
            </w:tcMar>
            <w:vAlign w:val="center"/>
            <w:hideMark/>
          </w:tcPr>
          <w:p w14:paraId="1BF52466" w14:textId="77777777" w:rsidR="0076370C" w:rsidRPr="00094160" w:rsidRDefault="0076370C">
            <w:pPr>
              <w:pStyle w:val="NormalWeb"/>
              <w:jc w:val="center"/>
              <w:rPr>
                <w:b/>
                <w:bCs/>
                <w:color w:val="242424"/>
              </w:rPr>
            </w:pPr>
            <w:r w:rsidRPr="00094160">
              <w:rPr>
                <w:b/>
                <w:bCs/>
                <w:color w:val="FFFFFF"/>
              </w:rPr>
              <w:t>T2</w:t>
            </w:r>
          </w:p>
        </w:tc>
        <w:tc>
          <w:tcPr>
            <w:tcW w:w="1125" w:type="dxa"/>
            <w:tcBorders>
              <w:top w:val="single" w:sz="8" w:space="0" w:color="auto"/>
              <w:left w:val="nil"/>
              <w:bottom w:val="single" w:sz="8" w:space="0" w:color="auto"/>
              <w:right w:val="single" w:sz="8" w:space="0" w:color="auto"/>
            </w:tcBorders>
            <w:shd w:val="clear" w:color="auto" w:fill="002060"/>
            <w:tcMar>
              <w:top w:w="15" w:type="dxa"/>
              <w:left w:w="15" w:type="dxa"/>
              <w:bottom w:w="0" w:type="dxa"/>
              <w:right w:w="15" w:type="dxa"/>
            </w:tcMar>
            <w:vAlign w:val="center"/>
            <w:hideMark/>
          </w:tcPr>
          <w:p w14:paraId="26823014" w14:textId="77777777" w:rsidR="0076370C" w:rsidRPr="00094160" w:rsidRDefault="0076370C">
            <w:pPr>
              <w:pStyle w:val="NormalWeb"/>
              <w:jc w:val="center"/>
              <w:rPr>
                <w:b/>
                <w:bCs/>
                <w:color w:val="242424"/>
              </w:rPr>
            </w:pPr>
            <w:r w:rsidRPr="00094160">
              <w:rPr>
                <w:b/>
                <w:bCs/>
                <w:color w:val="FFFFFF"/>
              </w:rPr>
              <w:t>T3</w:t>
            </w:r>
          </w:p>
        </w:tc>
        <w:tc>
          <w:tcPr>
            <w:tcW w:w="1125" w:type="dxa"/>
            <w:tcBorders>
              <w:top w:val="single" w:sz="8" w:space="0" w:color="auto"/>
              <w:left w:val="nil"/>
              <w:bottom w:val="single" w:sz="8" w:space="0" w:color="auto"/>
              <w:right w:val="single" w:sz="8" w:space="0" w:color="auto"/>
            </w:tcBorders>
            <w:shd w:val="clear" w:color="auto" w:fill="002060"/>
            <w:tcMar>
              <w:top w:w="15" w:type="dxa"/>
              <w:left w:w="15" w:type="dxa"/>
              <w:bottom w:w="0" w:type="dxa"/>
              <w:right w:w="15" w:type="dxa"/>
            </w:tcMar>
            <w:vAlign w:val="center"/>
            <w:hideMark/>
          </w:tcPr>
          <w:p w14:paraId="6B7B2CA1" w14:textId="77777777" w:rsidR="0076370C" w:rsidRPr="00094160" w:rsidRDefault="0076370C">
            <w:pPr>
              <w:pStyle w:val="NormalWeb"/>
              <w:jc w:val="center"/>
              <w:rPr>
                <w:b/>
                <w:bCs/>
                <w:color w:val="242424"/>
              </w:rPr>
            </w:pPr>
            <w:r w:rsidRPr="00094160">
              <w:rPr>
                <w:b/>
                <w:bCs/>
                <w:color w:val="FFFFFF"/>
              </w:rPr>
              <w:t>T4</w:t>
            </w:r>
          </w:p>
        </w:tc>
      </w:tr>
      <w:tr w:rsidR="0076370C" w:rsidRPr="00232EBB" w14:paraId="43453006" w14:textId="77777777" w:rsidTr="00836944">
        <w:trPr>
          <w:trHeight w:val="226"/>
        </w:trPr>
        <w:tc>
          <w:tcPr>
            <w:tcW w:w="315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039B3C6" w14:textId="77777777" w:rsidR="0076370C" w:rsidRPr="00232EBB" w:rsidRDefault="0076370C">
            <w:pPr>
              <w:pStyle w:val="NormalWeb"/>
              <w:jc w:val="center"/>
              <w:rPr>
                <w:color w:val="242424"/>
              </w:rPr>
            </w:pPr>
            <w:r w:rsidRPr="00232EBB">
              <w:rPr>
                <w:color w:val="808080"/>
              </w:rPr>
              <w:t>Planificación Compras</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0B273E4" w14:textId="77777777" w:rsidR="0076370C" w:rsidRPr="00232EBB" w:rsidRDefault="0076370C">
            <w:pPr>
              <w:pStyle w:val="NormalWeb"/>
              <w:jc w:val="center"/>
              <w:rPr>
                <w:color w:val="242424"/>
              </w:rPr>
            </w:pPr>
            <w:r w:rsidRPr="00232EBB">
              <w:rPr>
                <w:color w:val="808080"/>
              </w:rPr>
              <w:t>18.87</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914DE2D" w14:textId="77777777" w:rsidR="0076370C" w:rsidRPr="00232EBB" w:rsidRDefault="0076370C">
            <w:pPr>
              <w:pStyle w:val="NormalWeb"/>
              <w:jc w:val="center"/>
              <w:rPr>
                <w:color w:val="242424"/>
              </w:rPr>
            </w:pPr>
            <w:r w:rsidRPr="00232EBB">
              <w:rPr>
                <w:color w:val="808080"/>
              </w:rPr>
              <w:t>19.02</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09C30D9" w14:textId="77777777" w:rsidR="0076370C" w:rsidRPr="00232EBB" w:rsidRDefault="0076370C">
            <w:pPr>
              <w:pStyle w:val="NormalWeb"/>
              <w:jc w:val="center"/>
              <w:rPr>
                <w:color w:val="242424"/>
              </w:rPr>
            </w:pPr>
            <w:r w:rsidRPr="00232EBB">
              <w:rPr>
                <w:color w:val="808080"/>
              </w:rPr>
              <w:t>18.35</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30AE021" w14:textId="77777777" w:rsidR="0076370C" w:rsidRPr="00232EBB" w:rsidRDefault="0076370C">
            <w:pPr>
              <w:pStyle w:val="elementtoproof"/>
              <w:jc w:val="center"/>
              <w:rPr>
                <w:rFonts w:ascii="Times New Roman" w:hAnsi="Times New Roman" w:cs="Times New Roman"/>
                <w:color w:val="242424"/>
              </w:rPr>
            </w:pPr>
            <w:r w:rsidRPr="00232EBB">
              <w:rPr>
                <w:rFonts w:ascii="Times New Roman" w:hAnsi="Times New Roman" w:cs="Times New Roman"/>
                <w:color w:val="808080"/>
              </w:rPr>
              <w:t>19.15</w:t>
            </w:r>
          </w:p>
        </w:tc>
      </w:tr>
      <w:tr w:rsidR="0076370C" w:rsidRPr="00232EBB" w14:paraId="12E17879" w14:textId="77777777" w:rsidTr="00836944">
        <w:trPr>
          <w:trHeight w:val="226"/>
        </w:trPr>
        <w:tc>
          <w:tcPr>
            <w:tcW w:w="315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50502E72" w14:textId="77777777" w:rsidR="0076370C" w:rsidRPr="00232EBB" w:rsidRDefault="0076370C">
            <w:pPr>
              <w:pStyle w:val="NormalWeb"/>
              <w:jc w:val="center"/>
              <w:rPr>
                <w:color w:val="242424"/>
              </w:rPr>
            </w:pPr>
            <w:r w:rsidRPr="00232EBB">
              <w:rPr>
                <w:color w:val="808080"/>
              </w:rPr>
              <w:t>Gestión de Procesos</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F12A435" w14:textId="77777777" w:rsidR="0076370C" w:rsidRPr="00232EBB" w:rsidRDefault="0076370C">
            <w:pPr>
              <w:pStyle w:val="NormalWeb"/>
              <w:jc w:val="center"/>
              <w:rPr>
                <w:color w:val="242424"/>
              </w:rPr>
            </w:pPr>
            <w:r w:rsidRPr="00232EBB">
              <w:rPr>
                <w:color w:val="808080"/>
              </w:rPr>
              <w:t>15</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9324218" w14:textId="77777777" w:rsidR="0076370C" w:rsidRPr="00232EBB" w:rsidRDefault="0076370C">
            <w:pPr>
              <w:pStyle w:val="NormalWeb"/>
              <w:jc w:val="center"/>
              <w:rPr>
                <w:color w:val="242424"/>
              </w:rPr>
            </w:pPr>
            <w:r w:rsidRPr="00232EBB">
              <w:rPr>
                <w:color w:val="808080"/>
              </w:rPr>
              <w:t>15</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181E7F71" w14:textId="77777777" w:rsidR="0076370C" w:rsidRPr="00232EBB" w:rsidRDefault="0076370C">
            <w:pPr>
              <w:pStyle w:val="NormalWeb"/>
              <w:jc w:val="center"/>
              <w:rPr>
                <w:color w:val="242424"/>
              </w:rPr>
            </w:pPr>
            <w:r w:rsidRPr="00232EBB">
              <w:rPr>
                <w:color w:val="808080"/>
              </w:rPr>
              <w:t>14.68</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50BDB1B" w14:textId="77777777" w:rsidR="0076370C" w:rsidRPr="00232EBB" w:rsidRDefault="0076370C">
            <w:pPr>
              <w:pStyle w:val="elementtoproof"/>
              <w:jc w:val="center"/>
              <w:rPr>
                <w:rFonts w:ascii="Times New Roman" w:hAnsi="Times New Roman" w:cs="Times New Roman"/>
                <w:color w:val="242424"/>
              </w:rPr>
            </w:pPr>
            <w:r w:rsidRPr="00232EBB">
              <w:rPr>
                <w:rFonts w:ascii="Times New Roman" w:hAnsi="Times New Roman" w:cs="Times New Roman"/>
                <w:color w:val="808080"/>
              </w:rPr>
              <w:t>14.11</w:t>
            </w:r>
          </w:p>
        </w:tc>
      </w:tr>
      <w:tr w:rsidR="0076370C" w:rsidRPr="00232EBB" w14:paraId="1A045414" w14:textId="77777777" w:rsidTr="00836944">
        <w:trPr>
          <w:trHeight w:val="226"/>
        </w:trPr>
        <w:tc>
          <w:tcPr>
            <w:tcW w:w="315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6ED76F61" w14:textId="77777777" w:rsidR="0076370C" w:rsidRPr="00232EBB" w:rsidRDefault="0076370C">
            <w:pPr>
              <w:pStyle w:val="NormalWeb"/>
              <w:jc w:val="center"/>
              <w:rPr>
                <w:color w:val="242424"/>
              </w:rPr>
            </w:pPr>
            <w:r w:rsidRPr="00232EBB">
              <w:rPr>
                <w:color w:val="808080"/>
              </w:rPr>
              <w:t>Tiempo Gestión Procesos</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9D8C9A2" w14:textId="77777777" w:rsidR="0076370C" w:rsidRPr="00232EBB" w:rsidRDefault="0076370C">
            <w:pPr>
              <w:pStyle w:val="NormalWeb"/>
              <w:jc w:val="center"/>
              <w:rPr>
                <w:color w:val="242424"/>
              </w:rPr>
            </w:pPr>
            <w:r w:rsidRPr="00232EBB">
              <w:rPr>
                <w:color w:val="808080"/>
              </w:rPr>
              <w:t>8.37</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CBC2D2E" w14:textId="77777777" w:rsidR="0076370C" w:rsidRPr="00232EBB" w:rsidRDefault="0076370C">
            <w:pPr>
              <w:pStyle w:val="NormalWeb"/>
              <w:jc w:val="center"/>
              <w:rPr>
                <w:color w:val="242424"/>
              </w:rPr>
            </w:pPr>
            <w:r w:rsidRPr="00232EBB">
              <w:rPr>
                <w:color w:val="808080"/>
              </w:rPr>
              <w:t>14.54</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0A1E3C0B" w14:textId="77777777" w:rsidR="0076370C" w:rsidRPr="00232EBB" w:rsidRDefault="0076370C">
            <w:pPr>
              <w:pStyle w:val="NormalWeb"/>
              <w:jc w:val="center"/>
              <w:rPr>
                <w:color w:val="242424"/>
              </w:rPr>
            </w:pPr>
            <w:r w:rsidRPr="00232EBB">
              <w:rPr>
                <w:color w:val="808080"/>
              </w:rPr>
              <w:t>13.8</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44F22F10" w14:textId="77777777" w:rsidR="0076370C" w:rsidRPr="00232EBB" w:rsidRDefault="0076370C">
            <w:pPr>
              <w:pStyle w:val="elementtoproof"/>
              <w:jc w:val="center"/>
              <w:rPr>
                <w:rFonts w:ascii="Times New Roman" w:hAnsi="Times New Roman" w:cs="Times New Roman"/>
                <w:color w:val="242424"/>
              </w:rPr>
            </w:pPr>
            <w:r w:rsidRPr="00232EBB">
              <w:rPr>
                <w:rFonts w:ascii="Times New Roman" w:hAnsi="Times New Roman" w:cs="Times New Roman"/>
                <w:color w:val="808080"/>
              </w:rPr>
              <w:t>14.05</w:t>
            </w:r>
          </w:p>
        </w:tc>
      </w:tr>
      <w:tr w:rsidR="0076370C" w:rsidRPr="00232EBB" w14:paraId="60B9CD3B" w14:textId="77777777" w:rsidTr="00836944">
        <w:trPr>
          <w:trHeight w:val="226"/>
        </w:trPr>
        <w:tc>
          <w:tcPr>
            <w:tcW w:w="315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331A3FE2" w14:textId="77777777" w:rsidR="0076370C" w:rsidRPr="00232EBB" w:rsidRDefault="0076370C">
            <w:pPr>
              <w:pStyle w:val="NormalWeb"/>
              <w:jc w:val="center"/>
              <w:rPr>
                <w:color w:val="242424"/>
              </w:rPr>
            </w:pPr>
            <w:r w:rsidRPr="00232EBB">
              <w:rPr>
                <w:color w:val="808080"/>
              </w:rPr>
              <w:t>Administración Contratos</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111198EC" w14:textId="77777777" w:rsidR="0076370C" w:rsidRPr="00232EBB" w:rsidRDefault="0076370C">
            <w:pPr>
              <w:pStyle w:val="NormalWeb"/>
              <w:jc w:val="center"/>
              <w:rPr>
                <w:color w:val="242424"/>
              </w:rPr>
            </w:pPr>
            <w:r w:rsidRPr="00232EBB">
              <w:rPr>
                <w:color w:val="808080"/>
              </w:rPr>
              <w:t>29.69</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B2444B6" w14:textId="77777777" w:rsidR="0076370C" w:rsidRPr="00232EBB" w:rsidRDefault="0076370C">
            <w:pPr>
              <w:pStyle w:val="NormalWeb"/>
              <w:jc w:val="center"/>
              <w:rPr>
                <w:color w:val="242424"/>
              </w:rPr>
            </w:pPr>
            <w:r w:rsidRPr="00232EBB">
              <w:rPr>
                <w:color w:val="808080"/>
              </w:rPr>
              <w:t>27.89</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96CF60C" w14:textId="77777777" w:rsidR="0076370C" w:rsidRPr="00232EBB" w:rsidRDefault="0076370C">
            <w:pPr>
              <w:pStyle w:val="NormalWeb"/>
              <w:jc w:val="center"/>
              <w:rPr>
                <w:color w:val="242424"/>
              </w:rPr>
            </w:pPr>
            <w:r w:rsidRPr="00232EBB">
              <w:rPr>
                <w:color w:val="808080"/>
              </w:rPr>
              <w:t>29.35</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142814FC" w14:textId="77777777" w:rsidR="0076370C" w:rsidRPr="00232EBB" w:rsidRDefault="0076370C">
            <w:pPr>
              <w:pStyle w:val="elementtoproof"/>
              <w:jc w:val="center"/>
              <w:rPr>
                <w:rFonts w:ascii="Times New Roman" w:hAnsi="Times New Roman" w:cs="Times New Roman"/>
                <w:color w:val="242424"/>
              </w:rPr>
            </w:pPr>
            <w:r w:rsidRPr="00232EBB">
              <w:rPr>
                <w:rFonts w:ascii="Times New Roman" w:hAnsi="Times New Roman" w:cs="Times New Roman"/>
                <w:color w:val="808080"/>
              </w:rPr>
              <w:t>27.23</w:t>
            </w:r>
          </w:p>
        </w:tc>
      </w:tr>
      <w:tr w:rsidR="0076370C" w:rsidRPr="00232EBB" w14:paraId="4CBB915D" w14:textId="77777777" w:rsidTr="00836944">
        <w:trPr>
          <w:trHeight w:val="226"/>
        </w:trPr>
        <w:tc>
          <w:tcPr>
            <w:tcW w:w="315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5303276D" w14:textId="77777777" w:rsidR="0076370C" w:rsidRPr="00232EBB" w:rsidRDefault="0076370C">
            <w:pPr>
              <w:pStyle w:val="NormalWeb"/>
              <w:jc w:val="center"/>
              <w:rPr>
                <w:color w:val="242424"/>
              </w:rPr>
            </w:pPr>
            <w:r w:rsidRPr="00232EBB">
              <w:rPr>
                <w:color w:val="808080"/>
              </w:rPr>
              <w:t xml:space="preserve">Compras </w:t>
            </w:r>
            <w:proofErr w:type="spellStart"/>
            <w:r w:rsidRPr="00232EBB">
              <w:rPr>
                <w:color w:val="808080"/>
              </w:rPr>
              <w:t>Mipymes</w:t>
            </w:r>
            <w:proofErr w:type="spellEnd"/>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B0C5604" w14:textId="77777777" w:rsidR="0076370C" w:rsidRPr="00232EBB" w:rsidRDefault="0076370C">
            <w:pPr>
              <w:pStyle w:val="NormalWeb"/>
              <w:jc w:val="center"/>
              <w:rPr>
                <w:color w:val="242424"/>
              </w:rPr>
            </w:pPr>
            <w:r w:rsidRPr="00232EBB">
              <w:rPr>
                <w:color w:val="808080"/>
              </w:rPr>
              <w:t>18.34</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34CB3FD" w14:textId="77777777" w:rsidR="0076370C" w:rsidRPr="00232EBB" w:rsidRDefault="0076370C">
            <w:pPr>
              <w:pStyle w:val="NormalWeb"/>
              <w:jc w:val="center"/>
              <w:rPr>
                <w:color w:val="242424"/>
              </w:rPr>
            </w:pPr>
            <w:r w:rsidRPr="00232EBB">
              <w:rPr>
                <w:color w:val="808080"/>
              </w:rPr>
              <w:t>20</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10A1D744" w14:textId="77777777" w:rsidR="0076370C" w:rsidRPr="00232EBB" w:rsidRDefault="0076370C">
            <w:pPr>
              <w:pStyle w:val="NormalWeb"/>
              <w:jc w:val="center"/>
              <w:rPr>
                <w:color w:val="242424"/>
              </w:rPr>
            </w:pPr>
            <w:r w:rsidRPr="00232EBB">
              <w:rPr>
                <w:color w:val="808080"/>
              </w:rPr>
              <w:t>20</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BCC03D3" w14:textId="77777777" w:rsidR="0076370C" w:rsidRPr="00232EBB" w:rsidRDefault="0076370C">
            <w:pPr>
              <w:pStyle w:val="NormalWeb"/>
              <w:jc w:val="center"/>
              <w:rPr>
                <w:color w:val="242424"/>
              </w:rPr>
            </w:pPr>
            <w:r w:rsidRPr="00232EBB">
              <w:rPr>
                <w:color w:val="808080"/>
              </w:rPr>
              <w:t>20</w:t>
            </w:r>
          </w:p>
        </w:tc>
      </w:tr>
      <w:tr w:rsidR="0076370C" w:rsidRPr="00232EBB" w14:paraId="08372F6A" w14:textId="77777777" w:rsidTr="00836944">
        <w:trPr>
          <w:trHeight w:val="226"/>
        </w:trPr>
        <w:tc>
          <w:tcPr>
            <w:tcW w:w="315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52C48336" w14:textId="77777777" w:rsidR="0076370C" w:rsidRPr="00232EBB" w:rsidRDefault="0076370C">
            <w:pPr>
              <w:pStyle w:val="NormalWeb"/>
              <w:jc w:val="center"/>
              <w:rPr>
                <w:color w:val="242424"/>
              </w:rPr>
            </w:pPr>
            <w:r w:rsidRPr="00232EBB">
              <w:rPr>
                <w:color w:val="808080"/>
              </w:rPr>
              <w:t>TOTAL</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7EA9412" w14:textId="77777777" w:rsidR="0076370C" w:rsidRPr="00232EBB" w:rsidRDefault="0076370C">
            <w:pPr>
              <w:pStyle w:val="NormalWeb"/>
              <w:jc w:val="center"/>
              <w:rPr>
                <w:color w:val="242424"/>
              </w:rPr>
            </w:pPr>
            <w:r w:rsidRPr="00232EBB">
              <w:rPr>
                <w:b/>
                <w:bCs/>
                <w:color w:val="808080"/>
              </w:rPr>
              <w:t>89.98</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D3F4E21" w14:textId="77777777" w:rsidR="0076370C" w:rsidRPr="00232EBB" w:rsidRDefault="0076370C">
            <w:pPr>
              <w:pStyle w:val="NormalWeb"/>
              <w:jc w:val="center"/>
              <w:rPr>
                <w:color w:val="242424"/>
              </w:rPr>
            </w:pPr>
            <w:r w:rsidRPr="00232EBB">
              <w:rPr>
                <w:b/>
                <w:bCs/>
                <w:color w:val="808080"/>
              </w:rPr>
              <w:t>96.44</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0A52ECA" w14:textId="77777777" w:rsidR="0076370C" w:rsidRPr="00232EBB" w:rsidRDefault="0076370C">
            <w:pPr>
              <w:pStyle w:val="NormalWeb"/>
              <w:jc w:val="center"/>
              <w:rPr>
                <w:color w:val="242424"/>
              </w:rPr>
            </w:pPr>
            <w:r w:rsidRPr="00232EBB">
              <w:rPr>
                <w:b/>
                <w:bCs/>
                <w:color w:val="808080"/>
              </w:rPr>
              <w:t>96.19</w:t>
            </w:r>
          </w:p>
        </w:tc>
        <w:tc>
          <w:tcPr>
            <w:tcW w:w="1125"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C00DD51" w14:textId="77777777" w:rsidR="0076370C" w:rsidRPr="00232EBB" w:rsidRDefault="0076370C">
            <w:pPr>
              <w:pStyle w:val="elementtoproof"/>
              <w:jc w:val="center"/>
              <w:rPr>
                <w:rFonts w:ascii="Times New Roman" w:hAnsi="Times New Roman" w:cs="Times New Roman"/>
                <w:color w:val="242424"/>
              </w:rPr>
            </w:pPr>
            <w:r w:rsidRPr="00232EBB">
              <w:rPr>
                <w:rFonts w:ascii="Times New Roman" w:hAnsi="Times New Roman" w:cs="Times New Roman"/>
                <w:b/>
                <w:bCs/>
                <w:color w:val="808080"/>
              </w:rPr>
              <w:t>94.53</w:t>
            </w:r>
          </w:p>
        </w:tc>
      </w:tr>
    </w:tbl>
    <w:p w14:paraId="6C890DDD" w14:textId="339E8D4A" w:rsidR="00DB1AE3" w:rsidRPr="00232EBB" w:rsidRDefault="00DB1AE3" w:rsidP="00604F8F">
      <w:pPr>
        <w:rPr>
          <w:b/>
          <w:sz w:val="18"/>
          <w:szCs w:val="18"/>
          <w:lang w:val="es-MX"/>
        </w:rPr>
      </w:pPr>
      <w:r w:rsidRPr="00232EBB">
        <w:rPr>
          <w:b/>
          <w:bCs/>
          <w:noProof/>
          <w:sz w:val="18"/>
          <w:szCs w:val="18"/>
          <w:lang w:val="es-ES"/>
        </w:rPr>
        <w:t xml:space="preserve">Tabla </w:t>
      </w:r>
      <w:r w:rsidR="003E1BC1" w:rsidRPr="00232EBB">
        <w:rPr>
          <w:b/>
          <w:bCs/>
          <w:noProof/>
          <w:sz w:val="18"/>
          <w:szCs w:val="18"/>
          <w:lang w:val="es-ES"/>
        </w:rPr>
        <w:t>17</w:t>
      </w:r>
      <w:r w:rsidRPr="00232EBB">
        <w:rPr>
          <w:b/>
          <w:bCs/>
          <w:noProof/>
          <w:sz w:val="18"/>
          <w:szCs w:val="18"/>
          <w:lang w:val="es-ES"/>
        </w:rPr>
        <w:t>:</w:t>
      </w:r>
      <w:r w:rsidRPr="00232EBB">
        <w:rPr>
          <w:noProof/>
          <w:sz w:val="18"/>
          <w:szCs w:val="18"/>
          <w:lang w:val="es-ES"/>
        </w:rPr>
        <w:t xml:space="preserve"> Compras verdes por la Dirección Administrativa desde enero hasta </w:t>
      </w:r>
      <w:r w:rsidR="006E5ACF" w:rsidRPr="00232EBB">
        <w:rPr>
          <w:noProof/>
          <w:sz w:val="18"/>
          <w:szCs w:val="18"/>
          <w:lang w:val="es-ES"/>
        </w:rPr>
        <w:t>dic</w:t>
      </w:r>
      <w:r w:rsidRPr="00232EBB">
        <w:rPr>
          <w:noProof/>
          <w:sz w:val="18"/>
          <w:szCs w:val="18"/>
          <w:lang w:val="es-ES"/>
        </w:rPr>
        <w:t>iembre del 2025</w:t>
      </w:r>
    </w:p>
    <w:p w14:paraId="19F1F8E1" w14:textId="4C204EDF" w:rsidR="004668C8" w:rsidRPr="00232EBB" w:rsidRDefault="004668C8" w:rsidP="004668C8">
      <w:pPr>
        <w:pStyle w:val="Heading1"/>
        <w:jc w:val="both"/>
        <w:rPr>
          <w:rFonts w:cs="Times New Roman"/>
          <w:bCs/>
          <w:color w:val="808080" w:themeColor="background1" w:themeShade="80"/>
          <w:sz w:val="24"/>
          <w:szCs w:val="24"/>
          <w:lang w:val="es-MX"/>
        </w:rPr>
      </w:pPr>
      <w:bookmarkStart w:id="118" w:name="_Toc216952227"/>
      <w:r w:rsidRPr="00232EBB">
        <w:rPr>
          <w:rFonts w:cs="Times New Roman"/>
          <w:bCs/>
          <w:color w:val="808080" w:themeColor="background1" w:themeShade="80"/>
          <w:sz w:val="24"/>
          <w:szCs w:val="24"/>
          <w:lang w:val="es-MX"/>
        </w:rPr>
        <w:t>Gestión Documental.</w:t>
      </w:r>
      <w:bookmarkEnd w:id="118"/>
    </w:p>
    <w:p w14:paraId="72E58C21" w14:textId="77777777" w:rsidR="004668C8" w:rsidRPr="00232EBB" w:rsidRDefault="004668C8" w:rsidP="004668C8">
      <w:pPr>
        <w:spacing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t xml:space="preserve">Con el enfoque estratégico de automatizar y digitalizar los procesos internos se ha logrado fortalecer las actividades del área de Gestión Documental. </w:t>
      </w:r>
    </w:p>
    <w:p w14:paraId="6B3DB743" w14:textId="77777777" w:rsidR="004668C8" w:rsidRPr="00232EBB" w:rsidRDefault="004668C8" w:rsidP="004668C8">
      <w:pPr>
        <w:spacing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t xml:space="preserve">Gracias a la digitalización de cada expediente, </w:t>
      </w:r>
      <w:r w:rsidRPr="00232EBB">
        <w:rPr>
          <w:rFonts w:eastAsia="Calibri"/>
          <w:noProof/>
          <w:color w:val="7F7F7F" w:themeColor="text1" w:themeTint="80"/>
          <w:lang w:val="es-MX"/>
        </w:rPr>
        <w:t xml:space="preserve">se han mantenido reducidas las solicitudes de préstamos de documentos físicos, teniendo solo (4) solicitudes en el año 2025. </w:t>
      </w:r>
      <w:r w:rsidRPr="00232EBB">
        <w:rPr>
          <w:rFonts w:eastAsia="Calibri"/>
          <w:noProof/>
          <w:color w:val="808080" w:themeColor="background1" w:themeShade="80"/>
          <w:lang w:val="es-MX"/>
        </w:rPr>
        <w:t>Esto contribuye en minimizar riesgos de extravío, optimizar tiempos de respuesta y ha tenido un impacto económico considerable ya que cada solicitud tradicional implicaba un pago al proveedor externo un costo aproximado de RD$1,365.26.</w:t>
      </w:r>
    </w:p>
    <w:p w14:paraId="39AC671F" w14:textId="77777777" w:rsidR="004668C8" w:rsidRPr="00232EBB" w:rsidRDefault="004668C8" w:rsidP="004668C8">
      <w:pPr>
        <w:spacing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t>Es importante aclarar que estas cuatro (4) solicitudes del año 2025 no corresponden a gestión interna, sino que fueron requeridas exclusivamente por tribunales, los cuales exigen de manera estricta la presentación de documentos en formato original, siendo esta la única razón por la que fue necesario el préstamo físico.</w:t>
      </w:r>
    </w:p>
    <w:p w14:paraId="25FCEBC0" w14:textId="77777777" w:rsidR="004668C8" w:rsidRPr="00232EBB" w:rsidRDefault="004668C8" w:rsidP="004668C8">
      <w:pPr>
        <w:spacing w:line="360" w:lineRule="auto"/>
        <w:jc w:val="center"/>
        <w:rPr>
          <w:rFonts w:eastAsia="Calibri"/>
          <w:noProof/>
          <w:color w:val="808080" w:themeColor="background1" w:themeShade="80"/>
          <w:sz w:val="22"/>
          <w:szCs w:val="22"/>
        </w:rPr>
      </w:pPr>
      <w:r w:rsidRPr="00232EBB">
        <w:rPr>
          <w:noProof/>
        </w:rPr>
        <w:drawing>
          <wp:inline distT="0" distB="0" distL="0" distR="0" wp14:anchorId="1813AA44" wp14:editId="75A9E2D2">
            <wp:extent cx="4467225" cy="1774209"/>
            <wp:effectExtent l="0" t="0" r="0" b="0"/>
            <wp:docPr id="646323858" name="Gráfico 1">
              <a:extLst xmlns:a="http://schemas.openxmlformats.org/drawingml/2006/main">
                <a:ext uri="{FF2B5EF4-FFF2-40B4-BE49-F238E27FC236}">
                  <a16:creationId xmlns:a16="http://schemas.microsoft.com/office/drawing/2014/main" id="{01F6617C-3146-9451-14E7-7CCDC9026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2ECF645" w14:textId="0B42CEBA" w:rsidR="004668C8" w:rsidRPr="00232EBB" w:rsidRDefault="004668C8" w:rsidP="004668C8">
      <w:pPr>
        <w:spacing w:line="360" w:lineRule="auto"/>
        <w:jc w:val="center"/>
        <w:rPr>
          <w:rFonts w:eastAsia="Calibri"/>
          <w:noProof/>
          <w:color w:val="808080" w:themeColor="background1" w:themeShade="80"/>
          <w:sz w:val="18"/>
          <w:szCs w:val="18"/>
          <w:lang w:val="es-MX"/>
        </w:rPr>
      </w:pPr>
      <w:r w:rsidRPr="00232EBB">
        <w:rPr>
          <w:rFonts w:eastAsia="Calibri"/>
          <w:b/>
          <w:bCs/>
          <w:noProof/>
          <w:color w:val="808080" w:themeColor="background1" w:themeShade="80"/>
          <w:sz w:val="18"/>
          <w:szCs w:val="18"/>
          <w:lang w:val="es-MX"/>
        </w:rPr>
        <w:lastRenderedPageBreak/>
        <w:t xml:space="preserve">Gráfico </w:t>
      </w:r>
      <w:r w:rsidR="000743EE" w:rsidRPr="00232EBB">
        <w:rPr>
          <w:rFonts w:eastAsia="Calibri"/>
          <w:b/>
          <w:bCs/>
          <w:noProof/>
          <w:color w:val="808080" w:themeColor="background1" w:themeShade="80"/>
          <w:sz w:val="18"/>
          <w:szCs w:val="18"/>
          <w:lang w:val="es-MX"/>
        </w:rPr>
        <w:t>12</w:t>
      </w:r>
      <w:r w:rsidRPr="00232EBB">
        <w:rPr>
          <w:rFonts w:eastAsia="Calibri"/>
          <w:noProof/>
          <w:color w:val="808080" w:themeColor="background1" w:themeShade="80"/>
          <w:sz w:val="18"/>
          <w:szCs w:val="18"/>
          <w:lang w:val="es-MX"/>
        </w:rPr>
        <w:t>: Comparativa de solicitudes de préstamos de documentos físicos.</w:t>
      </w:r>
    </w:p>
    <w:p w14:paraId="07B0A6E3" w14:textId="77777777" w:rsidR="004668C8" w:rsidRPr="00232EBB" w:rsidRDefault="004668C8" w:rsidP="004668C8">
      <w:pPr>
        <w:spacing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t>También se logró que el 100% de ls auditorías internas fueran realizadas mediante la consulta de documentos digitales. Facilitando el acceso simultáneo de varios usuarios a los documentos.</w:t>
      </w:r>
    </w:p>
    <w:p w14:paraId="1EFF02A5" w14:textId="77777777" w:rsidR="004668C8" w:rsidRPr="00232EBB" w:rsidRDefault="004668C8" w:rsidP="004668C8">
      <w:pPr>
        <w:spacing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t xml:space="preserve">Mediante el uso de un nuevo software de gestión documental (ProDoctivity), se ha eliminado procesos manuales y el uso de formularios fisícos, mejorando el control, trazabilidad y eficiencia en el manejo de los documentos. </w:t>
      </w:r>
    </w:p>
    <w:p w14:paraId="381545EA" w14:textId="77777777" w:rsidR="004668C8" w:rsidRPr="00232EBB" w:rsidRDefault="004668C8" w:rsidP="004668C8">
      <w:pPr>
        <w:spacing w:line="360" w:lineRule="auto"/>
        <w:jc w:val="both"/>
        <w:rPr>
          <w:rFonts w:eastAsia="Calibri"/>
          <w:noProof/>
          <w:color w:val="7F7F7F" w:themeColor="text1" w:themeTint="80"/>
          <w:lang w:val="es-MX"/>
        </w:rPr>
      </w:pPr>
      <w:r w:rsidRPr="00232EBB">
        <w:rPr>
          <w:rFonts w:eastAsia="Calibri"/>
          <w:noProof/>
          <w:color w:val="7F7F7F" w:themeColor="text1" w:themeTint="80"/>
          <w:lang w:val="es-MX"/>
        </w:rPr>
        <w:t>Se capacitó el 90% del personal del área de Gestión Documental logrando aumentar las competencias y profesionalismo en cuanto a procedimientos archivísticos.</w:t>
      </w:r>
    </w:p>
    <w:p w14:paraId="4E51D863" w14:textId="77777777" w:rsidR="004668C8" w:rsidRPr="00232EBB" w:rsidRDefault="004668C8" w:rsidP="004668C8">
      <w:pPr>
        <w:spacing w:line="360" w:lineRule="auto"/>
        <w:jc w:val="both"/>
        <w:rPr>
          <w:rFonts w:eastAsia="Calibri"/>
          <w:noProof/>
          <w:color w:val="7F7F7F" w:themeColor="text1" w:themeTint="80"/>
          <w:lang w:val="es-MX"/>
        </w:rPr>
      </w:pPr>
      <w:r w:rsidRPr="00232EBB">
        <w:rPr>
          <w:rFonts w:eastAsia="Calibri"/>
          <w:noProof/>
          <w:color w:val="7F7F7F" w:themeColor="text1" w:themeTint="80"/>
          <w:lang w:val="es-MX"/>
        </w:rPr>
        <w:t>Se ha cumplido con el 99% del calendario de transferencias documentales, mostrando una mejora constante en los procesos y planes realizados en el área.</w:t>
      </w:r>
    </w:p>
    <w:p w14:paraId="34E71B38" w14:textId="77777777" w:rsidR="004668C8" w:rsidRPr="00232EBB" w:rsidRDefault="004668C8" w:rsidP="004668C8">
      <w:pPr>
        <w:spacing w:line="360" w:lineRule="auto"/>
        <w:jc w:val="both"/>
        <w:rPr>
          <w:rFonts w:eastAsia="Calibri"/>
          <w:noProof/>
          <w:color w:val="7F7F7F" w:themeColor="text1" w:themeTint="80"/>
          <w:sz w:val="22"/>
          <w:szCs w:val="22"/>
        </w:rPr>
      </w:pPr>
      <w:r w:rsidRPr="00232EBB">
        <w:rPr>
          <w:noProof/>
        </w:rPr>
        <w:drawing>
          <wp:inline distT="0" distB="0" distL="0" distR="0" wp14:anchorId="1D7C1E5D" wp14:editId="6E861883">
            <wp:extent cx="4572000" cy="2743200"/>
            <wp:effectExtent l="0" t="0" r="0" b="0"/>
            <wp:docPr id="1889768487" name="Gráfico 1">
              <a:extLst xmlns:a="http://schemas.openxmlformats.org/drawingml/2006/main">
                <a:ext uri="{FF2B5EF4-FFF2-40B4-BE49-F238E27FC236}">
                  <a16:creationId xmlns:a16="http://schemas.microsoft.com/office/drawing/2014/main" id="{1C861594-F096-0A00-7F63-1C11798F78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10BF13D" w14:textId="42148BFA" w:rsidR="004668C8" w:rsidRPr="00232EBB" w:rsidRDefault="004668C8" w:rsidP="004668C8">
      <w:pPr>
        <w:spacing w:line="360" w:lineRule="auto"/>
        <w:jc w:val="center"/>
        <w:rPr>
          <w:rFonts w:eastAsia="Calibri"/>
          <w:noProof/>
          <w:color w:val="808080" w:themeColor="background1" w:themeShade="80"/>
          <w:sz w:val="18"/>
          <w:szCs w:val="18"/>
          <w:lang w:val="es-MX"/>
        </w:rPr>
      </w:pPr>
      <w:r w:rsidRPr="00232EBB">
        <w:rPr>
          <w:rFonts w:eastAsia="Calibri"/>
          <w:b/>
          <w:bCs/>
          <w:noProof/>
          <w:color w:val="808080" w:themeColor="background1" w:themeShade="80"/>
          <w:sz w:val="18"/>
          <w:szCs w:val="18"/>
          <w:lang w:val="es-MX"/>
        </w:rPr>
        <w:t xml:space="preserve">Grafico </w:t>
      </w:r>
      <w:r w:rsidR="000743EE" w:rsidRPr="00232EBB">
        <w:rPr>
          <w:rFonts w:eastAsia="Calibri"/>
          <w:b/>
          <w:bCs/>
          <w:noProof/>
          <w:color w:val="808080" w:themeColor="background1" w:themeShade="80"/>
          <w:sz w:val="18"/>
          <w:szCs w:val="18"/>
          <w:lang w:val="es-MX"/>
        </w:rPr>
        <w:t>13</w:t>
      </w:r>
      <w:r w:rsidRPr="00232EBB">
        <w:rPr>
          <w:rFonts w:eastAsia="Calibri"/>
          <w:noProof/>
          <w:color w:val="808080" w:themeColor="background1" w:themeShade="80"/>
          <w:sz w:val="18"/>
          <w:szCs w:val="18"/>
          <w:lang w:val="es-MX"/>
        </w:rPr>
        <w:t>: Comparativa del cumplimiento del calendario de transferencia.</w:t>
      </w:r>
    </w:p>
    <w:p w14:paraId="427F508F" w14:textId="77777777" w:rsidR="004668C8" w:rsidRPr="00232EBB" w:rsidRDefault="004668C8" w:rsidP="004668C8">
      <w:pPr>
        <w:spacing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t xml:space="preserve">Con la actualización de la resolución  Institucional 04-25 que crea el Sistema Institucional de Archivo y la Comisión de Evaluación </w:t>
      </w:r>
      <w:r w:rsidRPr="00232EBB">
        <w:rPr>
          <w:rFonts w:eastAsia="Calibri"/>
          <w:noProof/>
          <w:color w:val="808080" w:themeColor="background1" w:themeShade="80"/>
          <w:lang w:val="es-MX"/>
        </w:rPr>
        <w:lastRenderedPageBreak/>
        <w:t>Institucional se garantiza el cumplimiento de la normativa archivística vigente.</w:t>
      </w:r>
    </w:p>
    <w:p w14:paraId="294259E3" w14:textId="77777777" w:rsidR="004668C8" w:rsidRPr="00232EBB" w:rsidRDefault="004668C8" w:rsidP="004668C8">
      <w:pPr>
        <w:spacing w:line="360" w:lineRule="auto"/>
        <w:jc w:val="both"/>
        <w:rPr>
          <w:rFonts w:eastAsia="Calibri"/>
          <w:noProof/>
          <w:color w:val="808080" w:themeColor="background1" w:themeShade="80"/>
          <w:lang w:val="es-MX"/>
        </w:rPr>
      </w:pPr>
      <w:r w:rsidRPr="00232EBB">
        <w:rPr>
          <w:rFonts w:eastAsia="Calibri"/>
          <w:noProof/>
          <w:color w:val="808080" w:themeColor="background1" w:themeShade="80"/>
          <w:lang w:val="es-MX"/>
        </w:rPr>
        <w:t>En la nueva resolución, se establece una estructura funcional, participativa y transparente, otorgando a la Comisión un rol más activo, técnico y efectivo en los procesos de valoración, depuración y control documental. Este avance asegura una mayor institucionalidad, continuidad y eficiencia en la toma de decisiones relacionadas con la gestión y preservación del patrimonio documental.</w:t>
      </w:r>
    </w:p>
    <w:p w14:paraId="08AAAED1" w14:textId="7B30B6EF" w:rsidR="004668C8" w:rsidRPr="00232EBB" w:rsidRDefault="004668C8" w:rsidP="004668C8">
      <w:pPr>
        <w:spacing w:before="240" w:after="0" w:line="360" w:lineRule="auto"/>
        <w:ind w:right="-180"/>
        <w:jc w:val="both"/>
        <w:rPr>
          <w:rFonts w:eastAsia="Calibri"/>
          <w:b/>
          <w:bCs/>
          <w:noProof/>
          <w:color w:val="7F7F7F" w:themeColor="text1" w:themeTint="80"/>
          <w:lang w:val="es-MX"/>
        </w:rPr>
      </w:pPr>
      <w:r w:rsidRPr="00232EBB">
        <w:rPr>
          <w:rFonts w:eastAsia="Calibri"/>
          <w:b/>
          <w:bCs/>
          <w:noProof/>
          <w:color w:val="7F7F7F" w:themeColor="text1" w:themeTint="80"/>
          <w:lang w:val="es-MX"/>
        </w:rPr>
        <w:t>Mejora en  los espacios físicos a nivel institucional</w:t>
      </w:r>
    </w:p>
    <w:p w14:paraId="17014E49" w14:textId="77777777" w:rsidR="004668C8" w:rsidRPr="00232EBB" w:rsidRDefault="004668C8" w:rsidP="00836944">
      <w:pPr>
        <w:spacing w:line="360" w:lineRule="auto"/>
        <w:ind w:right="-180"/>
        <w:jc w:val="both"/>
        <w:rPr>
          <w:rFonts w:eastAsia="Calibri"/>
          <w:noProof/>
          <w:color w:val="808080" w:themeColor="background1" w:themeShade="80"/>
          <w:lang w:val="es-MX"/>
        </w:rPr>
      </w:pPr>
      <w:r w:rsidRPr="00232EBB">
        <w:rPr>
          <w:rFonts w:eastAsia="Calibri"/>
          <w:noProof/>
          <w:color w:val="808080" w:themeColor="background1" w:themeShade="80"/>
          <w:lang w:val="es-MX"/>
        </w:rPr>
        <w:t xml:space="preserve">A la par con el crecimiento de las operaciones institucionales y atendiendo a la mejora y ampliación de los espacios físicos de nuestra institución, se concluyó la adecuación del segundo nivel de la sede GMR y se trasladó la Dirección de Tecnologías de la Información y Comunicaciones. También se readecuó el segundo y tercer nivel de la Torre de la Seguridad Social y se reubicó la Dirección Financiera y la Dirección de Normas Cumplimiento y Ciberseguridad. </w:t>
      </w:r>
    </w:p>
    <w:p w14:paraId="28250F80" w14:textId="77777777" w:rsidR="004668C8" w:rsidRPr="00232EBB" w:rsidRDefault="004668C8" w:rsidP="00836944">
      <w:pPr>
        <w:spacing w:line="360" w:lineRule="auto"/>
        <w:ind w:right="-180"/>
        <w:jc w:val="both"/>
        <w:rPr>
          <w:rFonts w:eastAsia="Calibri"/>
          <w:noProof/>
          <w:color w:val="808080" w:themeColor="background1" w:themeShade="80"/>
          <w:lang w:val="es-MX"/>
        </w:rPr>
      </w:pPr>
      <w:r w:rsidRPr="00232EBB">
        <w:rPr>
          <w:rFonts w:eastAsia="Calibri"/>
          <w:noProof/>
          <w:color w:val="808080" w:themeColor="background1" w:themeShade="80"/>
          <w:lang w:val="es-MX"/>
        </w:rPr>
        <w:t>Se habilitó un mayor espacio físico para el área de almacén con mejores controles de acceso y seguridad para garantizar el resguardo adecuado de materiales gastables e insumos.</w:t>
      </w:r>
    </w:p>
    <w:p w14:paraId="30D07831" w14:textId="77777777" w:rsidR="004668C8" w:rsidRPr="00232EBB" w:rsidRDefault="004668C8" w:rsidP="00836944">
      <w:pPr>
        <w:spacing w:line="360" w:lineRule="auto"/>
        <w:ind w:right="-180"/>
        <w:jc w:val="both"/>
        <w:rPr>
          <w:rFonts w:eastAsia="Calibri"/>
          <w:noProof/>
          <w:color w:val="808080" w:themeColor="background1" w:themeShade="80"/>
          <w:lang w:val="es-MX"/>
        </w:rPr>
      </w:pPr>
      <w:r w:rsidRPr="00232EBB">
        <w:rPr>
          <w:rFonts w:eastAsia="Calibri"/>
          <w:noProof/>
          <w:color w:val="808080" w:themeColor="background1" w:themeShade="80"/>
          <w:lang w:val="es-MX"/>
        </w:rPr>
        <w:t>Estas readecuaciones estan alineadas a nuestro eje estratégico de gobernanza y excelencia operativa. Garantizando con estas un clima laboral positivo, con una cultura de trabajo en equipo y mejoras de procesos.</w:t>
      </w:r>
    </w:p>
    <w:p w14:paraId="489FCFB5" w14:textId="77777777" w:rsidR="004668C8" w:rsidRPr="00232EBB" w:rsidRDefault="004668C8" w:rsidP="0038526E">
      <w:pPr>
        <w:spacing w:line="360" w:lineRule="auto"/>
        <w:ind w:right="-180"/>
        <w:jc w:val="both"/>
        <w:rPr>
          <w:rFonts w:eastAsia="Calibri"/>
          <w:noProof/>
          <w:color w:val="808080" w:themeColor="background1" w:themeShade="80"/>
          <w:lang w:val="es-MX"/>
        </w:rPr>
      </w:pPr>
      <w:r w:rsidRPr="00232EBB">
        <w:rPr>
          <w:rFonts w:eastAsia="Calibri"/>
          <w:noProof/>
          <w:color w:val="808080" w:themeColor="background1" w:themeShade="80"/>
          <w:lang w:val="es-MX"/>
        </w:rPr>
        <w:t xml:space="preserve">Se fortaleció la gestión del área de Servicios Generales con la implementación del aplicativo desarrollado por la Dirección de Tecnologia de la Información y Comunicaciones. Este aplicativo ha ayudado con la automatización de la planificación y seguimiento de las actividades del área, logrando así un mejor control de los </w:t>
      </w:r>
      <w:r w:rsidRPr="00232EBB">
        <w:rPr>
          <w:rFonts w:eastAsia="Calibri"/>
          <w:noProof/>
          <w:color w:val="808080" w:themeColor="background1" w:themeShade="80"/>
          <w:lang w:val="es-MX"/>
        </w:rPr>
        <w:lastRenderedPageBreak/>
        <w:t>procesos, eliminar el uso de 3 formularios de uso diarios y semanales, evitando así errores humanos por procesos manuales.</w:t>
      </w:r>
    </w:p>
    <w:p w14:paraId="35F03FC7" w14:textId="77777777" w:rsidR="004668C8" w:rsidRPr="00232EBB" w:rsidRDefault="004668C8" w:rsidP="0038526E">
      <w:pPr>
        <w:spacing w:line="360" w:lineRule="auto"/>
        <w:ind w:right="-180"/>
        <w:jc w:val="both"/>
        <w:rPr>
          <w:rFonts w:eastAsia="Calibri"/>
          <w:noProof/>
          <w:color w:val="808080" w:themeColor="background1" w:themeShade="80"/>
          <w:lang w:val="es-MX"/>
        </w:rPr>
      </w:pPr>
      <w:r w:rsidRPr="00232EBB">
        <w:rPr>
          <w:rFonts w:eastAsia="Calibri"/>
          <w:noProof/>
          <w:color w:val="808080" w:themeColor="background1" w:themeShade="80"/>
          <w:lang w:val="es-MX"/>
        </w:rPr>
        <w:t xml:space="preserve">El uso del aplicativo más la reorganización del área de mantenimiento contribuyó con una mejor gestión de los indicadores, cumpliendo con el plan de mantenimiento preventivo y con las solicitudes de mantenimiento correctivo, logrando así una ponderación de 95.62% en la satifacción de los servicios brindados a los usuarios internos. </w:t>
      </w:r>
    </w:p>
    <w:p w14:paraId="1D822989" w14:textId="13F82B27" w:rsidR="00771010" w:rsidRPr="00232EBB" w:rsidRDefault="004668C8" w:rsidP="0038526E">
      <w:pPr>
        <w:spacing w:line="360" w:lineRule="auto"/>
        <w:ind w:right="-180"/>
        <w:jc w:val="both"/>
        <w:rPr>
          <w:b/>
          <w:bCs/>
          <w:lang w:val="es-ES"/>
        </w:rPr>
      </w:pPr>
      <w:r w:rsidRPr="00232EBB">
        <w:rPr>
          <w:rFonts w:eastAsia="Calibri"/>
          <w:noProof/>
          <w:color w:val="808080" w:themeColor="background1" w:themeShade="80"/>
          <w:sz w:val="22"/>
          <w:szCs w:val="22"/>
          <w:lang w:val="es-MX"/>
        </w:rPr>
        <w:t xml:space="preserve"> </w:t>
      </w:r>
      <w:bookmarkEnd w:id="116"/>
      <w:r w:rsidR="1F7F16AD" w:rsidRPr="00232EBB">
        <w:rPr>
          <w:b/>
          <w:bCs/>
          <w:noProof/>
          <w:lang w:val="es-DO"/>
        </w:rPr>
        <w:t>Gestión Financiera</w:t>
      </w:r>
    </w:p>
    <w:p w14:paraId="2C64F0F8" w14:textId="21553F63" w:rsidR="00771010" w:rsidRPr="00232EBB" w:rsidRDefault="13E88E60" w:rsidP="0038526E">
      <w:pPr>
        <w:spacing w:line="360" w:lineRule="auto"/>
        <w:ind w:right="-180"/>
        <w:jc w:val="both"/>
        <w:rPr>
          <w:rFonts w:eastAsia="Calibri"/>
          <w:noProof/>
          <w:color w:val="808080" w:themeColor="background1" w:themeShade="80"/>
          <w:lang w:val="es-MX"/>
        </w:rPr>
      </w:pPr>
      <w:r w:rsidRPr="00232EBB">
        <w:rPr>
          <w:rFonts w:eastAsia="Calibri"/>
          <w:noProof/>
          <w:color w:val="808080" w:themeColor="background1" w:themeShade="80"/>
          <w:lang w:val="es-MX"/>
        </w:rPr>
        <w:t>A trav</w:t>
      </w:r>
      <w:r w:rsidR="0B016270" w:rsidRPr="00232EBB">
        <w:rPr>
          <w:rFonts w:eastAsia="Calibri"/>
          <w:noProof/>
          <w:color w:val="808080" w:themeColor="background1" w:themeShade="80"/>
          <w:lang w:val="es-MX"/>
        </w:rPr>
        <w:t>é</w:t>
      </w:r>
      <w:r w:rsidRPr="00232EBB">
        <w:rPr>
          <w:rFonts w:eastAsia="Calibri"/>
          <w:noProof/>
          <w:color w:val="808080" w:themeColor="background1" w:themeShade="80"/>
          <w:lang w:val="es-MX"/>
        </w:rPr>
        <w:t>s de la</w:t>
      </w:r>
      <w:r w:rsidR="414702C9" w:rsidRPr="00232EBB">
        <w:rPr>
          <w:rFonts w:eastAsia="Calibri"/>
          <w:noProof/>
          <w:color w:val="808080" w:themeColor="background1" w:themeShade="80"/>
          <w:lang w:val="es-MX"/>
        </w:rPr>
        <w:t xml:space="preserve"> gesti</w:t>
      </w:r>
      <w:r w:rsidR="7CEB5A3F" w:rsidRPr="00232EBB">
        <w:rPr>
          <w:rFonts w:eastAsia="Calibri"/>
          <w:noProof/>
          <w:color w:val="808080" w:themeColor="background1" w:themeShade="80"/>
          <w:lang w:val="es-MX"/>
        </w:rPr>
        <w:t>ó</w:t>
      </w:r>
      <w:r w:rsidR="414702C9" w:rsidRPr="00232EBB">
        <w:rPr>
          <w:rFonts w:eastAsia="Calibri"/>
          <w:noProof/>
          <w:color w:val="808080" w:themeColor="background1" w:themeShade="80"/>
          <w:lang w:val="es-MX"/>
        </w:rPr>
        <w:t xml:space="preserve">n de </w:t>
      </w:r>
      <w:r w:rsidR="4F733467" w:rsidRPr="00232EBB">
        <w:rPr>
          <w:rFonts w:eastAsia="Calibri"/>
          <w:noProof/>
          <w:color w:val="808080" w:themeColor="background1" w:themeShade="80"/>
          <w:lang w:val="es-MX"/>
        </w:rPr>
        <w:t>l</w:t>
      </w:r>
      <w:r w:rsidR="5BD01C7E" w:rsidRPr="00232EBB">
        <w:rPr>
          <w:rFonts w:eastAsia="Calibri"/>
          <w:noProof/>
          <w:color w:val="808080" w:themeColor="background1" w:themeShade="80"/>
          <w:lang w:val="es-MX"/>
        </w:rPr>
        <w:t xml:space="preserve">a Dirección </w:t>
      </w:r>
      <w:r w:rsidR="027A3CF3" w:rsidRPr="00232EBB">
        <w:rPr>
          <w:rFonts w:eastAsia="Calibri"/>
          <w:noProof/>
          <w:color w:val="808080" w:themeColor="background1" w:themeShade="80"/>
          <w:lang w:val="es-MX"/>
        </w:rPr>
        <w:t>F</w:t>
      </w:r>
      <w:r w:rsidR="5BD01C7E" w:rsidRPr="00232EBB">
        <w:rPr>
          <w:rFonts w:eastAsia="Calibri"/>
          <w:noProof/>
          <w:color w:val="808080" w:themeColor="background1" w:themeShade="80"/>
          <w:lang w:val="es-MX"/>
        </w:rPr>
        <w:t>inanciera</w:t>
      </w:r>
      <w:r w:rsidR="0FFC0389" w:rsidRPr="00232EBB">
        <w:rPr>
          <w:rFonts w:eastAsia="Calibri"/>
          <w:noProof/>
          <w:color w:val="808080" w:themeColor="background1" w:themeShade="80"/>
          <w:lang w:val="es-MX"/>
        </w:rPr>
        <w:t>, la TSS</w:t>
      </w:r>
      <w:r w:rsidR="5BD01C7E" w:rsidRPr="00232EBB">
        <w:rPr>
          <w:rFonts w:eastAsia="Calibri"/>
          <w:noProof/>
          <w:color w:val="808080" w:themeColor="background1" w:themeShade="80"/>
          <w:lang w:val="es-MX"/>
        </w:rPr>
        <w:t xml:space="preserve"> ha logrado cumplir con sus metas en cuanto a las recaudaciones y pagos se refiere. </w:t>
      </w:r>
    </w:p>
    <w:p w14:paraId="1AEEB54B" w14:textId="68F01E85"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 xml:space="preserve">Preparación y remisión oportuna de Estados Financieros.  </w:t>
      </w:r>
    </w:p>
    <w:p w14:paraId="42273D11" w14:textId="2D7B2967"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 xml:space="preserve">Preparación de libramientos de pagos oportunamente.  </w:t>
      </w:r>
    </w:p>
    <w:p w14:paraId="6A17BC43" w14:textId="791B7597"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Ejecución Presupuestaria preparada acorde con lo requerido por DIGEPRES.</w:t>
      </w:r>
    </w:p>
    <w:p w14:paraId="05599E49" w14:textId="06FB7DF3"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Devolución de Fondos No Utilizados a los empleadores, recibidos a través de las diferentes entidades bancarias.</w:t>
      </w:r>
    </w:p>
    <w:p w14:paraId="7B55A5FF" w14:textId="50206CD1"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Devolución de los pagos en exceso y Percápitas adicionales a los empleadores y trabajadores a través de transferencias bancarias y cheques.</w:t>
      </w:r>
    </w:p>
    <w:p w14:paraId="46CC5B55" w14:textId="6B87B465"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Devolución Subsidios de Enfermedad y Maternidad Común del Banco Central de la Rep. Dom.</w:t>
      </w:r>
    </w:p>
    <w:p w14:paraId="05BA571F" w14:textId="6E73CCE1"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Devolución de Pagos en Exceso del Seguro Familiar de Salud de las Instituciones Gubernamentales.</w:t>
      </w:r>
    </w:p>
    <w:p w14:paraId="5015F039" w14:textId="03E47547"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 las Notificaciones de la TSS a Instituciones Centralizadas y Descentralizadas del Estado registrado en el Sistema Integrado de Gestión Financiera (SIGEF)</w:t>
      </w:r>
    </w:p>
    <w:p w14:paraId="57D9E32A" w14:textId="290A1C17"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a los receptores de fondos del SDSS a través del BCRD.</w:t>
      </w:r>
    </w:p>
    <w:p w14:paraId="59F0ED70" w14:textId="1D498899"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del Régimen Subsidiado.</w:t>
      </w:r>
    </w:p>
    <w:p w14:paraId="6C59A5DA" w14:textId="6ADF8DA3"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del FONOMAT.</w:t>
      </w:r>
    </w:p>
    <w:p w14:paraId="55191CBC" w14:textId="15B20E69"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lastRenderedPageBreak/>
        <w:t>Transferencia al SENASA "Proyecto SENASA Cuida de ti"</w:t>
      </w:r>
    </w:p>
    <w:p w14:paraId="3F0E806E" w14:textId="6050C568"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 los Pensionados de Hacienda.</w:t>
      </w:r>
    </w:p>
    <w:p w14:paraId="4D79B46D" w14:textId="38CE604A"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 los Pensionados y Jubilados del Sector Salud.</w:t>
      </w:r>
    </w:p>
    <w:p w14:paraId="366699F1" w14:textId="3A786BDA"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 los Pensionados y Jubilados de la Policía Nacional.</w:t>
      </w:r>
    </w:p>
    <w:p w14:paraId="282DDE8A" w14:textId="574CDAF2"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 los Pensionados y Jubilados de la Fuerzas Armadas.</w:t>
      </w:r>
    </w:p>
    <w:p w14:paraId="52F24A35" w14:textId="1F3BE1A9"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 los Pensionados del Estado Decreto 18-19.</w:t>
      </w:r>
    </w:p>
    <w:p w14:paraId="50E48367" w14:textId="0CD1B0BC"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de la Junta Central Electoral.</w:t>
      </w:r>
      <w:r w:rsidR="00771010" w:rsidRPr="00232EBB">
        <w:rPr>
          <w:rFonts w:ascii="Times New Roman" w:hAnsi="Times New Roman"/>
          <w:noProof/>
          <w:color w:val="808080" w:themeColor="background1" w:themeShade="80"/>
          <w:spacing w:val="20"/>
          <w:sz w:val="24"/>
          <w:szCs w:val="24"/>
          <w:lang w:val="es-MX"/>
        </w:rPr>
        <w:tab/>
      </w:r>
    </w:p>
    <w:p w14:paraId="7C22D025" w14:textId="6375D2C5"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Comisión a los Bancos Recaudadores.</w:t>
      </w:r>
    </w:p>
    <w:p w14:paraId="28F275D4" w14:textId="3A23AB6E"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Pago Retención IR-17 a la Dirección General de Impuestos Internos.</w:t>
      </w:r>
    </w:p>
    <w:p w14:paraId="1291E36C" w14:textId="057468F7"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Remisión oportuna del Informe Régimen Contributivo.</w:t>
      </w:r>
    </w:p>
    <w:p w14:paraId="18622CB2" w14:textId="5DEB8294"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Remisión oportuna del Informe del Régimen Subsidiado.</w:t>
      </w:r>
    </w:p>
    <w:p w14:paraId="0C9938D9" w14:textId="2EFD401C"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Remisión oportuna del Informe Régimen Contributivo-Subsidiado (Plan Piloto).</w:t>
      </w:r>
    </w:p>
    <w:p w14:paraId="21D579D6" w14:textId="44912B91"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Remisión Oportuna del Informe Trimestral CNSS</w:t>
      </w:r>
    </w:p>
    <w:p w14:paraId="66D20B71" w14:textId="104138C3"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 xml:space="preserve">Remisión Oportuna de Informe Régimen Contributivo-Subsidiado Trabajadores Domésticos     </w:t>
      </w:r>
    </w:p>
    <w:p w14:paraId="087FEA00" w14:textId="312B5793"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Remisión oportuna del Informe de los Planes Especiales Transitorios de Salud de los Pensionados y Jubilados de Hacienda (Decreto 342), Sector Salud, Policía Nacional, Fuerzas Armadas, Estado Decreto 18-19</w:t>
      </w:r>
    </w:p>
    <w:p w14:paraId="7C9BE524" w14:textId="66CB67DC"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Automatización planilla de Análisis Recaudación -Concentración</w:t>
      </w:r>
    </w:p>
    <w:p w14:paraId="0DF2717E" w14:textId="564746E8" w:rsidR="00771010" w:rsidRPr="00232EBB" w:rsidRDefault="5BD01C7E" w:rsidP="0038526E">
      <w:pPr>
        <w:pStyle w:val="ListParagraph"/>
        <w:numPr>
          <w:ilvl w:val="0"/>
          <w:numId w:val="8"/>
        </w:numPr>
        <w:spacing w:line="360" w:lineRule="auto"/>
        <w:rPr>
          <w:rFonts w:ascii="Times New Roman" w:hAnsi="Times New Roman"/>
          <w:noProof/>
          <w:color w:val="808080" w:themeColor="background1" w:themeShade="80"/>
          <w:spacing w:val="20"/>
          <w:sz w:val="24"/>
          <w:szCs w:val="24"/>
          <w:lang w:val="es-MX"/>
        </w:rPr>
      </w:pPr>
      <w:r w:rsidRPr="00232EBB">
        <w:rPr>
          <w:rFonts w:ascii="Times New Roman" w:hAnsi="Times New Roman"/>
          <w:noProof/>
          <w:color w:val="808080" w:themeColor="background1" w:themeShade="80"/>
          <w:spacing w:val="20"/>
          <w:sz w:val="24"/>
          <w:szCs w:val="24"/>
          <w:lang w:val="es-MX"/>
        </w:rPr>
        <w:t>Automatización Planilla Dispersión ARS Salud y</w:t>
      </w:r>
      <w:r w:rsidR="0047728B" w:rsidRPr="00232EBB">
        <w:rPr>
          <w:rFonts w:ascii="Times New Roman" w:hAnsi="Times New Roman"/>
          <w:noProof/>
          <w:color w:val="808080" w:themeColor="background1" w:themeShade="80"/>
          <w:spacing w:val="20"/>
          <w:sz w:val="24"/>
          <w:szCs w:val="24"/>
          <w:lang w:val="es-MX"/>
        </w:rPr>
        <w:t xml:space="preserve"> FONAMAT </w:t>
      </w:r>
    </w:p>
    <w:p w14:paraId="55675FD6" w14:textId="2791FF43" w:rsidR="00232EBB" w:rsidRPr="00232EBB" w:rsidRDefault="5BD01C7E" w:rsidP="0038526E">
      <w:pPr>
        <w:pStyle w:val="ListParagraph"/>
        <w:numPr>
          <w:ilvl w:val="0"/>
          <w:numId w:val="8"/>
        </w:numPr>
        <w:spacing w:line="360" w:lineRule="auto"/>
        <w:rPr>
          <w:rFonts w:ascii="Times New Roman" w:hAnsi="Times New Roman"/>
          <w:color w:val="767171"/>
          <w:spacing w:val="20"/>
          <w:sz w:val="24"/>
          <w:szCs w:val="24"/>
        </w:rPr>
      </w:pPr>
      <w:r w:rsidRPr="00232EBB">
        <w:rPr>
          <w:rFonts w:ascii="Times New Roman" w:hAnsi="Times New Roman"/>
          <w:noProof/>
          <w:color w:val="808080" w:themeColor="background1" w:themeShade="80"/>
          <w:spacing w:val="20"/>
          <w:sz w:val="24"/>
          <w:szCs w:val="24"/>
          <w:lang w:val="es-MX"/>
        </w:rPr>
        <w:t>Automatización Análisis Especialización de</w:t>
      </w:r>
      <w:r w:rsidRPr="00232EBB">
        <w:rPr>
          <w:rFonts w:ascii="Times New Roman" w:hAnsi="Times New Roman"/>
          <w:color w:val="767171"/>
          <w:spacing w:val="20"/>
          <w:sz w:val="24"/>
          <w:szCs w:val="24"/>
        </w:rPr>
        <w:t xml:space="preserve"> Cuentas Regular</w:t>
      </w:r>
      <w:r w:rsidR="00DB1AE3" w:rsidRPr="00232EBB">
        <w:rPr>
          <w:rFonts w:ascii="Times New Roman" w:hAnsi="Times New Roman"/>
          <w:color w:val="767171"/>
          <w:spacing w:val="20"/>
          <w:sz w:val="24"/>
          <w:szCs w:val="24"/>
        </w:rPr>
        <w:t>.</w:t>
      </w:r>
      <w:r w:rsidRPr="00232EBB">
        <w:rPr>
          <w:rFonts w:ascii="Times New Roman" w:hAnsi="Times New Roman"/>
          <w:color w:val="767171"/>
          <w:spacing w:val="20"/>
          <w:sz w:val="24"/>
          <w:szCs w:val="24"/>
        </w:rPr>
        <w:t xml:space="preserve"> </w:t>
      </w:r>
    </w:p>
    <w:p w14:paraId="26FA78F2" w14:textId="77777777" w:rsidR="00232EBB" w:rsidRPr="00232EBB" w:rsidRDefault="00232EBB">
      <w:pPr>
        <w:rPr>
          <w:rFonts w:eastAsia="Calibri"/>
          <w:lang w:val="es-DO"/>
        </w:rPr>
      </w:pPr>
      <w:r w:rsidRPr="00232EBB">
        <w:br w:type="page"/>
      </w:r>
    </w:p>
    <w:p w14:paraId="3DC5017B" w14:textId="03DE3ADE" w:rsidR="00771010" w:rsidRPr="00232EBB" w:rsidRDefault="4AD55B68" w:rsidP="00FF3F4C">
      <w:pPr>
        <w:pStyle w:val="Heading1"/>
        <w:spacing w:after="240" w:line="259" w:lineRule="auto"/>
        <w:jc w:val="left"/>
        <w:rPr>
          <w:rFonts w:cs="Times New Roman"/>
          <w:spacing w:val="0"/>
          <w:lang w:val="es-DO"/>
        </w:rPr>
      </w:pPr>
      <w:bookmarkStart w:id="119" w:name="_Toc154736709"/>
      <w:bookmarkStart w:id="120" w:name="_Toc216952228"/>
      <w:r w:rsidRPr="00232EBB">
        <w:rPr>
          <w:rFonts w:cs="Times New Roman"/>
          <w:spacing w:val="0"/>
          <w:lang w:val="es-DO"/>
        </w:rPr>
        <w:lastRenderedPageBreak/>
        <w:t>4.2 Desempeño de los Recursos Humanos</w:t>
      </w:r>
      <w:bookmarkEnd w:id="119"/>
      <w:bookmarkEnd w:id="120"/>
      <w:r w:rsidRPr="00232EBB">
        <w:rPr>
          <w:rFonts w:cs="Times New Roman"/>
          <w:spacing w:val="0"/>
          <w:lang w:val="es-DO"/>
        </w:rPr>
        <w:t xml:space="preserve"> </w:t>
      </w:r>
    </w:p>
    <w:p w14:paraId="2AAB7A58" w14:textId="77777777" w:rsidR="00EF5D3F" w:rsidRPr="00232EBB" w:rsidRDefault="00EF5D3F" w:rsidP="00CB5570">
      <w:pPr>
        <w:spacing w:before="240" w:after="0" w:line="360" w:lineRule="auto"/>
        <w:ind w:right="-180"/>
        <w:jc w:val="both"/>
        <w:rPr>
          <w:rFonts w:eastAsia="Calibri"/>
          <w:b/>
          <w:bCs/>
          <w:noProof/>
          <w:color w:val="808080" w:themeColor="background1" w:themeShade="80"/>
          <w:lang w:val="es-MX"/>
        </w:rPr>
      </w:pPr>
      <w:bookmarkStart w:id="121" w:name="_Toc171677850"/>
      <w:bookmarkStart w:id="122" w:name="_Toc172118707"/>
      <w:bookmarkStart w:id="123" w:name="_Toc172119860"/>
      <w:bookmarkStart w:id="124" w:name="_Toc172120193"/>
      <w:bookmarkStart w:id="125" w:name="_Toc172121411"/>
      <w:bookmarkStart w:id="126" w:name="_Hlk180407693"/>
      <w:bookmarkStart w:id="127" w:name="_Toc139461514"/>
      <w:bookmarkStart w:id="128" w:name="_Toc140587651"/>
      <w:bookmarkStart w:id="129" w:name="_Toc172121424"/>
      <w:bookmarkStart w:id="130" w:name="_Toc171677876"/>
      <w:bookmarkStart w:id="131" w:name="_Toc172119881"/>
      <w:bookmarkStart w:id="132" w:name="_Toc172120214"/>
      <w:bookmarkStart w:id="133" w:name="_Toc172121432"/>
      <w:bookmarkStart w:id="134" w:name="_Toc216263878"/>
      <w:bookmarkStart w:id="135" w:name="_Hlk216169640"/>
      <w:bookmarkStart w:id="136" w:name="_Hlk215740622"/>
      <w:r w:rsidRPr="00232EBB">
        <w:rPr>
          <w:rFonts w:eastAsia="Calibri"/>
          <w:b/>
          <w:bCs/>
          <w:noProof/>
          <w:color w:val="808080" w:themeColor="background1" w:themeShade="80"/>
          <w:lang w:val="es-MX"/>
        </w:rPr>
        <w:t>Recuento de Personal.</w:t>
      </w:r>
      <w:bookmarkEnd w:id="134"/>
    </w:p>
    <w:p w14:paraId="6F0B189F" w14:textId="5FADD366" w:rsidR="00EF5D3F" w:rsidRPr="00232EBB" w:rsidRDefault="00EF5D3F" w:rsidP="00CB5570">
      <w:pPr>
        <w:spacing w:line="360" w:lineRule="auto"/>
        <w:jc w:val="both"/>
        <w:rPr>
          <w:rFonts w:eastAsia="Calibri"/>
          <w:b/>
          <w:bCs/>
          <w:noProof/>
          <w:color w:val="FFFFFF" w:themeColor="background1"/>
          <w:sz w:val="28"/>
          <w:szCs w:val="28"/>
          <w:lang w:val="es-DO"/>
        </w:rPr>
      </w:pPr>
      <w:r w:rsidRPr="00232EBB">
        <w:rPr>
          <w:noProof/>
          <w:color w:val="808080" w:themeColor="background1" w:themeShade="80"/>
          <w:szCs w:val="28"/>
          <w:lang w:val="es-MX"/>
        </w:rPr>
        <w:t>A continuación, presentamos una visión general de cantidades de colaboradores por grupos ocupacionales y la composición y el tamaño de la fuerza laboral de la TSS.</w:t>
      </w:r>
      <w:bookmarkStart w:id="137" w:name="_Toc171677839"/>
      <w:bookmarkStart w:id="138" w:name="_Toc172118698"/>
      <w:bookmarkStart w:id="139" w:name="_Toc172119851"/>
      <w:bookmarkStart w:id="140" w:name="_Toc172120184"/>
      <w:bookmarkStart w:id="141" w:name="_Toc172121402"/>
    </w:p>
    <w:tbl>
      <w:tblPr>
        <w:tblStyle w:val="MediumGrid3-Accent5"/>
        <w:tblpPr w:leftFromText="180" w:rightFromText="180" w:vertAnchor="text" w:horzAnchor="margin" w:tblpY="-24"/>
        <w:tblW w:w="7460" w:type="dxa"/>
        <w:tblLook w:val="04A0" w:firstRow="1" w:lastRow="0" w:firstColumn="1" w:lastColumn="0" w:noHBand="0" w:noVBand="1"/>
      </w:tblPr>
      <w:tblGrid>
        <w:gridCol w:w="2543"/>
        <w:gridCol w:w="1955"/>
        <w:gridCol w:w="1518"/>
        <w:gridCol w:w="1444"/>
      </w:tblGrid>
      <w:tr w:rsidR="00EF5D3F" w:rsidRPr="00232EBB" w14:paraId="6B2367EF" w14:textId="77777777" w:rsidTr="00E04BFC">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543" w:type="dxa"/>
            <w:tcBorders>
              <w:bottom w:val="single" w:sz="4" w:space="0" w:color="auto"/>
            </w:tcBorders>
            <w:shd w:val="clear" w:color="auto" w:fill="002060"/>
            <w:vAlign w:val="center"/>
            <w:hideMark/>
          </w:tcPr>
          <w:bookmarkEnd w:id="135"/>
          <w:bookmarkEnd w:id="137"/>
          <w:bookmarkEnd w:id="138"/>
          <w:bookmarkEnd w:id="139"/>
          <w:bookmarkEnd w:id="140"/>
          <w:bookmarkEnd w:id="141"/>
          <w:p w14:paraId="2F88A099" w14:textId="77777777" w:rsidR="00EF5D3F" w:rsidRPr="00232EBB" w:rsidRDefault="00EF5D3F" w:rsidP="00895958">
            <w:pPr>
              <w:jc w:val="center"/>
              <w:rPr>
                <w:rFonts w:ascii="Times New Roman" w:eastAsiaTheme="minorHAnsi" w:hAnsi="Times New Roman" w:cs="Times New Roman"/>
                <w:noProof/>
                <w:spacing w:val="20"/>
                <w:sz w:val="24"/>
                <w:szCs w:val="28"/>
                <w:lang w:val="es-MX"/>
              </w:rPr>
            </w:pPr>
            <w:r w:rsidRPr="00232EBB">
              <w:rPr>
                <w:rFonts w:ascii="Times New Roman" w:eastAsiaTheme="minorHAnsi" w:hAnsi="Times New Roman" w:cs="Times New Roman"/>
                <w:noProof/>
                <w:spacing w:val="20"/>
                <w:sz w:val="24"/>
                <w:szCs w:val="28"/>
                <w:lang w:val="es-MX"/>
              </w:rPr>
              <w:t>Grupo Ocupacional</w:t>
            </w:r>
          </w:p>
        </w:tc>
        <w:tc>
          <w:tcPr>
            <w:tcW w:w="1955" w:type="dxa"/>
            <w:tcBorders>
              <w:bottom w:val="single" w:sz="4" w:space="0" w:color="auto"/>
            </w:tcBorders>
            <w:shd w:val="clear" w:color="auto" w:fill="002060"/>
            <w:vAlign w:val="center"/>
            <w:hideMark/>
          </w:tcPr>
          <w:p w14:paraId="2785D271" w14:textId="77777777" w:rsidR="00EF5D3F" w:rsidRPr="00232EBB" w:rsidRDefault="00EF5D3F" w:rsidP="00895958">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noProof/>
                <w:spacing w:val="20"/>
                <w:sz w:val="24"/>
                <w:szCs w:val="28"/>
                <w:lang w:val="es-MX"/>
              </w:rPr>
            </w:pPr>
            <w:r w:rsidRPr="00232EBB">
              <w:rPr>
                <w:rFonts w:ascii="Times New Roman" w:eastAsiaTheme="minorHAnsi" w:hAnsi="Times New Roman" w:cs="Times New Roman"/>
                <w:noProof/>
                <w:spacing w:val="20"/>
                <w:sz w:val="24"/>
                <w:szCs w:val="28"/>
                <w:lang w:val="es-MX"/>
              </w:rPr>
              <w:t>Mujeres</w:t>
            </w:r>
          </w:p>
        </w:tc>
        <w:tc>
          <w:tcPr>
            <w:tcW w:w="1518" w:type="dxa"/>
            <w:tcBorders>
              <w:bottom w:val="single" w:sz="4" w:space="0" w:color="auto"/>
            </w:tcBorders>
            <w:shd w:val="clear" w:color="auto" w:fill="002060"/>
            <w:vAlign w:val="center"/>
            <w:hideMark/>
          </w:tcPr>
          <w:p w14:paraId="53E7101E" w14:textId="77777777" w:rsidR="00EF5D3F" w:rsidRPr="00232EBB" w:rsidRDefault="00EF5D3F" w:rsidP="00895958">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noProof/>
                <w:spacing w:val="20"/>
                <w:sz w:val="24"/>
                <w:szCs w:val="28"/>
                <w:lang w:val="es-MX"/>
              </w:rPr>
            </w:pPr>
            <w:r w:rsidRPr="00232EBB">
              <w:rPr>
                <w:rFonts w:ascii="Times New Roman" w:eastAsiaTheme="minorHAnsi" w:hAnsi="Times New Roman" w:cs="Times New Roman"/>
                <w:noProof/>
                <w:spacing w:val="20"/>
                <w:sz w:val="24"/>
                <w:szCs w:val="28"/>
                <w:lang w:val="es-MX"/>
              </w:rPr>
              <w:t>Hombres</w:t>
            </w:r>
          </w:p>
        </w:tc>
        <w:tc>
          <w:tcPr>
            <w:tcW w:w="1444" w:type="dxa"/>
            <w:tcBorders>
              <w:bottom w:val="single" w:sz="4" w:space="0" w:color="auto"/>
            </w:tcBorders>
            <w:shd w:val="clear" w:color="auto" w:fill="002060"/>
            <w:vAlign w:val="center"/>
            <w:hideMark/>
          </w:tcPr>
          <w:p w14:paraId="62622B49" w14:textId="77777777" w:rsidR="00EF5D3F" w:rsidRPr="00232EBB" w:rsidRDefault="00EF5D3F" w:rsidP="00895958">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noProof/>
                <w:spacing w:val="20"/>
                <w:sz w:val="24"/>
                <w:szCs w:val="28"/>
                <w:lang w:val="es-MX"/>
              </w:rPr>
            </w:pPr>
            <w:r w:rsidRPr="00232EBB">
              <w:rPr>
                <w:rFonts w:ascii="Times New Roman" w:eastAsiaTheme="minorHAnsi" w:hAnsi="Times New Roman" w:cs="Times New Roman"/>
                <w:noProof/>
                <w:spacing w:val="20"/>
                <w:sz w:val="24"/>
                <w:szCs w:val="28"/>
                <w:lang w:val="es-MX"/>
              </w:rPr>
              <w:t>Total</w:t>
            </w:r>
          </w:p>
        </w:tc>
      </w:tr>
      <w:tr w:rsidR="00EF5D3F" w:rsidRPr="00232EBB" w14:paraId="2AC16829" w14:textId="77777777" w:rsidTr="00E115EF">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57228D" w14:textId="77777777" w:rsidR="00EF5D3F" w:rsidRPr="00232EBB" w:rsidRDefault="00EF5D3F" w:rsidP="00895958">
            <w:pPr>
              <w:jc w:val="center"/>
              <w:rPr>
                <w:rFonts w:ascii="Times New Roman" w:eastAsiaTheme="minorHAnsi" w:hAnsi="Times New Roman" w:cs="Times New Roman"/>
                <w:b w:val="0"/>
                <w:bCs w:val="0"/>
                <w:noProof/>
                <w:color w:val="808080" w:themeColor="background1" w:themeShade="80"/>
                <w:spacing w:val="20"/>
                <w:sz w:val="24"/>
                <w:szCs w:val="28"/>
                <w:lang w:val="es-MX"/>
              </w:rPr>
            </w:pPr>
            <w:r w:rsidRPr="00232EBB">
              <w:rPr>
                <w:rFonts w:ascii="Times New Roman" w:eastAsiaTheme="minorHAnsi" w:hAnsi="Times New Roman" w:cs="Times New Roman"/>
                <w:b w:val="0"/>
                <w:bCs w:val="0"/>
                <w:noProof/>
                <w:color w:val="808080" w:themeColor="background1" w:themeShade="80"/>
                <w:spacing w:val="20"/>
                <w:sz w:val="24"/>
                <w:szCs w:val="28"/>
                <w:lang w:val="es-MX"/>
              </w:rPr>
              <w:t>Grupo Ocupacional I (Servicios generales)</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D55643"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0</w:t>
            </w:r>
          </w:p>
        </w:tc>
        <w:tc>
          <w:tcPr>
            <w:tcW w:w="15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5B166B"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16</w:t>
            </w:r>
          </w:p>
        </w:tc>
        <w:tc>
          <w:tcPr>
            <w:tcW w:w="14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7C4B0"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16</w:t>
            </w:r>
          </w:p>
        </w:tc>
      </w:tr>
      <w:tr w:rsidR="00EF5D3F" w:rsidRPr="00232EBB" w14:paraId="65FAA719" w14:textId="77777777" w:rsidTr="00E115EF">
        <w:trPr>
          <w:trHeight w:val="371"/>
        </w:trPr>
        <w:tc>
          <w:tcPr>
            <w:cnfStyle w:val="001000000000" w:firstRow="0" w:lastRow="0" w:firstColumn="1" w:lastColumn="0" w:oddVBand="0" w:evenVBand="0" w:oddHBand="0" w:evenHBand="0" w:firstRowFirstColumn="0" w:firstRowLastColumn="0" w:lastRowFirstColumn="0" w:lastRowLastColumn="0"/>
            <w:tcW w:w="2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C5B50D" w14:textId="066F14C5" w:rsidR="00EF5D3F" w:rsidRPr="00232EBB" w:rsidRDefault="00EF5D3F" w:rsidP="00895958">
            <w:pPr>
              <w:jc w:val="center"/>
              <w:rPr>
                <w:rFonts w:ascii="Times New Roman" w:eastAsiaTheme="minorHAnsi" w:hAnsi="Times New Roman" w:cs="Times New Roman"/>
                <w:b w:val="0"/>
                <w:bCs w:val="0"/>
                <w:noProof/>
                <w:color w:val="808080" w:themeColor="background1" w:themeShade="80"/>
                <w:spacing w:val="20"/>
                <w:sz w:val="24"/>
                <w:szCs w:val="28"/>
                <w:lang w:val="es-MX"/>
              </w:rPr>
            </w:pPr>
            <w:r w:rsidRPr="00232EBB">
              <w:rPr>
                <w:rFonts w:ascii="Times New Roman" w:eastAsiaTheme="minorHAnsi" w:hAnsi="Times New Roman" w:cs="Times New Roman"/>
                <w:b w:val="0"/>
                <w:bCs w:val="0"/>
                <w:noProof/>
                <w:color w:val="808080" w:themeColor="background1" w:themeShade="80"/>
                <w:spacing w:val="20"/>
                <w:sz w:val="24"/>
                <w:szCs w:val="28"/>
                <w:lang w:val="es-MX"/>
              </w:rPr>
              <w:t>Grupo Ocupacional II (Supervisión y apoyo)</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BF8A7E"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38</w:t>
            </w:r>
          </w:p>
        </w:tc>
        <w:tc>
          <w:tcPr>
            <w:tcW w:w="15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30C449"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19</w:t>
            </w:r>
          </w:p>
        </w:tc>
        <w:tc>
          <w:tcPr>
            <w:tcW w:w="14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70D6C"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57</w:t>
            </w:r>
          </w:p>
        </w:tc>
      </w:tr>
      <w:tr w:rsidR="00EF5D3F" w:rsidRPr="00232EBB" w14:paraId="59237E59" w14:textId="77777777" w:rsidTr="00E115EF">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E95321" w14:textId="6010F377" w:rsidR="00EF5D3F" w:rsidRPr="00232EBB" w:rsidRDefault="00EF5D3F" w:rsidP="00895958">
            <w:pPr>
              <w:jc w:val="center"/>
              <w:rPr>
                <w:rFonts w:ascii="Times New Roman" w:eastAsiaTheme="minorHAnsi" w:hAnsi="Times New Roman" w:cs="Times New Roman"/>
                <w:b w:val="0"/>
                <w:bCs w:val="0"/>
                <w:noProof/>
                <w:color w:val="808080" w:themeColor="background1" w:themeShade="80"/>
                <w:spacing w:val="20"/>
                <w:sz w:val="24"/>
                <w:szCs w:val="28"/>
                <w:lang w:val="es-MX"/>
              </w:rPr>
            </w:pPr>
            <w:r w:rsidRPr="00232EBB">
              <w:rPr>
                <w:rFonts w:ascii="Times New Roman" w:eastAsiaTheme="minorHAnsi" w:hAnsi="Times New Roman" w:cs="Times New Roman"/>
                <w:b w:val="0"/>
                <w:bCs w:val="0"/>
                <w:noProof/>
                <w:color w:val="808080" w:themeColor="background1" w:themeShade="80"/>
                <w:spacing w:val="20"/>
                <w:sz w:val="24"/>
                <w:szCs w:val="28"/>
                <w:lang w:val="es-MX"/>
              </w:rPr>
              <w:t>Grupo Ocupacional III (Técnicos)</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70C28"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38</w:t>
            </w:r>
          </w:p>
        </w:tc>
        <w:tc>
          <w:tcPr>
            <w:tcW w:w="15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A14F9"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22</w:t>
            </w:r>
          </w:p>
        </w:tc>
        <w:tc>
          <w:tcPr>
            <w:tcW w:w="14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38860"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60</w:t>
            </w:r>
          </w:p>
        </w:tc>
      </w:tr>
      <w:tr w:rsidR="00EF5D3F" w:rsidRPr="00232EBB" w14:paraId="2F2E0654" w14:textId="77777777" w:rsidTr="00E115EF">
        <w:trPr>
          <w:trHeight w:val="326"/>
        </w:trPr>
        <w:tc>
          <w:tcPr>
            <w:cnfStyle w:val="001000000000" w:firstRow="0" w:lastRow="0" w:firstColumn="1" w:lastColumn="0" w:oddVBand="0" w:evenVBand="0" w:oddHBand="0" w:evenHBand="0" w:firstRowFirstColumn="0" w:firstRowLastColumn="0" w:lastRowFirstColumn="0" w:lastRowLastColumn="0"/>
            <w:tcW w:w="2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B3145E" w14:textId="77777777" w:rsidR="00EF5D3F" w:rsidRPr="00232EBB" w:rsidRDefault="00EF5D3F" w:rsidP="00895958">
            <w:pPr>
              <w:jc w:val="center"/>
              <w:rPr>
                <w:rFonts w:ascii="Times New Roman" w:eastAsiaTheme="minorHAnsi" w:hAnsi="Times New Roman" w:cs="Times New Roman"/>
                <w:b w:val="0"/>
                <w:bCs w:val="0"/>
                <w:noProof/>
                <w:color w:val="808080" w:themeColor="background1" w:themeShade="80"/>
                <w:spacing w:val="20"/>
                <w:sz w:val="24"/>
                <w:szCs w:val="28"/>
                <w:lang w:val="es-MX"/>
              </w:rPr>
            </w:pPr>
            <w:r w:rsidRPr="00232EBB">
              <w:rPr>
                <w:rFonts w:ascii="Times New Roman" w:eastAsiaTheme="minorHAnsi" w:hAnsi="Times New Roman" w:cs="Times New Roman"/>
                <w:b w:val="0"/>
                <w:bCs w:val="0"/>
                <w:noProof/>
                <w:color w:val="808080" w:themeColor="background1" w:themeShade="80"/>
                <w:spacing w:val="20"/>
                <w:sz w:val="24"/>
                <w:szCs w:val="28"/>
                <w:lang w:val="es-MX"/>
              </w:rPr>
              <w:t>Grupo Ocupacional IV (Profesionales)</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1338B"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98</w:t>
            </w:r>
          </w:p>
        </w:tc>
        <w:tc>
          <w:tcPr>
            <w:tcW w:w="15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3035C"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51</w:t>
            </w:r>
          </w:p>
        </w:tc>
        <w:tc>
          <w:tcPr>
            <w:tcW w:w="14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4AC2D"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149</w:t>
            </w:r>
          </w:p>
        </w:tc>
      </w:tr>
      <w:tr w:rsidR="00EF5D3F" w:rsidRPr="00232EBB" w14:paraId="78918BBF" w14:textId="77777777" w:rsidTr="00E04BF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57F0A" w14:textId="50738CE5" w:rsidR="00EF5D3F" w:rsidRPr="00232EBB" w:rsidRDefault="00EF5D3F" w:rsidP="00895958">
            <w:pPr>
              <w:jc w:val="center"/>
              <w:rPr>
                <w:rFonts w:ascii="Times New Roman" w:eastAsiaTheme="minorHAnsi" w:hAnsi="Times New Roman" w:cs="Times New Roman"/>
                <w:b w:val="0"/>
                <w:bCs w:val="0"/>
                <w:noProof/>
                <w:color w:val="808080" w:themeColor="background1" w:themeShade="80"/>
                <w:spacing w:val="20"/>
                <w:sz w:val="24"/>
                <w:szCs w:val="28"/>
                <w:lang w:val="es-MX"/>
              </w:rPr>
            </w:pPr>
            <w:r w:rsidRPr="00232EBB">
              <w:rPr>
                <w:rFonts w:ascii="Times New Roman" w:eastAsiaTheme="minorHAnsi" w:hAnsi="Times New Roman" w:cs="Times New Roman"/>
                <w:b w:val="0"/>
                <w:bCs w:val="0"/>
                <w:noProof/>
                <w:color w:val="808080" w:themeColor="background1" w:themeShade="80"/>
                <w:spacing w:val="20"/>
                <w:sz w:val="24"/>
                <w:szCs w:val="28"/>
                <w:lang w:val="es-MX"/>
              </w:rPr>
              <w:t>Grupo Ocupacional V (Dirección)</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750CA"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42</w:t>
            </w:r>
          </w:p>
        </w:tc>
        <w:tc>
          <w:tcPr>
            <w:tcW w:w="15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32B07"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31</w:t>
            </w:r>
          </w:p>
        </w:tc>
        <w:tc>
          <w:tcPr>
            <w:tcW w:w="14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676A0" w14:textId="77777777" w:rsidR="00EF5D3F" w:rsidRPr="00232EBB" w:rsidRDefault="00EF5D3F" w:rsidP="00895958">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73</w:t>
            </w:r>
          </w:p>
        </w:tc>
      </w:tr>
      <w:tr w:rsidR="00EF5D3F" w:rsidRPr="00232EBB" w14:paraId="675DA701" w14:textId="77777777" w:rsidTr="00E115EF">
        <w:trPr>
          <w:trHeight w:val="96"/>
        </w:trPr>
        <w:tc>
          <w:tcPr>
            <w:cnfStyle w:val="001000000000" w:firstRow="0" w:lastRow="0" w:firstColumn="1" w:lastColumn="0" w:oddVBand="0" w:evenVBand="0" w:oddHBand="0" w:evenHBand="0" w:firstRowFirstColumn="0" w:firstRowLastColumn="0" w:lastRowFirstColumn="0" w:lastRowLastColumn="0"/>
            <w:tcW w:w="2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AB245D" w14:textId="77777777" w:rsidR="00EF5D3F" w:rsidRPr="00232EBB" w:rsidRDefault="00EF5D3F" w:rsidP="00895958">
            <w:pPr>
              <w:jc w:val="center"/>
              <w:rPr>
                <w:rFonts w:ascii="Times New Roman" w:eastAsiaTheme="minorHAnsi" w:hAnsi="Times New Roman" w:cs="Times New Roman"/>
                <w:b w:val="0"/>
                <w:bCs w:val="0"/>
                <w:noProof/>
                <w:color w:val="808080" w:themeColor="background1" w:themeShade="80"/>
                <w:spacing w:val="20"/>
                <w:sz w:val="24"/>
                <w:szCs w:val="28"/>
                <w:lang w:val="es-MX"/>
              </w:rPr>
            </w:pPr>
            <w:r w:rsidRPr="00232EBB">
              <w:rPr>
                <w:rFonts w:ascii="Times New Roman" w:eastAsiaTheme="minorHAnsi" w:hAnsi="Times New Roman" w:cs="Times New Roman"/>
                <w:b w:val="0"/>
                <w:bCs w:val="0"/>
                <w:noProof/>
                <w:color w:val="808080" w:themeColor="background1" w:themeShade="80"/>
                <w:spacing w:val="20"/>
                <w:sz w:val="24"/>
                <w:szCs w:val="28"/>
                <w:lang w:val="es-MX"/>
              </w:rPr>
              <w:t>Totales</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EC5A5"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216</w:t>
            </w:r>
          </w:p>
        </w:tc>
        <w:tc>
          <w:tcPr>
            <w:tcW w:w="15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13E2F"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139</w:t>
            </w:r>
          </w:p>
        </w:tc>
        <w:tc>
          <w:tcPr>
            <w:tcW w:w="14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B6991" w14:textId="77777777" w:rsidR="00EF5D3F" w:rsidRPr="00232EBB" w:rsidRDefault="00EF5D3F" w:rsidP="0089595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noProof/>
                <w:color w:val="808080" w:themeColor="background1" w:themeShade="80"/>
                <w:spacing w:val="20"/>
                <w:sz w:val="24"/>
                <w:szCs w:val="28"/>
                <w:lang w:val="es-MX"/>
              </w:rPr>
            </w:pPr>
            <w:r w:rsidRPr="00232EBB">
              <w:rPr>
                <w:rFonts w:ascii="Times New Roman" w:eastAsiaTheme="minorHAnsi" w:hAnsi="Times New Roman" w:cs="Times New Roman"/>
                <w:noProof/>
                <w:color w:val="808080" w:themeColor="background1" w:themeShade="80"/>
                <w:spacing w:val="20"/>
                <w:sz w:val="24"/>
                <w:szCs w:val="28"/>
                <w:lang w:val="es-MX"/>
              </w:rPr>
              <w:t>355</w:t>
            </w:r>
          </w:p>
        </w:tc>
      </w:tr>
    </w:tbl>
    <w:p w14:paraId="550B354A" w14:textId="1B47B107" w:rsidR="00EF5D3F" w:rsidRPr="00232EBB" w:rsidRDefault="003E1BC1" w:rsidP="00EF5D3F">
      <w:pPr>
        <w:spacing w:line="360" w:lineRule="auto"/>
        <w:rPr>
          <w:noProof/>
          <w:color w:val="808080" w:themeColor="background1" w:themeShade="80"/>
          <w:sz w:val="18"/>
          <w:szCs w:val="20"/>
          <w:lang w:val="es-MX"/>
        </w:rPr>
      </w:pPr>
      <w:r w:rsidRPr="00232EBB">
        <w:rPr>
          <w:b/>
          <w:bCs/>
          <w:noProof/>
          <w:color w:val="808080" w:themeColor="background1" w:themeShade="80"/>
          <w:sz w:val="18"/>
          <w:szCs w:val="20"/>
          <w:lang w:val="es-MX"/>
        </w:rPr>
        <w:t>Tabla 18</w:t>
      </w:r>
      <w:r w:rsidRPr="00232EBB">
        <w:rPr>
          <w:noProof/>
          <w:color w:val="808080" w:themeColor="background1" w:themeShade="80"/>
          <w:sz w:val="18"/>
          <w:szCs w:val="20"/>
          <w:lang w:val="es-MX"/>
        </w:rPr>
        <w:t>: Colaboradores por grupo ocupacional</w:t>
      </w:r>
    </w:p>
    <w:p w14:paraId="0B6A38A6" w14:textId="1A2CECD4" w:rsidR="00EF5D3F" w:rsidRPr="00232EBB" w:rsidRDefault="00EF5D3F" w:rsidP="00EF5D3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A diciembre 2025, la institución cuenta con un total de trescientos cincuenta y cinco (355) colaboradores activos. De este total, ciento treinta y nueve (139) son hombres, lo que representa el 39.5%, y doscientas dieciséis (216) son mujeres, equivalente al 61% del personal.  </w:t>
      </w:r>
    </w:p>
    <w:p w14:paraId="38804560" w14:textId="72B3FF5E" w:rsidR="00EF5D3F" w:rsidRPr="00232EBB" w:rsidRDefault="00EF5D3F" w:rsidP="00EF5D3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Dentro del Grupo Ocupacional V, se registran cuarenta y dos (42) mujeres, quienes representan el 20% del total de mujeres en la institución y el 58% del total de colaboradores pertenecientes a dicho grupo.  </w:t>
      </w:r>
    </w:p>
    <w:p w14:paraId="0A542EE1" w14:textId="67084B83" w:rsidR="00EF5D3F" w:rsidRPr="00232EBB" w:rsidRDefault="00E115EF" w:rsidP="00EF5D3F">
      <w:pPr>
        <w:pStyle w:val="Heading1"/>
        <w:spacing w:after="240"/>
        <w:jc w:val="left"/>
        <w:rPr>
          <w:rFonts w:eastAsiaTheme="minorHAnsi" w:cs="Times New Roman"/>
          <w:bCs/>
          <w:noProof/>
          <w:color w:val="808080" w:themeColor="background1" w:themeShade="80"/>
          <w:sz w:val="24"/>
          <w:szCs w:val="28"/>
          <w:lang w:val="es-MX"/>
        </w:rPr>
      </w:pPr>
      <w:bookmarkStart w:id="142" w:name="_Toc216263879"/>
      <w:bookmarkStart w:id="143" w:name="_Toc216952229"/>
      <w:bookmarkEnd w:id="136"/>
      <w:r w:rsidRPr="00232EBB">
        <w:rPr>
          <w:rFonts w:eastAsia="Calibri" w:cs="Times New Roman"/>
          <w:noProof/>
          <w:color w:val="FFFFFF" w:themeColor="background1"/>
          <w:sz w:val="18"/>
          <w:szCs w:val="18"/>
          <w:lang w:val="es-DO"/>
        </w:rPr>
        <w:lastRenderedPageBreak/>
        <w:drawing>
          <wp:anchor distT="0" distB="0" distL="114300" distR="114300" simplePos="0" relativeHeight="251686948" behindDoc="1" locked="0" layoutInCell="1" allowOverlap="1" wp14:anchorId="736332CD" wp14:editId="3C503067">
            <wp:simplePos x="0" y="0"/>
            <wp:positionH relativeFrom="margin">
              <wp:posOffset>20197</wp:posOffset>
            </wp:positionH>
            <wp:positionV relativeFrom="paragraph">
              <wp:posOffset>394335</wp:posOffset>
            </wp:positionV>
            <wp:extent cx="4778375" cy="2183130"/>
            <wp:effectExtent l="0" t="0" r="3175" b="0"/>
            <wp:wrapTight wrapText="bothSides">
              <wp:wrapPolygon edited="0">
                <wp:start x="0" y="0"/>
                <wp:lineTo x="0" y="21150"/>
                <wp:lineTo x="21528" y="21150"/>
                <wp:lineTo x="21528" y="0"/>
                <wp:lineTo x="0" y="0"/>
              </wp:wrapPolygon>
            </wp:wrapTight>
            <wp:docPr id="186059313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F5D3F" w:rsidRPr="00232EBB">
        <w:rPr>
          <w:rFonts w:eastAsiaTheme="minorHAnsi" w:cs="Times New Roman"/>
          <w:bCs/>
          <w:noProof/>
          <w:color w:val="808080" w:themeColor="background1" w:themeShade="80"/>
          <w:sz w:val="24"/>
          <w:szCs w:val="28"/>
          <w:lang w:val="es-MX"/>
        </w:rPr>
        <w:t>Índice de Reclutamiento y Selección de Personal.</w:t>
      </w:r>
      <w:bookmarkEnd w:id="142"/>
      <w:bookmarkEnd w:id="143"/>
    </w:p>
    <w:p w14:paraId="5A97258F" w14:textId="5465F8D8" w:rsidR="00EF5D3F" w:rsidRPr="00232EBB" w:rsidRDefault="00EF5D3F" w:rsidP="000E2299">
      <w:pPr>
        <w:pStyle w:val="ListParagraph"/>
        <w:numPr>
          <w:ilvl w:val="0"/>
          <w:numId w:val="6"/>
        </w:numPr>
        <w:spacing w:after="120" w:line="240" w:lineRule="auto"/>
        <w:rPr>
          <w:rFonts w:ascii="Times New Roman" w:hAnsi="Times New Roman"/>
          <w:color w:val="1F3864" w:themeColor="accent1" w:themeShade="80"/>
          <w:sz w:val="2"/>
          <w:szCs w:val="2"/>
        </w:rPr>
      </w:pPr>
    </w:p>
    <w:p w14:paraId="1EB0AC23" w14:textId="33C2F273" w:rsidR="00EF5D3F" w:rsidRPr="00232EBB" w:rsidRDefault="00DE5E63" w:rsidP="00EF5D3F">
      <w:pPr>
        <w:pStyle w:val="NormalWeb"/>
        <w:spacing w:before="0" w:beforeAutospacing="0" w:after="0" w:afterAutospacing="0"/>
        <w:jc w:val="both"/>
        <w:rPr>
          <w:rFonts w:eastAsiaTheme="minorHAnsi"/>
          <w:noProof/>
          <w:color w:val="808080" w:themeColor="background1" w:themeShade="80"/>
          <w:spacing w:val="20"/>
          <w:sz w:val="14"/>
          <w:szCs w:val="16"/>
          <w:lang w:val="es-MX"/>
        </w:rPr>
      </w:pPr>
      <w:r w:rsidRPr="00232EBB">
        <w:rPr>
          <w:rFonts w:eastAsiaTheme="minorHAnsi"/>
          <w:b/>
          <w:bCs/>
          <w:noProof/>
          <w:color w:val="808080" w:themeColor="background1" w:themeShade="80"/>
          <w:spacing w:val="20"/>
          <w:sz w:val="18"/>
          <w:szCs w:val="20"/>
          <w:lang w:val="es-MX"/>
        </w:rPr>
        <w:t xml:space="preserve">Gráfico </w:t>
      </w:r>
      <w:r w:rsidR="00E14CB6" w:rsidRPr="00232EBB">
        <w:rPr>
          <w:rFonts w:eastAsiaTheme="minorHAnsi"/>
          <w:b/>
          <w:bCs/>
          <w:noProof/>
          <w:color w:val="808080" w:themeColor="background1" w:themeShade="80"/>
          <w:spacing w:val="20"/>
          <w:sz w:val="18"/>
          <w:szCs w:val="20"/>
          <w:lang w:val="es-MX"/>
        </w:rPr>
        <w:t>1</w:t>
      </w:r>
      <w:r w:rsidR="000743EE" w:rsidRPr="00232EBB">
        <w:rPr>
          <w:rFonts w:eastAsiaTheme="minorHAnsi"/>
          <w:b/>
          <w:bCs/>
          <w:noProof/>
          <w:color w:val="808080" w:themeColor="background1" w:themeShade="80"/>
          <w:spacing w:val="20"/>
          <w:sz w:val="18"/>
          <w:szCs w:val="20"/>
          <w:lang w:val="es-MX"/>
        </w:rPr>
        <w:t>4</w:t>
      </w:r>
      <w:r w:rsidRPr="00232EBB">
        <w:rPr>
          <w:rFonts w:eastAsiaTheme="minorHAnsi"/>
          <w:noProof/>
          <w:color w:val="808080" w:themeColor="background1" w:themeShade="80"/>
          <w:spacing w:val="20"/>
          <w:sz w:val="18"/>
          <w:szCs w:val="20"/>
          <w:lang w:val="es-MX"/>
        </w:rPr>
        <w:t xml:space="preserve">: </w:t>
      </w:r>
      <w:r w:rsidRPr="00232EBB">
        <w:rPr>
          <w:rFonts w:eastAsiaTheme="minorHAnsi"/>
          <w:bCs/>
          <w:noProof/>
          <w:color w:val="808080" w:themeColor="background1" w:themeShade="80"/>
          <w:sz w:val="18"/>
          <w:szCs w:val="20"/>
          <w:lang w:val="es-MX"/>
        </w:rPr>
        <w:t>Índice de reclutamiento y selección de personal.</w:t>
      </w:r>
    </w:p>
    <w:p w14:paraId="1E6D9DA3" w14:textId="77777777" w:rsidR="00DE5E63" w:rsidRPr="00232EBB" w:rsidRDefault="00DE5E63" w:rsidP="00EF5D3F">
      <w:pPr>
        <w:pStyle w:val="NormalWeb"/>
        <w:spacing w:before="0" w:beforeAutospacing="0" w:after="0" w:afterAutospacing="0"/>
        <w:jc w:val="both"/>
        <w:rPr>
          <w:rFonts w:eastAsiaTheme="minorHAnsi"/>
          <w:noProof/>
          <w:color w:val="808080" w:themeColor="background1" w:themeShade="80"/>
          <w:spacing w:val="20"/>
          <w:sz w:val="22"/>
          <w:lang w:val="es-MX"/>
        </w:rPr>
      </w:pPr>
    </w:p>
    <w:p w14:paraId="610039B7" w14:textId="68632E8A" w:rsidR="00EF5D3F" w:rsidRPr="00232EBB" w:rsidRDefault="00EF5D3F" w:rsidP="00EF5D3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Cerramos el año con un total general de treinta y tres (33) ingresos de personal, incluyendo fijos, temporeros y en periodo probatorio. De este total, la Dirección de Servicios reporta el mayor crecimiento, con siete (7) nuevos ingresos. </w:t>
      </w:r>
    </w:p>
    <w:p w14:paraId="4EE738DF" w14:textId="3FFD4EFB" w:rsidR="00EF5D3F" w:rsidRPr="00232EBB" w:rsidRDefault="00EF5D3F" w:rsidP="00EF5D3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Además de cubrir las vacantes generadas por salidas y otros movimientos ocurridos durante el presente año, gestionamos la cobertura de las vacantes que quedaron pendientes del año 2024. Para este objetivo, se estableció como meta alcanzar al menos el 80% de dichas contrataciones, lo que equivalía a 24 posiciones. </w:t>
      </w:r>
    </w:p>
    <w:p w14:paraId="696E65F0" w14:textId="77777777" w:rsidR="00EF5D3F" w:rsidRPr="00232EBB" w:rsidRDefault="00EF5D3F" w:rsidP="00EF5D3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Al cierre del año, logramos cubrir 25 vacantes, alcanzando un nivel de cumplimiento del 83%, lo que evidencia que superamos la meta propuesta y representa un desempeño por encima del 100% respecto a la totalidad de vacantes pendientes.</w:t>
      </w:r>
      <w:bookmarkStart w:id="144" w:name="_Toc216263880"/>
    </w:p>
    <w:p w14:paraId="4B24CFC7" w14:textId="0F5F8D3B" w:rsidR="00EF5D3F" w:rsidRPr="00232EBB" w:rsidRDefault="00EF5D3F" w:rsidP="00EF5D3F">
      <w:pPr>
        <w:spacing w:line="360" w:lineRule="auto"/>
        <w:jc w:val="both"/>
        <w:rPr>
          <w:b/>
          <w:bCs/>
          <w:noProof/>
          <w:color w:val="808080" w:themeColor="background1" w:themeShade="80"/>
          <w:szCs w:val="28"/>
          <w:lang w:val="es-MX"/>
        </w:rPr>
      </w:pPr>
      <w:r w:rsidRPr="00232EBB">
        <w:rPr>
          <w:b/>
          <w:bCs/>
          <w:noProof/>
          <w:color w:val="808080" w:themeColor="background1" w:themeShade="80"/>
          <w:szCs w:val="28"/>
          <w:lang w:val="es-MX"/>
        </w:rPr>
        <w:t>Incorporación a la Carrera Administrativa.</w:t>
      </w:r>
      <w:bookmarkEnd w:id="144"/>
    </w:p>
    <w:p w14:paraId="4835B6E4" w14:textId="77777777" w:rsidR="003E1BC1" w:rsidRPr="00232EBB" w:rsidRDefault="003E1BC1" w:rsidP="003E1BC1">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En atención a lo dispuesto en el Artículo 46 del Reglamento No. 251-15, se gestionó ante el Ministerio de Administración Pública (MAP) la autorización para el uso de los registros de elegibles correspondientes a dos concursos concluidos en el presente año. </w:t>
      </w:r>
    </w:p>
    <w:p w14:paraId="6DAE6331" w14:textId="561666C1" w:rsidR="00EF5D3F" w:rsidRPr="00232EBB" w:rsidRDefault="00EF5D3F" w:rsidP="00EF5D3F">
      <w:pPr>
        <w:spacing w:after="120" w:line="240" w:lineRule="auto"/>
        <w:jc w:val="center"/>
        <w:rPr>
          <w:noProof/>
          <w:color w:val="000000" w:themeColor="text1"/>
        </w:rPr>
      </w:pPr>
      <w:r w:rsidRPr="00232EBB">
        <w:rPr>
          <w:noProof/>
        </w:rPr>
        <w:lastRenderedPageBreak/>
        <w:drawing>
          <wp:inline distT="0" distB="0" distL="0" distR="0" wp14:anchorId="1A47570C" wp14:editId="69B6CBA3">
            <wp:extent cx="4645025" cy="2756848"/>
            <wp:effectExtent l="0" t="0" r="3175" b="5715"/>
            <wp:docPr id="13948773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04383C3" w14:textId="0A5A688A" w:rsidR="00DE5E63" w:rsidRPr="00232EBB" w:rsidRDefault="00DE5E63" w:rsidP="00DE5E63">
      <w:pPr>
        <w:pStyle w:val="NormalWeb"/>
        <w:spacing w:before="0" w:beforeAutospacing="0" w:after="0" w:afterAutospacing="0"/>
        <w:jc w:val="both"/>
        <w:rPr>
          <w:rFonts w:eastAsiaTheme="minorHAnsi"/>
          <w:noProof/>
          <w:color w:val="808080" w:themeColor="background1" w:themeShade="80"/>
          <w:spacing w:val="20"/>
          <w:sz w:val="18"/>
          <w:szCs w:val="20"/>
          <w:lang w:val="es-MX"/>
        </w:rPr>
      </w:pPr>
      <w:r w:rsidRPr="00232EBB">
        <w:rPr>
          <w:rFonts w:eastAsiaTheme="minorHAnsi"/>
          <w:b/>
          <w:bCs/>
          <w:noProof/>
          <w:color w:val="808080" w:themeColor="background1" w:themeShade="80"/>
          <w:spacing w:val="20"/>
          <w:sz w:val="18"/>
          <w:szCs w:val="20"/>
          <w:lang w:val="es-MX"/>
        </w:rPr>
        <w:t>Gráfico 1</w:t>
      </w:r>
      <w:r w:rsidR="000743EE" w:rsidRPr="00232EBB">
        <w:rPr>
          <w:rFonts w:eastAsiaTheme="minorHAnsi"/>
          <w:b/>
          <w:bCs/>
          <w:noProof/>
          <w:color w:val="808080" w:themeColor="background1" w:themeShade="80"/>
          <w:spacing w:val="20"/>
          <w:sz w:val="18"/>
          <w:szCs w:val="20"/>
          <w:lang w:val="es-MX"/>
        </w:rPr>
        <w:t>5</w:t>
      </w:r>
      <w:r w:rsidRPr="00232EBB">
        <w:rPr>
          <w:rFonts w:eastAsiaTheme="minorHAnsi"/>
          <w:noProof/>
          <w:color w:val="808080" w:themeColor="background1" w:themeShade="80"/>
          <w:spacing w:val="20"/>
          <w:sz w:val="18"/>
          <w:szCs w:val="20"/>
          <w:lang w:val="es-MX"/>
        </w:rPr>
        <w:t xml:space="preserve">: </w:t>
      </w:r>
      <w:r w:rsidR="00E43B56" w:rsidRPr="00232EBB">
        <w:rPr>
          <w:rFonts w:eastAsiaTheme="minorHAnsi"/>
          <w:noProof/>
          <w:color w:val="808080" w:themeColor="background1" w:themeShade="80"/>
          <w:spacing w:val="20"/>
          <w:sz w:val="18"/>
          <w:szCs w:val="20"/>
          <w:lang w:val="es-MX"/>
        </w:rPr>
        <w:t>Incorporación a la Carrera Administrativa</w:t>
      </w:r>
    </w:p>
    <w:p w14:paraId="66499747" w14:textId="77777777" w:rsidR="00EF5D3F" w:rsidRPr="00232EBB" w:rsidRDefault="00EF5D3F" w:rsidP="00EF5D3F">
      <w:pPr>
        <w:spacing w:after="120" w:line="240" w:lineRule="auto"/>
        <w:jc w:val="center"/>
        <w:rPr>
          <w:noProof/>
          <w:color w:val="000000" w:themeColor="text1"/>
          <w:lang w:val="es-MX"/>
        </w:rPr>
      </w:pPr>
    </w:p>
    <w:p w14:paraId="2F80F6C0" w14:textId="77777777" w:rsidR="00EF5D3F" w:rsidRPr="00232EBB" w:rsidRDefault="00EF5D3F" w:rsidP="00EF5D3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Como resultado de este proceso, fueron nombrados provisionalmente tres (3) servidores pertenecientes al Grupo Ocupacional IV, para ocupar los cargos de Supervisión de Fiscalización, Supervisor de Análisis y Perfilamiento del Empleador y Fiscalizador de Seguridad Social en la Dirección de Fiscalización Externa.</w:t>
      </w:r>
    </w:p>
    <w:p w14:paraId="0186F760" w14:textId="77777777" w:rsidR="00EF5D3F" w:rsidRPr="00232EBB" w:rsidRDefault="00EF5D3F" w:rsidP="00EF5D3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De igual forma, fueron nombrados de manera definitiva cuatro (4) servidores, los cuales corresponden a colaboradores de la TSS, quienes superaron satisfactoriamente el período probatorio establecido para su grupo ocupacional, requisito indispensable para su acreditación como Servidores de Carrera. </w:t>
      </w:r>
    </w:p>
    <w:p w14:paraId="01B33CFA" w14:textId="0DA810B0" w:rsidR="00CB5570" w:rsidRPr="00232EBB" w:rsidRDefault="00EF5D3F" w:rsidP="00836944">
      <w:pPr>
        <w:rPr>
          <w:b/>
          <w:bCs/>
          <w:noProof/>
          <w:color w:val="808080" w:themeColor="background1" w:themeShade="80"/>
          <w:szCs w:val="28"/>
          <w:lang w:val="es-MX"/>
        </w:rPr>
      </w:pPr>
      <w:bookmarkStart w:id="145" w:name="_Toc216263881"/>
      <w:r w:rsidRPr="00232EBB">
        <w:rPr>
          <w:b/>
          <w:bCs/>
          <w:noProof/>
          <w:color w:val="808080" w:themeColor="background1" w:themeShade="80"/>
          <w:szCs w:val="28"/>
          <w:lang w:val="es-MX"/>
        </w:rPr>
        <w:t>Índice de Rotación</w:t>
      </w:r>
      <w:bookmarkEnd w:id="145"/>
    </w:p>
    <w:p w14:paraId="66185E19" w14:textId="5E154153" w:rsidR="00232EBB" w:rsidRPr="00232EBB" w:rsidRDefault="00232EBB" w:rsidP="00CB5570">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D</w:t>
      </w:r>
      <w:r w:rsidRPr="00232EBB">
        <w:rPr>
          <w:rFonts w:eastAsiaTheme="minorHAnsi"/>
          <w:noProof/>
          <w:color w:val="808080" w:themeColor="background1" w:themeShade="80"/>
          <w:spacing w:val="20"/>
          <w:szCs w:val="28"/>
          <w:lang w:val="es-MX"/>
        </w:rPr>
        <w:t>urante el período enero-diciembre 2025, se registraron un total de veinte (20) salidas de personal, distribuidas de la siguiente manera: diez (10) desvinculaciones por conveniencia institucional, ocho (8) renuncias voluntarias y dos (2) finalizaciones de contrato por cobertura de licencia pre y postnatal.</w:t>
      </w:r>
    </w:p>
    <w:p w14:paraId="43426ABE" w14:textId="0AEC07E8" w:rsidR="00EF5D3F" w:rsidRPr="00232EBB" w:rsidRDefault="00EF5D3F" w:rsidP="00CB5570">
      <w:pPr>
        <w:pStyle w:val="NormalWeb"/>
        <w:spacing w:line="360" w:lineRule="auto"/>
        <w:jc w:val="both"/>
        <w:rPr>
          <w:rFonts w:eastAsiaTheme="minorHAnsi"/>
          <w:b/>
          <w:bCs/>
          <w:noProof/>
          <w:color w:val="808080" w:themeColor="background1" w:themeShade="80"/>
          <w:spacing w:val="20"/>
          <w:szCs w:val="28"/>
          <w:lang w:val="es-MX"/>
        </w:rPr>
      </w:pPr>
    </w:p>
    <w:p w14:paraId="2AE70BA4" w14:textId="7CB6544A" w:rsidR="00232EBB" w:rsidRPr="00232EBB" w:rsidRDefault="00232EBB" w:rsidP="00895958">
      <w:pPr>
        <w:rPr>
          <w:b/>
          <w:bCs/>
          <w:noProof/>
          <w:color w:val="808080" w:themeColor="background1" w:themeShade="80"/>
          <w:sz w:val="20"/>
          <w:szCs w:val="20"/>
          <w:lang w:val="es-MX"/>
        </w:rPr>
      </w:pPr>
      <w:r w:rsidRPr="00232EBB">
        <w:rPr>
          <w:noProof/>
          <w:sz w:val="28"/>
          <w:szCs w:val="28"/>
        </w:rPr>
        <w:lastRenderedPageBreak/>
        <w:drawing>
          <wp:anchor distT="0" distB="0" distL="114300" distR="114300" simplePos="0" relativeHeight="251711524" behindDoc="0" locked="0" layoutInCell="1" allowOverlap="1" wp14:anchorId="79CC9730" wp14:editId="38D0F377">
            <wp:simplePos x="0" y="0"/>
            <wp:positionH relativeFrom="margin">
              <wp:posOffset>0</wp:posOffset>
            </wp:positionH>
            <wp:positionV relativeFrom="paragraph">
              <wp:posOffset>255270</wp:posOffset>
            </wp:positionV>
            <wp:extent cx="4819650" cy="2938145"/>
            <wp:effectExtent l="0" t="0" r="0" b="14605"/>
            <wp:wrapThrough wrapText="bothSides">
              <wp:wrapPolygon edited="0">
                <wp:start x="0" y="0"/>
                <wp:lineTo x="0" y="21567"/>
                <wp:lineTo x="21515" y="21567"/>
                <wp:lineTo x="21515" y="0"/>
                <wp:lineTo x="0" y="0"/>
              </wp:wrapPolygon>
            </wp:wrapThrough>
            <wp:docPr id="176681249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p w14:paraId="08FD7160" w14:textId="03172B5C" w:rsidR="00EF5D3F" w:rsidRPr="00232EBB" w:rsidRDefault="00E43B56" w:rsidP="00895958">
      <w:pPr>
        <w:rPr>
          <w:noProof/>
          <w:color w:val="000000" w:themeColor="text1"/>
          <w:sz w:val="20"/>
          <w:szCs w:val="20"/>
          <w:lang w:val="es-DO"/>
        </w:rPr>
      </w:pPr>
      <w:r w:rsidRPr="00232EBB">
        <w:rPr>
          <w:b/>
          <w:bCs/>
          <w:noProof/>
          <w:color w:val="808080" w:themeColor="background1" w:themeShade="80"/>
          <w:sz w:val="20"/>
          <w:szCs w:val="20"/>
          <w:lang w:val="es-MX"/>
        </w:rPr>
        <w:t>Gráfico 1</w:t>
      </w:r>
      <w:r w:rsidR="000743EE" w:rsidRPr="00232EBB">
        <w:rPr>
          <w:b/>
          <w:bCs/>
          <w:noProof/>
          <w:color w:val="808080" w:themeColor="background1" w:themeShade="80"/>
          <w:sz w:val="20"/>
          <w:szCs w:val="20"/>
          <w:lang w:val="es-MX"/>
        </w:rPr>
        <w:t>6</w:t>
      </w:r>
      <w:r w:rsidRPr="00232EBB">
        <w:rPr>
          <w:noProof/>
          <w:color w:val="808080" w:themeColor="background1" w:themeShade="80"/>
          <w:sz w:val="20"/>
          <w:szCs w:val="20"/>
          <w:lang w:val="es-MX"/>
        </w:rPr>
        <w:t xml:space="preserve">: Salidas de personal </w:t>
      </w:r>
    </w:p>
    <w:p w14:paraId="57BF40BC" w14:textId="5C52811C"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Las unidades organizativas con mayor concentración de rotación fueron la Dirección Administrativa, con seis (6) salidas, y las Direcciones de Gestión de Normas, Cumplimiento y Ciberseguridad y Tecnologias de la Informacion y Comunicación con tres (3) salidas cada una.</w:t>
      </w:r>
    </w:p>
    <w:p w14:paraId="39F4FD66" w14:textId="40D14D51" w:rsidR="003E1BC1"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El índice de rotación de personal (IRP) correspondiente al año 2025 fue de 6%, del cual el 0.40% corresponde a renuncias voluntarias. En comparación con el año 2024, que presentó un IRP de 5%, se evidencia un aumento de 1.0 puntos porcentuales. No obstante, este comportamiento continúa demostrando la solidez del entorno laboral en la institución.</w:t>
      </w:r>
      <w:bookmarkStart w:id="146" w:name="_Toc216263882"/>
    </w:p>
    <w:p w14:paraId="31A77FC9" w14:textId="6649D81F" w:rsidR="00EF5D3F" w:rsidRPr="00232EBB" w:rsidRDefault="00EF5D3F" w:rsidP="00681956">
      <w:pPr>
        <w:pStyle w:val="Heading1"/>
        <w:spacing w:before="0"/>
        <w:jc w:val="left"/>
        <w:rPr>
          <w:rFonts w:eastAsiaTheme="minorHAnsi" w:cs="Times New Roman"/>
          <w:bCs/>
          <w:noProof/>
          <w:color w:val="808080" w:themeColor="background1" w:themeShade="80"/>
          <w:sz w:val="24"/>
          <w:szCs w:val="28"/>
          <w:lang w:val="es-MX"/>
        </w:rPr>
      </w:pPr>
      <w:bookmarkStart w:id="147" w:name="_Toc216952230"/>
      <w:r w:rsidRPr="00232EBB">
        <w:rPr>
          <w:rFonts w:eastAsiaTheme="minorHAnsi" w:cs="Times New Roman"/>
          <w:bCs/>
          <w:noProof/>
          <w:color w:val="808080" w:themeColor="background1" w:themeShade="80"/>
          <w:sz w:val="24"/>
          <w:szCs w:val="28"/>
          <w:lang w:val="es-MX"/>
        </w:rPr>
        <w:t>Crecimiento TSS</w:t>
      </w:r>
      <w:bookmarkEnd w:id="146"/>
      <w:bookmarkEnd w:id="147"/>
    </w:p>
    <w:p w14:paraId="06601AF2" w14:textId="7A7BDC06" w:rsidR="003E1BC1" w:rsidRPr="00232EBB" w:rsidRDefault="003E1BC1" w:rsidP="00681956">
      <w:pPr>
        <w:pStyle w:val="NormalWeb"/>
        <w:spacing w:before="0" w:beforeAutospacing="0" w:after="20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En nuestra institución valoramos profundamente el crecimiento y desarrollo de nuestro personal, reconociendo que su progreso fortalece nuestras capacidades, impulsa la motivación y consolida una cultura basada en el mérito y las oportunidades. Promover el </w:t>
      </w:r>
      <w:r w:rsidRPr="00232EBB">
        <w:rPr>
          <w:rFonts w:eastAsiaTheme="minorHAnsi"/>
          <w:noProof/>
          <w:color w:val="808080" w:themeColor="background1" w:themeShade="80"/>
          <w:spacing w:val="20"/>
          <w:szCs w:val="28"/>
          <w:lang w:val="es-MX"/>
        </w:rPr>
        <w:lastRenderedPageBreak/>
        <w:t>talento interno es una prioridad que contribuye directamente al logro de nuestros objetivos estratégicos.</w:t>
      </w:r>
    </w:p>
    <w:p w14:paraId="01DE0695" w14:textId="2E8608E0" w:rsidR="00EF5D3F" w:rsidRPr="00232EBB" w:rsidRDefault="003E1BC1" w:rsidP="003E1BC1">
      <w:pPr>
        <w:rPr>
          <w:color w:val="1F3864" w:themeColor="accent1" w:themeShade="80"/>
          <w:sz w:val="2"/>
          <w:szCs w:val="2"/>
        </w:rPr>
      </w:pPr>
      <w:r w:rsidRPr="00232EBB">
        <w:rPr>
          <w:noProof/>
        </w:rPr>
        <w:drawing>
          <wp:inline distT="0" distB="0" distL="0" distR="0" wp14:anchorId="670F40DB" wp14:editId="7FF22638">
            <wp:extent cx="4817110" cy="2838735"/>
            <wp:effectExtent l="0" t="0" r="2540" b="0"/>
            <wp:docPr id="141198574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344A363" w14:textId="682A90F4" w:rsidR="00E43B56" w:rsidRPr="00232EBB" w:rsidRDefault="00E43B56" w:rsidP="00895958">
      <w:pPr>
        <w:rPr>
          <w:noProof/>
          <w:color w:val="000000" w:themeColor="text1"/>
          <w:sz w:val="20"/>
          <w:szCs w:val="20"/>
          <w:lang w:val="es-DO"/>
        </w:rPr>
      </w:pPr>
      <w:r w:rsidRPr="00232EBB">
        <w:rPr>
          <w:b/>
          <w:bCs/>
          <w:noProof/>
          <w:color w:val="808080" w:themeColor="background1" w:themeShade="80"/>
          <w:sz w:val="20"/>
          <w:szCs w:val="20"/>
          <w:lang w:val="es-MX"/>
        </w:rPr>
        <w:t>Gráfico 1</w:t>
      </w:r>
      <w:r w:rsidR="000743EE" w:rsidRPr="00232EBB">
        <w:rPr>
          <w:b/>
          <w:bCs/>
          <w:noProof/>
          <w:color w:val="808080" w:themeColor="background1" w:themeShade="80"/>
          <w:sz w:val="20"/>
          <w:szCs w:val="20"/>
          <w:lang w:val="es-MX"/>
        </w:rPr>
        <w:t>7</w:t>
      </w:r>
      <w:r w:rsidRPr="00232EBB">
        <w:rPr>
          <w:noProof/>
          <w:color w:val="808080" w:themeColor="background1" w:themeShade="80"/>
          <w:sz w:val="20"/>
          <w:szCs w:val="20"/>
          <w:lang w:val="es-MX"/>
        </w:rPr>
        <w:t xml:space="preserve">: Crecimiento Personal TSS </w:t>
      </w:r>
    </w:p>
    <w:p w14:paraId="36621CCF" w14:textId="77777777"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En consonancia con lo establecido en la Resolución 230-2021, que aprueba el Instructivo para Ascensos y Promociones en la Carrera Administrativa General, durante este año fueron promovidos cuatro (4) servidores de carrera del Grupo Ocupacional IV (GO IV), pertenecientes a las Direcciones de Servicios y Fiscalización Externa. Asimismo, dos (2) colaboradores fueron nombrados bajo la modalidad de suplencia para ocupar de manera interina cargos pertenecientes a los GO IV y V, en las Direcciones de Tecnologías de la Información y Comunicación y Administrativa.</w:t>
      </w:r>
    </w:p>
    <w:p w14:paraId="6CF812AE" w14:textId="77777777"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 su vez, nueve (9) colaboradores tuvieron cambios de designación, de los cuales cinco (5) fueron resultado de procesos de concursos internos. Estos cambios correspondieron a cargos en las Direcciones de Servicios, Recursos Humanos, Fiscalización Externa, Gestión de Normas y Cumplimiento, así como en el Departamento de Fiscalización Interna.</w:t>
      </w:r>
    </w:p>
    <w:p w14:paraId="03F19A1F" w14:textId="77777777"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lastRenderedPageBreak/>
        <w:t>Por último, con el propósito de cubrir cargos vacantes con vocación de carrera, fueron nombrados bajo la modalidad de interinato nueve (9) colaboradores, correspondientes a las Direcciones de Servicios, Tecnologías de la Información y Comunicación, Fiscalización Externa, Financiera y Administrativa, así como un (1) interinato adicional para cubrir una licencia postnatal en la Dirección de Recursos Humanos.</w:t>
      </w:r>
    </w:p>
    <w:p w14:paraId="6C0A2F43" w14:textId="77777777" w:rsidR="00D960CD"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En total, estos movimientos ascienden a veinticinco (25) durante el año, de los cuales cinco (5) corresponden a cargos pertenecientes al Grupo Ocupacional V, lo que evidencia la apertura brindada a nuestros colaboradores para asumir roles de liderazgo, gestión de personas y toma de decisiones.</w:t>
      </w:r>
      <w:bookmarkStart w:id="148" w:name="_Toc216263884"/>
    </w:p>
    <w:p w14:paraId="029ABC95" w14:textId="1B480C60" w:rsidR="00B0241D" w:rsidRPr="00232EBB" w:rsidRDefault="00EF5D3F" w:rsidP="009B14EB">
      <w:pPr>
        <w:pStyle w:val="Heading1"/>
        <w:spacing w:after="160"/>
        <w:jc w:val="left"/>
        <w:rPr>
          <w:rFonts w:eastAsiaTheme="minorHAnsi" w:cs="Times New Roman"/>
          <w:b w:val="0"/>
          <w:noProof/>
          <w:color w:val="808080" w:themeColor="background1" w:themeShade="80"/>
          <w:sz w:val="24"/>
          <w:szCs w:val="28"/>
          <w:lang w:val="es-MX"/>
        </w:rPr>
      </w:pPr>
      <w:bookmarkStart w:id="149" w:name="_Toc216263885"/>
      <w:bookmarkStart w:id="150" w:name="_Toc216952231"/>
      <w:bookmarkEnd w:id="148"/>
      <w:r w:rsidRPr="00232EBB">
        <w:rPr>
          <w:rFonts w:eastAsiaTheme="minorHAnsi" w:cs="Times New Roman"/>
          <w:bCs/>
          <w:noProof/>
          <w:color w:val="808080" w:themeColor="background1" w:themeShade="80"/>
          <w:sz w:val="24"/>
          <w:szCs w:val="28"/>
          <w:lang w:val="es-MX"/>
        </w:rPr>
        <w:t>Implementación Proceso de Debida Diligencia</w:t>
      </w:r>
      <w:r w:rsidRPr="00232EBB">
        <w:rPr>
          <w:rFonts w:eastAsiaTheme="minorHAnsi" w:cs="Times New Roman"/>
          <w:b w:val="0"/>
          <w:noProof/>
          <w:color w:val="808080" w:themeColor="background1" w:themeShade="80"/>
          <w:sz w:val="24"/>
          <w:szCs w:val="28"/>
          <w:lang w:val="es-MX"/>
        </w:rPr>
        <w:t>.</w:t>
      </w:r>
      <w:bookmarkEnd w:id="149"/>
      <w:bookmarkEnd w:id="150"/>
    </w:p>
    <w:p w14:paraId="3990941D" w14:textId="77777777"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La institución se encuentra actualmente en proceso de certificación en las normas ISO 37001: Sistema de Gestión Antisoborno e ISO 37301: Sistema de Gestión de Cumplimiento, lo cual ha implicado la implementación de diversos mecanismos de control orientados a fortalecer la integridad institucional. Entre estos mecanismos se destaca la debida diligencia, reconocida como una herramienta clave para prevenir, detectar y gestionar riesgos asociados al soborno y al incumplimiento normativo.</w:t>
      </w:r>
    </w:p>
    <w:p w14:paraId="7A8EF0AD" w14:textId="036A9E5E"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La debida diligencia comprende un conjunto de procesos, prácticas y controles diseñados para verificar, evaluar y mitigar riesgos antes de adoptar decisiones administrativas, financieras, contractuales o relacionadas con la gestión del talento humano. Su objetivo principal es asegurar la transparencia, legalidad, integridad y eficiencia en la gestión pública.</w:t>
      </w:r>
    </w:p>
    <w:p w14:paraId="10B16EB6" w14:textId="6D20332B"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Durante el primer trimestre del año, la Dirección de Recursos Humanos inició la implementación de este control aplicándolo a la </w:t>
      </w:r>
      <w:r w:rsidRPr="00232EBB">
        <w:rPr>
          <w:rFonts w:eastAsiaTheme="minorHAnsi"/>
          <w:noProof/>
          <w:color w:val="808080" w:themeColor="background1" w:themeShade="80"/>
          <w:spacing w:val="20"/>
          <w:szCs w:val="28"/>
          <w:lang w:val="es-MX"/>
        </w:rPr>
        <w:lastRenderedPageBreak/>
        <w:t>totalidad del personal institucional. Tras concluir la etapa de sensibilización, a cada colaborador se le aplicó un formulario de debida diligencia simplificada, el cual fue posteriormente evaluado y validado por el equipo de Recursos Humanos.</w:t>
      </w:r>
    </w:p>
    <w:p w14:paraId="4EEFD19F" w14:textId="4B51DE32"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Al cierre del año, este proceso se ha aplicado a un total de 372 colaboradores, identificándose los hallazgos mostrados en la </w:t>
      </w:r>
      <w:r w:rsidR="0076370C" w:rsidRPr="00232EBB">
        <w:rPr>
          <w:rFonts w:eastAsiaTheme="minorHAnsi"/>
          <w:noProof/>
          <w:color w:val="808080" w:themeColor="background1" w:themeShade="80"/>
          <w:spacing w:val="20"/>
          <w:szCs w:val="28"/>
          <w:lang w:val="es-MX"/>
        </w:rPr>
        <w:t>tabla</w:t>
      </w:r>
      <w:r w:rsidRPr="00232EBB">
        <w:rPr>
          <w:rFonts w:eastAsiaTheme="minorHAnsi"/>
          <w:noProof/>
          <w:color w:val="808080" w:themeColor="background1" w:themeShade="80"/>
          <w:spacing w:val="20"/>
          <w:szCs w:val="28"/>
          <w:lang w:val="es-MX"/>
        </w:rPr>
        <w:t xml:space="preserve"> </w:t>
      </w:r>
      <w:r w:rsidR="0076370C" w:rsidRPr="00232EBB">
        <w:rPr>
          <w:rFonts w:eastAsiaTheme="minorHAnsi"/>
          <w:noProof/>
          <w:color w:val="808080" w:themeColor="background1" w:themeShade="80"/>
          <w:spacing w:val="20"/>
          <w:szCs w:val="28"/>
          <w:lang w:val="es-MX"/>
        </w:rPr>
        <w:t>anterior.</w:t>
      </w:r>
    </w:p>
    <w:p w14:paraId="6149AB3C" w14:textId="77777777"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Como parte de las mejoras al proceso de Reclutamiento y Selección, se creó la Matriz de Personal Vinculado, la cual detalla los colaboradores identificados con vínculos a proveedores del Estado y personas políticamente expuestas. </w:t>
      </w:r>
    </w:p>
    <w:p w14:paraId="623AFAE8" w14:textId="77777777"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Estas matrices fueron remitidas al Departamento de Compras y Contrataciones, con el fin de evitar la participación de dichos colaboradores en procesos de adquisición institucional, y al Departamento de Cumplimiento Normativo, para fines de observación y seguimiento continuo.</w:t>
      </w:r>
    </w:p>
    <w:p w14:paraId="0BB87585" w14:textId="77777777"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Con relación a los colaboradores que figuran como representantes del SUIR, se les solicitó formalmente proceder con su desvinculación del sistema. </w:t>
      </w:r>
    </w:p>
    <w:p w14:paraId="3E811D9F" w14:textId="77777777" w:rsidR="00EF5D3F" w:rsidRPr="00232EBB"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La debida diligencia también se está aplicando a los candidatos preseleccionados en los procesos de reclutamiento y selección, con la finalidad de detectar oportunamente posibles conflictos de interés u otros hallazgos relevantes para la toma de decisiones.</w:t>
      </w:r>
    </w:p>
    <w:p w14:paraId="7A5A4057" w14:textId="77777777" w:rsidR="00EF5D3F" w:rsidRDefault="00EF5D3F"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Estas acciones contribuyen a reforzar el compromiso institucional con la transparencia, el cumplimiento normativo y la prevención de conflictos de interés.</w:t>
      </w:r>
    </w:p>
    <w:p w14:paraId="745EAFD0" w14:textId="77777777" w:rsidR="00F65B16" w:rsidRPr="00232EBB" w:rsidRDefault="00F65B16" w:rsidP="00232EBB">
      <w:pPr>
        <w:pStyle w:val="NormalWeb"/>
        <w:spacing w:line="360" w:lineRule="auto"/>
        <w:jc w:val="both"/>
        <w:rPr>
          <w:rFonts w:eastAsiaTheme="minorHAnsi"/>
          <w:noProof/>
          <w:color w:val="808080" w:themeColor="background1" w:themeShade="80"/>
          <w:spacing w:val="20"/>
          <w:szCs w:val="28"/>
          <w:lang w:val="es-MX"/>
        </w:rPr>
      </w:pPr>
    </w:p>
    <w:p w14:paraId="6101E2F6" w14:textId="4E037B90" w:rsidR="00CB11EA" w:rsidRPr="00232EBB" w:rsidRDefault="00CB11EA" w:rsidP="00280B1F">
      <w:pPr>
        <w:pStyle w:val="NormalWeb"/>
        <w:spacing w:before="0" w:beforeAutospacing="0" w:after="120" w:afterAutospacing="0" w:line="360" w:lineRule="auto"/>
        <w:jc w:val="both"/>
        <w:rPr>
          <w:rFonts w:eastAsiaTheme="minorHAnsi"/>
          <w:b/>
          <w:bCs/>
          <w:noProof/>
          <w:color w:val="808080" w:themeColor="background1" w:themeShade="80"/>
          <w:spacing w:val="20"/>
          <w:szCs w:val="28"/>
          <w:lang w:val="es-MX"/>
        </w:rPr>
      </w:pPr>
      <w:bookmarkStart w:id="151" w:name="_Toc216263892"/>
      <w:r w:rsidRPr="00232EBB">
        <w:rPr>
          <w:rFonts w:eastAsiaTheme="minorHAnsi"/>
          <w:b/>
          <w:bCs/>
          <w:noProof/>
          <w:color w:val="808080" w:themeColor="background1" w:themeShade="80"/>
          <w:spacing w:val="20"/>
          <w:szCs w:val="28"/>
          <w:lang w:val="es-MX"/>
        </w:rPr>
        <w:lastRenderedPageBreak/>
        <w:t>Programa de Reconocimiento.</w:t>
      </w:r>
      <w:bookmarkEnd w:id="151"/>
    </w:p>
    <w:p w14:paraId="206CEC68" w14:textId="77777777" w:rsidR="00CB11EA" w:rsidRPr="00232EBB" w:rsidRDefault="00CB11EA" w:rsidP="00280B1F">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El Programa de Reconocimiento Laboral tiene como objetivo principal establecer mecanismos eficaces de motivación, orientados a fortalecer la autoestima, la autoconfianza, el desempeño, el clima organizacional y el bienestar general de nuestros colaboradores. Para garantizar una evaluación objetiva y transparente, se ha conformado un Comité Evaluador, responsable de recibir, revisar, analizar y valorar las propuestas de reconocimiento presentadas.</w:t>
      </w:r>
    </w:p>
    <w:p w14:paraId="0DB620FC" w14:textId="77777777" w:rsidR="00CB11EA" w:rsidRPr="00232EBB" w:rsidRDefault="00CB11EA" w:rsidP="00280B1F">
      <w:pPr>
        <w:pStyle w:val="NormalWeb"/>
        <w:spacing w:before="0" w:beforeAutospacing="0" w:after="120" w:afterAutospacing="0" w:line="360" w:lineRule="auto"/>
        <w:jc w:val="both"/>
        <w:rPr>
          <w:rFonts w:eastAsiaTheme="minorHAnsi"/>
          <w:noProof/>
          <w:color w:val="808080" w:themeColor="background1" w:themeShade="80"/>
          <w:spacing w:val="20"/>
          <w:sz w:val="22"/>
          <w:lang w:val="es-MX"/>
        </w:rPr>
      </w:pPr>
      <w:r w:rsidRPr="00232EBB">
        <w:rPr>
          <w:rFonts w:eastAsiaTheme="minorHAnsi"/>
          <w:noProof/>
          <w:color w:val="808080" w:themeColor="background1" w:themeShade="80"/>
          <w:spacing w:val="20"/>
          <w:szCs w:val="28"/>
          <w:lang w:val="es-MX"/>
        </w:rPr>
        <w:t>El programa contempla cinco (5) categorías de reconocimiento</w:t>
      </w:r>
      <w:r w:rsidRPr="00232EBB">
        <w:rPr>
          <w:rFonts w:eastAsiaTheme="minorHAnsi"/>
          <w:noProof/>
          <w:color w:val="808080" w:themeColor="background1" w:themeShade="80"/>
          <w:spacing w:val="20"/>
          <w:sz w:val="22"/>
          <w:lang w:val="es-MX"/>
        </w:rPr>
        <w:t xml:space="preserve">: </w:t>
      </w:r>
    </w:p>
    <w:tbl>
      <w:tblPr>
        <w:tblStyle w:val="TableGrid2"/>
        <w:tblpPr w:leftFromText="180" w:rightFromText="180" w:vertAnchor="text" w:horzAnchor="margin" w:tblpXSpec="center" w:tblpY="94"/>
        <w:tblW w:w="4815" w:type="dxa"/>
        <w:tblLook w:val="04A0" w:firstRow="1" w:lastRow="0" w:firstColumn="1" w:lastColumn="0" w:noHBand="0" w:noVBand="1"/>
      </w:tblPr>
      <w:tblGrid>
        <w:gridCol w:w="2263"/>
        <w:gridCol w:w="2552"/>
      </w:tblGrid>
      <w:tr w:rsidR="00CB11EA" w:rsidRPr="00232EBB" w14:paraId="0088D0EB" w14:textId="77777777" w:rsidTr="00F65B16">
        <w:trPr>
          <w:trHeight w:val="419"/>
        </w:trPr>
        <w:tc>
          <w:tcPr>
            <w:tcW w:w="2263" w:type="dxa"/>
            <w:shd w:val="clear" w:color="auto" w:fill="002060"/>
            <w:vAlign w:val="center"/>
          </w:tcPr>
          <w:p w14:paraId="1F1C16CD" w14:textId="77777777" w:rsidR="00CB11EA" w:rsidRPr="00232EBB" w:rsidRDefault="00CB11EA" w:rsidP="00F65B16">
            <w:pPr>
              <w:pStyle w:val="NormalWeb"/>
              <w:spacing w:before="0" w:beforeAutospacing="0" w:after="120" w:afterAutospacing="0" w:line="360" w:lineRule="auto"/>
              <w:jc w:val="center"/>
              <w:rPr>
                <w:rFonts w:ascii="Times New Roman" w:eastAsiaTheme="minorHAnsi" w:hAnsi="Times New Roman" w:cs="Times New Roman"/>
                <w:b/>
                <w:bCs/>
                <w:noProof/>
                <w:color w:val="FFFFFF" w:themeColor="background1"/>
                <w:spacing w:val="20"/>
                <w:kern w:val="0"/>
                <w:szCs w:val="24"/>
                <w:lang w:val="es-MX"/>
                <w14:ligatures w14:val="none"/>
              </w:rPr>
            </w:pPr>
            <w:r w:rsidRPr="00232EBB">
              <w:rPr>
                <w:rFonts w:ascii="Times New Roman" w:eastAsiaTheme="minorHAnsi" w:hAnsi="Times New Roman" w:cs="Times New Roman"/>
                <w:b/>
                <w:bCs/>
                <w:noProof/>
                <w:color w:val="FFFFFF" w:themeColor="background1"/>
                <w:spacing w:val="20"/>
                <w:kern w:val="0"/>
                <w:szCs w:val="24"/>
                <w:lang w:val="es-MX"/>
                <w14:ligatures w14:val="none"/>
              </w:rPr>
              <w:t>Labor Destacada</w:t>
            </w:r>
          </w:p>
        </w:tc>
        <w:tc>
          <w:tcPr>
            <w:tcW w:w="2552" w:type="dxa"/>
            <w:shd w:val="clear" w:color="auto" w:fill="002060"/>
            <w:vAlign w:val="center"/>
          </w:tcPr>
          <w:p w14:paraId="13A3733E" w14:textId="77777777" w:rsidR="00CB11EA" w:rsidRPr="00232EBB" w:rsidRDefault="00CB11EA" w:rsidP="00F65B16">
            <w:pPr>
              <w:pStyle w:val="NormalWeb"/>
              <w:spacing w:before="0" w:beforeAutospacing="0" w:after="120" w:afterAutospacing="0" w:line="360" w:lineRule="auto"/>
              <w:jc w:val="center"/>
              <w:rPr>
                <w:rFonts w:ascii="Times New Roman" w:eastAsiaTheme="minorHAnsi" w:hAnsi="Times New Roman" w:cs="Times New Roman"/>
                <w:b/>
                <w:bCs/>
                <w:noProof/>
                <w:color w:val="FFFFFF" w:themeColor="background1"/>
                <w:spacing w:val="20"/>
                <w:kern w:val="0"/>
                <w:szCs w:val="24"/>
                <w:lang w:val="es-MX"/>
                <w14:ligatures w14:val="none"/>
              </w:rPr>
            </w:pPr>
            <w:r w:rsidRPr="00232EBB">
              <w:rPr>
                <w:rFonts w:ascii="Times New Roman" w:eastAsiaTheme="minorHAnsi" w:hAnsi="Times New Roman" w:cs="Times New Roman"/>
                <w:b/>
                <w:bCs/>
                <w:noProof/>
                <w:color w:val="FFFFFF" w:themeColor="background1"/>
                <w:spacing w:val="20"/>
                <w:kern w:val="0"/>
                <w:szCs w:val="24"/>
                <w:lang w:val="es-MX"/>
                <w14:ligatures w14:val="none"/>
              </w:rPr>
              <w:t>Héroes Anónimos</w:t>
            </w:r>
          </w:p>
        </w:tc>
      </w:tr>
      <w:tr w:rsidR="00CB11EA" w:rsidRPr="00232EBB" w14:paraId="1E26F058" w14:textId="77777777" w:rsidTr="00C47DA8">
        <w:tc>
          <w:tcPr>
            <w:tcW w:w="2263" w:type="dxa"/>
            <w:vAlign w:val="center"/>
          </w:tcPr>
          <w:p w14:paraId="1BC36E1D" w14:textId="77777777" w:rsidR="00CB11EA" w:rsidRPr="00232EBB" w:rsidRDefault="00CB11EA" w:rsidP="00C47DA8">
            <w:pPr>
              <w:pStyle w:val="NormalWeb"/>
              <w:spacing w:before="0" w:beforeAutospacing="0" w:after="120" w:afterAutospacing="0" w:line="360" w:lineRule="auto"/>
              <w:rPr>
                <w:rFonts w:ascii="Times New Roman" w:eastAsiaTheme="minorHAnsi" w:hAnsi="Times New Roman" w:cs="Times New Roman"/>
                <w:noProof/>
                <w:color w:val="808080" w:themeColor="background1" w:themeShade="80"/>
                <w:spacing w:val="20"/>
                <w:kern w:val="0"/>
                <w:szCs w:val="24"/>
                <w:lang w:val="es-MX"/>
                <w14:ligatures w14:val="none"/>
              </w:rPr>
            </w:pPr>
            <w:r w:rsidRPr="00232EBB">
              <w:rPr>
                <w:rFonts w:ascii="Times New Roman" w:eastAsiaTheme="minorHAnsi" w:hAnsi="Times New Roman" w:cs="Times New Roman"/>
                <w:noProof/>
                <w:color w:val="808080" w:themeColor="background1" w:themeShade="80"/>
                <w:spacing w:val="20"/>
                <w:kern w:val="0"/>
                <w:szCs w:val="24"/>
                <w:lang w:val="es-MX"/>
                <w14:ligatures w14:val="none"/>
              </w:rPr>
              <w:t>Innovación</w:t>
            </w:r>
          </w:p>
        </w:tc>
        <w:tc>
          <w:tcPr>
            <w:tcW w:w="2552" w:type="dxa"/>
            <w:vMerge w:val="restart"/>
            <w:vAlign w:val="center"/>
          </w:tcPr>
          <w:p w14:paraId="3363FE7E" w14:textId="77777777" w:rsidR="00CB11EA" w:rsidRPr="00232EBB" w:rsidRDefault="00CB11EA" w:rsidP="00C47DA8">
            <w:pPr>
              <w:pStyle w:val="NormalWeb"/>
              <w:spacing w:before="0" w:beforeAutospacing="0" w:after="120" w:afterAutospacing="0" w:line="360" w:lineRule="auto"/>
              <w:jc w:val="center"/>
              <w:rPr>
                <w:rFonts w:ascii="Times New Roman" w:eastAsiaTheme="minorHAnsi" w:hAnsi="Times New Roman" w:cs="Times New Roman"/>
                <w:noProof/>
                <w:color w:val="808080" w:themeColor="background1" w:themeShade="80"/>
                <w:spacing w:val="20"/>
                <w:kern w:val="0"/>
                <w:szCs w:val="24"/>
                <w:lang w:val="es-MX"/>
                <w14:ligatures w14:val="none"/>
              </w:rPr>
            </w:pPr>
            <w:r w:rsidRPr="00232EBB">
              <w:rPr>
                <w:rFonts w:ascii="Times New Roman" w:eastAsiaTheme="minorHAnsi" w:hAnsi="Times New Roman" w:cs="Times New Roman"/>
                <w:noProof/>
                <w:color w:val="808080" w:themeColor="background1" w:themeShade="80"/>
                <w:spacing w:val="20"/>
                <w:kern w:val="0"/>
                <w:szCs w:val="24"/>
                <w:lang w:val="es-MX"/>
                <w14:ligatures w14:val="none"/>
              </w:rPr>
              <w:t>Colaborador del Año</w:t>
            </w:r>
          </w:p>
        </w:tc>
      </w:tr>
      <w:tr w:rsidR="00CB11EA" w:rsidRPr="00232EBB" w14:paraId="5E63B4F7" w14:textId="77777777" w:rsidTr="00C47DA8">
        <w:tc>
          <w:tcPr>
            <w:tcW w:w="2263" w:type="dxa"/>
            <w:vAlign w:val="center"/>
          </w:tcPr>
          <w:p w14:paraId="56DF2384" w14:textId="77777777" w:rsidR="00CB11EA" w:rsidRPr="00232EBB" w:rsidRDefault="00CB11EA" w:rsidP="00C47DA8">
            <w:pPr>
              <w:pStyle w:val="NormalWeb"/>
              <w:spacing w:before="0" w:beforeAutospacing="0" w:after="120" w:afterAutospacing="0" w:line="360" w:lineRule="auto"/>
              <w:rPr>
                <w:rFonts w:ascii="Times New Roman" w:eastAsiaTheme="minorHAnsi" w:hAnsi="Times New Roman" w:cs="Times New Roman"/>
                <w:noProof/>
                <w:color w:val="808080" w:themeColor="background1" w:themeShade="80"/>
                <w:spacing w:val="20"/>
                <w:kern w:val="0"/>
                <w:szCs w:val="24"/>
                <w:lang w:val="es-MX"/>
                <w14:ligatures w14:val="none"/>
              </w:rPr>
            </w:pPr>
            <w:r w:rsidRPr="00232EBB">
              <w:rPr>
                <w:rFonts w:ascii="Times New Roman" w:eastAsiaTheme="minorHAnsi" w:hAnsi="Times New Roman" w:cs="Times New Roman"/>
                <w:noProof/>
                <w:color w:val="808080" w:themeColor="background1" w:themeShade="80"/>
                <w:spacing w:val="20"/>
                <w:kern w:val="0"/>
                <w:szCs w:val="24"/>
                <w:lang w:val="es-MX"/>
                <w14:ligatures w14:val="none"/>
              </w:rPr>
              <w:t>Trabajo en Equipo</w:t>
            </w:r>
          </w:p>
        </w:tc>
        <w:tc>
          <w:tcPr>
            <w:tcW w:w="2552" w:type="dxa"/>
            <w:vMerge/>
          </w:tcPr>
          <w:p w14:paraId="49626258" w14:textId="77777777" w:rsidR="00CB11EA" w:rsidRPr="00232EBB" w:rsidRDefault="00CB11EA" w:rsidP="00CB11EA">
            <w:pPr>
              <w:pStyle w:val="NormalWeb"/>
              <w:spacing w:before="0" w:beforeAutospacing="0" w:after="120" w:afterAutospacing="0" w:line="360" w:lineRule="auto"/>
              <w:jc w:val="both"/>
              <w:rPr>
                <w:rFonts w:ascii="Times New Roman" w:eastAsiaTheme="minorHAnsi" w:hAnsi="Times New Roman" w:cs="Times New Roman"/>
                <w:noProof/>
                <w:color w:val="808080" w:themeColor="background1" w:themeShade="80"/>
                <w:spacing w:val="20"/>
                <w:kern w:val="0"/>
                <w:szCs w:val="24"/>
                <w:lang w:val="es-MX"/>
                <w14:ligatures w14:val="none"/>
              </w:rPr>
            </w:pPr>
          </w:p>
        </w:tc>
      </w:tr>
    </w:tbl>
    <w:p w14:paraId="32225042"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 w:val="22"/>
          <w:lang w:val="es-MX"/>
        </w:rPr>
      </w:pPr>
    </w:p>
    <w:p w14:paraId="696DB65C"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 w:val="22"/>
          <w:lang w:val="es-MX"/>
        </w:rPr>
      </w:pPr>
    </w:p>
    <w:p w14:paraId="30F9E514"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 w:val="22"/>
          <w:lang w:val="es-MX"/>
        </w:rPr>
      </w:pPr>
    </w:p>
    <w:p w14:paraId="7DD5FB31"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 w:val="22"/>
          <w:lang w:val="es-MX"/>
        </w:rPr>
      </w:pPr>
    </w:p>
    <w:p w14:paraId="41F700FF" w14:textId="7165D114" w:rsidR="00B328D4" w:rsidRPr="00232EBB" w:rsidRDefault="00B328D4" w:rsidP="00CB11EA">
      <w:pPr>
        <w:pStyle w:val="NormalWeb"/>
        <w:spacing w:before="0" w:beforeAutospacing="0" w:after="120" w:afterAutospacing="0" w:line="360" w:lineRule="auto"/>
        <w:jc w:val="both"/>
        <w:rPr>
          <w:rFonts w:eastAsiaTheme="minorHAnsi"/>
          <w:noProof/>
          <w:color w:val="808080" w:themeColor="background1" w:themeShade="80"/>
          <w:spacing w:val="20"/>
          <w:sz w:val="18"/>
          <w:szCs w:val="20"/>
          <w:lang w:val="es-MX"/>
        </w:rPr>
      </w:pPr>
      <w:r w:rsidRPr="00232EBB">
        <w:rPr>
          <w:rFonts w:eastAsiaTheme="minorHAnsi"/>
          <w:b/>
          <w:bCs/>
          <w:noProof/>
          <w:color w:val="808080" w:themeColor="background1" w:themeShade="80"/>
          <w:spacing w:val="20"/>
          <w:sz w:val="18"/>
          <w:szCs w:val="20"/>
          <w:lang w:val="es-MX"/>
        </w:rPr>
        <w:t xml:space="preserve">Tabla </w:t>
      </w:r>
      <w:r w:rsidR="00E14CB6" w:rsidRPr="00232EBB">
        <w:rPr>
          <w:rFonts w:eastAsiaTheme="minorHAnsi"/>
          <w:b/>
          <w:bCs/>
          <w:noProof/>
          <w:color w:val="808080" w:themeColor="background1" w:themeShade="80"/>
          <w:spacing w:val="20"/>
          <w:sz w:val="18"/>
          <w:szCs w:val="20"/>
          <w:lang w:val="es-MX"/>
        </w:rPr>
        <w:t>19</w:t>
      </w:r>
      <w:r w:rsidRPr="00232EBB">
        <w:rPr>
          <w:rFonts w:eastAsiaTheme="minorHAnsi"/>
          <w:b/>
          <w:bCs/>
          <w:noProof/>
          <w:color w:val="808080" w:themeColor="background1" w:themeShade="80"/>
          <w:spacing w:val="20"/>
          <w:sz w:val="18"/>
          <w:szCs w:val="20"/>
          <w:lang w:val="es-MX"/>
        </w:rPr>
        <w:t>:</w:t>
      </w:r>
      <w:r w:rsidRPr="00232EBB">
        <w:rPr>
          <w:rFonts w:eastAsiaTheme="minorHAnsi"/>
          <w:noProof/>
          <w:color w:val="808080" w:themeColor="background1" w:themeShade="80"/>
          <w:spacing w:val="20"/>
          <w:sz w:val="18"/>
          <w:szCs w:val="20"/>
          <w:lang w:val="es-MX"/>
        </w:rPr>
        <w:t xml:space="preserve"> Programa de reconocimiento.</w:t>
      </w:r>
    </w:p>
    <w:p w14:paraId="15127938" w14:textId="77777777" w:rsidR="00CB11EA" w:rsidRPr="00232EBB" w:rsidRDefault="00CB11EA"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Durante el año 2025, reconocimos a un total de treinta y seis (36) colaboradores, distribuidos de la siguiente manera: nueve (9) en la categoría Labor Destacada, tres (3) como Héroes Anónimos y veinticuatro (24) por Trabajo en Equipo. </w:t>
      </w:r>
    </w:p>
    <w:p w14:paraId="00C11AE9" w14:textId="77777777" w:rsidR="00CB11EA" w:rsidRPr="00232EBB" w:rsidRDefault="00CB11EA"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Los colaboradores reconocidos pertenecen a las siguientes áreas: Acceso a la Información Pública, Departamento de Control y Análisis de las Operaciones, Dirección Administrativa, Dirección de Fiscalización Externa, Dirección de Planificación y Desarrollo, Dirección de Recursos Humanos, Dirección de Tecnologías de la Información y Comunicación y la Dirección Financiera.</w:t>
      </w:r>
    </w:p>
    <w:p w14:paraId="0B320DA7" w14:textId="77777777" w:rsidR="00CB11EA" w:rsidRPr="00232EBB" w:rsidRDefault="00CB11EA" w:rsidP="00232EBB">
      <w:pPr>
        <w:pStyle w:val="NormalWeb"/>
        <w:spacing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En el presente año, para seleccionar el “Colaborador del Año 2025”, se aplicó una nueva metodología, un piloto, donde todos los colaboradores participaron. Y para la selección y evaluación se consideraron varios criterios, como son:</w:t>
      </w:r>
    </w:p>
    <w:p w14:paraId="1A426B35" w14:textId="77777777" w:rsidR="00CB11EA" w:rsidRPr="00232EBB" w:rsidRDefault="00CB11EA" w:rsidP="000E2299">
      <w:pPr>
        <w:pStyle w:val="NormalWeb"/>
        <w:numPr>
          <w:ilvl w:val="0"/>
          <w:numId w:val="44"/>
        </w:numPr>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lastRenderedPageBreak/>
        <w:t>Que cuente con más de dos años de servicio continuo en la institución.</w:t>
      </w:r>
    </w:p>
    <w:p w14:paraId="01177D54" w14:textId="77777777" w:rsidR="00CB11EA" w:rsidRPr="00232EBB" w:rsidRDefault="00CB11EA" w:rsidP="000E2299">
      <w:pPr>
        <w:pStyle w:val="NormalWeb"/>
        <w:numPr>
          <w:ilvl w:val="0"/>
          <w:numId w:val="44"/>
        </w:numPr>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Que tuviera menos de doce tardanzas durante los primeros diez meses del presente año, así como 0 ausencias no justificada.</w:t>
      </w:r>
    </w:p>
    <w:p w14:paraId="7D2FA9A9" w14:textId="77777777" w:rsidR="00CB11EA" w:rsidRPr="00232EBB" w:rsidRDefault="00CB11EA" w:rsidP="000E2299">
      <w:pPr>
        <w:pStyle w:val="NormalWeb"/>
        <w:numPr>
          <w:ilvl w:val="0"/>
          <w:numId w:val="44"/>
        </w:numPr>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No haber recibido amonestaciones ni incidentes críticos negativos en el presente año.</w:t>
      </w:r>
    </w:p>
    <w:p w14:paraId="288CAC0D" w14:textId="77777777" w:rsidR="00CB11EA" w:rsidRPr="00232EBB" w:rsidRDefault="00CB11EA" w:rsidP="000E2299">
      <w:pPr>
        <w:pStyle w:val="NormalWeb"/>
        <w:numPr>
          <w:ilvl w:val="0"/>
          <w:numId w:val="44"/>
        </w:numPr>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Obtener una calificación igual o superior a 91 puntos en su evaluación de desempeño del último año.</w:t>
      </w:r>
    </w:p>
    <w:p w14:paraId="37B1287E" w14:textId="77777777" w:rsidR="00CB11EA" w:rsidRPr="00232EBB" w:rsidRDefault="00CB11EA" w:rsidP="000E2299">
      <w:pPr>
        <w:pStyle w:val="NormalWeb"/>
        <w:numPr>
          <w:ilvl w:val="0"/>
          <w:numId w:val="44"/>
        </w:numPr>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Haber representado a la TSS o mostrado interés en participar en actividades sociales, culturales o de compromiso social.</w:t>
      </w:r>
    </w:p>
    <w:p w14:paraId="226B4557" w14:textId="77777777" w:rsidR="00CB11EA" w:rsidRPr="00232EBB" w:rsidRDefault="00CB11EA" w:rsidP="000E2299">
      <w:pPr>
        <w:pStyle w:val="NormalWeb"/>
        <w:numPr>
          <w:ilvl w:val="0"/>
          <w:numId w:val="44"/>
        </w:numPr>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Haber sido reconocido en cualquier categoría del Programa de Reconocimiento TSS durante el presente año.</w:t>
      </w:r>
    </w:p>
    <w:p w14:paraId="084FCCBC" w14:textId="147B01DF" w:rsidR="00CB11EA" w:rsidRPr="00232EBB" w:rsidRDefault="00CB11EA" w:rsidP="000E2299">
      <w:pPr>
        <w:pStyle w:val="NormalWeb"/>
        <w:numPr>
          <w:ilvl w:val="0"/>
          <w:numId w:val="44"/>
        </w:numPr>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Haber completado el 100 % de las formaciones convocadas en el año.</w:t>
      </w:r>
    </w:p>
    <w:p w14:paraId="786E0FA0" w14:textId="77777777" w:rsidR="00CB11EA" w:rsidRPr="00232EBB" w:rsidRDefault="00CB11EA" w:rsidP="000E2299">
      <w:pPr>
        <w:pStyle w:val="NormalWeb"/>
        <w:numPr>
          <w:ilvl w:val="0"/>
          <w:numId w:val="44"/>
        </w:numPr>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Proponer ideas o mejoras, implementadas o no, en algún proceso institucional en este año.</w:t>
      </w:r>
    </w:p>
    <w:p w14:paraId="74AE066F"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A estos criterios evaluados se les asignó puntuaciones y el colaborador con la mayor puntuación acumulada fue seleccionado como el Colaborador del año 2025. </w:t>
      </w:r>
    </w:p>
    <w:p w14:paraId="78D42449" w14:textId="45E1B1E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Nuestro Programa de Reconocimiento reafirma el compromiso institucional de promover una cultura de reconocimiento que valore el esfuerzo, la creatividad y el trabajo colaborativo como pilares del desarrollo organizacional.</w:t>
      </w:r>
      <w:bookmarkStart w:id="152" w:name="_Toc216263893"/>
    </w:p>
    <w:p w14:paraId="68F0E02B" w14:textId="7D80FD86" w:rsidR="00CB11EA" w:rsidRPr="00232EBB" w:rsidRDefault="00CB11EA" w:rsidP="00CB11EA">
      <w:pPr>
        <w:pStyle w:val="NormalWeb"/>
        <w:spacing w:before="0" w:beforeAutospacing="0" w:after="120" w:afterAutospacing="0" w:line="360" w:lineRule="auto"/>
        <w:jc w:val="both"/>
        <w:rPr>
          <w:rFonts w:eastAsiaTheme="minorHAnsi"/>
          <w:b/>
          <w:bCs/>
          <w:noProof/>
          <w:color w:val="808080" w:themeColor="background1" w:themeShade="80"/>
          <w:spacing w:val="20"/>
          <w:szCs w:val="28"/>
          <w:lang w:val="es-MX"/>
        </w:rPr>
      </w:pPr>
      <w:r w:rsidRPr="00232EBB">
        <w:rPr>
          <w:rFonts w:eastAsiaTheme="minorHAnsi"/>
          <w:b/>
          <w:bCs/>
          <w:noProof/>
          <w:color w:val="808080" w:themeColor="background1" w:themeShade="80"/>
          <w:spacing w:val="20"/>
          <w:szCs w:val="28"/>
          <w:lang w:val="es-MX"/>
        </w:rPr>
        <w:t>Programa de Inclusión y Diversidad.</w:t>
      </w:r>
      <w:bookmarkEnd w:id="152"/>
    </w:p>
    <w:p w14:paraId="2CA812AA" w14:textId="40FDA81B"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Comprometidos con un entorno laboral dinámico y globalizado, hemos consolidado la inclusión y la diversidad como pilares fundamentales para el desarrollo sostenible y competitivo de la </w:t>
      </w:r>
      <w:r w:rsidRPr="00232EBB">
        <w:rPr>
          <w:rFonts w:eastAsiaTheme="minorHAnsi"/>
          <w:noProof/>
          <w:color w:val="808080" w:themeColor="background1" w:themeShade="80"/>
          <w:spacing w:val="20"/>
          <w:szCs w:val="28"/>
          <w:lang w:val="es-MX"/>
        </w:rPr>
        <w:lastRenderedPageBreak/>
        <w:t xml:space="preserve">institución. En respuesta a este compromiso ético y social, hemos incorporado en nuestro Plan Estratégico Institucional 2025-2028 la implementación de un Programa de Inclusión y Diversidad Laboral, con el objetivo de fomentar entornos de trabajo más innovadores, colaborativos y resilientes. </w:t>
      </w:r>
    </w:p>
    <w:p w14:paraId="46E0D2A8"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Durante el año 2025, llevamos a cabo un diagnóstico para el desarrollo del programa en la TSS. Este proceso incluyó la revisión de las políticas institucionales vigentes, con el objetivo de identificar lineamientos relacionados con inclusión y diversidad. Además, establecimos un acercamiento con el Consejo Nacional de Discapacidad (CONADIS), con el propósito de conocer los requerimientos necesarios para la adecuada implementación del programa.</w:t>
      </w:r>
    </w:p>
    <w:p w14:paraId="39FE5B23"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Como parte de esta iniciativa, realizamos tres (3) jornadas de sensibilización sobre temas clave: trato digno hacia las personas con discapacidad, accesibilidad universal y discapacidad y empleo.</w:t>
      </w:r>
    </w:p>
    <w:p w14:paraId="6DFB1AF7"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Asimismo, incorporamos en la encuesta de clima institucional 2025 preguntas orientadas a reflejar la percepción y expectativas del personal respecto a la inclusión y la diversidad en el entorno laboral.</w:t>
      </w:r>
    </w:p>
    <w:p w14:paraId="554659FC"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Actualmente, nos encontramos realizando un levantamiento de los cargos existentes en la TSS, con el propósito de identificar aquellos que pueden ser ocupados por ciudadanos con algún tipo de discapacidad.</w:t>
      </w:r>
    </w:p>
    <w:p w14:paraId="06F6F3E3" w14:textId="77777777" w:rsidR="00CB11EA" w:rsidRPr="00232EBB" w:rsidRDefault="00CB11EA" w:rsidP="00CB11EA">
      <w:pPr>
        <w:pStyle w:val="NormalWeb"/>
        <w:spacing w:before="0" w:beforeAutospacing="0" w:after="120" w:afterAutospacing="0" w:line="360" w:lineRule="auto"/>
        <w:jc w:val="both"/>
        <w:rPr>
          <w:rFonts w:eastAsiaTheme="minorHAnsi"/>
          <w:b/>
          <w:bCs/>
          <w:noProof/>
          <w:color w:val="808080" w:themeColor="background1" w:themeShade="80"/>
          <w:spacing w:val="20"/>
          <w:szCs w:val="28"/>
          <w:lang w:val="es-MX"/>
        </w:rPr>
      </w:pPr>
      <w:r w:rsidRPr="00232EBB">
        <w:rPr>
          <w:rFonts w:eastAsiaTheme="minorHAnsi"/>
          <w:b/>
          <w:bCs/>
          <w:noProof/>
          <w:color w:val="808080" w:themeColor="background1" w:themeShade="80"/>
          <w:spacing w:val="20"/>
          <w:szCs w:val="28"/>
          <w:lang w:val="es-MX"/>
        </w:rPr>
        <w:t>Plan de Acción Clima Organizacional.</w:t>
      </w:r>
    </w:p>
    <w:p w14:paraId="4AF70F0D" w14:textId="77777777" w:rsidR="00CB11EA" w:rsidRPr="00232EBB" w:rsidRDefault="00CB11EA" w:rsidP="00CB11EA">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La aplicación de la Encuesta de Clima Laboral permite conocer el nivel de satisfacción del personal e identificar oportunidades de mejora que contribuyan al fortalecimiento de su motivación y bienestar.</w:t>
      </w:r>
    </w:p>
    <w:p w14:paraId="4A56D441" w14:textId="77777777" w:rsidR="00CB11EA" w:rsidRPr="00232EBB" w:rsidRDefault="00CB11EA" w:rsidP="00280B1F">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lastRenderedPageBreak/>
        <w:t>En octubre de 2024, la encuesta fue remitida a todo el personal. A partir del análisis de los resultados, la Dirección de Recursos Humanos elaboró un plan de acción basado en las sugerencias recibidas. Estas sugerencias abordaron temas clave como: identificación, satisfacción y crecimiento laboral, comunicación, ambiente de trabajo, infraestructura y liderazgo.</w:t>
      </w:r>
    </w:p>
    <w:p w14:paraId="71619F5F" w14:textId="65CF4282" w:rsidR="00CB11EA" w:rsidRPr="00232EBB" w:rsidRDefault="00CB11EA" w:rsidP="00A82DAD">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 la fecha, el plan de acción fue ejecutado en su totalidad, alcanzando un 100% de cumplimiento de las actividades programadas, reafirmando nuestro compromiso institucional con la creación de un entorno laboral saludable, participativo y orientado a la mejora continua.</w:t>
      </w:r>
    </w:p>
    <w:p w14:paraId="492BFB4B" w14:textId="75185133" w:rsidR="00CB11EA" w:rsidRPr="00232EBB" w:rsidRDefault="00CB11EA" w:rsidP="00A82DAD">
      <w:pPr>
        <w:pStyle w:val="NormalWeb"/>
        <w:spacing w:before="0" w:beforeAutospacing="0" w:after="120" w:afterAutospacing="0" w:line="360" w:lineRule="auto"/>
        <w:jc w:val="both"/>
        <w:rPr>
          <w:rFonts w:eastAsiaTheme="minorHAnsi"/>
          <w:noProof/>
          <w:color w:val="808080" w:themeColor="background1" w:themeShade="80"/>
          <w:spacing w:val="20"/>
          <w:lang w:val="es-MX"/>
        </w:rPr>
      </w:pPr>
      <w:bookmarkStart w:id="153" w:name="_Toc216263894"/>
      <w:r w:rsidRPr="00232EBB">
        <w:rPr>
          <w:rFonts w:eastAsiaTheme="minorHAnsi"/>
          <w:b/>
          <w:bCs/>
          <w:noProof/>
          <w:color w:val="808080" w:themeColor="background1" w:themeShade="80"/>
          <w:spacing w:val="20"/>
          <w:lang w:val="es-MX"/>
        </w:rPr>
        <w:t>Cumplimiento Indicadores del SISMAP</w:t>
      </w:r>
      <w:r w:rsidRPr="00232EBB">
        <w:rPr>
          <w:rFonts w:eastAsiaTheme="minorHAnsi"/>
          <w:noProof/>
          <w:color w:val="808080" w:themeColor="background1" w:themeShade="80"/>
          <w:spacing w:val="20"/>
          <w:lang w:val="es-MX"/>
        </w:rPr>
        <w:t>.</w:t>
      </w:r>
      <w:bookmarkEnd w:id="153"/>
    </w:p>
    <w:p w14:paraId="375448C9" w14:textId="77777777" w:rsidR="00CB11EA" w:rsidRPr="00232EBB" w:rsidRDefault="00CB11EA" w:rsidP="00A82DAD">
      <w:pPr>
        <w:pStyle w:val="NormalWeb"/>
        <w:spacing w:before="0" w:beforeAutospacing="0" w:after="120" w:afterAutospacing="0" w:line="360" w:lineRule="auto"/>
        <w:jc w:val="both"/>
        <w:rPr>
          <w:rFonts w:eastAsiaTheme="minorHAnsi"/>
          <w:noProof/>
          <w:color w:val="808080" w:themeColor="background1" w:themeShade="80"/>
          <w:spacing w:val="20"/>
          <w:lang w:val="es-MX"/>
        </w:rPr>
      </w:pPr>
      <w:r w:rsidRPr="00232EBB">
        <w:rPr>
          <w:rFonts w:eastAsiaTheme="minorHAnsi"/>
          <w:noProof/>
          <w:color w:val="808080" w:themeColor="background1" w:themeShade="80"/>
          <w:spacing w:val="20"/>
          <w:lang w:val="es-MX"/>
        </w:rPr>
        <w:t xml:space="preserve">El SISMAP es una herramienta de monitoreo implementada por el Ministerio de Administración Pública (MAP), cuyo propósito es medir el nivel de desarrollo de la gestión pública en las instituciones del Estado. </w:t>
      </w:r>
    </w:p>
    <w:p w14:paraId="37790702" w14:textId="77777777" w:rsidR="00CB11EA" w:rsidRPr="00232EBB" w:rsidRDefault="00CB11EA" w:rsidP="00A82DAD">
      <w:pPr>
        <w:pStyle w:val="NormalWeb"/>
        <w:spacing w:before="0" w:beforeAutospacing="0" w:after="120" w:afterAutospacing="0" w:line="360" w:lineRule="auto"/>
        <w:jc w:val="both"/>
        <w:rPr>
          <w:rFonts w:eastAsiaTheme="minorHAnsi"/>
          <w:noProof/>
          <w:color w:val="808080" w:themeColor="background1" w:themeShade="80"/>
          <w:spacing w:val="20"/>
          <w:lang w:val="es-MX"/>
        </w:rPr>
      </w:pPr>
      <w:r w:rsidRPr="00232EBB">
        <w:rPr>
          <w:rFonts w:eastAsiaTheme="minorHAnsi"/>
          <w:noProof/>
          <w:color w:val="808080" w:themeColor="background1" w:themeShade="80"/>
          <w:spacing w:val="20"/>
          <w:lang w:val="es-MX"/>
        </w:rPr>
        <w:t>Cada uno de sus componentes ha sido gestionado y actualizado con sus respectivas evidencias. A la fecha, alcanzamos un nivel de cumplimiento promedio de 89.00%, reflejando el compromiso con la mejora continua, la eficiencia institucional y el fortalecimiento de la administración pública.</w:t>
      </w:r>
    </w:p>
    <w:p w14:paraId="390EB636" w14:textId="4F0FD65B" w:rsidR="00CB11EA" w:rsidRPr="00232EBB" w:rsidRDefault="00CB11EA" w:rsidP="00A82DAD">
      <w:pPr>
        <w:pStyle w:val="NormalWeb"/>
        <w:spacing w:before="0" w:beforeAutospacing="0" w:after="120" w:afterAutospacing="0" w:line="360" w:lineRule="auto"/>
        <w:jc w:val="both"/>
        <w:rPr>
          <w:rFonts w:eastAsiaTheme="minorHAnsi"/>
          <w:b/>
          <w:bCs/>
          <w:noProof/>
          <w:color w:val="808080" w:themeColor="background1" w:themeShade="80"/>
          <w:spacing w:val="20"/>
          <w:lang w:val="es-MX"/>
        </w:rPr>
      </w:pPr>
      <w:bookmarkStart w:id="154" w:name="_Toc216263895"/>
      <w:r w:rsidRPr="00232EBB">
        <w:rPr>
          <w:rFonts w:eastAsiaTheme="minorHAnsi"/>
          <w:b/>
          <w:bCs/>
          <w:noProof/>
          <w:color w:val="808080" w:themeColor="background1" w:themeShade="80"/>
          <w:spacing w:val="20"/>
          <w:lang w:val="es-MX"/>
        </w:rPr>
        <w:t>Actualización Manual de Cargos y Manual de Organización y Funciones de la TSS.</w:t>
      </w:r>
      <w:bookmarkEnd w:id="154"/>
    </w:p>
    <w:p w14:paraId="04711155" w14:textId="6F26AB41" w:rsidR="00CB11EA" w:rsidRPr="00232EBB" w:rsidRDefault="00CB11EA" w:rsidP="00A82DAD">
      <w:pPr>
        <w:pStyle w:val="NormalWeb"/>
        <w:spacing w:before="0" w:beforeAutospacing="0" w:after="120" w:afterAutospacing="0" w:line="360" w:lineRule="auto"/>
        <w:jc w:val="both"/>
        <w:rPr>
          <w:rFonts w:eastAsiaTheme="minorHAnsi"/>
          <w:noProof/>
          <w:color w:val="808080" w:themeColor="background1" w:themeShade="80"/>
          <w:spacing w:val="20"/>
          <w:lang w:val="es-MX"/>
        </w:rPr>
      </w:pPr>
      <w:r w:rsidRPr="00232EBB">
        <w:rPr>
          <w:rFonts w:eastAsiaTheme="minorHAnsi"/>
          <w:noProof/>
          <w:color w:val="808080" w:themeColor="background1" w:themeShade="80"/>
          <w:spacing w:val="20"/>
          <w:lang w:val="es-MX"/>
        </w:rPr>
        <w:t xml:space="preserve">En conjunto con la Dirección de Planificación y Desarrollo, </w:t>
      </w:r>
      <w:r w:rsidR="00433315" w:rsidRPr="00232EBB">
        <w:rPr>
          <w:rFonts w:eastAsiaTheme="minorHAnsi"/>
          <w:noProof/>
          <w:color w:val="808080" w:themeColor="background1" w:themeShade="80"/>
          <w:spacing w:val="20"/>
          <w:lang w:val="es-MX"/>
        </w:rPr>
        <w:t>fueron revisadas</w:t>
      </w:r>
      <w:r w:rsidRPr="00232EBB">
        <w:rPr>
          <w:rFonts w:eastAsiaTheme="minorHAnsi"/>
          <w:noProof/>
          <w:color w:val="808080" w:themeColor="background1" w:themeShade="80"/>
          <w:spacing w:val="20"/>
          <w:lang w:val="es-MX"/>
        </w:rPr>
        <w:t xml:space="preserve"> las funciones de las unidades organizativas, así como, la revisión de los cargos que conforman la estructura organizacional de la institución. Este trabajo incluyó la actualización de la plantilla conforme a los lineamientos del MAP, así como la revisión y adecuación de las competencias asociadas a cada puesto.</w:t>
      </w:r>
    </w:p>
    <w:p w14:paraId="00B2A9F2" w14:textId="77777777" w:rsidR="00CB11EA" w:rsidRPr="00232EBB" w:rsidRDefault="00CB11EA" w:rsidP="00A82DAD">
      <w:pPr>
        <w:pStyle w:val="NormalWeb"/>
        <w:spacing w:before="0" w:beforeAutospacing="0" w:after="120" w:afterAutospacing="0" w:line="360" w:lineRule="auto"/>
        <w:jc w:val="both"/>
        <w:rPr>
          <w:rFonts w:eastAsiaTheme="minorHAnsi"/>
          <w:noProof/>
          <w:color w:val="808080" w:themeColor="background1" w:themeShade="80"/>
          <w:spacing w:val="20"/>
          <w:lang w:val="es-MX"/>
        </w:rPr>
      </w:pPr>
      <w:r w:rsidRPr="00232EBB">
        <w:rPr>
          <w:rFonts w:eastAsiaTheme="minorHAnsi"/>
          <w:noProof/>
          <w:color w:val="808080" w:themeColor="background1" w:themeShade="80"/>
          <w:spacing w:val="20"/>
          <w:lang w:val="es-MX"/>
        </w:rPr>
        <w:lastRenderedPageBreak/>
        <w:t>Como resultado, en el mes de marzo fue emitida la Resolución núm. 03-2025, mediante la cual se aprueba el Manual de Organización y Funciones de la Tesorería de la Seguridad Social. Y en el mes de noviembre fue emitida la Resolución núm. 05-2025, mediante la cual se aprueba el Manual de Cargos Comunes y Típicos Clasificados de la Tesorería de la Seguridad Social. Estos manuales comprenden: las competencias y funciones de cada unidad organizacional, y los cargos comunes y típicos, los de estatuto simplificado y los pertenecientes a la Carrera Administrativa General, junto con su correspondiente ubicación dentro de los grupos ocupacionales.</w:t>
      </w:r>
    </w:p>
    <w:p w14:paraId="612E6801" w14:textId="77777777" w:rsidR="00CB11EA" w:rsidRPr="00232EBB" w:rsidRDefault="00CB11EA" w:rsidP="00280B1F">
      <w:pPr>
        <w:pStyle w:val="NormalWeb"/>
        <w:spacing w:before="0" w:beforeAutospacing="0" w:after="120" w:afterAutospacing="0" w:line="360" w:lineRule="auto"/>
        <w:jc w:val="both"/>
        <w:rPr>
          <w:rFonts w:eastAsiaTheme="minorHAnsi"/>
          <w:noProof/>
          <w:color w:val="808080" w:themeColor="background1" w:themeShade="80"/>
          <w:spacing w:val="20"/>
          <w:lang w:val="es-MX"/>
        </w:rPr>
      </w:pPr>
      <w:r w:rsidRPr="00232EBB">
        <w:rPr>
          <w:rFonts w:eastAsiaTheme="minorHAnsi"/>
          <w:noProof/>
          <w:color w:val="808080" w:themeColor="background1" w:themeShade="80"/>
          <w:spacing w:val="20"/>
          <w:lang w:val="es-MX"/>
        </w:rPr>
        <w:t>Contar con estos dos Manuales aprobados por el MAP representa un elemento esencial para estandarizar procesos, fortalecer la transparencia institucional y garantizar la coherencia en la gestión operativa.  Asimismo, servirá como guía oficial para la correcta ejecución de las funciones establecidas. En lo adelante, se realizarán las actualizaciones y ajustes necesarios en las direcciones y departamentos que corresponda, asegurando su vigencia y alineación con las necesidades institucionales.</w:t>
      </w:r>
    </w:p>
    <w:p w14:paraId="02331ED8" w14:textId="77777777" w:rsidR="00CB11EA" w:rsidRPr="00232EBB" w:rsidRDefault="00CB11EA" w:rsidP="00277D3D">
      <w:pPr>
        <w:pStyle w:val="Heading1"/>
        <w:spacing w:before="0"/>
        <w:jc w:val="left"/>
        <w:rPr>
          <w:rFonts w:eastAsiaTheme="minorHAnsi" w:cs="Times New Roman"/>
          <w:bCs/>
          <w:noProof/>
          <w:color w:val="808080" w:themeColor="background1" w:themeShade="80"/>
          <w:sz w:val="24"/>
          <w:szCs w:val="28"/>
          <w:lang w:val="es-MX"/>
        </w:rPr>
      </w:pPr>
      <w:bookmarkStart w:id="155" w:name="_Toc216263897"/>
      <w:bookmarkStart w:id="156" w:name="_Toc216952232"/>
      <w:r w:rsidRPr="00232EBB">
        <w:rPr>
          <w:rFonts w:eastAsiaTheme="minorHAnsi" w:cs="Times New Roman"/>
          <w:bCs/>
          <w:noProof/>
          <w:color w:val="808080" w:themeColor="background1" w:themeShade="80"/>
          <w:sz w:val="24"/>
          <w:szCs w:val="28"/>
          <w:lang w:val="es-MX"/>
        </w:rPr>
        <w:t>Gestión del desempeño.</w:t>
      </w:r>
      <w:bookmarkEnd w:id="155"/>
      <w:bookmarkEnd w:id="156"/>
    </w:p>
    <w:p w14:paraId="7E33056E" w14:textId="77777777" w:rsidR="00CB11EA" w:rsidRPr="00232EBB" w:rsidRDefault="00CB11EA" w:rsidP="00277D3D">
      <w:pPr>
        <w:pStyle w:val="NormalWeb"/>
        <w:spacing w:before="0" w:beforeAutospacing="0" w:after="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El sistema de evaluación del desempeño es una herramienta que permite medir de manera objetiva la conducta profesional, las competencias, el rendimiento, la productividad y el cumplimiento de objetivos de manera integral y su impacto en el logro de las metas departamentales.</w:t>
      </w:r>
    </w:p>
    <w:p w14:paraId="06643950" w14:textId="3415D957" w:rsidR="00CB11EA" w:rsidRPr="00232EBB" w:rsidRDefault="00CB11EA" w:rsidP="00280B1F">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La Circular núm. 015903 del Ministerio de Administración Pública (MAP), estableció nuevas directrices y el cronograma para la planificación y ejecución del proceso de Gestión y Evaluación del Desempeño Laboral basado en resultados para el año 2025. La misma requiere que los acuerdos de desempeño estén vinculados a las metas del Plan Operativo Anual (POA), Plan Estratégico </w:t>
      </w:r>
      <w:r w:rsidRPr="00232EBB">
        <w:rPr>
          <w:rFonts w:eastAsiaTheme="minorHAnsi"/>
          <w:noProof/>
          <w:color w:val="808080" w:themeColor="background1" w:themeShade="80"/>
          <w:spacing w:val="20"/>
          <w:szCs w:val="28"/>
          <w:lang w:val="es-MX"/>
        </w:rPr>
        <w:lastRenderedPageBreak/>
        <w:t>Institucional (PEI) y Plan Nacional Plurianual del Sector Público, y es a través del área de Planificación y Desarrollo de la Institución quienes deben certificar dicha alineación.</w:t>
      </w:r>
    </w:p>
    <w:p w14:paraId="4DF76F47" w14:textId="77777777" w:rsidR="00CB11EA" w:rsidRPr="00232EBB" w:rsidRDefault="00CB11EA" w:rsidP="00280B1F">
      <w:pPr>
        <w:pStyle w:val="NormalWeb"/>
        <w:spacing w:before="0" w:beforeAutospacing="0" w:after="12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En cumplimiento con estas nuevas directrices del MAP, se implementaron dos nuevos formularios de evaluación del desempeño, diferenciados por grupo ocupacional. Para los grupos ocupacionales del I al IV, se actualizó la versión y la imagen del formulario existente. Para el grupo ocupacional V, se incorporó una nueva columna en el formulario destinada a registrar las metas del Plan Operativo Anual (POA) que impactan en las funciones del colaborador. Estos nuevos formularios se aplicaron a todos los acuerdos de desempeño elaborados para el año 2025.</w:t>
      </w:r>
    </w:p>
    <w:p w14:paraId="23BE9B9E" w14:textId="77777777"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Durante el mes de enero de 2025, se completó la gestión y entrega de los acuerdos de desempeño para la totalidad del personal de la TSS. Un total de 343 colaboradores, que representan el 100% del personal activo a esa fecha, fueron debidamente reportados al Ministerio de Administración Pública (MAP) utilizando la plantilla designada para dichos fines. </w:t>
      </w:r>
    </w:p>
    <w:p w14:paraId="6264C095" w14:textId="18E1AAF4" w:rsidR="000E2299" w:rsidRDefault="00F65B16" w:rsidP="00280B1F">
      <w:pPr>
        <w:spacing w:line="360" w:lineRule="auto"/>
        <w:jc w:val="both"/>
        <w:rPr>
          <w:noProof/>
          <w:color w:val="808080" w:themeColor="background1" w:themeShade="80"/>
          <w:szCs w:val="28"/>
          <w:lang w:val="es-MX"/>
        </w:rPr>
      </w:pPr>
      <w:r w:rsidRPr="00232EBB">
        <w:rPr>
          <w:noProof/>
          <w:color w:val="000000" w:themeColor="text1"/>
          <w:spacing w:val="0"/>
          <w:kern w:val="2"/>
          <w:sz w:val="18"/>
          <w:szCs w:val="18"/>
          <w:lang w:val="es-DO"/>
          <w14:ligatures w14:val="standardContextual"/>
        </w:rPr>
        <w:drawing>
          <wp:anchor distT="0" distB="0" distL="114300" distR="114300" simplePos="0" relativeHeight="251713572" behindDoc="0" locked="0" layoutInCell="1" allowOverlap="1" wp14:anchorId="4E6A9C64" wp14:editId="1D99E0FC">
            <wp:simplePos x="0" y="0"/>
            <wp:positionH relativeFrom="margin">
              <wp:posOffset>353060</wp:posOffset>
            </wp:positionH>
            <wp:positionV relativeFrom="paragraph">
              <wp:posOffset>1087120</wp:posOffset>
            </wp:positionV>
            <wp:extent cx="3937635" cy="2070100"/>
            <wp:effectExtent l="0" t="0" r="5715" b="6350"/>
            <wp:wrapSquare wrapText="bothSides"/>
            <wp:docPr id="50299408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0E2299" w:rsidRPr="00232EBB">
        <w:rPr>
          <w:noProof/>
          <w:color w:val="808080" w:themeColor="background1" w:themeShade="80"/>
          <w:szCs w:val="28"/>
          <w:lang w:val="es-MX"/>
        </w:rPr>
        <w:t>En este mismo período, se solicitó la entrega de los Planes de Mejora y Desarrollo Profesional correspondientes a estos 343 colaboradores. A la fecha de este informe, se recibió el 68% de dichos planes.</w:t>
      </w:r>
    </w:p>
    <w:p w14:paraId="0159F06E" w14:textId="71710BE1" w:rsidR="00F65B16" w:rsidRPr="00232EBB" w:rsidRDefault="00F65B16" w:rsidP="00280B1F">
      <w:pPr>
        <w:spacing w:line="360" w:lineRule="auto"/>
        <w:jc w:val="both"/>
        <w:rPr>
          <w:noProof/>
          <w:color w:val="808080" w:themeColor="background1" w:themeShade="80"/>
          <w:szCs w:val="28"/>
          <w:lang w:val="es-MX"/>
        </w:rPr>
      </w:pPr>
    </w:p>
    <w:p w14:paraId="4E3CF935" w14:textId="57A3908E" w:rsidR="000E2299" w:rsidRPr="00232EBB" w:rsidRDefault="000E2299" w:rsidP="000E2299">
      <w:pPr>
        <w:jc w:val="both"/>
        <w:rPr>
          <w:color w:val="000000" w:themeColor="text1"/>
          <w:spacing w:val="0"/>
          <w:kern w:val="2"/>
          <w:lang w:val="es-DO"/>
          <w14:ligatures w14:val="standardContextual"/>
        </w:rPr>
      </w:pPr>
      <w:r w:rsidRPr="00232EBB">
        <w:rPr>
          <w:color w:val="000000" w:themeColor="text1"/>
          <w:spacing w:val="0"/>
          <w:kern w:val="2"/>
          <w:lang w:val="es-DO"/>
          <w14:ligatures w14:val="standardContextual"/>
        </w:rPr>
        <w:t xml:space="preserve">   </w:t>
      </w:r>
    </w:p>
    <w:p w14:paraId="1431415F" w14:textId="2F4FC182" w:rsidR="000E2299" w:rsidRPr="00232EBB" w:rsidRDefault="000E2299" w:rsidP="000E2299">
      <w:pPr>
        <w:jc w:val="both"/>
        <w:rPr>
          <w:color w:val="000000" w:themeColor="text1"/>
          <w:spacing w:val="0"/>
          <w:kern w:val="2"/>
          <w:lang w:val="es-DO"/>
          <w14:ligatures w14:val="standardContextual"/>
        </w:rPr>
      </w:pPr>
    </w:p>
    <w:p w14:paraId="40A58831" w14:textId="6520CDAC" w:rsidR="000E2299" w:rsidRPr="00232EBB" w:rsidRDefault="000E2299" w:rsidP="000E2299">
      <w:pPr>
        <w:jc w:val="both"/>
        <w:rPr>
          <w:color w:val="000000" w:themeColor="text1"/>
          <w:spacing w:val="0"/>
          <w:kern w:val="2"/>
          <w:lang w:val="es-DO"/>
          <w14:ligatures w14:val="standardContextual"/>
        </w:rPr>
      </w:pPr>
    </w:p>
    <w:p w14:paraId="29669FDC" w14:textId="579FB4E6" w:rsidR="000E2299" w:rsidRDefault="000E2299" w:rsidP="000E2299">
      <w:pPr>
        <w:jc w:val="both"/>
        <w:rPr>
          <w:color w:val="000000" w:themeColor="text1"/>
          <w:spacing w:val="0"/>
          <w:kern w:val="2"/>
          <w:lang w:val="es-DO"/>
          <w14:ligatures w14:val="standardContextual"/>
        </w:rPr>
      </w:pPr>
    </w:p>
    <w:p w14:paraId="6028F713" w14:textId="77777777" w:rsidR="00F65B16" w:rsidRDefault="00F65B16" w:rsidP="000E2299">
      <w:pPr>
        <w:jc w:val="both"/>
        <w:rPr>
          <w:color w:val="000000" w:themeColor="text1"/>
          <w:spacing w:val="0"/>
          <w:kern w:val="2"/>
          <w:lang w:val="es-DO"/>
          <w14:ligatures w14:val="standardContextual"/>
        </w:rPr>
      </w:pPr>
    </w:p>
    <w:p w14:paraId="1B679361" w14:textId="77777777" w:rsidR="00F65B16" w:rsidRPr="00232EBB" w:rsidRDefault="00F65B16" w:rsidP="000E2299">
      <w:pPr>
        <w:jc w:val="both"/>
        <w:rPr>
          <w:color w:val="000000" w:themeColor="text1"/>
          <w:spacing w:val="0"/>
          <w:kern w:val="2"/>
          <w:lang w:val="es-DO"/>
          <w14:ligatures w14:val="standardContextual"/>
        </w:rPr>
      </w:pPr>
    </w:p>
    <w:p w14:paraId="26CBEE4B" w14:textId="7BCE2135" w:rsidR="007B16C4" w:rsidRPr="00232EBB" w:rsidRDefault="007B16C4" w:rsidP="00230F05">
      <w:pPr>
        <w:rPr>
          <w:noProof/>
          <w:color w:val="808080" w:themeColor="background1" w:themeShade="80"/>
          <w:sz w:val="20"/>
          <w:szCs w:val="20"/>
          <w:lang w:val="es-MX"/>
        </w:rPr>
      </w:pPr>
      <w:r w:rsidRPr="00232EBB">
        <w:rPr>
          <w:b/>
          <w:bCs/>
          <w:noProof/>
          <w:color w:val="808080" w:themeColor="background1" w:themeShade="80"/>
          <w:sz w:val="20"/>
          <w:szCs w:val="20"/>
          <w:lang w:val="es-MX"/>
        </w:rPr>
        <w:t>Gráfico</w:t>
      </w:r>
      <w:r w:rsidR="00E14CB6" w:rsidRPr="00232EBB">
        <w:rPr>
          <w:b/>
          <w:bCs/>
          <w:noProof/>
          <w:color w:val="808080" w:themeColor="background1" w:themeShade="80"/>
          <w:sz w:val="20"/>
          <w:szCs w:val="20"/>
          <w:lang w:val="es-MX"/>
        </w:rPr>
        <w:t xml:space="preserve"> 1</w:t>
      </w:r>
      <w:r w:rsidR="000743EE" w:rsidRPr="00232EBB">
        <w:rPr>
          <w:b/>
          <w:bCs/>
          <w:noProof/>
          <w:color w:val="808080" w:themeColor="background1" w:themeShade="80"/>
          <w:sz w:val="20"/>
          <w:szCs w:val="20"/>
          <w:lang w:val="es-MX"/>
        </w:rPr>
        <w:t>8</w:t>
      </w:r>
      <w:r w:rsidRPr="00232EBB">
        <w:rPr>
          <w:noProof/>
          <w:color w:val="808080" w:themeColor="background1" w:themeShade="80"/>
          <w:sz w:val="20"/>
          <w:szCs w:val="20"/>
          <w:lang w:val="es-MX"/>
        </w:rPr>
        <w:t xml:space="preserve">: Acuerdos elaborados 1er semestre           </w:t>
      </w:r>
    </w:p>
    <w:p w14:paraId="28328E42" w14:textId="487EB09D" w:rsidR="007B16C4" w:rsidRPr="00232EBB" w:rsidRDefault="00230F05" w:rsidP="007B16C4">
      <w:pPr>
        <w:pStyle w:val="ListParagraph"/>
        <w:ind w:firstLine="0"/>
        <w:rPr>
          <w:rFonts w:ascii="Times New Roman" w:hAnsi="Times New Roman"/>
          <w:noProof/>
          <w:color w:val="000000" w:themeColor="text1"/>
        </w:rPr>
      </w:pPr>
      <w:r w:rsidRPr="00232EBB">
        <w:rPr>
          <w:rFonts w:ascii="Times New Roman" w:hAnsi="Times New Roman"/>
          <w:noProof/>
          <w:color w:val="000000" w:themeColor="text1"/>
          <w:kern w:val="2"/>
          <w:szCs w:val="18"/>
          <w14:ligatures w14:val="standardContextual"/>
        </w:rPr>
        <w:lastRenderedPageBreak/>
        <w:drawing>
          <wp:anchor distT="0" distB="0" distL="114300" distR="114300" simplePos="0" relativeHeight="251692068" behindDoc="0" locked="0" layoutInCell="1" allowOverlap="1" wp14:anchorId="54DB4080" wp14:editId="185809F7">
            <wp:simplePos x="0" y="0"/>
            <wp:positionH relativeFrom="margin">
              <wp:posOffset>42545</wp:posOffset>
            </wp:positionH>
            <wp:positionV relativeFrom="paragraph">
              <wp:posOffset>369570</wp:posOffset>
            </wp:positionV>
            <wp:extent cx="4534535" cy="2340610"/>
            <wp:effectExtent l="0" t="0" r="18415" b="2540"/>
            <wp:wrapSquare wrapText="bothSides"/>
            <wp:docPr id="86386509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2D8906FB" w14:textId="77777777" w:rsidR="00230F05" w:rsidRPr="00232EBB" w:rsidRDefault="00230F05" w:rsidP="000E2299">
      <w:pPr>
        <w:spacing w:line="360" w:lineRule="auto"/>
        <w:jc w:val="both"/>
        <w:rPr>
          <w:b/>
          <w:bCs/>
          <w:noProof/>
          <w:color w:val="808080" w:themeColor="background1" w:themeShade="80"/>
          <w:sz w:val="18"/>
          <w:szCs w:val="18"/>
          <w:lang w:val="es-MX"/>
        </w:rPr>
      </w:pPr>
      <w:r w:rsidRPr="00232EBB">
        <w:rPr>
          <w:b/>
          <w:bCs/>
          <w:noProof/>
          <w:color w:val="808080" w:themeColor="background1" w:themeShade="80"/>
          <w:sz w:val="18"/>
          <w:szCs w:val="18"/>
          <w:lang w:val="es-MX"/>
        </w:rPr>
        <w:t xml:space="preserve"> </w:t>
      </w:r>
    </w:p>
    <w:p w14:paraId="711C1BB6" w14:textId="10AC0522" w:rsidR="007B16C4" w:rsidRPr="00232EBB" w:rsidRDefault="007B16C4" w:rsidP="000E2299">
      <w:pPr>
        <w:spacing w:line="360" w:lineRule="auto"/>
        <w:jc w:val="both"/>
        <w:rPr>
          <w:noProof/>
          <w:color w:val="808080" w:themeColor="background1" w:themeShade="80"/>
          <w:sz w:val="18"/>
          <w:szCs w:val="18"/>
          <w:lang w:val="es-MX"/>
        </w:rPr>
      </w:pPr>
      <w:r w:rsidRPr="00232EBB">
        <w:rPr>
          <w:b/>
          <w:bCs/>
          <w:noProof/>
          <w:color w:val="808080" w:themeColor="background1" w:themeShade="80"/>
          <w:sz w:val="18"/>
          <w:szCs w:val="18"/>
          <w:lang w:val="es-MX"/>
        </w:rPr>
        <w:t xml:space="preserve">Gráfico </w:t>
      </w:r>
      <w:r w:rsidR="00E14CB6" w:rsidRPr="00232EBB">
        <w:rPr>
          <w:b/>
          <w:bCs/>
          <w:noProof/>
          <w:color w:val="808080" w:themeColor="background1" w:themeShade="80"/>
          <w:sz w:val="18"/>
          <w:szCs w:val="18"/>
          <w:lang w:val="es-MX"/>
        </w:rPr>
        <w:t>1</w:t>
      </w:r>
      <w:r w:rsidR="000743EE" w:rsidRPr="00232EBB">
        <w:rPr>
          <w:b/>
          <w:bCs/>
          <w:noProof/>
          <w:color w:val="808080" w:themeColor="background1" w:themeShade="80"/>
          <w:sz w:val="18"/>
          <w:szCs w:val="18"/>
          <w:lang w:val="es-MX"/>
        </w:rPr>
        <w:t>9</w:t>
      </w:r>
      <w:r w:rsidRPr="00232EBB">
        <w:rPr>
          <w:noProof/>
          <w:color w:val="808080" w:themeColor="background1" w:themeShade="80"/>
          <w:sz w:val="18"/>
          <w:szCs w:val="18"/>
          <w:lang w:val="es-MX"/>
        </w:rPr>
        <w:t>: Desarrollo del  Personal TSS</w:t>
      </w:r>
    </w:p>
    <w:p w14:paraId="14CC5312" w14:textId="46BD3805"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Durante el año 2025, se incorporaron 33 nuevos colaboradores gestionándose la elaboración de los acuerdos de desempeño para estos nuevos ingresos, logrando la recepción del 100% de los mismos. Adicionalmente, se registraron 20 salidas de personal, de las cuales 19 requirieron evaluación de desempeño y 1 no requirió evaluación por vacante temporal, proceso que se gestionó y se completó en su totalidad.</w:t>
      </w:r>
    </w:p>
    <w:p w14:paraId="579ABA7B" w14:textId="1FC80F34" w:rsidR="00836944" w:rsidRPr="00232EBB" w:rsidRDefault="00836944" w:rsidP="00280B1F">
      <w:pPr>
        <w:spacing w:line="360" w:lineRule="auto"/>
        <w:jc w:val="both"/>
        <w:rPr>
          <w:noProof/>
          <w:color w:val="808080" w:themeColor="background1" w:themeShade="80"/>
          <w:szCs w:val="28"/>
          <w:lang w:val="es-MX"/>
        </w:rPr>
      </w:pPr>
      <w:r w:rsidRPr="00232EBB">
        <w:rPr>
          <w:noProof/>
          <w:color w:val="000000" w:themeColor="text1"/>
          <w:spacing w:val="0"/>
          <w:kern w:val="2"/>
          <w:sz w:val="18"/>
          <w:szCs w:val="18"/>
          <w:lang w:val="es-DO"/>
          <w14:ligatures w14:val="standardContextual"/>
        </w:rPr>
        <w:drawing>
          <wp:anchor distT="0" distB="0" distL="114300" distR="114300" simplePos="0" relativeHeight="251709476" behindDoc="0" locked="0" layoutInCell="1" allowOverlap="1" wp14:anchorId="58FC06F2" wp14:editId="167290A2">
            <wp:simplePos x="0" y="0"/>
            <wp:positionH relativeFrom="margin">
              <wp:posOffset>78105</wp:posOffset>
            </wp:positionH>
            <wp:positionV relativeFrom="paragraph">
              <wp:posOffset>123190</wp:posOffset>
            </wp:positionV>
            <wp:extent cx="4340225" cy="2535555"/>
            <wp:effectExtent l="0" t="0" r="3175" b="17145"/>
            <wp:wrapSquare wrapText="bothSides"/>
            <wp:docPr id="30181390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1FA784F4" w14:textId="3383F4A5" w:rsidR="007401A3" w:rsidRPr="00232EBB" w:rsidRDefault="007401A3" w:rsidP="007401A3">
      <w:pPr>
        <w:spacing w:line="360" w:lineRule="auto"/>
        <w:jc w:val="both"/>
        <w:rPr>
          <w:noProof/>
          <w:color w:val="808080" w:themeColor="background1" w:themeShade="80"/>
          <w:sz w:val="18"/>
          <w:szCs w:val="18"/>
          <w:lang w:val="es-MX"/>
        </w:rPr>
      </w:pPr>
      <w:r w:rsidRPr="00232EBB">
        <w:rPr>
          <w:b/>
          <w:bCs/>
          <w:noProof/>
          <w:color w:val="808080" w:themeColor="background1" w:themeShade="80"/>
          <w:sz w:val="18"/>
          <w:szCs w:val="18"/>
          <w:lang w:val="es-MX"/>
        </w:rPr>
        <w:t xml:space="preserve">Gráfico </w:t>
      </w:r>
      <w:r w:rsidR="000743EE" w:rsidRPr="00232EBB">
        <w:rPr>
          <w:b/>
          <w:bCs/>
          <w:noProof/>
          <w:color w:val="808080" w:themeColor="background1" w:themeShade="80"/>
          <w:sz w:val="18"/>
          <w:szCs w:val="18"/>
          <w:lang w:val="es-MX"/>
        </w:rPr>
        <w:t>20</w:t>
      </w:r>
      <w:r w:rsidRPr="00232EBB">
        <w:rPr>
          <w:noProof/>
          <w:color w:val="808080" w:themeColor="background1" w:themeShade="80"/>
          <w:sz w:val="18"/>
          <w:szCs w:val="18"/>
          <w:lang w:val="es-MX"/>
        </w:rPr>
        <w:t>: Nuevo Ingreso TSS</w:t>
      </w:r>
    </w:p>
    <w:p w14:paraId="1CDFAD98" w14:textId="77777777" w:rsidR="00277D3D" w:rsidRPr="00232EBB" w:rsidRDefault="00230F05" w:rsidP="007401A3">
      <w:pPr>
        <w:spacing w:line="360" w:lineRule="auto"/>
        <w:jc w:val="both"/>
        <w:rPr>
          <w:noProof/>
          <w:color w:val="808080" w:themeColor="background1" w:themeShade="80"/>
          <w:sz w:val="22"/>
          <w:lang w:val="es-MX"/>
        </w:rPr>
      </w:pPr>
      <w:r w:rsidRPr="00232EBB">
        <w:rPr>
          <w:noProof/>
          <w:color w:val="808080" w:themeColor="background1" w:themeShade="80"/>
          <w:sz w:val="22"/>
          <w:lang w:val="es-MX"/>
        </w:rPr>
        <w:lastRenderedPageBreak/>
        <w:drawing>
          <wp:anchor distT="0" distB="0" distL="114300" distR="114300" simplePos="0" relativeHeight="251696164" behindDoc="0" locked="0" layoutInCell="1" allowOverlap="1" wp14:anchorId="4B30B2E7" wp14:editId="4CEC646C">
            <wp:simplePos x="0" y="0"/>
            <wp:positionH relativeFrom="margin">
              <wp:posOffset>279400</wp:posOffset>
            </wp:positionH>
            <wp:positionV relativeFrom="paragraph">
              <wp:posOffset>2116455</wp:posOffset>
            </wp:positionV>
            <wp:extent cx="4132580" cy="2319655"/>
            <wp:effectExtent l="0" t="0" r="1270" b="4445"/>
            <wp:wrapSquare wrapText="bothSides"/>
            <wp:docPr id="307299295"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0E2299" w:rsidRPr="00232EBB">
        <w:rPr>
          <w:noProof/>
          <w:color w:val="808080" w:themeColor="background1" w:themeShade="80"/>
          <w:szCs w:val="28"/>
          <w:lang w:val="es-MX"/>
        </w:rPr>
        <w:t>En conformidad con el proceso de evaluación del desempeño establecido, se ha gestionado la documentación de las reuniones de monitoreo entre supervisor y supervisado. Estas minutas permiten evidenciar el estatus de las metas propuestas, así como identificar y abordar cualquier inconveniente que pudiera afectar su cumplimiento. Durante el año 2025, se registró un porcentaje de entrega satisfactoria del 100% de las minutas de monitoreo planificadas</w:t>
      </w:r>
      <w:r w:rsidR="000E2299" w:rsidRPr="00232EBB">
        <w:rPr>
          <w:noProof/>
          <w:color w:val="808080" w:themeColor="background1" w:themeShade="80"/>
          <w:sz w:val="22"/>
          <w:lang w:val="es-MX"/>
        </w:rPr>
        <w:t xml:space="preserve">. </w:t>
      </w:r>
      <w:bookmarkStart w:id="157" w:name="_Toc154736728"/>
      <w:bookmarkEnd w:id="121"/>
      <w:bookmarkEnd w:id="122"/>
      <w:bookmarkEnd w:id="123"/>
      <w:bookmarkEnd w:id="124"/>
      <w:bookmarkEnd w:id="125"/>
      <w:bookmarkEnd w:id="126"/>
    </w:p>
    <w:p w14:paraId="71DA2C22" w14:textId="77777777" w:rsidR="00277D3D" w:rsidRPr="00232EBB" w:rsidRDefault="00277D3D" w:rsidP="007401A3">
      <w:pPr>
        <w:spacing w:line="360" w:lineRule="auto"/>
        <w:jc w:val="both"/>
        <w:rPr>
          <w:noProof/>
          <w:color w:val="808080" w:themeColor="background1" w:themeShade="80"/>
          <w:sz w:val="22"/>
          <w:lang w:val="es-MX"/>
        </w:rPr>
      </w:pPr>
    </w:p>
    <w:p w14:paraId="6B639973" w14:textId="77777777" w:rsidR="00277D3D" w:rsidRPr="00232EBB" w:rsidRDefault="00277D3D" w:rsidP="007401A3">
      <w:pPr>
        <w:spacing w:line="360" w:lineRule="auto"/>
        <w:jc w:val="both"/>
        <w:rPr>
          <w:noProof/>
          <w:color w:val="808080" w:themeColor="background1" w:themeShade="80"/>
          <w:sz w:val="22"/>
          <w:lang w:val="es-MX"/>
        </w:rPr>
      </w:pPr>
    </w:p>
    <w:p w14:paraId="4DA4F178" w14:textId="77777777" w:rsidR="00277D3D" w:rsidRPr="00232EBB" w:rsidRDefault="00277D3D" w:rsidP="007401A3">
      <w:pPr>
        <w:spacing w:line="360" w:lineRule="auto"/>
        <w:jc w:val="both"/>
        <w:rPr>
          <w:noProof/>
          <w:color w:val="808080" w:themeColor="background1" w:themeShade="80"/>
          <w:sz w:val="22"/>
          <w:lang w:val="es-MX"/>
        </w:rPr>
      </w:pPr>
    </w:p>
    <w:p w14:paraId="14FB26E3" w14:textId="77777777" w:rsidR="00277D3D" w:rsidRPr="00232EBB" w:rsidRDefault="00277D3D" w:rsidP="007401A3">
      <w:pPr>
        <w:spacing w:line="360" w:lineRule="auto"/>
        <w:jc w:val="both"/>
        <w:rPr>
          <w:noProof/>
          <w:color w:val="808080" w:themeColor="background1" w:themeShade="80"/>
          <w:sz w:val="22"/>
          <w:lang w:val="es-MX"/>
        </w:rPr>
      </w:pPr>
    </w:p>
    <w:p w14:paraId="29081AEC" w14:textId="77777777" w:rsidR="00277D3D" w:rsidRPr="00232EBB" w:rsidRDefault="00277D3D" w:rsidP="007401A3">
      <w:pPr>
        <w:spacing w:line="360" w:lineRule="auto"/>
        <w:jc w:val="both"/>
        <w:rPr>
          <w:noProof/>
          <w:color w:val="808080" w:themeColor="background1" w:themeShade="80"/>
          <w:sz w:val="22"/>
          <w:lang w:val="es-MX"/>
        </w:rPr>
      </w:pPr>
    </w:p>
    <w:p w14:paraId="39FB10A0" w14:textId="77777777" w:rsidR="00277D3D" w:rsidRPr="00232EBB" w:rsidRDefault="00277D3D" w:rsidP="007401A3">
      <w:pPr>
        <w:spacing w:line="360" w:lineRule="auto"/>
        <w:jc w:val="both"/>
        <w:rPr>
          <w:noProof/>
          <w:color w:val="808080" w:themeColor="background1" w:themeShade="80"/>
          <w:sz w:val="22"/>
          <w:lang w:val="es-MX"/>
        </w:rPr>
      </w:pPr>
    </w:p>
    <w:p w14:paraId="3DB7A4B7" w14:textId="77777777" w:rsidR="00277D3D" w:rsidRPr="00232EBB" w:rsidRDefault="00277D3D" w:rsidP="007401A3">
      <w:pPr>
        <w:spacing w:line="360" w:lineRule="auto"/>
        <w:jc w:val="both"/>
        <w:rPr>
          <w:noProof/>
          <w:color w:val="808080" w:themeColor="background1" w:themeShade="80"/>
          <w:sz w:val="22"/>
          <w:lang w:val="es-MX"/>
        </w:rPr>
      </w:pPr>
    </w:p>
    <w:p w14:paraId="5976410B" w14:textId="63EA3AE5" w:rsidR="00277D3D" w:rsidRPr="00232EBB" w:rsidRDefault="00277D3D" w:rsidP="007401A3">
      <w:pPr>
        <w:spacing w:line="360" w:lineRule="auto"/>
        <w:jc w:val="both"/>
        <w:rPr>
          <w:b/>
          <w:bCs/>
          <w:noProof/>
          <w:color w:val="808080" w:themeColor="background1" w:themeShade="80"/>
          <w:sz w:val="18"/>
          <w:szCs w:val="18"/>
          <w:lang w:val="es-MX"/>
        </w:rPr>
      </w:pPr>
      <w:r w:rsidRPr="00232EBB">
        <w:rPr>
          <w:b/>
          <w:bCs/>
          <w:noProof/>
          <w:color w:val="808080" w:themeColor="background1" w:themeShade="80"/>
          <w:sz w:val="18"/>
          <w:szCs w:val="18"/>
          <w:lang w:val="es-MX"/>
        </w:rPr>
        <w:t xml:space="preserve">Gráfico </w:t>
      </w:r>
      <w:r w:rsidR="000743EE" w:rsidRPr="00232EBB">
        <w:rPr>
          <w:b/>
          <w:bCs/>
          <w:noProof/>
          <w:color w:val="808080" w:themeColor="background1" w:themeShade="80"/>
          <w:sz w:val="18"/>
          <w:szCs w:val="18"/>
          <w:lang w:val="es-MX"/>
        </w:rPr>
        <w:t>21</w:t>
      </w:r>
      <w:r w:rsidRPr="00232EBB">
        <w:rPr>
          <w:b/>
          <w:bCs/>
          <w:noProof/>
          <w:color w:val="808080" w:themeColor="background1" w:themeShade="80"/>
          <w:sz w:val="18"/>
          <w:szCs w:val="18"/>
          <w:lang w:val="es-MX"/>
        </w:rPr>
        <w:t xml:space="preserve">: </w:t>
      </w:r>
      <w:r w:rsidRPr="00232EBB">
        <w:rPr>
          <w:noProof/>
          <w:color w:val="808080" w:themeColor="background1" w:themeShade="80"/>
          <w:sz w:val="18"/>
          <w:szCs w:val="18"/>
          <w:lang w:val="es-MX"/>
        </w:rPr>
        <w:t>Minutas</w:t>
      </w:r>
    </w:p>
    <w:p w14:paraId="6EB1B6F8" w14:textId="2BE23E28" w:rsidR="00F65B16" w:rsidRDefault="00F65B16" w:rsidP="00CB5570">
      <w:pPr>
        <w:spacing w:line="360" w:lineRule="auto"/>
        <w:jc w:val="both"/>
        <w:rPr>
          <w:b/>
          <w:bCs/>
          <w:noProof/>
          <w:color w:val="808080" w:themeColor="background1" w:themeShade="80"/>
          <w:sz w:val="18"/>
          <w:szCs w:val="18"/>
          <w:lang w:val="es-MX"/>
        </w:rPr>
      </w:pPr>
      <w:r w:rsidRPr="00232EBB">
        <w:rPr>
          <w:noProof/>
          <w:color w:val="000000" w:themeColor="text1"/>
          <w:spacing w:val="0"/>
          <w:kern w:val="2"/>
          <w:sz w:val="18"/>
          <w:szCs w:val="18"/>
          <w:lang w:val="es-DO"/>
          <w14:ligatures w14:val="standardContextual"/>
        </w:rPr>
        <w:drawing>
          <wp:anchor distT="0" distB="0" distL="114300" distR="114300" simplePos="0" relativeHeight="251715620" behindDoc="0" locked="0" layoutInCell="1" allowOverlap="1" wp14:anchorId="37619582" wp14:editId="65A17DDB">
            <wp:simplePos x="0" y="0"/>
            <wp:positionH relativeFrom="margin">
              <wp:posOffset>0</wp:posOffset>
            </wp:positionH>
            <wp:positionV relativeFrom="margin">
              <wp:posOffset>5245735</wp:posOffset>
            </wp:positionV>
            <wp:extent cx="4803140" cy="2621915"/>
            <wp:effectExtent l="0" t="0" r="16510" b="6985"/>
            <wp:wrapSquare wrapText="bothSides"/>
            <wp:docPr id="167430681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14:paraId="547668BC" w14:textId="77777777" w:rsidR="00F65B16" w:rsidRDefault="00F65B16" w:rsidP="00CB5570">
      <w:pPr>
        <w:spacing w:line="360" w:lineRule="auto"/>
        <w:jc w:val="both"/>
        <w:rPr>
          <w:b/>
          <w:bCs/>
          <w:noProof/>
          <w:color w:val="808080" w:themeColor="background1" w:themeShade="80"/>
          <w:sz w:val="18"/>
          <w:szCs w:val="18"/>
          <w:lang w:val="es-MX"/>
        </w:rPr>
      </w:pPr>
    </w:p>
    <w:p w14:paraId="5551906F" w14:textId="32C541B4" w:rsidR="00CB5570" w:rsidRPr="00232EBB" w:rsidRDefault="00CB5570" w:rsidP="00CB5570">
      <w:pPr>
        <w:spacing w:line="360" w:lineRule="auto"/>
        <w:jc w:val="both"/>
        <w:rPr>
          <w:noProof/>
          <w:color w:val="808080" w:themeColor="background1" w:themeShade="80"/>
          <w:szCs w:val="28"/>
          <w:lang w:val="es-MX"/>
        </w:rPr>
      </w:pPr>
      <w:r w:rsidRPr="00232EBB">
        <w:rPr>
          <w:b/>
          <w:bCs/>
          <w:noProof/>
          <w:color w:val="808080" w:themeColor="background1" w:themeShade="80"/>
          <w:sz w:val="18"/>
          <w:szCs w:val="18"/>
          <w:lang w:val="es-MX"/>
        </w:rPr>
        <w:t xml:space="preserve">Gráfico </w:t>
      </w:r>
      <w:r w:rsidR="000743EE" w:rsidRPr="00232EBB">
        <w:rPr>
          <w:b/>
          <w:bCs/>
          <w:noProof/>
          <w:color w:val="808080" w:themeColor="background1" w:themeShade="80"/>
          <w:sz w:val="18"/>
          <w:szCs w:val="18"/>
          <w:lang w:val="es-MX"/>
        </w:rPr>
        <w:t>22</w:t>
      </w:r>
      <w:r w:rsidRPr="00232EBB">
        <w:rPr>
          <w:noProof/>
          <w:color w:val="808080" w:themeColor="background1" w:themeShade="80"/>
          <w:sz w:val="18"/>
          <w:szCs w:val="18"/>
          <w:lang w:val="es-MX"/>
        </w:rPr>
        <w:t>: Excolaboradores bajo acuerdo de desempeño</w:t>
      </w:r>
    </w:p>
    <w:p w14:paraId="3B6E26C9" w14:textId="30B1C79C" w:rsidR="000E2299" w:rsidRPr="00232EBB" w:rsidRDefault="000E2299" w:rsidP="00CB5570">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lastRenderedPageBreak/>
        <w:t>En junio, la Tesorería de la Seguridad Social (TSS) elaboró su Diccionario de Competencias TSS, una herramienta estratégica</w:t>
      </w:r>
      <w:r w:rsidR="00433315" w:rsidRPr="00232EBB">
        <w:rPr>
          <w:noProof/>
          <w:color w:val="808080" w:themeColor="background1" w:themeShade="80"/>
          <w:szCs w:val="28"/>
          <w:lang w:val="es-MX"/>
        </w:rPr>
        <w:t xml:space="preserve"> </w:t>
      </w:r>
      <w:r w:rsidRPr="00232EBB">
        <w:rPr>
          <w:noProof/>
          <w:color w:val="808080" w:themeColor="background1" w:themeShade="80"/>
          <w:szCs w:val="28"/>
          <w:lang w:val="es-MX"/>
        </w:rPr>
        <w:t>crucial para la gestión del talento. Su propósito es alinear el desempeño de los colaboradores con los objetivos institucionales al identificar y aplicar las competencias necesarias para el éxito en sus funciones.</w:t>
      </w:r>
    </w:p>
    <w:p w14:paraId="0BD2B93A" w14:textId="4ACBAE14" w:rsidR="000E2299" w:rsidRPr="00232EBB" w:rsidRDefault="000E2299" w:rsidP="00CB5570">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Según Alles (2016), las competencias son el conjunto de conocimientos, habilidades, actitudes y comportamientos observables que una persona debe demostrar para desempeñarse eficazmente en un puesto de trabajo.</w:t>
      </w:r>
    </w:p>
    <w:p w14:paraId="2E188F22" w14:textId="74826DE6"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Tras obtener la aprobación del Ministerio de Administración Pública (MAP), se iniciará su implementación durante el año 2026.</w:t>
      </w:r>
    </w:p>
    <w:p w14:paraId="7F37D381" w14:textId="77777777" w:rsidR="000E2299" w:rsidRPr="00232EBB" w:rsidRDefault="000E2299" w:rsidP="00280B1F">
      <w:pPr>
        <w:spacing w:line="360" w:lineRule="auto"/>
        <w:jc w:val="both"/>
        <w:rPr>
          <w:b/>
          <w:bCs/>
          <w:noProof/>
          <w:color w:val="808080" w:themeColor="background1" w:themeShade="80"/>
          <w:szCs w:val="28"/>
          <w:lang w:val="es-MX"/>
        </w:rPr>
      </w:pPr>
      <w:r w:rsidRPr="00232EBB">
        <w:rPr>
          <w:b/>
          <w:bCs/>
          <w:noProof/>
          <w:color w:val="808080" w:themeColor="background1" w:themeShade="80"/>
          <w:szCs w:val="28"/>
          <w:lang w:val="es-MX"/>
        </w:rPr>
        <w:t>La implementación de este diccionario permitirá:</w:t>
      </w:r>
    </w:p>
    <w:p w14:paraId="1BB9F8FF" w14:textId="77777777" w:rsidR="000E2299" w:rsidRPr="00232EBB" w:rsidRDefault="000E2299" w:rsidP="00280B1F">
      <w:pPr>
        <w:numPr>
          <w:ilvl w:val="0"/>
          <w:numId w:val="46"/>
        </w:numPr>
        <w:spacing w:line="360" w:lineRule="auto"/>
        <w:jc w:val="both"/>
        <w:rPr>
          <w:noProof/>
          <w:color w:val="808080" w:themeColor="background1" w:themeShade="80"/>
          <w:szCs w:val="28"/>
          <w:lang w:val="es-MX"/>
        </w:rPr>
      </w:pPr>
      <w:r w:rsidRPr="00232EBB">
        <w:rPr>
          <w:noProof/>
          <w:color w:val="808080" w:themeColor="background1" w:themeShade="80"/>
          <w:szCs w:val="28"/>
          <w:lang w:val="es-MX"/>
        </w:rPr>
        <w:t>Evaluar el desempeño individual de forma objetiva.</w:t>
      </w:r>
    </w:p>
    <w:p w14:paraId="05C19B85" w14:textId="77777777" w:rsidR="00DD7973" w:rsidRPr="00232EBB" w:rsidRDefault="00DD7973" w:rsidP="00DD7973">
      <w:pPr>
        <w:numPr>
          <w:ilvl w:val="0"/>
          <w:numId w:val="46"/>
        </w:numPr>
        <w:spacing w:line="360" w:lineRule="auto"/>
        <w:jc w:val="both"/>
        <w:rPr>
          <w:noProof/>
          <w:color w:val="808080" w:themeColor="background1" w:themeShade="80"/>
          <w:szCs w:val="28"/>
          <w:lang w:val="es-MX"/>
        </w:rPr>
      </w:pPr>
      <w:r w:rsidRPr="00232EBB">
        <w:rPr>
          <w:noProof/>
          <w:color w:val="808080" w:themeColor="background1" w:themeShade="80"/>
          <w:szCs w:val="28"/>
          <w:lang w:val="es-MX"/>
        </w:rPr>
        <w:t>Fortalecer procesos clave como el reclutamiento y selección, la capacitación y el desarrollo, y la descripción y actualización de perfiles de puestos.</w:t>
      </w:r>
    </w:p>
    <w:p w14:paraId="2661CD73" w14:textId="77777777"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Esto asegura que cada colaborador contribuya efectivamente al crecimiento institucional y a la mejora continua. </w:t>
      </w:r>
    </w:p>
    <w:p w14:paraId="11136B67" w14:textId="77777777"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El Diccionario de Competencias TSS fue adaptado del Diccionario General de Competencias y Comportamientos del Ministerio de Administración Pública (MAP), integrando el modelo metodológico de Martha Alles. Esta adaptación garantiza un enfoque contextualizado, práctico y alineado con la cultura organizacional de la TSS.</w:t>
      </w:r>
    </w:p>
    <w:p w14:paraId="310C11DB" w14:textId="77777777" w:rsidR="000E2299" w:rsidRPr="00232EBB" w:rsidRDefault="000E2299" w:rsidP="00280B1F">
      <w:pPr>
        <w:spacing w:after="240" w:line="360" w:lineRule="auto"/>
        <w:jc w:val="both"/>
        <w:rPr>
          <w:noProof/>
          <w:color w:val="808080" w:themeColor="background1" w:themeShade="80"/>
          <w:szCs w:val="28"/>
          <w:lang w:val="es-MX"/>
        </w:rPr>
      </w:pPr>
      <w:r w:rsidRPr="00232EBB">
        <w:rPr>
          <w:noProof/>
          <w:color w:val="808080" w:themeColor="background1" w:themeShade="80"/>
          <w:szCs w:val="28"/>
          <w:lang w:val="es-MX"/>
        </w:rPr>
        <w:t>El proceso se estructura a partir de 16 competencias, organizadas en cuatro categorías principales:</w:t>
      </w:r>
    </w:p>
    <w:p w14:paraId="3715C451" w14:textId="77777777" w:rsidR="000E2299" w:rsidRPr="00232EBB" w:rsidRDefault="000E2299" w:rsidP="00280B1F">
      <w:pPr>
        <w:spacing w:after="120" w:line="360" w:lineRule="auto"/>
        <w:rPr>
          <w:noProof/>
          <w:color w:val="808080" w:themeColor="background1" w:themeShade="80"/>
          <w:szCs w:val="28"/>
          <w:lang w:val="es-MX"/>
        </w:rPr>
      </w:pPr>
      <w:r w:rsidRPr="00232EBB">
        <w:rPr>
          <w:b/>
          <w:bCs/>
          <w:noProof/>
          <w:color w:val="808080" w:themeColor="background1" w:themeShade="80"/>
          <w:szCs w:val="28"/>
          <w:lang w:val="es-MX"/>
        </w:rPr>
        <w:lastRenderedPageBreak/>
        <w:t>Competencias Institucionales</w:t>
      </w:r>
      <w:r w:rsidRPr="00232EBB">
        <w:rPr>
          <w:noProof/>
          <w:color w:val="808080" w:themeColor="background1" w:themeShade="80"/>
          <w:szCs w:val="28"/>
          <w:lang w:val="es-MX"/>
        </w:rPr>
        <w:t>: Reflejan los principios y valores de la TSS y son aplicables a todos los puestos. Se dividen en:</w:t>
      </w:r>
    </w:p>
    <w:p w14:paraId="59193562" w14:textId="77777777" w:rsidR="000E2299" w:rsidRPr="00232EBB" w:rsidRDefault="000E2299" w:rsidP="00280B1F">
      <w:pPr>
        <w:pStyle w:val="ListParagraph"/>
        <w:numPr>
          <w:ilvl w:val="0"/>
          <w:numId w:val="47"/>
        </w:numPr>
        <w:spacing w:after="120" w:line="360" w:lineRule="auto"/>
        <w:rPr>
          <w:rFonts w:ascii="Times New Roman" w:eastAsiaTheme="minorHAnsi" w:hAnsi="Times New Roman"/>
          <w:noProof/>
          <w:color w:val="808080" w:themeColor="background1" w:themeShade="80"/>
          <w:spacing w:val="20"/>
          <w:sz w:val="24"/>
          <w:szCs w:val="28"/>
          <w:lang w:val="es-MX"/>
        </w:rPr>
      </w:pPr>
      <w:r w:rsidRPr="00232EBB">
        <w:rPr>
          <w:rFonts w:ascii="Times New Roman" w:eastAsiaTheme="minorHAnsi" w:hAnsi="Times New Roman"/>
          <w:noProof/>
          <w:color w:val="808080" w:themeColor="background1" w:themeShade="80"/>
          <w:spacing w:val="20"/>
          <w:sz w:val="24"/>
          <w:szCs w:val="28"/>
          <w:lang w:val="es-MX"/>
        </w:rPr>
        <w:t>Cardinales: Representan la visión esencial de la administración pública.</w:t>
      </w:r>
    </w:p>
    <w:p w14:paraId="3721E843" w14:textId="77777777" w:rsidR="000E2299" w:rsidRPr="00232EBB" w:rsidRDefault="000E2299" w:rsidP="00280B1F">
      <w:pPr>
        <w:pStyle w:val="ListParagraph"/>
        <w:numPr>
          <w:ilvl w:val="0"/>
          <w:numId w:val="47"/>
        </w:numPr>
        <w:spacing w:after="120" w:line="360" w:lineRule="auto"/>
        <w:rPr>
          <w:rFonts w:ascii="Times New Roman" w:eastAsiaTheme="minorHAnsi" w:hAnsi="Times New Roman"/>
          <w:noProof/>
          <w:color w:val="808080" w:themeColor="background1" w:themeShade="80"/>
          <w:spacing w:val="20"/>
          <w:sz w:val="24"/>
          <w:szCs w:val="28"/>
          <w:lang w:val="es-MX"/>
        </w:rPr>
      </w:pPr>
      <w:r w:rsidRPr="00232EBB">
        <w:rPr>
          <w:rFonts w:ascii="Times New Roman" w:eastAsiaTheme="minorHAnsi" w:hAnsi="Times New Roman"/>
          <w:noProof/>
          <w:color w:val="808080" w:themeColor="background1" w:themeShade="80"/>
          <w:spacing w:val="20"/>
          <w:sz w:val="24"/>
          <w:szCs w:val="28"/>
          <w:lang w:val="es-MX"/>
        </w:rPr>
        <w:t>Del Régimen Ético: Fundamentales para la ética y disciplina en la administración pública.</w:t>
      </w:r>
    </w:p>
    <w:p w14:paraId="2AD82F41" w14:textId="77777777" w:rsidR="000E2299" w:rsidRPr="00232EBB" w:rsidRDefault="000E2299" w:rsidP="00280B1F">
      <w:pPr>
        <w:spacing w:line="360" w:lineRule="auto"/>
        <w:contextualSpacing/>
        <w:jc w:val="both"/>
        <w:rPr>
          <w:noProof/>
          <w:color w:val="808080" w:themeColor="background1" w:themeShade="80"/>
          <w:szCs w:val="28"/>
          <w:lang w:val="es-MX"/>
        </w:rPr>
      </w:pPr>
      <w:r w:rsidRPr="00232EBB">
        <w:rPr>
          <w:b/>
          <w:bCs/>
          <w:noProof/>
          <w:color w:val="808080" w:themeColor="background1" w:themeShade="80"/>
          <w:szCs w:val="28"/>
          <w:lang w:val="es-MX"/>
        </w:rPr>
        <w:t>Competencias Funcionales y Directivas:</w:t>
      </w:r>
      <w:r w:rsidRPr="00232EBB">
        <w:rPr>
          <w:noProof/>
          <w:color w:val="808080" w:themeColor="background1" w:themeShade="80"/>
          <w:szCs w:val="28"/>
          <w:lang w:val="es-MX"/>
        </w:rPr>
        <w:t xml:space="preserve"> Se definen tras un análisis funcional del puesto:</w:t>
      </w:r>
    </w:p>
    <w:p w14:paraId="42998D15" w14:textId="77777777" w:rsidR="000E2299" w:rsidRPr="00232EBB" w:rsidRDefault="000E2299" w:rsidP="00280B1F">
      <w:pPr>
        <w:pStyle w:val="ListParagraph"/>
        <w:numPr>
          <w:ilvl w:val="0"/>
          <w:numId w:val="47"/>
        </w:numPr>
        <w:spacing w:after="120" w:line="360" w:lineRule="auto"/>
        <w:rPr>
          <w:rFonts w:ascii="Times New Roman" w:eastAsiaTheme="minorHAnsi" w:hAnsi="Times New Roman"/>
          <w:noProof/>
          <w:color w:val="808080" w:themeColor="background1" w:themeShade="80"/>
          <w:spacing w:val="20"/>
          <w:sz w:val="24"/>
          <w:szCs w:val="28"/>
          <w:lang w:val="es-MX"/>
        </w:rPr>
      </w:pPr>
      <w:r w:rsidRPr="00232EBB">
        <w:rPr>
          <w:rFonts w:ascii="Times New Roman" w:eastAsiaTheme="minorHAnsi" w:hAnsi="Times New Roman"/>
          <w:noProof/>
          <w:color w:val="808080" w:themeColor="background1" w:themeShade="80"/>
          <w:spacing w:val="20"/>
          <w:sz w:val="24"/>
          <w:szCs w:val="28"/>
          <w:lang w:val="es-MX"/>
        </w:rPr>
        <w:t>Funcionales: Comunes a múltiples puestos y ligadas a la función, jerarquía y relaciones internas (ej., trabajo en equipo, comunicación efectiva).</w:t>
      </w:r>
    </w:p>
    <w:p w14:paraId="17C62883" w14:textId="77777777" w:rsidR="000E2299" w:rsidRPr="00232EBB" w:rsidRDefault="000E2299" w:rsidP="00280B1F">
      <w:pPr>
        <w:pStyle w:val="ListParagraph"/>
        <w:numPr>
          <w:ilvl w:val="0"/>
          <w:numId w:val="47"/>
        </w:numPr>
        <w:spacing w:after="120" w:line="360" w:lineRule="auto"/>
        <w:rPr>
          <w:rFonts w:ascii="Times New Roman" w:eastAsiaTheme="minorHAnsi" w:hAnsi="Times New Roman"/>
          <w:noProof/>
          <w:color w:val="808080" w:themeColor="background1" w:themeShade="80"/>
          <w:spacing w:val="20"/>
          <w:sz w:val="24"/>
          <w:szCs w:val="28"/>
          <w:lang w:val="es-MX"/>
        </w:rPr>
      </w:pPr>
      <w:r w:rsidRPr="00232EBB">
        <w:rPr>
          <w:rFonts w:ascii="Times New Roman" w:eastAsiaTheme="minorHAnsi" w:hAnsi="Times New Roman"/>
          <w:noProof/>
          <w:color w:val="808080" w:themeColor="background1" w:themeShade="80"/>
          <w:spacing w:val="20"/>
          <w:sz w:val="24"/>
          <w:szCs w:val="28"/>
          <w:lang w:val="es-MX"/>
        </w:rPr>
        <w:t>Directivas: Específicas de funciones técnicas y especializadas, cruciales para la ejecución efectiva del cargo.</w:t>
      </w:r>
    </w:p>
    <w:p w14:paraId="11196062" w14:textId="77777777" w:rsidR="000E2299" w:rsidRPr="00232EBB" w:rsidRDefault="000E2299" w:rsidP="00280B1F">
      <w:pPr>
        <w:keepNext/>
        <w:keepLines/>
        <w:spacing w:before="160" w:after="80" w:line="360" w:lineRule="auto"/>
        <w:jc w:val="both"/>
        <w:outlineLvl w:val="1"/>
        <w:rPr>
          <w:b/>
          <w:bCs/>
          <w:noProof/>
          <w:color w:val="808080" w:themeColor="background1" w:themeShade="80"/>
          <w:szCs w:val="28"/>
          <w:lang w:val="es-MX"/>
        </w:rPr>
      </w:pPr>
      <w:bookmarkStart w:id="158" w:name="_Toc216263904"/>
      <w:bookmarkStart w:id="159" w:name="_Toc216952233"/>
      <w:r w:rsidRPr="00232EBB">
        <w:rPr>
          <w:b/>
          <w:bCs/>
          <w:noProof/>
          <w:color w:val="808080" w:themeColor="background1" w:themeShade="80"/>
          <w:szCs w:val="28"/>
          <w:lang w:val="es-MX"/>
        </w:rPr>
        <w:t>Programa de Mentoring TSS</w:t>
      </w:r>
      <w:bookmarkEnd w:id="158"/>
      <w:bookmarkEnd w:id="159"/>
    </w:p>
    <w:p w14:paraId="15935AC2" w14:textId="77777777"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Durante el segundo trimestre, la TSS sentó las bases para el Programa de Mentoring, concebido como una estrategia clave para la gestión del talento y desarrollado como parte de una iniciativa contemplada en el POA 2025.</w:t>
      </w:r>
    </w:p>
    <w:p w14:paraId="510D7F12" w14:textId="09E9AF99"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Este programa busca fortalecer las capacidades técnicas e institucionales mediante la transmisión estructurada de conocimiento. Consiste en que colaboradores experimentados, denominados mentores, compartan sus conocimientos, habilidades, aprendizajes y buenas prácticas con colegas menos experimentados, los mentees, dentro de un marco de acompañamiento y orientación al servicio. La implementación de este programa está prevista para el año 2026.</w:t>
      </w:r>
    </w:p>
    <w:p w14:paraId="0DD0B108" w14:textId="77777777" w:rsidR="000E2299" w:rsidRPr="00232EBB" w:rsidRDefault="000E2299" w:rsidP="00280B1F">
      <w:pPr>
        <w:spacing w:after="120" w:line="360" w:lineRule="auto"/>
        <w:jc w:val="both"/>
        <w:rPr>
          <w:noProof/>
          <w:color w:val="808080" w:themeColor="background1" w:themeShade="80"/>
          <w:szCs w:val="28"/>
          <w:lang w:val="es-MX"/>
        </w:rPr>
      </w:pPr>
      <w:r w:rsidRPr="00232EBB">
        <w:rPr>
          <w:noProof/>
          <w:color w:val="808080" w:themeColor="background1" w:themeShade="80"/>
          <w:szCs w:val="28"/>
          <w:lang w:val="es-MX"/>
        </w:rPr>
        <w:t>El programa de mentoring TSS impactará áreas clave como:</w:t>
      </w:r>
    </w:p>
    <w:p w14:paraId="1A242B11" w14:textId="77777777" w:rsidR="000E2299" w:rsidRPr="00232EBB" w:rsidRDefault="000E2299" w:rsidP="00280B1F">
      <w:pPr>
        <w:numPr>
          <w:ilvl w:val="0"/>
          <w:numId w:val="45"/>
        </w:numPr>
        <w:spacing w:after="200" w:line="360" w:lineRule="auto"/>
        <w:ind w:left="567" w:hanging="425"/>
        <w:contextualSpacing/>
        <w:jc w:val="both"/>
        <w:rPr>
          <w:noProof/>
          <w:color w:val="808080" w:themeColor="background1" w:themeShade="80"/>
          <w:szCs w:val="28"/>
          <w:lang w:val="es-MX"/>
        </w:rPr>
      </w:pPr>
      <w:r w:rsidRPr="00232EBB">
        <w:rPr>
          <w:noProof/>
          <w:color w:val="808080" w:themeColor="background1" w:themeShade="80"/>
          <w:szCs w:val="28"/>
          <w:lang w:val="es-MX"/>
        </w:rPr>
        <w:t>Legislación y normativas vigentes (Ley 87-01 y sus reglamentos)</w:t>
      </w:r>
    </w:p>
    <w:p w14:paraId="7894F6A0" w14:textId="77777777" w:rsidR="000E2299" w:rsidRPr="00232EBB" w:rsidRDefault="000E2299" w:rsidP="00280B1F">
      <w:pPr>
        <w:numPr>
          <w:ilvl w:val="0"/>
          <w:numId w:val="45"/>
        </w:numPr>
        <w:spacing w:after="200" w:line="360" w:lineRule="auto"/>
        <w:ind w:left="567" w:hanging="425"/>
        <w:contextualSpacing/>
        <w:jc w:val="both"/>
        <w:rPr>
          <w:noProof/>
          <w:color w:val="808080" w:themeColor="background1" w:themeShade="80"/>
          <w:szCs w:val="28"/>
          <w:lang w:val="es-MX"/>
        </w:rPr>
      </w:pPr>
      <w:r w:rsidRPr="00232EBB">
        <w:rPr>
          <w:noProof/>
          <w:color w:val="808080" w:themeColor="background1" w:themeShade="80"/>
          <w:szCs w:val="28"/>
          <w:lang w:val="es-MX"/>
        </w:rPr>
        <w:lastRenderedPageBreak/>
        <w:t>Procesos de afiliación y recaudación</w:t>
      </w:r>
    </w:p>
    <w:p w14:paraId="05C654F6" w14:textId="77777777" w:rsidR="000E2299" w:rsidRPr="00232EBB" w:rsidRDefault="000E2299" w:rsidP="00280B1F">
      <w:pPr>
        <w:numPr>
          <w:ilvl w:val="0"/>
          <w:numId w:val="45"/>
        </w:numPr>
        <w:spacing w:after="200" w:line="360" w:lineRule="auto"/>
        <w:ind w:left="567" w:hanging="425"/>
        <w:contextualSpacing/>
        <w:jc w:val="both"/>
        <w:rPr>
          <w:noProof/>
          <w:color w:val="808080" w:themeColor="background1" w:themeShade="80"/>
          <w:szCs w:val="28"/>
          <w:lang w:val="es-MX"/>
        </w:rPr>
      </w:pPr>
      <w:r w:rsidRPr="00232EBB">
        <w:rPr>
          <w:noProof/>
          <w:color w:val="808080" w:themeColor="background1" w:themeShade="80"/>
          <w:szCs w:val="28"/>
          <w:lang w:val="es-MX"/>
        </w:rPr>
        <w:t>Trámite y validación de subsidios</w:t>
      </w:r>
    </w:p>
    <w:p w14:paraId="24B60629" w14:textId="77777777" w:rsidR="000E2299" w:rsidRPr="00232EBB" w:rsidRDefault="000E2299" w:rsidP="00280B1F">
      <w:pPr>
        <w:numPr>
          <w:ilvl w:val="0"/>
          <w:numId w:val="45"/>
        </w:numPr>
        <w:spacing w:after="200" w:line="360" w:lineRule="auto"/>
        <w:ind w:left="567" w:hanging="425"/>
        <w:contextualSpacing/>
        <w:jc w:val="both"/>
        <w:rPr>
          <w:noProof/>
          <w:color w:val="808080" w:themeColor="background1" w:themeShade="80"/>
          <w:szCs w:val="28"/>
          <w:lang w:val="es-MX"/>
        </w:rPr>
      </w:pPr>
      <w:r w:rsidRPr="00232EBB">
        <w:rPr>
          <w:noProof/>
          <w:color w:val="808080" w:themeColor="background1" w:themeShade="80"/>
          <w:szCs w:val="28"/>
          <w:lang w:val="es-MX"/>
        </w:rPr>
        <w:t>Supervisión y fiscalización</w:t>
      </w:r>
    </w:p>
    <w:p w14:paraId="76170D7C" w14:textId="77777777" w:rsidR="000E2299" w:rsidRPr="00232EBB" w:rsidRDefault="000E2299" w:rsidP="00280B1F">
      <w:pPr>
        <w:numPr>
          <w:ilvl w:val="0"/>
          <w:numId w:val="45"/>
        </w:numPr>
        <w:spacing w:after="200" w:line="360" w:lineRule="auto"/>
        <w:ind w:left="567" w:hanging="425"/>
        <w:contextualSpacing/>
        <w:jc w:val="both"/>
        <w:rPr>
          <w:noProof/>
          <w:color w:val="808080" w:themeColor="background1" w:themeShade="80"/>
          <w:szCs w:val="28"/>
          <w:lang w:val="es-MX"/>
        </w:rPr>
      </w:pPr>
      <w:r w:rsidRPr="00232EBB">
        <w:rPr>
          <w:noProof/>
          <w:color w:val="808080" w:themeColor="background1" w:themeShade="80"/>
          <w:szCs w:val="28"/>
          <w:lang w:val="es-MX"/>
        </w:rPr>
        <w:t>Servicios del SUIR y otras herramientas tecnológicas del SDSS.</w:t>
      </w:r>
    </w:p>
    <w:p w14:paraId="6D6D4FE5" w14:textId="77777777" w:rsidR="000E2299" w:rsidRPr="00232EBB" w:rsidRDefault="000E2299" w:rsidP="00280B1F">
      <w:pPr>
        <w:numPr>
          <w:ilvl w:val="0"/>
          <w:numId w:val="45"/>
        </w:numPr>
        <w:spacing w:after="200" w:line="360" w:lineRule="auto"/>
        <w:ind w:left="567" w:hanging="425"/>
        <w:contextualSpacing/>
        <w:jc w:val="both"/>
        <w:rPr>
          <w:noProof/>
          <w:color w:val="808080" w:themeColor="background1" w:themeShade="80"/>
          <w:szCs w:val="28"/>
          <w:lang w:val="es-MX"/>
        </w:rPr>
      </w:pPr>
      <w:r w:rsidRPr="00232EBB">
        <w:rPr>
          <w:noProof/>
          <w:color w:val="808080" w:themeColor="background1" w:themeShade="80"/>
          <w:szCs w:val="28"/>
          <w:lang w:val="es-MX"/>
        </w:rPr>
        <w:t>Interacción funcional con las demás entidades del Sistema Dominicano de Seguridad Social.</w:t>
      </w:r>
    </w:p>
    <w:p w14:paraId="159EFC28" w14:textId="77777777" w:rsidR="000E2299" w:rsidRPr="00232EBB" w:rsidRDefault="000E2299" w:rsidP="00280B1F">
      <w:pPr>
        <w:spacing w:after="200" w:line="360" w:lineRule="auto"/>
        <w:ind w:left="1080"/>
        <w:contextualSpacing/>
        <w:jc w:val="both"/>
        <w:rPr>
          <w:noProof/>
          <w:color w:val="808080" w:themeColor="background1" w:themeShade="80"/>
          <w:szCs w:val="28"/>
          <w:lang w:val="es-MX"/>
        </w:rPr>
      </w:pPr>
    </w:p>
    <w:p w14:paraId="0F3C36AB" w14:textId="77777777" w:rsidR="000E2299" w:rsidRPr="00232EBB" w:rsidRDefault="000E2299" w:rsidP="00280B1F">
      <w:pPr>
        <w:keepNext/>
        <w:keepLines/>
        <w:spacing w:before="160" w:after="80" w:line="360" w:lineRule="auto"/>
        <w:jc w:val="both"/>
        <w:outlineLvl w:val="1"/>
        <w:rPr>
          <w:b/>
          <w:bCs/>
          <w:noProof/>
          <w:color w:val="808080" w:themeColor="background1" w:themeShade="80"/>
          <w:szCs w:val="28"/>
          <w:lang w:val="es-MX"/>
        </w:rPr>
      </w:pPr>
      <w:bookmarkStart w:id="160" w:name="_Toc216263905"/>
      <w:bookmarkStart w:id="161" w:name="_Toc216952234"/>
      <w:r w:rsidRPr="00232EBB">
        <w:rPr>
          <w:b/>
          <w:bCs/>
          <w:noProof/>
          <w:color w:val="808080" w:themeColor="background1" w:themeShade="80"/>
          <w:szCs w:val="28"/>
          <w:lang w:val="es-MX"/>
        </w:rPr>
        <w:t>Plan de Acción Encuesta de Comunicación y Liderazgo</w:t>
      </w:r>
      <w:bookmarkEnd w:id="160"/>
      <w:bookmarkEnd w:id="161"/>
    </w:p>
    <w:p w14:paraId="1409F113" w14:textId="77777777"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Durante los meses de junio a septiembre, fueron entregados los resultados de la Encuesta de Comunicación y Liderazgo aplicada en el 2024.</w:t>
      </w:r>
    </w:p>
    <w:p w14:paraId="5C722D28" w14:textId="77777777" w:rsidR="000E2299" w:rsidRPr="00232EBB" w:rsidRDefault="000E2299" w:rsidP="00280B1F">
      <w:pPr>
        <w:spacing w:after="0" w:line="360" w:lineRule="auto"/>
        <w:jc w:val="both"/>
        <w:rPr>
          <w:noProof/>
          <w:color w:val="808080" w:themeColor="background1" w:themeShade="80"/>
          <w:szCs w:val="28"/>
          <w:lang w:val="es-MX"/>
        </w:rPr>
      </w:pPr>
      <w:r w:rsidRPr="00232EBB">
        <w:rPr>
          <w:noProof/>
          <w:color w:val="808080" w:themeColor="background1" w:themeShade="80"/>
          <w:szCs w:val="28"/>
          <w:lang w:val="es-MX"/>
        </w:rPr>
        <w:t>Para facilitar esta entrega, se coordinaron y llevaron a cabo reuniones con directores y encargados de los distintos departamentos y áreas. El objetivo de estas reuniones fue comunicarles los resultados obtenidos en la encuesta. Adicionalmente, en aquellos casos donde las competencias evaluadas puntuaron por debajo del 85%, se presentó un plan de acción específico para el fortalecimiento de dichas competencias.</w:t>
      </w:r>
    </w:p>
    <w:p w14:paraId="35234A2C" w14:textId="77777777" w:rsidR="000E2299" w:rsidRPr="00232EBB" w:rsidRDefault="000E2299" w:rsidP="00280B1F">
      <w:pPr>
        <w:keepNext/>
        <w:keepLines/>
        <w:spacing w:before="360" w:after="80" w:line="360" w:lineRule="auto"/>
        <w:jc w:val="both"/>
        <w:outlineLvl w:val="0"/>
        <w:rPr>
          <w:b/>
          <w:bCs/>
          <w:noProof/>
          <w:color w:val="808080" w:themeColor="background1" w:themeShade="80"/>
          <w:szCs w:val="28"/>
          <w:lang w:val="es-MX"/>
        </w:rPr>
      </w:pPr>
      <w:bookmarkStart w:id="162" w:name="_Toc216263906"/>
      <w:bookmarkStart w:id="163" w:name="_Toc216952235"/>
      <w:r w:rsidRPr="00232EBB">
        <w:rPr>
          <w:b/>
          <w:bCs/>
          <w:noProof/>
          <w:color w:val="808080" w:themeColor="background1" w:themeShade="80"/>
          <w:szCs w:val="28"/>
          <w:lang w:val="es-MX"/>
        </w:rPr>
        <w:t>Capacitación y Adiestramiento TSS</w:t>
      </w:r>
      <w:bookmarkEnd w:id="162"/>
      <w:bookmarkEnd w:id="163"/>
    </w:p>
    <w:p w14:paraId="25E13807" w14:textId="77777777"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La capacitación y el adiestramiento en la Tesorería de la Seguridad Social (TSS) se definen como un conjunto de actividades planeadas y sistemáticas, diseñadas a partir de las necesidades institucionales. Su propósito fundamental es dotar a los colaboradores de los conocimientos, habilidades y aptitudes esenciales para que desempeñen sus funciones con eficiencia y excelencia. </w:t>
      </w:r>
    </w:p>
    <w:p w14:paraId="4C2F274E" w14:textId="77777777"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Como reflejo de su cultura de compromiso con la excelencia y la transparencia, la TSS enfoca estos programas en la mejora continua de su personal. Esto implica el desarrollo constante de nuevas habilidades y la actualización de conocimientos, preparando a los </w:t>
      </w:r>
      <w:r w:rsidRPr="00232EBB">
        <w:rPr>
          <w:noProof/>
          <w:color w:val="808080" w:themeColor="background1" w:themeShade="80"/>
          <w:szCs w:val="28"/>
          <w:lang w:val="es-MX"/>
        </w:rPr>
        <w:lastRenderedPageBreak/>
        <w:t>colaboradores para responder de forma asertiva a los retos de la globalización y los cambios tecnológicos.</w:t>
      </w:r>
    </w:p>
    <w:p w14:paraId="4803AF1B" w14:textId="77777777"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La Dirección de Recursos Humanos, en línea con el eje estratégico de crecimiento y desarrollo institucional, lidera el Programa de Capacitación y Adiestramiento. Este programa inicia anualmente con la Detección de Necesidades de Competencia (DNC), un proceso que se ejecuta en el último trimestre de cada año. Durante el DNC, los supervisores identifican y definen las competencias, conocimientos y habilidades que sus equipos necesitan adquirir o perfeccionar para el óptimo cumplimiento de sus responsabilidades.</w:t>
      </w:r>
    </w:p>
    <w:p w14:paraId="50617B7F" w14:textId="2E012510" w:rsidR="000E2299" w:rsidRPr="00232EBB" w:rsidRDefault="000E2299" w:rsidP="00280B1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Para el año 2025, la TSS ha establecido un indicador de desempeño retador y realista para el Programa de Capacitación y Adiestramiento: alcanzar una meta del 89% de competencias dotadas. Esto permitirá evaluar y dar seguimiento al impacto de las acciones formativas implementadas.</w:t>
      </w:r>
    </w:p>
    <w:p w14:paraId="46CB8510" w14:textId="3753325C" w:rsidR="000E2299" w:rsidRPr="00232EBB" w:rsidRDefault="000E2299" w:rsidP="00CB5570">
      <w:pPr>
        <w:spacing w:line="360" w:lineRule="auto"/>
        <w:jc w:val="both"/>
        <w:rPr>
          <w:noProof/>
          <w:color w:val="808080" w:themeColor="background1" w:themeShade="80"/>
          <w:szCs w:val="28"/>
          <w:lang w:val="es-MX"/>
        </w:rPr>
      </w:pPr>
      <w:bookmarkStart w:id="164" w:name="_Hlk169787041"/>
      <w:r w:rsidRPr="00232EBB">
        <w:rPr>
          <w:noProof/>
          <w:color w:val="808080" w:themeColor="background1" w:themeShade="80"/>
          <w:szCs w:val="28"/>
          <w:lang w:val="es-MX"/>
        </w:rPr>
        <w:t xml:space="preserve">En cumplimiento </w:t>
      </w:r>
      <w:bookmarkEnd w:id="164"/>
      <w:r w:rsidRPr="00232EBB">
        <w:rPr>
          <w:noProof/>
          <w:color w:val="808080" w:themeColor="background1" w:themeShade="80"/>
          <w:szCs w:val="28"/>
          <w:lang w:val="es-MX"/>
        </w:rPr>
        <w:t>de lo anterior expuesto, de acuerdo con el DNC 2025 realizado por los supervisores y competencias detectadas en el transcurso del año en el Programa de Capacitación y Adiestramiento para el 2025 se colocaron 376 competencias, de las cuales fueron dotadas un total de 335, lo que representa un cumplimiento de un 89.10% de la meta establecida.</w:t>
      </w:r>
    </w:p>
    <w:p w14:paraId="1F7C2FE9" w14:textId="2BFA07BA" w:rsidR="00280B1F" w:rsidRPr="00232EBB" w:rsidRDefault="00F65B16" w:rsidP="00F65B16">
      <w:pPr>
        <w:spacing w:line="360" w:lineRule="auto"/>
        <w:jc w:val="both"/>
        <w:rPr>
          <w:b/>
          <w:bCs/>
          <w:noProof/>
          <w:color w:val="808080" w:themeColor="background1" w:themeShade="80"/>
          <w:szCs w:val="28"/>
          <w:lang w:val="es-MX"/>
        </w:rPr>
      </w:pPr>
      <w:bookmarkStart w:id="165" w:name="_Toc216263907"/>
      <w:r w:rsidRPr="00232EBB">
        <w:rPr>
          <w:b/>
          <w:bCs/>
          <w:noProof/>
          <w:color w:val="808080" w:themeColor="background1" w:themeShade="80"/>
          <w:szCs w:val="28"/>
          <w:lang w:val="es-MX"/>
        </w:rPr>
        <w:drawing>
          <wp:anchor distT="0" distB="0" distL="114300" distR="114300" simplePos="0" relativeHeight="251703332" behindDoc="0" locked="0" layoutInCell="1" allowOverlap="1" wp14:anchorId="750489D8" wp14:editId="3AB3074B">
            <wp:simplePos x="0" y="0"/>
            <wp:positionH relativeFrom="margin">
              <wp:posOffset>422275</wp:posOffset>
            </wp:positionH>
            <wp:positionV relativeFrom="margin">
              <wp:posOffset>6055360</wp:posOffset>
            </wp:positionV>
            <wp:extent cx="4230370" cy="2139315"/>
            <wp:effectExtent l="0" t="0" r="17780" b="13335"/>
            <wp:wrapSquare wrapText="bothSides"/>
            <wp:docPr id="77921315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06395619" w14:textId="1776EED0" w:rsidR="00280B1F" w:rsidRPr="00232EBB" w:rsidRDefault="00280B1F" w:rsidP="00280B1F">
      <w:pPr>
        <w:keepNext/>
        <w:keepLines/>
        <w:spacing w:before="160" w:after="80" w:line="360" w:lineRule="auto"/>
        <w:jc w:val="both"/>
        <w:outlineLvl w:val="1"/>
        <w:rPr>
          <w:b/>
          <w:bCs/>
          <w:noProof/>
          <w:color w:val="808080" w:themeColor="background1" w:themeShade="80"/>
          <w:szCs w:val="28"/>
          <w:lang w:val="es-MX"/>
        </w:rPr>
      </w:pPr>
    </w:p>
    <w:p w14:paraId="081B01A6" w14:textId="7905EBB0" w:rsidR="003267A9" w:rsidRPr="00232EBB" w:rsidRDefault="003267A9" w:rsidP="00280B1F">
      <w:pPr>
        <w:keepNext/>
        <w:keepLines/>
        <w:spacing w:before="160" w:after="80" w:line="360" w:lineRule="auto"/>
        <w:jc w:val="both"/>
        <w:outlineLvl w:val="1"/>
        <w:rPr>
          <w:b/>
          <w:bCs/>
          <w:noProof/>
          <w:color w:val="808080" w:themeColor="background1" w:themeShade="80"/>
          <w:szCs w:val="28"/>
          <w:lang w:val="es-MX"/>
        </w:rPr>
      </w:pPr>
    </w:p>
    <w:p w14:paraId="01E788ED" w14:textId="77777777" w:rsidR="009338CC" w:rsidRPr="00232EBB" w:rsidRDefault="009338CC" w:rsidP="00280B1F">
      <w:pPr>
        <w:spacing w:line="360" w:lineRule="auto"/>
        <w:jc w:val="both"/>
        <w:rPr>
          <w:b/>
          <w:bCs/>
          <w:noProof/>
          <w:color w:val="808080" w:themeColor="background1" w:themeShade="80"/>
          <w:sz w:val="18"/>
          <w:szCs w:val="18"/>
          <w:lang w:val="es-MX"/>
        </w:rPr>
      </w:pPr>
    </w:p>
    <w:p w14:paraId="1C1E5DDB" w14:textId="77777777" w:rsidR="00F65B16" w:rsidRDefault="00F65B16" w:rsidP="009338CC">
      <w:pPr>
        <w:spacing w:line="360" w:lineRule="auto"/>
        <w:jc w:val="both"/>
        <w:rPr>
          <w:b/>
          <w:bCs/>
          <w:noProof/>
          <w:color w:val="808080" w:themeColor="background1" w:themeShade="80"/>
          <w:sz w:val="18"/>
          <w:szCs w:val="18"/>
          <w:lang w:val="es-MX"/>
        </w:rPr>
      </w:pPr>
    </w:p>
    <w:p w14:paraId="79FBB724" w14:textId="1EAADE49" w:rsidR="00FA3425" w:rsidRPr="00232EBB" w:rsidRDefault="003267A9" w:rsidP="009338CC">
      <w:pPr>
        <w:spacing w:line="360" w:lineRule="auto"/>
        <w:jc w:val="both"/>
        <w:rPr>
          <w:noProof/>
          <w:color w:val="808080" w:themeColor="background1" w:themeShade="80"/>
          <w:sz w:val="18"/>
          <w:szCs w:val="18"/>
          <w:lang w:val="es-MX"/>
        </w:rPr>
      </w:pPr>
      <w:r w:rsidRPr="00232EBB">
        <w:rPr>
          <w:b/>
          <w:bCs/>
          <w:noProof/>
          <w:color w:val="808080" w:themeColor="background1" w:themeShade="80"/>
          <w:sz w:val="18"/>
          <w:szCs w:val="18"/>
          <w:lang w:val="es-MX"/>
        </w:rPr>
        <w:t xml:space="preserve">Gráfico </w:t>
      </w:r>
      <w:r w:rsidR="000743EE" w:rsidRPr="00232EBB">
        <w:rPr>
          <w:b/>
          <w:bCs/>
          <w:noProof/>
          <w:color w:val="808080" w:themeColor="background1" w:themeShade="80"/>
          <w:sz w:val="18"/>
          <w:szCs w:val="18"/>
          <w:lang w:val="es-MX"/>
        </w:rPr>
        <w:t>23</w:t>
      </w:r>
      <w:r w:rsidRPr="00232EBB">
        <w:rPr>
          <w:noProof/>
          <w:color w:val="808080" w:themeColor="background1" w:themeShade="80"/>
          <w:sz w:val="18"/>
          <w:szCs w:val="18"/>
          <w:lang w:val="es-MX"/>
        </w:rPr>
        <w:t>: Competencias</w:t>
      </w:r>
      <w:r w:rsidR="009338CC" w:rsidRPr="00232EBB">
        <w:rPr>
          <w:noProof/>
          <w:color w:val="808080" w:themeColor="background1" w:themeShade="80"/>
          <w:sz w:val="18"/>
          <w:szCs w:val="18"/>
          <w:lang w:val="es-MX"/>
        </w:rPr>
        <w:t xml:space="preserve"> detectadas en los colaboradores</w:t>
      </w:r>
      <w:r w:rsidRPr="00232EBB">
        <w:rPr>
          <w:noProof/>
          <w:color w:val="808080" w:themeColor="background1" w:themeShade="80"/>
          <w:sz w:val="18"/>
          <w:szCs w:val="18"/>
          <w:lang w:val="es-MX"/>
        </w:rPr>
        <w:t>.</w:t>
      </w:r>
    </w:p>
    <w:p w14:paraId="03F93EC8" w14:textId="04B9550F" w:rsidR="009338CC" w:rsidRPr="00232EBB" w:rsidRDefault="00F65B16" w:rsidP="009338CC">
      <w:pPr>
        <w:spacing w:line="360" w:lineRule="auto"/>
        <w:jc w:val="both"/>
        <w:rPr>
          <w:noProof/>
          <w:color w:val="808080" w:themeColor="background1" w:themeShade="80"/>
          <w:sz w:val="18"/>
          <w:szCs w:val="18"/>
          <w:lang w:val="es-MX"/>
        </w:rPr>
      </w:pPr>
      <w:r w:rsidRPr="00232EBB">
        <w:rPr>
          <w:noProof/>
          <w:color w:val="808080" w:themeColor="background1" w:themeShade="80"/>
          <w:sz w:val="22"/>
          <w:lang w:val="es-MX"/>
        </w:rPr>
        <w:lastRenderedPageBreak/>
        <w:drawing>
          <wp:anchor distT="0" distB="0" distL="114300" distR="114300" simplePos="0" relativeHeight="251705380" behindDoc="1" locked="0" layoutInCell="1" allowOverlap="1" wp14:anchorId="317E2071" wp14:editId="7A7989BD">
            <wp:simplePos x="0" y="0"/>
            <wp:positionH relativeFrom="margin">
              <wp:posOffset>16510</wp:posOffset>
            </wp:positionH>
            <wp:positionV relativeFrom="margin">
              <wp:posOffset>146685</wp:posOffset>
            </wp:positionV>
            <wp:extent cx="4364355" cy="2438400"/>
            <wp:effectExtent l="0" t="0" r="17145" b="0"/>
            <wp:wrapSquare wrapText="bothSides"/>
            <wp:docPr id="196431885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14:paraId="5322C913" w14:textId="6EEC9266" w:rsidR="00FA3425" w:rsidRPr="00232EBB" w:rsidRDefault="00FA3425" w:rsidP="00280B1F">
      <w:pPr>
        <w:keepNext/>
        <w:keepLines/>
        <w:spacing w:before="160" w:after="80" w:line="360" w:lineRule="auto"/>
        <w:jc w:val="both"/>
        <w:outlineLvl w:val="1"/>
        <w:rPr>
          <w:b/>
          <w:bCs/>
          <w:noProof/>
          <w:color w:val="808080" w:themeColor="background1" w:themeShade="80"/>
          <w:szCs w:val="28"/>
          <w:lang w:val="es-MX"/>
        </w:rPr>
      </w:pPr>
    </w:p>
    <w:p w14:paraId="325C4A69" w14:textId="5A8328CA" w:rsidR="00FA3425" w:rsidRPr="00232EBB" w:rsidRDefault="00FA3425" w:rsidP="00280B1F">
      <w:pPr>
        <w:keepNext/>
        <w:keepLines/>
        <w:spacing w:before="160" w:after="80" w:line="360" w:lineRule="auto"/>
        <w:jc w:val="both"/>
        <w:outlineLvl w:val="1"/>
        <w:rPr>
          <w:b/>
          <w:bCs/>
          <w:noProof/>
          <w:color w:val="808080" w:themeColor="background1" w:themeShade="80"/>
          <w:szCs w:val="28"/>
          <w:lang w:val="es-MX"/>
        </w:rPr>
      </w:pPr>
    </w:p>
    <w:p w14:paraId="11E83CF8" w14:textId="19C0044E" w:rsidR="00FA3425" w:rsidRPr="00232EBB" w:rsidRDefault="00FA3425" w:rsidP="00280B1F">
      <w:pPr>
        <w:keepNext/>
        <w:keepLines/>
        <w:spacing w:before="160" w:after="80" w:line="360" w:lineRule="auto"/>
        <w:jc w:val="both"/>
        <w:outlineLvl w:val="1"/>
        <w:rPr>
          <w:b/>
          <w:bCs/>
          <w:noProof/>
          <w:color w:val="808080" w:themeColor="background1" w:themeShade="80"/>
          <w:szCs w:val="28"/>
          <w:lang w:val="es-MX"/>
        </w:rPr>
      </w:pPr>
    </w:p>
    <w:p w14:paraId="6B0B8460" w14:textId="481254DF" w:rsidR="00FA3425" w:rsidRPr="00232EBB" w:rsidRDefault="00FA3425" w:rsidP="00FA3425">
      <w:pPr>
        <w:spacing w:line="360" w:lineRule="auto"/>
        <w:jc w:val="both"/>
        <w:rPr>
          <w:b/>
          <w:bCs/>
          <w:noProof/>
          <w:color w:val="808080" w:themeColor="background1" w:themeShade="80"/>
          <w:sz w:val="18"/>
          <w:szCs w:val="18"/>
          <w:lang w:val="es-MX"/>
        </w:rPr>
      </w:pPr>
    </w:p>
    <w:p w14:paraId="092E5A51" w14:textId="37D719A8" w:rsidR="00FA3425" w:rsidRPr="00232EBB" w:rsidRDefault="00FA3425" w:rsidP="00FA3425">
      <w:pPr>
        <w:spacing w:line="360" w:lineRule="auto"/>
        <w:jc w:val="both"/>
        <w:rPr>
          <w:b/>
          <w:bCs/>
          <w:noProof/>
          <w:color w:val="808080" w:themeColor="background1" w:themeShade="80"/>
          <w:sz w:val="18"/>
          <w:szCs w:val="18"/>
          <w:lang w:val="es-MX"/>
        </w:rPr>
      </w:pPr>
    </w:p>
    <w:p w14:paraId="5D1912E6" w14:textId="64DACEA1" w:rsidR="00461D0B" w:rsidRPr="00232EBB" w:rsidRDefault="00461D0B" w:rsidP="00FA3425">
      <w:pPr>
        <w:spacing w:line="360" w:lineRule="auto"/>
        <w:jc w:val="both"/>
        <w:rPr>
          <w:b/>
          <w:bCs/>
          <w:noProof/>
          <w:color w:val="808080" w:themeColor="background1" w:themeShade="80"/>
          <w:sz w:val="18"/>
          <w:szCs w:val="18"/>
          <w:lang w:val="es-MX"/>
        </w:rPr>
      </w:pPr>
    </w:p>
    <w:p w14:paraId="06094BDC" w14:textId="77777777" w:rsidR="009338CC" w:rsidRPr="00232EBB" w:rsidRDefault="009338CC" w:rsidP="00FA3425">
      <w:pPr>
        <w:spacing w:line="360" w:lineRule="auto"/>
        <w:jc w:val="both"/>
        <w:rPr>
          <w:b/>
          <w:bCs/>
          <w:noProof/>
          <w:color w:val="808080" w:themeColor="background1" w:themeShade="80"/>
          <w:sz w:val="18"/>
          <w:szCs w:val="18"/>
          <w:lang w:val="es-MX"/>
        </w:rPr>
      </w:pPr>
    </w:p>
    <w:p w14:paraId="4F6FCBDB" w14:textId="3BC1C0E7" w:rsidR="009338CC" w:rsidRPr="00232EBB" w:rsidRDefault="009338CC" w:rsidP="00FA3425">
      <w:pPr>
        <w:spacing w:line="360" w:lineRule="auto"/>
        <w:jc w:val="both"/>
        <w:rPr>
          <w:b/>
          <w:bCs/>
          <w:noProof/>
          <w:color w:val="808080" w:themeColor="background1" w:themeShade="80"/>
          <w:sz w:val="18"/>
          <w:szCs w:val="18"/>
          <w:lang w:val="es-MX"/>
        </w:rPr>
      </w:pPr>
    </w:p>
    <w:p w14:paraId="1C8C4B4B" w14:textId="2EA2025A" w:rsidR="00FA3425" w:rsidRPr="00232EBB" w:rsidRDefault="00FA3425" w:rsidP="00FA3425">
      <w:pPr>
        <w:spacing w:line="360" w:lineRule="auto"/>
        <w:jc w:val="both"/>
        <w:rPr>
          <w:b/>
          <w:bCs/>
          <w:noProof/>
          <w:color w:val="808080" w:themeColor="background1" w:themeShade="80"/>
          <w:sz w:val="18"/>
          <w:szCs w:val="18"/>
          <w:lang w:val="es-MX"/>
        </w:rPr>
      </w:pPr>
      <w:r w:rsidRPr="00232EBB">
        <w:rPr>
          <w:b/>
          <w:bCs/>
          <w:noProof/>
          <w:color w:val="808080" w:themeColor="background1" w:themeShade="80"/>
          <w:sz w:val="18"/>
          <w:szCs w:val="18"/>
          <w:lang w:val="es-MX"/>
        </w:rPr>
        <w:t xml:space="preserve">Gráfico </w:t>
      </w:r>
      <w:r w:rsidR="000743EE" w:rsidRPr="00232EBB">
        <w:rPr>
          <w:b/>
          <w:bCs/>
          <w:noProof/>
          <w:color w:val="808080" w:themeColor="background1" w:themeShade="80"/>
          <w:sz w:val="18"/>
          <w:szCs w:val="18"/>
          <w:lang w:val="es-MX"/>
        </w:rPr>
        <w:t>24</w:t>
      </w:r>
      <w:r w:rsidRPr="00232EBB">
        <w:rPr>
          <w:noProof/>
          <w:color w:val="808080" w:themeColor="background1" w:themeShade="80"/>
          <w:sz w:val="18"/>
          <w:szCs w:val="18"/>
          <w:lang w:val="es-MX"/>
        </w:rPr>
        <w:t>: Competencias</w:t>
      </w:r>
      <w:r w:rsidR="009338CC" w:rsidRPr="00232EBB">
        <w:rPr>
          <w:noProof/>
          <w:color w:val="808080" w:themeColor="background1" w:themeShade="80"/>
          <w:sz w:val="18"/>
          <w:szCs w:val="18"/>
          <w:lang w:val="es-MX"/>
        </w:rPr>
        <w:t xml:space="preserve"> Programadas vs dotados durante el 2025 </w:t>
      </w:r>
      <w:r w:rsidRPr="00232EBB">
        <w:rPr>
          <w:noProof/>
          <w:color w:val="808080" w:themeColor="background1" w:themeShade="80"/>
          <w:sz w:val="18"/>
          <w:szCs w:val="18"/>
          <w:lang w:val="es-MX"/>
        </w:rPr>
        <w:t>.</w:t>
      </w:r>
    </w:p>
    <w:p w14:paraId="08BC8D0F" w14:textId="0C20D1B1" w:rsidR="000E2299" w:rsidRPr="00232EBB" w:rsidRDefault="000E2299" w:rsidP="00977ED7">
      <w:pPr>
        <w:keepNext/>
        <w:keepLines/>
        <w:spacing w:after="80" w:line="360" w:lineRule="auto"/>
        <w:jc w:val="both"/>
        <w:outlineLvl w:val="1"/>
        <w:rPr>
          <w:b/>
          <w:bCs/>
          <w:noProof/>
          <w:color w:val="808080" w:themeColor="background1" w:themeShade="80"/>
          <w:szCs w:val="28"/>
          <w:lang w:val="es-MX"/>
        </w:rPr>
      </w:pPr>
      <w:bookmarkStart w:id="166" w:name="_Toc216952236"/>
      <w:r w:rsidRPr="00232EBB">
        <w:rPr>
          <w:b/>
          <w:bCs/>
          <w:noProof/>
          <w:color w:val="808080" w:themeColor="background1" w:themeShade="80"/>
          <w:szCs w:val="28"/>
          <w:lang w:val="es-MX"/>
        </w:rPr>
        <w:t>Capacitaciones Impartidas por Grupo Ocupacional</w:t>
      </w:r>
      <w:bookmarkEnd w:id="165"/>
      <w:bookmarkEnd w:id="166"/>
    </w:p>
    <w:p w14:paraId="4ECCCF88" w14:textId="3F573085" w:rsidR="003267A9" w:rsidRPr="00232EBB" w:rsidRDefault="000E2299" w:rsidP="00977ED7">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Para garantizar el logro de los objetivos institucionales y maximizar la productividad, es fundamental que el proceso de Detección de Necesidades de Competencias (DNC) se realice de manera inclusiva y equitativa, sin distinción de género o grupo ocupacional. Este enfoque asegura que las oportunidades de desarrollo profesional estén disponibles para todos los colaboradores, basándose únicamente en los requerimientos del puesto y las estrategias organizacionales.</w:t>
      </w:r>
    </w:p>
    <w:p w14:paraId="6B12903E" w14:textId="34F0790A" w:rsidR="000E2299" w:rsidRPr="00232EBB" w:rsidRDefault="000E2299" w:rsidP="00977ED7">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En consonancia con este principio, durante el año 2025 se fortalecieron las competencias del personal mediante la ejecución de las acciones formativas programadas. Como resultado, se desarrollaron 70 competencias en el grupo ocupacional II, 50 en el grupo III, 147 en el grupo IV y 68 en el grupo V.</w:t>
      </w:r>
    </w:p>
    <w:p w14:paraId="42347D21" w14:textId="77777777" w:rsidR="000E2299" w:rsidRPr="00232EBB" w:rsidRDefault="000E2299" w:rsidP="00977ED7">
      <w:pPr>
        <w:keepNext/>
        <w:keepLines/>
        <w:spacing w:after="80" w:line="360" w:lineRule="auto"/>
        <w:jc w:val="both"/>
        <w:outlineLvl w:val="1"/>
        <w:rPr>
          <w:b/>
          <w:bCs/>
          <w:noProof/>
          <w:color w:val="808080" w:themeColor="background1" w:themeShade="80"/>
          <w:szCs w:val="28"/>
          <w:lang w:val="es-MX"/>
        </w:rPr>
      </w:pPr>
      <w:bookmarkStart w:id="167" w:name="_Toc216263908"/>
      <w:bookmarkStart w:id="168" w:name="_Toc216952237"/>
      <w:r w:rsidRPr="00232EBB">
        <w:rPr>
          <w:b/>
          <w:bCs/>
          <w:noProof/>
          <w:color w:val="808080" w:themeColor="background1" w:themeShade="80"/>
          <w:szCs w:val="28"/>
          <w:lang w:val="es-MX"/>
        </w:rPr>
        <w:lastRenderedPageBreak/>
        <w:t>Competencias Blandas y Duras</w:t>
      </w:r>
      <w:bookmarkEnd w:id="167"/>
      <w:bookmarkEnd w:id="168"/>
    </w:p>
    <w:p w14:paraId="72B13653" w14:textId="747D1EE8" w:rsidR="000E2299" w:rsidRPr="00232EBB" w:rsidRDefault="00DD7973" w:rsidP="00977ED7">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drawing>
          <wp:anchor distT="0" distB="0" distL="114300" distR="114300" simplePos="0" relativeHeight="251707428" behindDoc="0" locked="0" layoutInCell="1" allowOverlap="1" wp14:anchorId="20034EE3" wp14:editId="3576F91B">
            <wp:simplePos x="0" y="0"/>
            <wp:positionH relativeFrom="margin">
              <wp:posOffset>161925</wp:posOffset>
            </wp:positionH>
            <wp:positionV relativeFrom="paragraph">
              <wp:posOffset>2352675</wp:posOffset>
            </wp:positionV>
            <wp:extent cx="4437380" cy="1666875"/>
            <wp:effectExtent l="0" t="0" r="1270" b="9525"/>
            <wp:wrapSquare wrapText="bothSides"/>
            <wp:docPr id="96690015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0E2299" w:rsidRPr="00232EBB">
        <w:rPr>
          <w:noProof/>
          <w:color w:val="808080" w:themeColor="background1" w:themeShade="80"/>
          <w:szCs w:val="28"/>
          <w:lang w:val="es-MX"/>
        </w:rPr>
        <w:t>El compromiso con el crecimiento de nuestros colaboradores se refleja en el impulso al desarrollo de habilidades esenciales. Se ha puesto especial énfasis en las habilidades interpersonales, que facilitan una interacción efectiva, así como en las competencias profesionales y técnicas que aseguran un desempeño óptimo en sus funciones. Como resultado, se han dotado en este año un total de 146 competencias blandas y 230 competencias duras o técnicas, contribuyendo significativamente a la mejora del capital humano de la TSS.</w:t>
      </w:r>
    </w:p>
    <w:p w14:paraId="4F14AF4C" w14:textId="1346A7E4" w:rsidR="00DD7973" w:rsidRPr="00232EBB" w:rsidRDefault="00DD7973" w:rsidP="00280B1F">
      <w:pPr>
        <w:spacing w:line="360" w:lineRule="auto"/>
        <w:jc w:val="both"/>
        <w:rPr>
          <w:noProof/>
          <w:color w:val="808080" w:themeColor="background1" w:themeShade="80"/>
          <w:sz w:val="18"/>
          <w:szCs w:val="18"/>
          <w:lang w:val="es-MX"/>
        </w:rPr>
      </w:pPr>
      <w:r w:rsidRPr="00232EBB">
        <w:rPr>
          <w:b/>
          <w:bCs/>
          <w:noProof/>
          <w:color w:val="808080" w:themeColor="background1" w:themeShade="80"/>
          <w:sz w:val="18"/>
          <w:szCs w:val="18"/>
          <w:lang w:val="es-MX"/>
        </w:rPr>
        <w:t>Gráfico 2</w:t>
      </w:r>
      <w:r w:rsidR="000743EE" w:rsidRPr="00232EBB">
        <w:rPr>
          <w:b/>
          <w:bCs/>
          <w:noProof/>
          <w:color w:val="808080" w:themeColor="background1" w:themeShade="80"/>
          <w:sz w:val="18"/>
          <w:szCs w:val="18"/>
          <w:lang w:val="es-MX"/>
        </w:rPr>
        <w:t>5</w:t>
      </w:r>
      <w:r w:rsidRPr="00232EBB">
        <w:rPr>
          <w:noProof/>
          <w:color w:val="808080" w:themeColor="background1" w:themeShade="80"/>
          <w:sz w:val="18"/>
          <w:szCs w:val="18"/>
          <w:lang w:val="es-MX"/>
        </w:rPr>
        <w:t>: Competencias Blandas y Duras.</w:t>
      </w:r>
      <w:bookmarkStart w:id="169" w:name="_Toc216263913"/>
    </w:p>
    <w:p w14:paraId="1E934411" w14:textId="152BDEF2" w:rsidR="00280B1F" w:rsidRPr="00232EBB" w:rsidRDefault="000E2299" w:rsidP="00280B1F">
      <w:pPr>
        <w:spacing w:line="360" w:lineRule="auto"/>
        <w:jc w:val="both"/>
        <w:rPr>
          <w:noProof/>
          <w:color w:val="808080" w:themeColor="background1" w:themeShade="80"/>
          <w:sz w:val="18"/>
          <w:szCs w:val="18"/>
          <w:lang w:val="es-MX"/>
        </w:rPr>
      </w:pPr>
      <w:r w:rsidRPr="00232EBB">
        <w:rPr>
          <w:b/>
          <w:bCs/>
          <w:noProof/>
          <w:color w:val="808080" w:themeColor="background1" w:themeShade="80"/>
          <w:szCs w:val="28"/>
          <w:lang w:val="es-MX"/>
        </w:rPr>
        <w:t>Jornada de aplicación de controles del Sistema de Antisoborno y Cumplimiento.</w:t>
      </w:r>
      <w:bookmarkEnd w:id="169"/>
    </w:p>
    <w:p w14:paraId="40A2A953" w14:textId="77777777" w:rsidR="00E53773" w:rsidRPr="00232EBB" w:rsidRDefault="000E2299" w:rsidP="00E53773">
      <w:pPr>
        <w:spacing w:line="360" w:lineRule="auto"/>
        <w:jc w:val="both"/>
        <w:rPr>
          <w:noProof/>
          <w:color w:val="808080" w:themeColor="background1" w:themeShade="80"/>
          <w:sz w:val="20"/>
          <w:szCs w:val="20"/>
          <w:lang w:val="es-MX"/>
        </w:rPr>
      </w:pPr>
      <w:r w:rsidRPr="00232EBB">
        <w:rPr>
          <w:noProof/>
          <w:color w:val="808080" w:themeColor="background1" w:themeShade="80"/>
          <w:szCs w:val="28"/>
          <w:lang w:val="es-MX"/>
        </w:rPr>
        <w:t>En el primer semestre la Tesorería de la Seguridad Social (TSS) se convocó a todos los colaboradores a participar en la jornada de socialización y aplicación de controles antisoborno y de cumplimiento. Esta iniciativa se fundamenta en las gestiones institucionales para fines de certificarse en las normas ISO 37001 e ISO 37301, las cuales establecen que la aplicación de controles se realiza en función del nivel de criticidad del puesto. El objetivo principal es gestionar los posibles riesgos en las diferentes áreas, asegurando que los controles implementados sean proporcionales a dichos riesgos.</w:t>
      </w:r>
    </w:p>
    <w:p w14:paraId="0C557E77" w14:textId="77777777" w:rsidR="00E53773" w:rsidRPr="00232EBB" w:rsidRDefault="000E2299" w:rsidP="00E53773">
      <w:pPr>
        <w:spacing w:line="360" w:lineRule="auto"/>
        <w:jc w:val="both"/>
        <w:rPr>
          <w:noProof/>
          <w:color w:val="808080" w:themeColor="background1" w:themeShade="80"/>
          <w:sz w:val="20"/>
          <w:szCs w:val="20"/>
          <w:lang w:val="es-MX"/>
        </w:rPr>
      </w:pPr>
      <w:r w:rsidRPr="00232EBB">
        <w:rPr>
          <w:noProof/>
          <w:color w:val="808080" w:themeColor="background1" w:themeShade="80"/>
          <w:szCs w:val="28"/>
          <w:lang w:val="es-MX"/>
        </w:rPr>
        <w:t xml:space="preserve">La jornada tuvo como objetivo dar continuidad a la implementación de estas normas, asegurando que todos los colaboradores </w:t>
      </w:r>
      <w:r w:rsidRPr="00232EBB">
        <w:rPr>
          <w:noProof/>
          <w:color w:val="808080" w:themeColor="background1" w:themeShade="80"/>
          <w:szCs w:val="28"/>
          <w:lang w:val="es-MX"/>
        </w:rPr>
        <w:lastRenderedPageBreak/>
        <w:t>comprendan y apliquen los controles correspondientes a su nivel de criticidad. Se convocó a 343 colaboradores asistiendo un total de 339, a quienes se les aplicaron los controles de debida diligencia. Este proceso se llevó a cabo con la participación de diferentes departamentos, en coordinación con el Departamento de Evaluación del Desempeño y Capacitación.</w:t>
      </w:r>
    </w:p>
    <w:p w14:paraId="5C0FACE8" w14:textId="40B2223C" w:rsidR="00280B1F" w:rsidRPr="00232EBB" w:rsidRDefault="000E2299" w:rsidP="002236B2">
      <w:pPr>
        <w:spacing w:line="360" w:lineRule="auto"/>
        <w:jc w:val="both"/>
        <w:rPr>
          <w:noProof/>
          <w:color w:val="808080" w:themeColor="background1" w:themeShade="80"/>
          <w:sz w:val="20"/>
          <w:szCs w:val="20"/>
          <w:lang w:val="es-MX"/>
        </w:rPr>
      </w:pPr>
      <w:r w:rsidRPr="00232EBB">
        <w:rPr>
          <w:noProof/>
          <w:color w:val="808080" w:themeColor="background1" w:themeShade="80"/>
          <w:szCs w:val="28"/>
          <w:lang w:val="es-MX"/>
        </w:rPr>
        <w:t>En ese sentido, también se realizaron diferentes jornadas de reforzamiento a las áreas consideradas más críticas, dentro de las cuales se detallan las siguientes:</w:t>
      </w:r>
      <w:bookmarkStart w:id="170" w:name="_Toc216263938"/>
    </w:p>
    <w:p w14:paraId="326FC740" w14:textId="59B05091" w:rsidR="000E2299" w:rsidRPr="00232EBB" w:rsidRDefault="000E2299" w:rsidP="00EF44EF">
      <w:pPr>
        <w:keepNext/>
        <w:keepLines/>
        <w:spacing w:before="160" w:after="80" w:line="360" w:lineRule="auto"/>
        <w:jc w:val="both"/>
        <w:outlineLvl w:val="1"/>
        <w:rPr>
          <w:b/>
          <w:bCs/>
          <w:noProof/>
          <w:color w:val="808080" w:themeColor="background1" w:themeShade="80"/>
          <w:szCs w:val="28"/>
          <w:lang w:val="es-MX"/>
        </w:rPr>
      </w:pPr>
      <w:bookmarkStart w:id="171" w:name="_Toc216952238"/>
      <w:r w:rsidRPr="00232EBB">
        <w:rPr>
          <w:b/>
          <w:bCs/>
          <w:noProof/>
          <w:color w:val="808080" w:themeColor="background1" w:themeShade="80"/>
          <w:szCs w:val="28"/>
          <w:lang w:val="es-MX"/>
        </w:rPr>
        <w:t>Donación solidaria</w:t>
      </w:r>
      <w:bookmarkEnd w:id="170"/>
      <w:bookmarkEnd w:id="171"/>
    </w:p>
    <w:p w14:paraId="053BA756" w14:textId="32C93CE4" w:rsidR="000E2299" w:rsidRPr="00232EBB" w:rsidRDefault="000E2299" w:rsidP="00EF44E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La Tesorería de la Seguridad Social (TSS) realizó una jornada de donaciones a la Casa Hogar de Ancianos Antonio María Claret, Inc., en Puerto Plata, como parte de su compromiso social. Para esta actividad, fue seleccionado este hogar administrado por las Hijas de la Caridad, con el objetivo de fortalecer los lazos con la comunidad y contribuir al bienestar de sus residentes.</w:t>
      </w:r>
    </w:p>
    <w:p w14:paraId="5C8F53D9" w14:textId="0CD840ED" w:rsidR="000E2299" w:rsidRPr="00232EBB" w:rsidRDefault="000E2299" w:rsidP="00EF44E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El periodo para la recolección y acopio de las donaciones fue desde el 8 de septiembre hasta el 10 de octubre. </w:t>
      </w:r>
    </w:p>
    <w:p w14:paraId="0190A239" w14:textId="77777777" w:rsidR="000E2299" w:rsidRPr="00232EBB" w:rsidRDefault="000E2299" w:rsidP="00EF44E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Gracias a la solidaridad de los colaboradores de la sede central y oficinas regionales, el 17 de octubre se entregaron más de 1,200 artículos, entre los que se incluyen productos de higiene y salud, alimentación, ropa y perchas, así como artículos de limpieza y desechables. </w:t>
      </w:r>
    </w:p>
    <w:p w14:paraId="24AC17E3" w14:textId="77777777" w:rsidR="000E2299" w:rsidRPr="00232EBB" w:rsidRDefault="000E2299" w:rsidP="00EF44E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 xml:space="preserve">Las donaciones entregadas constituyen una contribución tangible al bienestar de más de 48 adultos mayores, mejorando su calidad de vida y consolidando la imagen de la TSS como una entidad comprometida con el desarrollo social y comunitario. </w:t>
      </w:r>
    </w:p>
    <w:p w14:paraId="6BC5A0B6" w14:textId="56A27E04" w:rsidR="000E2299" w:rsidRPr="00232EBB" w:rsidRDefault="000E2299" w:rsidP="00EF44EF">
      <w:pPr>
        <w:keepNext/>
        <w:keepLines/>
        <w:spacing w:before="160" w:after="80" w:line="360" w:lineRule="auto"/>
        <w:jc w:val="both"/>
        <w:outlineLvl w:val="1"/>
        <w:rPr>
          <w:b/>
          <w:bCs/>
          <w:noProof/>
          <w:color w:val="808080" w:themeColor="background1" w:themeShade="80"/>
          <w:szCs w:val="28"/>
          <w:lang w:val="es-MX"/>
        </w:rPr>
      </w:pPr>
      <w:bookmarkStart w:id="172" w:name="_Toc216263939"/>
      <w:bookmarkStart w:id="173" w:name="_Toc216952239"/>
      <w:r w:rsidRPr="00232EBB">
        <w:rPr>
          <w:b/>
          <w:bCs/>
          <w:noProof/>
          <w:color w:val="808080" w:themeColor="background1" w:themeShade="80"/>
          <w:szCs w:val="28"/>
          <w:lang w:val="es-MX"/>
        </w:rPr>
        <w:lastRenderedPageBreak/>
        <w:t>Jornada de Donación de Sangre</w:t>
      </w:r>
      <w:bookmarkEnd w:id="172"/>
      <w:bookmarkEnd w:id="173"/>
    </w:p>
    <w:p w14:paraId="58A866B1" w14:textId="77777777" w:rsidR="000E2299" w:rsidRPr="00232EBB" w:rsidRDefault="000E2299" w:rsidP="00EF44EF">
      <w:pPr>
        <w:spacing w:line="360" w:lineRule="auto"/>
        <w:jc w:val="both"/>
        <w:rPr>
          <w:noProof/>
          <w:color w:val="808080" w:themeColor="background1" w:themeShade="80"/>
          <w:szCs w:val="28"/>
          <w:lang w:val="es-MX"/>
        </w:rPr>
      </w:pPr>
      <w:r w:rsidRPr="00232EBB">
        <w:rPr>
          <w:noProof/>
          <w:color w:val="808080" w:themeColor="background1" w:themeShade="80"/>
          <w:szCs w:val="28"/>
          <w:lang w:val="es-MX"/>
        </w:rPr>
        <w:t>En el marco de las iniciativas de bienestar social, el Consejo Nacional de la Seguridad Social (CNSS), en conjunto con el Hemocentro Nacional, realizó una jornada de donación de sangre, en la cual participaron 8 colaboradores de la Tesorería de la Seguridad Social (TSS). Esta actividad se llevó a cabo el 29 de julio de 2025 en la explanada de la Torre de la Seguridad Social.</w:t>
      </w:r>
    </w:p>
    <w:p w14:paraId="18A097C9" w14:textId="1D68E0B4" w:rsidR="00972A03" w:rsidRPr="00232EBB" w:rsidRDefault="00972A03" w:rsidP="00551CC3">
      <w:pPr>
        <w:pStyle w:val="Heading1"/>
        <w:spacing w:after="240"/>
        <w:jc w:val="both"/>
        <w:rPr>
          <w:rFonts w:cs="Times New Roman"/>
          <w:spacing w:val="0"/>
          <w:lang w:val="es-DO"/>
        </w:rPr>
      </w:pPr>
      <w:bookmarkStart w:id="174" w:name="_Toc216952240"/>
      <w:r w:rsidRPr="00232EBB">
        <w:rPr>
          <w:rFonts w:cs="Times New Roman"/>
          <w:spacing w:val="0"/>
          <w:lang w:val="es-DO"/>
        </w:rPr>
        <w:t>4.3 Desempeño de los Procesos Jurídicos</w:t>
      </w:r>
      <w:bookmarkEnd w:id="157"/>
      <w:bookmarkEnd w:id="174"/>
    </w:p>
    <w:p w14:paraId="4BBDEC31" w14:textId="77777777" w:rsidR="008418F3" w:rsidRPr="00232EBB" w:rsidRDefault="005D0EE4" w:rsidP="008418F3">
      <w:pPr>
        <w:spacing w:after="0" w:line="360" w:lineRule="auto"/>
        <w:rPr>
          <w:b/>
          <w:bCs/>
          <w:lang w:val="es-DO"/>
        </w:rPr>
      </w:pPr>
      <w:bookmarkStart w:id="175" w:name="_Toc171677854"/>
      <w:bookmarkStart w:id="176" w:name="_Toc172118671"/>
      <w:bookmarkStart w:id="177" w:name="_Toc172119864"/>
      <w:bookmarkStart w:id="178" w:name="_Toc172120197"/>
      <w:bookmarkStart w:id="179" w:name="_Toc172121415"/>
      <w:r w:rsidRPr="00232EBB">
        <w:rPr>
          <w:b/>
          <w:bCs/>
          <w:lang w:val="es-DO"/>
        </w:rPr>
        <w:t>Acuerdos de Pago</w:t>
      </w:r>
      <w:bookmarkEnd w:id="175"/>
      <w:bookmarkEnd w:id="176"/>
      <w:bookmarkEnd w:id="177"/>
      <w:bookmarkEnd w:id="178"/>
      <w:bookmarkEnd w:id="179"/>
      <w:r w:rsidRPr="00232EBB">
        <w:rPr>
          <w:b/>
          <w:bCs/>
          <w:lang w:val="es-DO"/>
        </w:rPr>
        <w:t xml:space="preserve"> y Contratos</w:t>
      </w:r>
      <w:bookmarkStart w:id="180" w:name="_Hlk184714216"/>
    </w:p>
    <w:p w14:paraId="0387E9D3" w14:textId="0CE86D83" w:rsidR="00E53773" w:rsidRPr="00232EBB" w:rsidRDefault="00E53773" w:rsidP="00977ED7">
      <w:pPr>
        <w:spacing w:line="360" w:lineRule="auto"/>
        <w:jc w:val="both"/>
        <w:rPr>
          <w:b/>
          <w:bCs/>
          <w:lang w:val="es-DO"/>
        </w:rPr>
      </w:pPr>
      <w:r w:rsidRPr="00232EBB">
        <w:rPr>
          <w:noProof/>
          <w:color w:val="808080" w:themeColor="background1" w:themeShade="80"/>
          <w:szCs w:val="28"/>
          <w:lang w:val="es-MX"/>
        </w:rPr>
        <w:t xml:space="preserve">Al mes de diciembre, la Dirección Jurídica a través de la División de Acuerdos de Pago del Departamento de Elaboración de Documentos Legales, generó 1,353 nuevos acuerdos de pago a empleadores con atrasos en sus obligaciones de pago al Sistema Dominicano de Seguridad Social (SDSS), alcanzando a modo general un recaudo de Trescientos Cuarenta y Un Millones Doscientos Siete mil Noventa y Siete Pesos Dominicanos con 81/100 (RD$341,207,097.81), con proyección de superar los 400 Millones de Pesos Dominicanos para final del 2025. </w:t>
      </w:r>
    </w:p>
    <w:p w14:paraId="1021FE79" w14:textId="77777777" w:rsidR="00E53773" w:rsidRPr="00232EBB" w:rsidRDefault="00E53773" w:rsidP="00977ED7">
      <w:pPr>
        <w:pStyle w:val="NormalWeb"/>
        <w:spacing w:after="16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Mediante esta modalidad de pago concedida por la TSS a los empleadores, cerca de 13 mil trabajadores y sus dependientes lograron acceder nuevamente a los beneficios que brinda el Seguro Familiar de Salud (SFS) del Régimen Contributivo.</w:t>
      </w:r>
    </w:p>
    <w:p w14:paraId="032C31FD" w14:textId="77777777" w:rsidR="00E53773" w:rsidRPr="00232EBB" w:rsidRDefault="00E53773" w:rsidP="00977ED7">
      <w:pPr>
        <w:pStyle w:val="NormalWeb"/>
        <w:spacing w:after="16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Por otro lado, el Departamento ha tramitado y ejecutado un total de 94 Contratos y la gestión existosa de 70 certificaciones de éstos en la Contraloría General de la República.</w:t>
      </w:r>
    </w:p>
    <w:p w14:paraId="7828F8D5" w14:textId="77777777" w:rsidR="005D0EE4" w:rsidRPr="00232EBB" w:rsidRDefault="005D0EE4" w:rsidP="0011472E">
      <w:pPr>
        <w:spacing w:before="240" w:line="360" w:lineRule="auto"/>
        <w:jc w:val="both"/>
        <w:rPr>
          <w:lang w:val="es-DO"/>
        </w:rPr>
      </w:pPr>
      <w:r w:rsidRPr="00232EBB">
        <w:rPr>
          <w:b/>
          <w:bCs/>
          <w:lang w:val="es-DO"/>
        </w:rPr>
        <w:t>Convenios Interinstitucionales</w:t>
      </w:r>
      <w:r w:rsidRPr="00232EBB">
        <w:rPr>
          <w:lang w:val="es-DO"/>
        </w:rPr>
        <w:t>:</w:t>
      </w:r>
    </w:p>
    <w:p w14:paraId="2E551466" w14:textId="77777777" w:rsidR="002143FE" w:rsidRPr="00232EBB" w:rsidRDefault="002143FE" w:rsidP="00506BE9">
      <w:pPr>
        <w:pStyle w:val="NormalWeb"/>
        <w:numPr>
          <w:ilvl w:val="0"/>
          <w:numId w:val="48"/>
        </w:numPr>
        <w:tabs>
          <w:tab w:val="left" w:pos="142"/>
        </w:tabs>
        <w:spacing w:before="240" w:beforeAutospacing="0" w:after="0" w:afterAutospacing="0" w:line="360" w:lineRule="auto"/>
        <w:ind w:left="0" w:firstLine="0"/>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Interinstitucional, de fecha 6 de marzo del 2025, suscrito con el Instituto Nacional de Administración Pública (INAP).</w:t>
      </w:r>
    </w:p>
    <w:p w14:paraId="10FC4986" w14:textId="77777777" w:rsidR="002143FE" w:rsidRPr="00232EBB" w:rsidRDefault="002143FE" w:rsidP="00506BE9">
      <w:pPr>
        <w:pStyle w:val="NormalWeb"/>
        <w:numPr>
          <w:ilvl w:val="0"/>
          <w:numId w:val="48"/>
        </w:numPr>
        <w:tabs>
          <w:tab w:val="left" w:pos="142"/>
        </w:tabs>
        <w:spacing w:before="240" w:beforeAutospacing="0" w:after="0" w:afterAutospacing="0" w:line="360" w:lineRule="auto"/>
        <w:ind w:left="0" w:firstLine="0"/>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lastRenderedPageBreak/>
        <w:t>Acuerdo específico núm. 05, de fecha 10 marzo del 2025, suscrito con la Oficina Gubernamental de Tecnología de la Información y la Comunicación (OGTIC), para Punto GOB Santiago.</w:t>
      </w:r>
    </w:p>
    <w:p w14:paraId="399D638F" w14:textId="77777777" w:rsidR="002143FE" w:rsidRPr="00232EBB" w:rsidRDefault="002143FE" w:rsidP="00506BE9">
      <w:pPr>
        <w:pStyle w:val="NormalWeb"/>
        <w:numPr>
          <w:ilvl w:val="0"/>
          <w:numId w:val="49"/>
        </w:numPr>
        <w:tabs>
          <w:tab w:val="left" w:pos="142"/>
        </w:tabs>
        <w:spacing w:before="240" w:beforeAutospacing="0" w:after="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 xml:space="preserve">Acuerdo de Colaboración, de fecha 14 de marzo del 2025, para la implementación de interoperabilidad con el Consejo Nacional de Seguridad Social (CNSS). </w:t>
      </w:r>
    </w:p>
    <w:p w14:paraId="66014288" w14:textId="77777777" w:rsidR="002143FE" w:rsidRPr="00232EBB" w:rsidRDefault="002143FE" w:rsidP="00977ED7">
      <w:pPr>
        <w:pStyle w:val="NormalWeb"/>
        <w:numPr>
          <w:ilvl w:val="0"/>
          <w:numId w:val="49"/>
        </w:numPr>
        <w:tabs>
          <w:tab w:val="left" w:pos="142"/>
        </w:tabs>
        <w:spacing w:before="0" w:beforeAutospacing="0" w:after="24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de Cooperación Interinstitucional, de fecha 15 de mayo del 2025, para la interoperabilidad con el Departamento Nacional de Investigaciones (DNI).</w:t>
      </w:r>
    </w:p>
    <w:p w14:paraId="59625696" w14:textId="77777777" w:rsidR="002143FE" w:rsidRPr="00232EBB" w:rsidRDefault="002143FE" w:rsidP="00977ED7">
      <w:pPr>
        <w:pStyle w:val="NormalWeb"/>
        <w:numPr>
          <w:ilvl w:val="0"/>
          <w:numId w:val="49"/>
        </w:numPr>
        <w:tabs>
          <w:tab w:val="left" w:pos="142"/>
        </w:tabs>
        <w:spacing w:before="0" w:beforeAutospacing="0" w:after="24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específico núm. 06, de fecha 11 de junio del 2025, suscrito con la Oficina Gubernamental de Tecnología de la Información y la Comunicación (OGTIC), para Punto GOB en Santo Domingo Norte (Colinas Centro).</w:t>
      </w:r>
    </w:p>
    <w:p w14:paraId="2CA0AA03" w14:textId="77777777" w:rsidR="002143FE" w:rsidRPr="00232EBB" w:rsidRDefault="002143FE" w:rsidP="00977ED7">
      <w:pPr>
        <w:pStyle w:val="NormalWeb"/>
        <w:numPr>
          <w:ilvl w:val="0"/>
          <w:numId w:val="49"/>
        </w:numPr>
        <w:tabs>
          <w:tab w:val="left" w:pos="142"/>
        </w:tabs>
        <w:spacing w:before="0" w:beforeAutospacing="0" w:after="24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de Cooperación Interinstitucional para interoperabilidad con el Ministerio de Administración Pública (MAP), de fecha 1 de julio del 2025.</w:t>
      </w:r>
    </w:p>
    <w:p w14:paraId="2AA6EFAF" w14:textId="77777777" w:rsidR="002143FE" w:rsidRPr="00232EBB" w:rsidRDefault="002143FE" w:rsidP="00977ED7">
      <w:pPr>
        <w:pStyle w:val="NormalWeb"/>
        <w:numPr>
          <w:ilvl w:val="0"/>
          <w:numId w:val="49"/>
        </w:numPr>
        <w:tabs>
          <w:tab w:val="left" w:pos="142"/>
        </w:tabs>
        <w:spacing w:before="0" w:beforeAutospacing="0" w:after="24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de Cooperación Interinstitucional para interoperabilidad con el Ministerio de Industria, Comercio y Mipymes (MICM), de fecha 2 de julio del 2025.</w:t>
      </w:r>
    </w:p>
    <w:p w14:paraId="6145E80F" w14:textId="77777777" w:rsidR="002143FE" w:rsidRPr="00232EBB" w:rsidRDefault="002143FE" w:rsidP="00977ED7">
      <w:pPr>
        <w:pStyle w:val="NormalWeb"/>
        <w:numPr>
          <w:ilvl w:val="0"/>
          <w:numId w:val="49"/>
        </w:numPr>
        <w:tabs>
          <w:tab w:val="left" w:pos="142"/>
        </w:tabs>
        <w:spacing w:before="0" w:beforeAutospacing="0" w:after="24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Interinsitucional con el Instituto Dominicano para la Calidad (INDOCAL), para capacitación y adquisición de normas NORDOM ISO, de fecha 16 de julio del 2025.</w:t>
      </w:r>
    </w:p>
    <w:p w14:paraId="51E47F55" w14:textId="77777777" w:rsidR="002143FE" w:rsidRPr="00232EBB" w:rsidRDefault="002143FE" w:rsidP="00977ED7">
      <w:pPr>
        <w:pStyle w:val="NormalWeb"/>
        <w:numPr>
          <w:ilvl w:val="0"/>
          <w:numId w:val="49"/>
        </w:numPr>
        <w:tabs>
          <w:tab w:val="left" w:pos="142"/>
        </w:tabs>
        <w:spacing w:before="0" w:beforeAutospacing="0" w:after="24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de Servicios de Cooperación Interinstitucional con el Banco Múltiple Santa Cruz S.A., para integración a webservices para consulta de información, de fecha 8 de septiembre del 2025.</w:t>
      </w:r>
    </w:p>
    <w:p w14:paraId="45F5D1B2" w14:textId="77777777" w:rsidR="002143FE" w:rsidRPr="00232EBB" w:rsidRDefault="002143FE" w:rsidP="00977ED7">
      <w:pPr>
        <w:pStyle w:val="NormalWeb"/>
        <w:numPr>
          <w:ilvl w:val="0"/>
          <w:numId w:val="49"/>
        </w:numPr>
        <w:tabs>
          <w:tab w:val="left" w:pos="142"/>
        </w:tabs>
        <w:spacing w:before="0" w:beforeAutospacing="0" w:after="24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lastRenderedPageBreak/>
        <w:t>Acuerdo de Servicios con la Junta Central Electoral (JCE), para consulta del archivo maestro de cedulado, de fecha 2 de octubre del 2025.</w:t>
      </w:r>
    </w:p>
    <w:p w14:paraId="027A7023" w14:textId="77777777" w:rsidR="002143FE" w:rsidRPr="00232EBB" w:rsidRDefault="002143FE" w:rsidP="00977ED7">
      <w:pPr>
        <w:pStyle w:val="NormalWeb"/>
        <w:numPr>
          <w:ilvl w:val="0"/>
          <w:numId w:val="49"/>
        </w:numPr>
        <w:tabs>
          <w:tab w:val="left" w:pos="142"/>
        </w:tabs>
        <w:spacing w:before="0" w:beforeAutospacing="0" w:after="24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de Cooperación Interinstitucional para interoperabilidad con el Ministerio del Trabajo (MT), de fecha  13 de octubre del 2025.</w:t>
      </w:r>
    </w:p>
    <w:p w14:paraId="2E2C935B" w14:textId="77777777" w:rsidR="002143FE" w:rsidRPr="00232EBB" w:rsidRDefault="002143FE" w:rsidP="002143FE">
      <w:pPr>
        <w:pStyle w:val="NormalWeb"/>
        <w:numPr>
          <w:ilvl w:val="0"/>
          <w:numId w:val="49"/>
        </w:numPr>
        <w:tabs>
          <w:tab w:val="left" w:pos="142"/>
        </w:tabs>
        <w:spacing w:before="240" w:beforeAutospacing="0" w:after="0" w:afterAutospacing="0" w:line="360" w:lineRule="auto"/>
        <w:jc w:val="both"/>
        <w:rPr>
          <w:rFonts w:eastAsiaTheme="minorHAnsi"/>
          <w:noProof/>
          <w:color w:val="808080" w:themeColor="background1" w:themeShade="80"/>
          <w:spacing w:val="20"/>
          <w:szCs w:val="28"/>
          <w:lang w:val="es-MX"/>
        </w:rPr>
      </w:pPr>
      <w:r w:rsidRPr="00232EBB">
        <w:rPr>
          <w:rFonts w:eastAsiaTheme="minorHAnsi"/>
          <w:noProof/>
          <w:color w:val="808080" w:themeColor="background1" w:themeShade="80"/>
          <w:spacing w:val="20"/>
          <w:szCs w:val="28"/>
          <w:lang w:val="es-MX"/>
        </w:rPr>
        <w:t>Acuerdo de Servicios de Cooperación Interinstitucional con el Banco Múltiple Promerica S.A., para integración a webservices para consulta de información, de fecha 17 de octubre del 2025.</w:t>
      </w:r>
    </w:p>
    <w:p w14:paraId="7CE0CA9D" w14:textId="337579E5" w:rsidR="005D0EE4" w:rsidRPr="00232EBB" w:rsidRDefault="005D0EE4" w:rsidP="0011472E">
      <w:pPr>
        <w:spacing w:before="240" w:line="360" w:lineRule="auto"/>
        <w:rPr>
          <w:b/>
          <w:bCs/>
          <w:lang w:val="es-DO"/>
        </w:rPr>
      </w:pPr>
      <w:r w:rsidRPr="00232EBB">
        <w:rPr>
          <w:b/>
          <w:bCs/>
          <w:lang w:val="es-DO"/>
        </w:rPr>
        <w:t>Cobros Persuasivos y Compulsivos</w:t>
      </w:r>
    </w:p>
    <w:p w14:paraId="0AB29931" w14:textId="25F6D789" w:rsidR="002143FE" w:rsidRPr="00232EBB" w:rsidRDefault="002143FE" w:rsidP="002143FE">
      <w:pPr>
        <w:spacing w:line="360" w:lineRule="auto"/>
        <w:jc w:val="both"/>
        <w:rPr>
          <w:lang w:val="es-DO"/>
        </w:rPr>
      </w:pPr>
      <w:r w:rsidRPr="00232EBB">
        <w:rPr>
          <w:lang w:val="es-DO"/>
        </w:rPr>
        <w:t xml:space="preserve">En apoyo al proceso del recaudo de las obligaciones de empleadores con la Seguridad Social, la División de Cobranzas logró mes tras mes superar la meta del indicador de la gestión de la cartera asignada. Desde enero hasta finales de noviembre los montos recuperados en la gestión de cobranzas ascendieron a un total de Treinta y Cuatro Mil Cuatrocientos Sesenta y Cuatro Millones Ochocientos Diez Mil Ciento Treinta y Dos </w:t>
      </w:r>
      <w:r w:rsidR="00C13C0C" w:rsidRPr="00232EBB">
        <w:rPr>
          <w:lang w:val="es-DO"/>
        </w:rPr>
        <w:t>pesos dominicanos</w:t>
      </w:r>
      <w:r w:rsidRPr="00232EBB">
        <w:rPr>
          <w:lang w:val="es-DO"/>
        </w:rPr>
        <w:t xml:space="preserve"> con 00/100 (RD$34,464,810,132.00), con un total de 488,350 notificaciones en atraso pagadas.</w:t>
      </w:r>
    </w:p>
    <w:p w14:paraId="5B0ED29D" w14:textId="2AEFB2D5" w:rsidR="005D0EE4" w:rsidRPr="00232EBB" w:rsidRDefault="005D0EE4" w:rsidP="0011472E">
      <w:pPr>
        <w:spacing w:before="240" w:line="360" w:lineRule="auto"/>
        <w:rPr>
          <w:b/>
          <w:bCs/>
          <w:lang w:val="es-DO"/>
        </w:rPr>
      </w:pPr>
      <w:r w:rsidRPr="00232EBB">
        <w:rPr>
          <w:b/>
          <w:bCs/>
          <w:lang w:val="es-DO"/>
        </w:rPr>
        <w:t>Denuncias Casos de Fraude</w:t>
      </w:r>
    </w:p>
    <w:p w14:paraId="14FB77DC" w14:textId="77777777" w:rsidR="002143FE" w:rsidRPr="00232EBB" w:rsidRDefault="002143FE" w:rsidP="002143FE">
      <w:pPr>
        <w:spacing w:after="0" w:line="360" w:lineRule="auto"/>
        <w:jc w:val="both"/>
        <w:rPr>
          <w:rFonts w:eastAsia="Calibri"/>
          <w:noProof/>
          <w:color w:val="auto"/>
          <w:sz w:val="23"/>
          <w:szCs w:val="23"/>
          <w:lang w:val="es-DO"/>
        </w:rPr>
      </w:pPr>
      <w:bookmarkStart w:id="181" w:name="_Toc171677857"/>
      <w:bookmarkStart w:id="182" w:name="_Toc172118674"/>
      <w:bookmarkStart w:id="183" w:name="_Toc172119867"/>
      <w:bookmarkStart w:id="184" w:name="_Toc172120200"/>
      <w:bookmarkStart w:id="185" w:name="_Toc172121418"/>
      <w:r w:rsidRPr="00232EBB">
        <w:rPr>
          <w:lang w:val="es-DO"/>
        </w:rPr>
        <w:t>Desde la promulgación de la Ley 13-20, en fecha 7 de febrero de 2020, hasta la actualidad, la Tesorería de la Seguridad Social (TSS) ha depositado 333 denuncias, ante la Procuraduría General de la República (PGR), por presuntos fraudes en detrimento del Seguro Familiar de Salud (SFS) del Régimen Contributivo del Sistema Dominicano de Seguridad Social (SDSS). Hasta la fecha, estos casos se encuentran bajo investigación por el Ministerio Público, por lo que no se han judicializado</w:t>
      </w:r>
      <w:r w:rsidRPr="00232EBB">
        <w:rPr>
          <w:rFonts w:eastAsia="Calibri"/>
          <w:noProof/>
          <w:sz w:val="23"/>
          <w:szCs w:val="23"/>
          <w:lang w:val="es-DO"/>
        </w:rPr>
        <w:t>.</w:t>
      </w:r>
    </w:p>
    <w:p w14:paraId="487171F8" w14:textId="13DF82C1" w:rsidR="005D0EE4" w:rsidRPr="00232EBB" w:rsidRDefault="005D0EE4" w:rsidP="0011472E">
      <w:pPr>
        <w:spacing w:before="240" w:line="360" w:lineRule="auto"/>
        <w:rPr>
          <w:b/>
          <w:bCs/>
          <w:lang w:val="es-DO"/>
        </w:rPr>
      </w:pPr>
      <w:r w:rsidRPr="00232EBB">
        <w:rPr>
          <w:b/>
          <w:bCs/>
          <w:lang w:val="es-DO"/>
        </w:rPr>
        <w:lastRenderedPageBreak/>
        <w:t>Intimaciones de pago</w:t>
      </w:r>
      <w:bookmarkEnd w:id="181"/>
      <w:bookmarkEnd w:id="182"/>
      <w:bookmarkEnd w:id="183"/>
      <w:bookmarkEnd w:id="184"/>
      <w:bookmarkEnd w:id="185"/>
      <w:r w:rsidRPr="00232EBB">
        <w:rPr>
          <w:b/>
          <w:bCs/>
          <w:lang w:val="es-DO"/>
        </w:rPr>
        <w:t xml:space="preserve"> </w:t>
      </w:r>
    </w:p>
    <w:p w14:paraId="2829A70E" w14:textId="06412053" w:rsidR="002143FE" w:rsidRPr="00232EBB" w:rsidRDefault="002143FE" w:rsidP="002143FE">
      <w:pPr>
        <w:spacing w:before="240" w:line="360" w:lineRule="auto"/>
        <w:jc w:val="both"/>
        <w:rPr>
          <w:lang w:val="es-DO"/>
        </w:rPr>
      </w:pPr>
      <w:r w:rsidRPr="00232EBB">
        <w:rPr>
          <w:lang w:val="es-DO"/>
        </w:rPr>
        <w:t>Al mes de diciembre, se han elaborado 483 intimaciones de pago a empleadores morosos en el Gran Santo Domingo y las provincias San Cristóbal, Santiago, San Pedro de Macorís, La Romana y La Altagracia. Como resultado de estas acciones, se ha logrado recuperar alrededor de Treinta y Seis Millones Trescientos Veinticinco Mil Quinientos Cuarenta y Siete pesos dominicanos con 67/100 (RD$36,325,547.67), gracias al saldo de la deuda y a los acuerdos de pago suscritos por los empleadores que presentaban atrasos, permitiendo que regularicen su estatus moroso evitando la judicialización del cobro de la deuda.</w:t>
      </w:r>
    </w:p>
    <w:p w14:paraId="4079844D" w14:textId="3B1177B1" w:rsidR="005D0EE4" w:rsidRPr="00232EBB" w:rsidRDefault="005D0EE4" w:rsidP="0011472E">
      <w:pPr>
        <w:spacing w:before="240" w:line="360" w:lineRule="auto"/>
        <w:rPr>
          <w:b/>
          <w:bCs/>
          <w:lang w:val="es-DO"/>
        </w:rPr>
      </w:pPr>
      <w:r w:rsidRPr="00232EBB">
        <w:rPr>
          <w:b/>
          <w:bCs/>
          <w:lang w:val="es-DO"/>
        </w:rPr>
        <w:t xml:space="preserve">Recursos Administrativos  </w:t>
      </w:r>
    </w:p>
    <w:p w14:paraId="66268CD0" w14:textId="75093F2B" w:rsidR="002143FE" w:rsidRPr="00232EBB" w:rsidRDefault="00C13C0C" w:rsidP="00977ED7">
      <w:pPr>
        <w:spacing w:line="360" w:lineRule="auto"/>
        <w:jc w:val="both"/>
        <w:rPr>
          <w:lang w:val="es-DO"/>
        </w:rPr>
      </w:pPr>
      <w:bookmarkStart w:id="186" w:name="_Toc171677859"/>
      <w:bookmarkStart w:id="187" w:name="_Toc172118676"/>
      <w:bookmarkStart w:id="188" w:name="_Toc172119869"/>
      <w:bookmarkStart w:id="189" w:name="_Toc172120202"/>
      <w:bookmarkStart w:id="190" w:name="_Toc172121420"/>
      <w:r w:rsidRPr="00232EBB">
        <w:rPr>
          <w:lang w:val="es-DO"/>
        </w:rPr>
        <w:t>L</w:t>
      </w:r>
      <w:r w:rsidR="002143FE" w:rsidRPr="00232EBB">
        <w:rPr>
          <w:lang w:val="es-DO"/>
        </w:rPr>
        <w:t xml:space="preserve">a División de Procesos Judiciales y Administrativos del Departamento de Litigación tramitó las respuestas de 45 recursos de reconsideración interpuestos sobre decisiones emitidas por la TSS. </w:t>
      </w:r>
    </w:p>
    <w:p w14:paraId="21B24927" w14:textId="6ADC0855" w:rsidR="002143FE" w:rsidRPr="00232EBB" w:rsidRDefault="002143FE" w:rsidP="00977ED7">
      <w:pPr>
        <w:spacing w:line="360" w:lineRule="auto"/>
        <w:jc w:val="both"/>
        <w:rPr>
          <w:lang w:val="es-DO"/>
        </w:rPr>
      </w:pPr>
      <w:r w:rsidRPr="00232EBB">
        <w:rPr>
          <w:lang w:val="es-DO"/>
        </w:rPr>
        <w:t>De las decisiones recurridas ante la TSS solo 13 fueron apeladas ante el Consejo Nacional de la Seguridad Social (CNSS) resultando en 10 ratificadas, 1 acogida parcialmente y 2 en proceso de respuesta, lo que evidencia las garantías del debido proceso administrativo que ejerce esta TSS.</w:t>
      </w:r>
    </w:p>
    <w:p w14:paraId="25277B2F" w14:textId="32312056" w:rsidR="005D0EE4" w:rsidRPr="00232EBB" w:rsidRDefault="005D0EE4" w:rsidP="00977ED7">
      <w:pPr>
        <w:spacing w:line="360" w:lineRule="auto"/>
        <w:jc w:val="both"/>
        <w:rPr>
          <w:b/>
          <w:bCs/>
          <w:lang w:val="es-DO"/>
        </w:rPr>
      </w:pPr>
      <w:r w:rsidRPr="00232EBB">
        <w:rPr>
          <w:b/>
          <w:bCs/>
          <w:lang w:val="es-DO"/>
        </w:rPr>
        <w:t>Procesos Judiciales</w:t>
      </w:r>
      <w:bookmarkEnd w:id="186"/>
      <w:bookmarkEnd w:id="187"/>
      <w:bookmarkEnd w:id="188"/>
      <w:bookmarkEnd w:id="189"/>
      <w:bookmarkEnd w:id="190"/>
      <w:r w:rsidRPr="00232EBB">
        <w:rPr>
          <w:b/>
          <w:bCs/>
          <w:lang w:val="es-DO"/>
        </w:rPr>
        <w:t xml:space="preserve"> </w:t>
      </w:r>
    </w:p>
    <w:p w14:paraId="44EB41B6" w14:textId="77777777" w:rsidR="009B1EC2" w:rsidRPr="00232EBB" w:rsidRDefault="009B1EC2" w:rsidP="00977ED7">
      <w:pPr>
        <w:spacing w:line="360" w:lineRule="auto"/>
        <w:jc w:val="both"/>
        <w:rPr>
          <w:lang w:val="es-DO"/>
        </w:rPr>
      </w:pPr>
      <w:bookmarkStart w:id="191" w:name="_Toc171677860"/>
      <w:bookmarkStart w:id="192" w:name="_Toc172118677"/>
      <w:bookmarkStart w:id="193" w:name="_Toc172119870"/>
      <w:bookmarkStart w:id="194" w:name="_Toc172120203"/>
      <w:bookmarkStart w:id="195" w:name="_Toc172121421"/>
      <w:bookmarkStart w:id="196" w:name="_Toc171677861"/>
      <w:bookmarkStart w:id="197" w:name="_Toc172118678"/>
      <w:bookmarkStart w:id="198" w:name="_Toc172119871"/>
      <w:bookmarkStart w:id="199" w:name="_Toc172120204"/>
      <w:bookmarkStart w:id="200" w:name="_Toc172121422"/>
      <w:r w:rsidRPr="00232EBB">
        <w:rPr>
          <w:lang w:val="es-DO"/>
        </w:rPr>
        <w:t xml:space="preserve">En la actualidad contamos con 26 procesos judiciales activos en los tribunales de la República, de los cuales 5 se encuentran pendientes de decisión. </w:t>
      </w:r>
      <w:bookmarkEnd w:id="191"/>
      <w:bookmarkEnd w:id="192"/>
      <w:bookmarkEnd w:id="193"/>
      <w:bookmarkEnd w:id="194"/>
      <w:bookmarkEnd w:id="195"/>
    </w:p>
    <w:p w14:paraId="1044B445" w14:textId="0A834E87" w:rsidR="009B1EC2" w:rsidRPr="00232EBB" w:rsidRDefault="009B1EC2" w:rsidP="00977ED7">
      <w:pPr>
        <w:spacing w:line="360" w:lineRule="auto"/>
        <w:jc w:val="both"/>
        <w:rPr>
          <w:lang w:val="es-DO"/>
        </w:rPr>
      </w:pPr>
      <w:r w:rsidRPr="00232EBB">
        <w:rPr>
          <w:lang w:val="es-DO"/>
        </w:rPr>
        <w:t xml:space="preserve">En cumplimiento de sus facultades </w:t>
      </w:r>
      <w:r w:rsidR="00C13C0C" w:rsidRPr="00232EBB">
        <w:rPr>
          <w:lang w:val="es-DO"/>
        </w:rPr>
        <w:t>la TSS</w:t>
      </w:r>
      <w:r w:rsidRPr="00232EBB">
        <w:rPr>
          <w:lang w:val="es-DO"/>
        </w:rPr>
        <w:t xml:space="preserve"> apoderó al Tribunal Superior Administrativo (TSA), de 16 demandas en cobro de cotizaciones y recargos vencidos y no pagados al SDSS, en contra </w:t>
      </w:r>
      <w:r w:rsidRPr="00232EBB">
        <w:rPr>
          <w:lang w:val="es-DO"/>
        </w:rPr>
        <w:lastRenderedPageBreak/>
        <w:t>de empleadores que presentan atrasos en sus deberes con el Sistema Dominicano de Seguridad Social. </w:t>
      </w:r>
    </w:p>
    <w:bookmarkEnd w:id="180"/>
    <w:bookmarkEnd w:id="196"/>
    <w:bookmarkEnd w:id="197"/>
    <w:bookmarkEnd w:id="198"/>
    <w:bookmarkEnd w:id="199"/>
    <w:bookmarkEnd w:id="200"/>
    <w:p w14:paraId="2FAAEB8B" w14:textId="77777777" w:rsidR="009B1EC2" w:rsidRPr="00232EBB" w:rsidRDefault="009B1EC2" w:rsidP="009B1EC2">
      <w:pPr>
        <w:spacing w:before="240" w:after="0" w:line="360" w:lineRule="auto"/>
        <w:rPr>
          <w:b/>
          <w:bCs/>
          <w:lang w:val="es-DO"/>
        </w:rPr>
      </w:pPr>
      <w:r w:rsidRPr="00232EBB">
        <w:rPr>
          <w:b/>
          <w:bCs/>
          <w:lang w:val="es-DO"/>
        </w:rPr>
        <w:t>Logros:</w:t>
      </w:r>
    </w:p>
    <w:p w14:paraId="4B1B1367" w14:textId="77777777" w:rsidR="009B1EC2" w:rsidRPr="00232EBB" w:rsidRDefault="009B1EC2" w:rsidP="009B1EC2">
      <w:pPr>
        <w:rPr>
          <w:sz w:val="14"/>
          <w:szCs w:val="14"/>
          <w:lang w:val="es-DO"/>
        </w:rPr>
      </w:pPr>
    </w:p>
    <w:p w14:paraId="68C44370" w14:textId="5ED6B292" w:rsidR="009B1EC2" w:rsidRPr="00232EBB" w:rsidRDefault="009B1EC2" w:rsidP="009B1EC2">
      <w:pPr>
        <w:pStyle w:val="ListParagraph"/>
        <w:numPr>
          <w:ilvl w:val="0"/>
          <w:numId w:val="50"/>
        </w:numPr>
        <w:shd w:val="clear" w:color="auto" w:fill="FFFFFF"/>
        <w:spacing w:line="360" w:lineRule="auto"/>
        <w:textAlignment w:val="baseline"/>
        <w:rPr>
          <w:rFonts w:ascii="Times New Roman" w:eastAsiaTheme="minorHAnsi" w:hAnsi="Times New Roman"/>
          <w:color w:val="767171"/>
          <w:spacing w:val="20"/>
          <w:sz w:val="24"/>
          <w:szCs w:val="24"/>
        </w:rPr>
      </w:pPr>
      <w:r w:rsidRPr="00232EBB">
        <w:rPr>
          <w:rFonts w:ascii="Times New Roman" w:eastAsiaTheme="minorHAnsi" w:hAnsi="Times New Roman"/>
          <w:color w:val="767171"/>
          <w:spacing w:val="20"/>
          <w:sz w:val="24"/>
          <w:szCs w:val="24"/>
        </w:rPr>
        <w:t>La auditoría de precertificación de las Normas ISO 27001 y 27301 resaltó en su informe final como una de las principales fortalezas la elaboración y correcta implementación de la Tabla de Amortización para los acuerdos de pago por multas. Este instrumento permitió evidenciar un control más eficiente, transparente y sistemático sobre los compromisos de pago asumidos por los empleadores.</w:t>
      </w:r>
    </w:p>
    <w:p w14:paraId="4C5C048A" w14:textId="6169E567" w:rsidR="009B1EC2" w:rsidRPr="00232EBB" w:rsidRDefault="009B1EC2" w:rsidP="009B1EC2">
      <w:pPr>
        <w:pStyle w:val="ListParagraph"/>
        <w:numPr>
          <w:ilvl w:val="0"/>
          <w:numId w:val="50"/>
        </w:numPr>
        <w:shd w:val="clear" w:color="auto" w:fill="FFFFFF"/>
        <w:spacing w:line="360" w:lineRule="auto"/>
        <w:textAlignment w:val="baseline"/>
        <w:rPr>
          <w:rFonts w:ascii="Times New Roman" w:eastAsiaTheme="minorHAnsi" w:hAnsi="Times New Roman"/>
          <w:color w:val="767171"/>
          <w:spacing w:val="20"/>
          <w:sz w:val="24"/>
          <w:szCs w:val="24"/>
        </w:rPr>
      </w:pPr>
      <w:r w:rsidRPr="00232EBB">
        <w:rPr>
          <w:rFonts w:ascii="Times New Roman" w:eastAsiaTheme="minorHAnsi" w:hAnsi="Times New Roman"/>
          <w:color w:val="767171"/>
          <w:spacing w:val="20"/>
          <w:sz w:val="24"/>
          <w:szCs w:val="24"/>
        </w:rPr>
        <w:t>Se logró la ejecución del Plan Operativo Anual (POA) en un 100%, cumpliendo con todos los productos, actividades y metas institucionales programadas para el período, lo que refleja una planificación efectiva y un alto nivel de desempeño en la gestión.</w:t>
      </w:r>
    </w:p>
    <w:p w14:paraId="01270EB5" w14:textId="74207240" w:rsidR="009B1EC2" w:rsidRPr="00232EBB" w:rsidRDefault="009B1EC2" w:rsidP="009B1EC2">
      <w:pPr>
        <w:pStyle w:val="ListParagraph"/>
        <w:numPr>
          <w:ilvl w:val="0"/>
          <w:numId w:val="50"/>
        </w:numPr>
        <w:shd w:val="clear" w:color="auto" w:fill="FFFFFF"/>
        <w:spacing w:line="360" w:lineRule="auto"/>
        <w:textAlignment w:val="baseline"/>
        <w:rPr>
          <w:rFonts w:ascii="Times New Roman" w:eastAsiaTheme="minorHAnsi" w:hAnsi="Times New Roman"/>
          <w:color w:val="767171"/>
          <w:spacing w:val="20"/>
          <w:sz w:val="24"/>
          <w:szCs w:val="24"/>
        </w:rPr>
      </w:pPr>
      <w:r w:rsidRPr="00232EBB">
        <w:rPr>
          <w:rFonts w:ascii="Times New Roman" w:eastAsiaTheme="minorHAnsi" w:hAnsi="Times New Roman"/>
          <w:color w:val="767171"/>
          <w:spacing w:val="20"/>
          <w:sz w:val="24"/>
          <w:szCs w:val="24"/>
        </w:rPr>
        <w:t>En acuerdos de pago se incorporó el sistema automatizado vía la plataforma de servicios y se incluyeron los primeros acuerdos de pago por multa contribuyendo al proceso de recuperación de los recursos adeudados.</w:t>
      </w:r>
    </w:p>
    <w:p w14:paraId="526BF0CC" w14:textId="2EAC87E8" w:rsidR="009B1EC2" w:rsidRPr="00232EBB" w:rsidRDefault="009B1EC2" w:rsidP="009B1EC2">
      <w:pPr>
        <w:pStyle w:val="ListParagraph"/>
        <w:numPr>
          <w:ilvl w:val="0"/>
          <w:numId w:val="50"/>
        </w:numPr>
        <w:shd w:val="clear" w:color="auto" w:fill="FFFFFF"/>
        <w:spacing w:line="360" w:lineRule="auto"/>
        <w:textAlignment w:val="baseline"/>
        <w:rPr>
          <w:rFonts w:ascii="Times New Roman" w:eastAsiaTheme="minorHAnsi" w:hAnsi="Times New Roman"/>
          <w:color w:val="767171"/>
          <w:spacing w:val="20"/>
          <w:sz w:val="24"/>
          <w:szCs w:val="24"/>
        </w:rPr>
      </w:pPr>
      <w:r w:rsidRPr="00232EBB">
        <w:rPr>
          <w:rFonts w:ascii="Times New Roman" w:eastAsiaTheme="minorHAnsi" w:hAnsi="Times New Roman"/>
          <w:color w:val="767171"/>
          <w:spacing w:val="20"/>
          <w:sz w:val="24"/>
          <w:szCs w:val="24"/>
        </w:rPr>
        <w:t xml:space="preserve">Al corte de este </w:t>
      </w:r>
      <w:r w:rsidR="00441965" w:rsidRPr="00232EBB">
        <w:rPr>
          <w:rFonts w:ascii="Times New Roman" w:eastAsiaTheme="minorHAnsi" w:hAnsi="Times New Roman"/>
          <w:color w:val="767171"/>
          <w:spacing w:val="20"/>
          <w:sz w:val="24"/>
          <w:szCs w:val="24"/>
        </w:rPr>
        <w:t>informe, la</w:t>
      </w:r>
      <w:r w:rsidRPr="00232EBB">
        <w:rPr>
          <w:rFonts w:ascii="Times New Roman" w:eastAsiaTheme="minorHAnsi" w:hAnsi="Times New Roman"/>
          <w:color w:val="767171"/>
          <w:spacing w:val="20"/>
          <w:sz w:val="24"/>
          <w:szCs w:val="24"/>
        </w:rPr>
        <w:t xml:space="preserve"> gestión </w:t>
      </w:r>
      <w:r w:rsidR="00B47947" w:rsidRPr="00232EBB">
        <w:rPr>
          <w:rFonts w:ascii="Times New Roman" w:eastAsiaTheme="minorHAnsi" w:hAnsi="Times New Roman"/>
          <w:color w:val="767171"/>
          <w:spacing w:val="20"/>
          <w:sz w:val="24"/>
          <w:szCs w:val="24"/>
        </w:rPr>
        <w:t>de cobranza</w:t>
      </w:r>
      <w:r w:rsidRPr="00232EBB">
        <w:rPr>
          <w:rFonts w:ascii="Times New Roman" w:eastAsiaTheme="minorHAnsi" w:hAnsi="Times New Roman"/>
          <w:color w:val="767171"/>
          <w:spacing w:val="20"/>
          <w:sz w:val="24"/>
          <w:szCs w:val="24"/>
        </w:rPr>
        <w:t xml:space="preserve"> obtuvo un monto aproximado a Trece Millones Ochocientos Tres Mil Seiscientos Setenta </w:t>
      </w:r>
      <w:r w:rsidR="000400ED" w:rsidRPr="00232EBB">
        <w:rPr>
          <w:rFonts w:ascii="Times New Roman" w:eastAsiaTheme="minorHAnsi" w:hAnsi="Times New Roman"/>
          <w:color w:val="767171"/>
          <w:spacing w:val="20"/>
          <w:sz w:val="24"/>
          <w:szCs w:val="24"/>
        </w:rPr>
        <w:t>pesos dominicanos</w:t>
      </w:r>
      <w:r w:rsidRPr="00232EBB">
        <w:rPr>
          <w:rFonts w:ascii="Times New Roman" w:eastAsiaTheme="minorHAnsi" w:hAnsi="Times New Roman"/>
          <w:color w:val="767171"/>
          <w:spacing w:val="20"/>
          <w:sz w:val="24"/>
          <w:szCs w:val="24"/>
        </w:rPr>
        <w:t xml:space="preserve"> con 05/100 (RD$13,803,670.05), correspondiente a las multas impuestas por la SISALRIL, en ocasión a las infracciones cometidas por las Administradoras de Riesgos de Salud (ARS) en perjuicio del Sistema Dominicano de Seguridad Social (SDSS), reafirmando el compromiso con el cumplimiento del marco regulatorio vigente. El destino de estos recursos es la cuenta de subsidios del </w:t>
      </w:r>
      <w:r w:rsidR="00C13C0C" w:rsidRPr="00232EBB">
        <w:rPr>
          <w:rFonts w:ascii="Times New Roman" w:eastAsiaTheme="minorHAnsi" w:hAnsi="Times New Roman"/>
          <w:color w:val="767171"/>
          <w:spacing w:val="20"/>
          <w:sz w:val="24"/>
          <w:szCs w:val="24"/>
        </w:rPr>
        <w:t>régimen</w:t>
      </w:r>
      <w:r w:rsidRPr="00232EBB">
        <w:rPr>
          <w:rFonts w:ascii="Times New Roman" w:eastAsiaTheme="minorHAnsi" w:hAnsi="Times New Roman"/>
          <w:color w:val="767171"/>
          <w:spacing w:val="20"/>
          <w:sz w:val="24"/>
          <w:szCs w:val="24"/>
        </w:rPr>
        <w:t xml:space="preserve"> contributivo que administra la SISALRIL.</w:t>
      </w:r>
    </w:p>
    <w:p w14:paraId="1201A10C" w14:textId="1CE3E679" w:rsidR="009B1EC2" w:rsidRPr="00232EBB" w:rsidRDefault="009B1EC2" w:rsidP="009B1EC2">
      <w:pPr>
        <w:pStyle w:val="ListParagraph"/>
        <w:numPr>
          <w:ilvl w:val="0"/>
          <w:numId w:val="50"/>
        </w:numPr>
        <w:shd w:val="clear" w:color="auto" w:fill="FFFFFF"/>
        <w:spacing w:line="360" w:lineRule="auto"/>
        <w:textAlignment w:val="baseline"/>
        <w:rPr>
          <w:rFonts w:ascii="Times New Roman" w:eastAsiaTheme="minorHAnsi" w:hAnsi="Times New Roman"/>
          <w:color w:val="767171"/>
          <w:spacing w:val="20"/>
          <w:sz w:val="24"/>
          <w:szCs w:val="24"/>
        </w:rPr>
      </w:pPr>
      <w:r w:rsidRPr="00232EBB">
        <w:rPr>
          <w:rFonts w:ascii="Times New Roman" w:eastAsiaTheme="minorHAnsi" w:hAnsi="Times New Roman"/>
          <w:color w:val="767171"/>
          <w:spacing w:val="20"/>
          <w:sz w:val="24"/>
          <w:szCs w:val="24"/>
        </w:rPr>
        <w:lastRenderedPageBreak/>
        <w:t>La dirección jurídica ha participado activamente en colaboración con la Dirección de Fiscalización Externa en las mesas de trabajo creadas por el Ministerio Público para la prevención, persecución y lucha contra el fraude al Seguro Familiar de Salud (SFS) del Régimen Contributivo.</w:t>
      </w:r>
    </w:p>
    <w:p w14:paraId="466BB586" w14:textId="77777777" w:rsidR="009B1EC2" w:rsidRPr="00232EBB" w:rsidRDefault="009B1EC2" w:rsidP="009B1EC2">
      <w:pPr>
        <w:pStyle w:val="ListParagraph"/>
        <w:numPr>
          <w:ilvl w:val="0"/>
          <w:numId w:val="50"/>
        </w:numPr>
        <w:shd w:val="clear" w:color="auto" w:fill="FFFFFF"/>
        <w:spacing w:line="360" w:lineRule="auto"/>
        <w:textAlignment w:val="baseline"/>
        <w:rPr>
          <w:rFonts w:ascii="Times New Roman" w:eastAsiaTheme="minorHAnsi" w:hAnsi="Times New Roman"/>
          <w:color w:val="767171"/>
          <w:spacing w:val="20"/>
          <w:sz w:val="24"/>
          <w:szCs w:val="24"/>
        </w:rPr>
      </w:pPr>
      <w:r w:rsidRPr="00232EBB">
        <w:rPr>
          <w:rFonts w:ascii="Times New Roman" w:eastAsiaTheme="minorHAnsi" w:hAnsi="Times New Roman"/>
          <w:color w:val="767171"/>
          <w:spacing w:val="20"/>
          <w:sz w:val="24"/>
          <w:szCs w:val="24"/>
        </w:rPr>
        <w:t>En materia de cobranza se implementaron mejoras integrales tendentes a potenciar la estrategia de cobros tanto en la gestión personalizada como la inclusión de nuevas vías telemáticas para optimizar el recaudo de las cuentas por cobrar de los empleadores.</w:t>
      </w:r>
    </w:p>
    <w:p w14:paraId="30EFBF67" w14:textId="0440D659" w:rsidR="009B1EC2" w:rsidRPr="00232EBB" w:rsidRDefault="009B1EC2" w:rsidP="009B1EC2">
      <w:pPr>
        <w:pStyle w:val="ListParagraph"/>
        <w:numPr>
          <w:ilvl w:val="0"/>
          <w:numId w:val="50"/>
        </w:numPr>
        <w:shd w:val="clear" w:color="auto" w:fill="FFFFFF"/>
        <w:spacing w:line="360" w:lineRule="auto"/>
        <w:textAlignment w:val="baseline"/>
        <w:rPr>
          <w:rFonts w:ascii="Times New Roman" w:eastAsiaTheme="minorHAnsi" w:hAnsi="Times New Roman"/>
          <w:color w:val="767171"/>
          <w:spacing w:val="20"/>
          <w:sz w:val="24"/>
          <w:szCs w:val="24"/>
        </w:rPr>
      </w:pPr>
      <w:r w:rsidRPr="00232EBB">
        <w:rPr>
          <w:rFonts w:ascii="Times New Roman" w:eastAsiaTheme="minorHAnsi" w:hAnsi="Times New Roman"/>
          <w:color w:val="767171"/>
          <w:spacing w:val="20"/>
          <w:sz w:val="24"/>
          <w:szCs w:val="24"/>
        </w:rPr>
        <w:t>Durante el último cuatrimestre de este año la División de Cobranzas logró recuperar la suma de Cuatro Millones Setecientos Treinta y Tres Mil Ochocientos Sesenta y Siete pesos dominicanos con 03/100 (RD$4,733,867.03), por concepto de sanciones pecuniarias (multas) impuestas por esta TSS, como resultado de procesos sancionadores seguidos a los empleadores infractores.</w:t>
      </w:r>
    </w:p>
    <w:p w14:paraId="2C05F5DB" w14:textId="5F789B6E" w:rsidR="00E82B86" w:rsidRPr="00232EBB" w:rsidRDefault="00E82B86" w:rsidP="009B1EC2">
      <w:pPr>
        <w:pStyle w:val="Heading1"/>
        <w:spacing w:after="240" w:line="259" w:lineRule="auto"/>
        <w:jc w:val="both"/>
        <w:rPr>
          <w:rFonts w:cs="Times New Roman"/>
          <w:spacing w:val="0"/>
          <w:lang w:val="es-DO"/>
        </w:rPr>
      </w:pPr>
      <w:bookmarkStart w:id="201" w:name="_Toc216952241"/>
      <w:r w:rsidRPr="00232EBB">
        <w:rPr>
          <w:rFonts w:cs="Times New Roman"/>
          <w:spacing w:val="0"/>
          <w:lang w:val="es-DO"/>
        </w:rPr>
        <w:t>4.4 Desempeño de la Tecnología</w:t>
      </w:r>
      <w:bookmarkEnd w:id="127"/>
      <w:bookmarkEnd w:id="128"/>
      <w:bookmarkEnd w:id="129"/>
      <w:bookmarkEnd w:id="201"/>
    </w:p>
    <w:p w14:paraId="7BB5ACC5" w14:textId="77777777" w:rsidR="00E82B86" w:rsidRPr="00232EBB" w:rsidRDefault="00E82B86" w:rsidP="007D6A4B">
      <w:pPr>
        <w:spacing w:before="240" w:line="360" w:lineRule="auto"/>
        <w:jc w:val="both"/>
        <w:rPr>
          <w:rFonts w:eastAsia="Calibri"/>
          <w:lang w:val="es-ES"/>
        </w:rPr>
      </w:pPr>
      <w:r w:rsidRPr="00232EBB">
        <w:rPr>
          <w:rFonts w:eastAsia="Calibri"/>
          <w:lang w:val="es-ES"/>
        </w:rPr>
        <w:t>La TSS como parte de su proceso de innovación y adaptación a los cambios tecnológicos y regulatorios actual, identificó la necesidad de crear una Dirección que permitiera junto a las ya existente estar a la vanguardia de dichos cambios. La misma ha trabajado de manera transversal con todas las áreas, así como con organismos nacionales e internacionales con el objetivo de realizar su gestión bajo las mejores prácticas, aprobada por el MAP a finales del 2023, con el nombre de Dirección de Gestión de Normas, Cumplimiento y Ciberseguridad.</w:t>
      </w:r>
    </w:p>
    <w:p w14:paraId="0AB9964C" w14:textId="3028C609" w:rsidR="003F04C7" w:rsidRPr="00232EBB" w:rsidRDefault="003F04C7" w:rsidP="007D6A4B">
      <w:pPr>
        <w:pStyle w:val="Heading1"/>
        <w:spacing w:after="240"/>
        <w:jc w:val="both"/>
        <w:rPr>
          <w:rFonts w:cs="Times New Roman"/>
          <w:spacing w:val="0"/>
          <w:sz w:val="24"/>
          <w:szCs w:val="24"/>
          <w:lang w:val="es-DO"/>
        </w:rPr>
      </w:pPr>
      <w:bookmarkStart w:id="202" w:name="_Toc216952242"/>
      <w:bookmarkStart w:id="203" w:name="_Toc140587657"/>
      <w:bookmarkStart w:id="204" w:name="_Toc171677870"/>
      <w:bookmarkStart w:id="205" w:name="_Toc172119877"/>
      <w:bookmarkStart w:id="206" w:name="_Toc172120210"/>
      <w:bookmarkStart w:id="207" w:name="_Toc172121428"/>
      <w:r w:rsidRPr="00232EBB">
        <w:rPr>
          <w:rFonts w:cs="Times New Roman"/>
          <w:spacing w:val="0"/>
          <w:sz w:val="24"/>
          <w:szCs w:val="24"/>
          <w:lang w:val="es-DO"/>
        </w:rPr>
        <w:t>Nuevo Módulo de Interoperabilidad y Gestión de Credenciales</w:t>
      </w:r>
      <w:bookmarkEnd w:id="202"/>
    </w:p>
    <w:p w14:paraId="0CC78880" w14:textId="77777777" w:rsidR="003F04C7" w:rsidRPr="00232EBB" w:rsidRDefault="003F04C7" w:rsidP="007D6A4B">
      <w:pPr>
        <w:spacing w:before="240" w:after="0" w:line="360" w:lineRule="auto"/>
        <w:jc w:val="both"/>
        <w:rPr>
          <w:lang w:val="es-ES"/>
        </w:rPr>
      </w:pPr>
      <w:r w:rsidRPr="00232EBB">
        <w:rPr>
          <w:lang w:val="es-ES"/>
        </w:rPr>
        <w:t xml:space="preserve">Durante el 2025, la TSS completó el desarrollo e implementación de un módulo especializado para la creación y gestión de </w:t>
      </w:r>
      <w:r w:rsidRPr="00232EBB">
        <w:rPr>
          <w:lang w:val="es-ES"/>
        </w:rPr>
        <w:lastRenderedPageBreak/>
        <w:t>credenciales digitales. Este sistema permite automatizar la asignación segura de credenciales para el acceso a servicios interoperables a través de la plataforma X-Road, garantizando autenticación confiable y auditoría de los accesos. Gracias a esta implementación, se fortalecieron los vínculos tecnológicos con instituciones clave del ecosistema de seguridad social.</w:t>
      </w:r>
    </w:p>
    <w:p w14:paraId="02CE5B85" w14:textId="68E370B3" w:rsidR="003F04C7" w:rsidRPr="00232EBB" w:rsidRDefault="003F04C7" w:rsidP="007D6A4B">
      <w:pPr>
        <w:spacing w:before="240" w:after="0" w:line="360" w:lineRule="auto"/>
        <w:jc w:val="both"/>
        <w:rPr>
          <w:lang w:val="es-ES"/>
        </w:rPr>
      </w:pPr>
      <w:r w:rsidRPr="00232EBB">
        <w:rPr>
          <w:lang w:val="es-ES"/>
        </w:rPr>
        <w:t>Integración con Carpeta Ciudadana de la OGTIC y con Seguridad Ciudadana</w:t>
      </w:r>
      <w:r w:rsidR="00580971" w:rsidRPr="00232EBB">
        <w:rPr>
          <w:lang w:val="es-ES"/>
        </w:rPr>
        <w:t>, s</w:t>
      </w:r>
      <w:r w:rsidRPr="00232EBB">
        <w:rPr>
          <w:lang w:val="es-ES"/>
        </w:rPr>
        <w:t>e avanzó en los procesos de interoperabilidad para validar información de manera más ágil y segura.</w:t>
      </w:r>
    </w:p>
    <w:p w14:paraId="407389AC" w14:textId="77777777" w:rsidR="003F04C7" w:rsidRPr="00232EBB" w:rsidRDefault="003F04C7" w:rsidP="007D6A4B">
      <w:pPr>
        <w:spacing w:before="240" w:after="0" w:line="360" w:lineRule="auto"/>
        <w:jc w:val="both"/>
        <w:rPr>
          <w:lang w:val="es-ES"/>
        </w:rPr>
      </w:pPr>
      <w:r w:rsidRPr="00232EBB">
        <w:rPr>
          <w:lang w:val="es-ES"/>
        </w:rPr>
        <w:t>Integración con el MAP a través del portal Concursa</w:t>
      </w:r>
      <w:r w:rsidRPr="00232EBB">
        <w:rPr>
          <w:lang w:val="es-ES"/>
        </w:rPr>
        <w:br/>
        <w:t>Se completó la conexión que permite validar el estatus laboral de los ciudadanos directamente en línea.</w:t>
      </w:r>
    </w:p>
    <w:p w14:paraId="0A78B391" w14:textId="6CA2C3C0" w:rsidR="003F04C7" w:rsidRPr="00232EBB" w:rsidRDefault="003F04C7" w:rsidP="007D6A4B">
      <w:pPr>
        <w:pStyle w:val="Heading1"/>
        <w:spacing w:after="240"/>
        <w:jc w:val="both"/>
        <w:rPr>
          <w:rFonts w:cs="Times New Roman"/>
          <w:spacing w:val="0"/>
          <w:sz w:val="24"/>
          <w:szCs w:val="24"/>
          <w:lang w:val="es-DO"/>
        </w:rPr>
      </w:pPr>
      <w:bookmarkStart w:id="208" w:name="_Toc216952243"/>
      <w:r w:rsidRPr="00232EBB">
        <w:rPr>
          <w:rFonts w:cs="Times New Roman"/>
          <w:spacing w:val="0"/>
          <w:sz w:val="24"/>
          <w:szCs w:val="24"/>
          <w:lang w:val="es-DO"/>
        </w:rPr>
        <w:t>Modernización de la Infraestructura Tecnológica</w:t>
      </w:r>
      <w:bookmarkEnd w:id="208"/>
    </w:p>
    <w:p w14:paraId="538D7779" w14:textId="77777777" w:rsidR="003F04C7" w:rsidRPr="00232EBB" w:rsidRDefault="003F04C7" w:rsidP="007D6A4B">
      <w:pPr>
        <w:spacing w:before="240" w:after="0" w:line="360" w:lineRule="auto"/>
        <w:jc w:val="both"/>
        <w:rPr>
          <w:lang w:val="es-ES"/>
        </w:rPr>
      </w:pPr>
      <w:r w:rsidRPr="00232EBB">
        <w:rPr>
          <w:lang w:val="es-ES"/>
        </w:rPr>
        <w:t xml:space="preserve">En el marco del proceso de modernización institucional, la Dirección de Tecnología de la TSS adoptó una serie de tecnologías de vanguardia para el desarrollo de sus nuevas plataformas digitales. Entre los principales avances se destaca la adopción de una arquitectura basada en microservicios, que permite una mayor escalabilidad, flexibilidad y mantenimiento modular de los sistemas. Esta arquitectura fue soportada mediante la implementación de contenedores Docker, lo cual garantiza entornos más estables, portables y eficientes. </w:t>
      </w:r>
    </w:p>
    <w:p w14:paraId="6503261B" w14:textId="77777777" w:rsidR="003F04C7" w:rsidRPr="00232EBB" w:rsidRDefault="003F04C7" w:rsidP="007D6A4B">
      <w:pPr>
        <w:spacing w:before="240" w:after="0" w:line="360" w:lineRule="auto"/>
        <w:jc w:val="both"/>
        <w:rPr>
          <w:lang w:val="es-ES"/>
        </w:rPr>
      </w:pPr>
      <w:r w:rsidRPr="00232EBB">
        <w:rPr>
          <w:lang w:val="es-ES"/>
        </w:rPr>
        <w:t xml:space="preserve">Asimismo, se integró un API Gateway que centraliza la gestión de las comunicaciones entre servicios, optimizando el enrutamiento, seguridad y monitoreo. Para el desarrollo de estas soluciones se utilizaron lenguajes de programación modernos y versátiles, que permiten respuestas más ágiles a las necesidades del negocio. Finalmente, se rediseñó la interfaz de usuario con un enfoque centrado en la experiencia del usuario (UX/UI), garantizando </w:t>
      </w:r>
      <w:r w:rsidRPr="00232EBB">
        <w:rPr>
          <w:lang w:val="es-ES"/>
        </w:rPr>
        <w:lastRenderedPageBreak/>
        <w:t>accesibilidad, facilidad de uso y compatibilidad con dispositivos móviles.</w:t>
      </w:r>
    </w:p>
    <w:p w14:paraId="6ECDB8F9" w14:textId="77777777" w:rsidR="003F04C7" w:rsidRPr="00232EBB" w:rsidRDefault="003F04C7" w:rsidP="007D6A4B">
      <w:pPr>
        <w:spacing w:before="240" w:after="0" w:line="360" w:lineRule="auto"/>
        <w:jc w:val="both"/>
        <w:rPr>
          <w:lang w:val="es-ES"/>
        </w:rPr>
      </w:pPr>
      <w:r w:rsidRPr="00232EBB">
        <w:rPr>
          <w:lang w:val="es-ES"/>
        </w:rPr>
        <w:t>Migración a la nube del 75% de los sistemas de monitoreo</w:t>
      </w:r>
      <w:r w:rsidRPr="00232EBB">
        <w:rPr>
          <w:lang w:val="es-ES"/>
        </w:rPr>
        <w:br/>
        <w:t xml:space="preserve">Esta migración permite un monitoreo descentralizado y más resiliente de los </w:t>
      </w:r>
      <w:proofErr w:type="spellStart"/>
      <w:r w:rsidRPr="00232EBB">
        <w:rPr>
          <w:lang w:val="es-ES"/>
        </w:rPr>
        <w:t>datacenters</w:t>
      </w:r>
      <w:proofErr w:type="spellEnd"/>
      <w:r w:rsidRPr="00232EBB">
        <w:rPr>
          <w:lang w:val="es-ES"/>
        </w:rPr>
        <w:t xml:space="preserve"> institucionales.</w:t>
      </w:r>
    </w:p>
    <w:p w14:paraId="1C996DEB" w14:textId="6E7D9FB4" w:rsidR="003F04C7" w:rsidRPr="00232EBB" w:rsidRDefault="003F04C7" w:rsidP="007D6A4B">
      <w:pPr>
        <w:spacing w:before="240" w:after="0" w:line="360" w:lineRule="auto"/>
        <w:jc w:val="both"/>
        <w:rPr>
          <w:lang w:val="es-ES"/>
        </w:rPr>
      </w:pPr>
      <w:r w:rsidRPr="00232EBB">
        <w:rPr>
          <w:lang w:val="es-ES"/>
        </w:rPr>
        <w:t>Implementación de AWS sobre la infraestructura de redes como nube principal la infraestructura de redes ahora opera sobre AWS como plataforma base, mejorando la capacidad de respuesta, seguridad y continuidad.</w:t>
      </w:r>
    </w:p>
    <w:p w14:paraId="6796C3A8" w14:textId="2FF0E850" w:rsidR="003F04C7" w:rsidRPr="00232EBB" w:rsidRDefault="003F04C7" w:rsidP="007D6A4B">
      <w:pPr>
        <w:pStyle w:val="Heading1"/>
        <w:spacing w:after="240"/>
        <w:jc w:val="both"/>
        <w:rPr>
          <w:rFonts w:cs="Times New Roman"/>
          <w:spacing w:val="0"/>
          <w:sz w:val="24"/>
          <w:szCs w:val="24"/>
          <w:lang w:val="es-DO"/>
        </w:rPr>
      </w:pPr>
      <w:bookmarkStart w:id="209" w:name="_Toc216952244"/>
      <w:r w:rsidRPr="00232EBB">
        <w:rPr>
          <w:rFonts w:cs="Times New Roman"/>
          <w:spacing w:val="0"/>
          <w:sz w:val="24"/>
          <w:szCs w:val="24"/>
          <w:lang w:val="es-DO"/>
        </w:rPr>
        <w:t>Mejoras en la Oficina Virtual y el Portal Web</w:t>
      </w:r>
      <w:bookmarkEnd w:id="209"/>
    </w:p>
    <w:p w14:paraId="1DDCFB65" w14:textId="5141BAA5" w:rsidR="003F04C7" w:rsidRPr="00232EBB" w:rsidRDefault="003F04C7" w:rsidP="007D6A4B">
      <w:pPr>
        <w:spacing w:before="240" w:after="0" w:line="360" w:lineRule="auto"/>
        <w:jc w:val="both"/>
        <w:rPr>
          <w:lang w:val="es-ES"/>
        </w:rPr>
      </w:pPr>
      <w:r w:rsidRPr="00232EBB">
        <w:rPr>
          <w:lang w:val="es-ES"/>
        </w:rPr>
        <w:t xml:space="preserve">Se rediseñó completamente el </w:t>
      </w:r>
      <w:proofErr w:type="spellStart"/>
      <w:r w:rsidRPr="00232EBB">
        <w:rPr>
          <w:lang w:val="es-ES"/>
        </w:rPr>
        <w:t>front</w:t>
      </w:r>
      <w:r w:rsidR="00E220D4" w:rsidRPr="00232EBB">
        <w:rPr>
          <w:lang w:val="es-ES"/>
        </w:rPr>
        <w:t>-</w:t>
      </w:r>
      <w:r w:rsidRPr="00232EBB">
        <w:rPr>
          <w:lang w:val="es-ES"/>
        </w:rPr>
        <w:t>end</w:t>
      </w:r>
      <w:proofErr w:type="spellEnd"/>
      <w:r w:rsidRPr="00232EBB">
        <w:rPr>
          <w:lang w:val="es-ES"/>
        </w:rPr>
        <w:t xml:space="preserve"> de la Oficina Virtual, alineando su experiencia visual a dispositivos móviles, con mejoras en la accesibilidad, notificaciones en línea, integración con sistemas de trazabilidad, y paneles dinámicos personalizados según el perfil del usuario. Este rediseño responde al compromiso de ofrecer una atención más cercana, ágil y adaptada a las necesidades de los ciudadanos y empleadores.</w:t>
      </w:r>
    </w:p>
    <w:p w14:paraId="264247CD" w14:textId="77777777" w:rsidR="00E220D4" w:rsidRPr="00232EBB" w:rsidRDefault="003F04C7" w:rsidP="007D6A4B">
      <w:pPr>
        <w:spacing w:before="240" w:line="360" w:lineRule="auto"/>
        <w:jc w:val="both"/>
        <w:rPr>
          <w:lang w:val="es-ES"/>
        </w:rPr>
      </w:pPr>
      <w:r w:rsidRPr="00232EBB">
        <w:rPr>
          <w:lang w:val="es-ES"/>
        </w:rPr>
        <w:t>Además, los paneles personalizados ofrecen a cada usuario una vista adaptada a sus necesidades específicas, mostrando solo los servicios y funciones relevantes, lo cual mejora la navegación, reduce tiempos de atención y optimiza la experiencia digital. Estas innovaciones tecnológicas representan un avance significativo en la transformación digital de la TSS y reafirman su compromiso con la excelencia en la prestación de servicio.</w:t>
      </w:r>
    </w:p>
    <w:p w14:paraId="5F1438D8" w14:textId="57C95465" w:rsidR="003F04C7" w:rsidRPr="00232EBB" w:rsidRDefault="003F04C7" w:rsidP="007D6A4B">
      <w:pPr>
        <w:spacing w:before="240" w:line="360" w:lineRule="auto"/>
        <w:jc w:val="both"/>
        <w:rPr>
          <w:lang w:val="es-ES"/>
        </w:rPr>
      </w:pPr>
      <w:r w:rsidRPr="00232EBB">
        <w:rPr>
          <w:lang w:val="es-ES"/>
        </w:rPr>
        <w:t>En el marco de su compromiso con la mejora continua y la transformación digital, la Tesorería de la Seguridad Social (TSS) lanzó su nueva página web institucional, completamente rediseñada para ofrecer una experiencia más moderna, intuitiva y eficiente.</w:t>
      </w:r>
    </w:p>
    <w:p w14:paraId="25D5A24B" w14:textId="77777777" w:rsidR="003F04C7" w:rsidRPr="00232EBB" w:rsidRDefault="003F04C7" w:rsidP="007D6A4B">
      <w:pPr>
        <w:spacing w:line="360" w:lineRule="auto"/>
        <w:jc w:val="both"/>
        <w:rPr>
          <w:lang w:val="es-ES"/>
        </w:rPr>
      </w:pPr>
      <w:r w:rsidRPr="00232EBB">
        <w:rPr>
          <w:lang w:val="es-ES"/>
        </w:rPr>
        <w:lastRenderedPageBreak/>
        <w:t>Este rediseño responde a las necesidades actuales de los usuarios, ofreciendo una interfaz visual más clara y atractiva, compatible con dispositivos móviles y adaptada a los estándares internacionales de accesibilidad y usabilidad.</w:t>
      </w:r>
    </w:p>
    <w:p w14:paraId="4E0173A9" w14:textId="77777777" w:rsidR="003F04C7" w:rsidRPr="00232EBB" w:rsidRDefault="003F04C7" w:rsidP="007D6A4B">
      <w:pPr>
        <w:spacing w:line="360" w:lineRule="auto"/>
        <w:jc w:val="both"/>
        <w:rPr>
          <w:lang w:val="es-ES"/>
        </w:rPr>
      </w:pPr>
      <w:r w:rsidRPr="00232EBB">
        <w:rPr>
          <w:lang w:val="es-ES"/>
        </w:rPr>
        <w:t>La migración de la página a la nube ofrece además una mayor disponibilidad, escalabilidad y seguridad en el manejo de la información. Todo esto contribuye a fortalecer la relación de la TSS con ciudadanos, empleadores, instituciones públicas y privadas, facilitando la interacción digital y posicionando a la institución como un referente en servicios públicos digitales.</w:t>
      </w:r>
    </w:p>
    <w:p w14:paraId="40E8D0C1" w14:textId="56E03BB2" w:rsidR="003F04C7" w:rsidRPr="00232EBB" w:rsidRDefault="003F04C7" w:rsidP="003F04C7">
      <w:pPr>
        <w:pStyle w:val="Heading1"/>
        <w:spacing w:after="240"/>
        <w:jc w:val="both"/>
        <w:rPr>
          <w:rFonts w:cs="Times New Roman"/>
          <w:spacing w:val="0"/>
          <w:sz w:val="24"/>
          <w:szCs w:val="24"/>
          <w:lang w:val="es-DO"/>
        </w:rPr>
      </w:pPr>
      <w:bookmarkStart w:id="210" w:name="_Toc216952245"/>
      <w:r w:rsidRPr="00232EBB">
        <w:rPr>
          <w:rFonts w:cs="Times New Roman"/>
          <w:spacing w:val="0"/>
          <w:sz w:val="24"/>
          <w:szCs w:val="24"/>
          <w:lang w:val="es-DO"/>
        </w:rPr>
        <w:t>Unificación de Canales y Mejora de la Atención al Ciudadano</w:t>
      </w:r>
      <w:bookmarkEnd w:id="210"/>
    </w:p>
    <w:p w14:paraId="3E9D4BB0" w14:textId="6D707790" w:rsidR="003F04C7" w:rsidRPr="00232EBB" w:rsidRDefault="003F04C7" w:rsidP="00441965">
      <w:pPr>
        <w:numPr>
          <w:ilvl w:val="0"/>
          <w:numId w:val="37"/>
        </w:numPr>
        <w:spacing w:after="0" w:line="360" w:lineRule="auto"/>
        <w:jc w:val="both"/>
        <w:rPr>
          <w:lang w:val="es-ES"/>
        </w:rPr>
      </w:pPr>
      <w:r w:rsidRPr="00232EBB">
        <w:rPr>
          <w:lang w:val="es-ES"/>
        </w:rPr>
        <w:t>Se consolidaron todos los canales en una plataforma única de atención, permitiendo una gestión más eficiente y rápida de las consultas recibidas.</w:t>
      </w:r>
    </w:p>
    <w:p w14:paraId="336D7508" w14:textId="77777777" w:rsidR="003F04C7" w:rsidRPr="00232EBB" w:rsidRDefault="003F04C7" w:rsidP="00441965">
      <w:pPr>
        <w:spacing w:after="0" w:line="360" w:lineRule="auto"/>
        <w:ind w:left="360"/>
        <w:jc w:val="both"/>
        <w:rPr>
          <w:lang w:val="es-ES"/>
        </w:rPr>
      </w:pPr>
    </w:p>
    <w:p w14:paraId="092F826F" w14:textId="6F69CE10" w:rsidR="003F04C7" w:rsidRPr="00232EBB" w:rsidRDefault="00E220D4" w:rsidP="00441965">
      <w:pPr>
        <w:numPr>
          <w:ilvl w:val="0"/>
          <w:numId w:val="37"/>
        </w:numPr>
        <w:spacing w:after="0" w:line="360" w:lineRule="auto"/>
        <w:jc w:val="both"/>
        <w:rPr>
          <w:lang w:val="es-ES"/>
        </w:rPr>
      </w:pPr>
      <w:bookmarkStart w:id="211" w:name="_Hlk216943399"/>
      <w:r w:rsidRPr="00232EBB">
        <w:rPr>
          <w:lang w:val="es-ES"/>
        </w:rPr>
        <w:t>Fueron</w:t>
      </w:r>
      <w:r w:rsidR="003F04C7" w:rsidRPr="00232EBB">
        <w:rPr>
          <w:lang w:val="es-ES"/>
        </w:rPr>
        <w:t xml:space="preserve"> incorpora</w:t>
      </w:r>
      <w:r w:rsidRPr="00232EBB">
        <w:rPr>
          <w:lang w:val="es-ES"/>
        </w:rPr>
        <w:t>dos</w:t>
      </w:r>
      <w:r w:rsidR="003F04C7" w:rsidRPr="00232EBB">
        <w:rPr>
          <w:lang w:val="es-ES"/>
        </w:rPr>
        <w:t xml:space="preserve"> </w:t>
      </w:r>
      <w:proofErr w:type="spellStart"/>
      <w:r w:rsidR="003F04C7" w:rsidRPr="00232EBB">
        <w:rPr>
          <w:lang w:val="es-ES"/>
        </w:rPr>
        <w:t>chatbots</w:t>
      </w:r>
      <w:proofErr w:type="spellEnd"/>
      <w:r w:rsidR="003F04C7" w:rsidRPr="00232EBB">
        <w:rPr>
          <w:lang w:val="es-ES"/>
        </w:rPr>
        <w:t xml:space="preserve"> </w:t>
      </w:r>
      <w:r w:rsidRPr="00232EBB">
        <w:rPr>
          <w:lang w:val="es-ES"/>
        </w:rPr>
        <w:t xml:space="preserve">las </w:t>
      </w:r>
      <w:r w:rsidR="003F04C7" w:rsidRPr="00232EBB">
        <w:rPr>
          <w:lang w:val="es-ES"/>
        </w:rPr>
        <w:t xml:space="preserve">llamadas y </w:t>
      </w:r>
      <w:r w:rsidRPr="00232EBB">
        <w:rPr>
          <w:lang w:val="es-ES"/>
        </w:rPr>
        <w:t xml:space="preserve">el </w:t>
      </w:r>
      <w:r w:rsidR="003F04C7" w:rsidRPr="00232EBB">
        <w:rPr>
          <w:lang w:val="es-ES"/>
        </w:rPr>
        <w:t>chat del Centro de Asistencia al Empleador (implementación completada al 98%) ha permitido ofrecer respuestas rápidas y precisas, disminuyendo tiempos de espera.</w:t>
      </w:r>
    </w:p>
    <w:bookmarkEnd w:id="211"/>
    <w:p w14:paraId="7EAB9D95" w14:textId="77777777" w:rsidR="003F04C7" w:rsidRPr="00232EBB" w:rsidRDefault="003F04C7" w:rsidP="00441965">
      <w:pPr>
        <w:spacing w:after="0" w:line="360" w:lineRule="auto"/>
        <w:ind w:left="360"/>
        <w:jc w:val="both"/>
        <w:rPr>
          <w:lang w:val="es-ES"/>
        </w:rPr>
      </w:pPr>
    </w:p>
    <w:p w14:paraId="18C9655A" w14:textId="7DBF2790" w:rsidR="003F04C7" w:rsidRPr="00232EBB" w:rsidRDefault="003F04C7" w:rsidP="00441965">
      <w:pPr>
        <w:numPr>
          <w:ilvl w:val="0"/>
          <w:numId w:val="37"/>
        </w:numPr>
        <w:spacing w:after="0" w:line="360" w:lineRule="auto"/>
        <w:jc w:val="both"/>
        <w:rPr>
          <w:lang w:val="es-ES"/>
        </w:rPr>
      </w:pPr>
      <w:r w:rsidRPr="00232EBB">
        <w:rPr>
          <w:lang w:val="es-ES"/>
        </w:rPr>
        <w:t>Se integró el servicio de mensajería a través de WhatsApp, ampliando los puntos de contacto y facilitando el acceso de empleadores y ciudadanos.</w:t>
      </w:r>
    </w:p>
    <w:p w14:paraId="0141E9DE" w14:textId="77777777" w:rsidR="003F04C7" w:rsidRPr="00232EBB" w:rsidRDefault="003F04C7" w:rsidP="00441965">
      <w:pPr>
        <w:spacing w:after="0" w:line="360" w:lineRule="auto"/>
        <w:ind w:left="360"/>
        <w:jc w:val="both"/>
        <w:rPr>
          <w:lang w:val="es-ES"/>
        </w:rPr>
      </w:pPr>
    </w:p>
    <w:p w14:paraId="58B597A7" w14:textId="295DCCC7" w:rsidR="003F04C7" w:rsidRPr="00232EBB" w:rsidRDefault="003F04C7" w:rsidP="00441965">
      <w:pPr>
        <w:numPr>
          <w:ilvl w:val="0"/>
          <w:numId w:val="37"/>
        </w:numPr>
        <w:spacing w:after="0" w:line="360" w:lineRule="auto"/>
        <w:jc w:val="both"/>
        <w:rPr>
          <w:lang w:val="es-ES"/>
        </w:rPr>
      </w:pPr>
      <w:r w:rsidRPr="00232EBB">
        <w:rPr>
          <w:lang w:val="es-ES"/>
        </w:rPr>
        <w:t>Fueron automatizados los procesos de registro de empresas y acuerdos de pago, reduciendo la intervención manual y asegurando mayor rapidez y trazabilidad.</w:t>
      </w:r>
    </w:p>
    <w:p w14:paraId="4987CFBD" w14:textId="77777777" w:rsidR="003F04C7" w:rsidRPr="00232EBB" w:rsidRDefault="003F04C7" w:rsidP="00441965">
      <w:pPr>
        <w:spacing w:after="0" w:line="360" w:lineRule="auto"/>
        <w:ind w:left="360"/>
        <w:jc w:val="both"/>
        <w:rPr>
          <w:lang w:val="es-ES"/>
        </w:rPr>
      </w:pPr>
    </w:p>
    <w:p w14:paraId="7A396471" w14:textId="396C1438" w:rsidR="003F04C7" w:rsidRPr="00232EBB" w:rsidRDefault="00E220D4" w:rsidP="00441965">
      <w:pPr>
        <w:numPr>
          <w:ilvl w:val="0"/>
          <w:numId w:val="37"/>
        </w:numPr>
        <w:spacing w:after="0" w:line="360" w:lineRule="auto"/>
        <w:jc w:val="both"/>
        <w:rPr>
          <w:lang w:val="es-ES"/>
        </w:rPr>
      </w:pPr>
      <w:bookmarkStart w:id="212" w:name="_Hlk216943407"/>
      <w:r w:rsidRPr="00232EBB">
        <w:rPr>
          <w:lang w:val="es-ES"/>
        </w:rPr>
        <w:lastRenderedPageBreak/>
        <w:t xml:space="preserve">Puesto </w:t>
      </w:r>
      <w:r w:rsidR="003F04C7" w:rsidRPr="00232EBB">
        <w:rPr>
          <w:lang w:val="es-ES"/>
        </w:rPr>
        <w:t xml:space="preserve">en funcionamiento </w:t>
      </w:r>
      <w:r w:rsidRPr="00232EBB">
        <w:rPr>
          <w:lang w:val="es-ES"/>
        </w:rPr>
        <w:t>d</w:t>
      </w:r>
      <w:r w:rsidR="003F04C7" w:rsidRPr="00232EBB">
        <w:rPr>
          <w:lang w:val="es-ES"/>
        </w:rPr>
        <w:t>el servicio de emisión automatizada de notificaciones de pago por multa, fortaleciendo los procesos de control institucional.</w:t>
      </w:r>
    </w:p>
    <w:bookmarkEnd w:id="212"/>
    <w:p w14:paraId="06CF3AA4" w14:textId="77777777" w:rsidR="003F04C7" w:rsidRPr="00232EBB" w:rsidRDefault="003F04C7" w:rsidP="003F04C7">
      <w:pPr>
        <w:spacing w:line="360" w:lineRule="auto"/>
        <w:ind w:left="720"/>
        <w:contextualSpacing/>
        <w:jc w:val="both"/>
        <w:rPr>
          <w:lang w:val="es-ES"/>
        </w:rPr>
      </w:pPr>
    </w:p>
    <w:p w14:paraId="1B8243F8" w14:textId="77777777" w:rsidR="00E220D4" w:rsidRPr="00232EBB" w:rsidRDefault="003F04C7" w:rsidP="00046663">
      <w:pPr>
        <w:numPr>
          <w:ilvl w:val="0"/>
          <w:numId w:val="38"/>
        </w:numPr>
        <w:spacing w:after="0" w:line="360" w:lineRule="auto"/>
        <w:contextualSpacing/>
        <w:jc w:val="both"/>
        <w:rPr>
          <w:lang w:val="es-ES"/>
        </w:rPr>
      </w:pPr>
      <w:bookmarkStart w:id="213" w:name="_Hlk216943418"/>
      <w:r w:rsidRPr="00232EBB">
        <w:rPr>
          <w:lang w:val="es-ES"/>
        </w:rPr>
        <w:t>Implementación de Asistentes Virtuales Inteligentes para la Atención y Análisis Institucional Durante el período, la TSS introdujo dos innovaciones tecnológicas clave: Tessa, la nueva asistente virtual de servicios, y Newton, el asistente de análisis de datos.</w:t>
      </w:r>
    </w:p>
    <w:p w14:paraId="66A4B670" w14:textId="53A5D251" w:rsidR="00E220D4" w:rsidRPr="00232EBB" w:rsidRDefault="003F04C7" w:rsidP="00E220D4">
      <w:pPr>
        <w:spacing w:after="0" w:line="360" w:lineRule="auto"/>
        <w:ind w:left="720"/>
        <w:contextualSpacing/>
        <w:jc w:val="both"/>
        <w:rPr>
          <w:lang w:val="es-ES"/>
        </w:rPr>
      </w:pPr>
      <w:r w:rsidRPr="00232EBB">
        <w:rPr>
          <w:lang w:val="es-ES"/>
        </w:rPr>
        <w:br/>
        <w:t>Tessa brinda atención 24/7 vía web, WhatsApp y llamadas, ofreciendo orientación, explicación de procesos, estatus de trámites y transferencia eficiente de casos al Centro de Asistencia al Usuario cuando se requiere intervención humana.</w:t>
      </w:r>
      <w:r w:rsidR="00046663" w:rsidRPr="00232EBB">
        <w:rPr>
          <w:lang w:val="es-ES"/>
        </w:rPr>
        <w:t xml:space="preserve"> </w:t>
      </w:r>
      <w:r w:rsidRPr="00232EBB">
        <w:rPr>
          <w:lang w:val="es-ES"/>
        </w:rPr>
        <w:t>Newton, por su parte, optimiza la gestión de la información institucional mediante respuestas inmediatas a consultas estadísticas y análisis complejos, fortaleciendo la toma de decisiones basada en datos.</w:t>
      </w:r>
    </w:p>
    <w:bookmarkEnd w:id="213"/>
    <w:p w14:paraId="640F4C8D" w14:textId="02508902" w:rsidR="003F04C7" w:rsidRPr="00232EBB" w:rsidRDefault="003F04C7" w:rsidP="00E220D4">
      <w:pPr>
        <w:spacing w:after="0" w:line="360" w:lineRule="auto"/>
        <w:ind w:left="720"/>
        <w:contextualSpacing/>
        <w:jc w:val="both"/>
        <w:rPr>
          <w:lang w:val="es-ES"/>
        </w:rPr>
      </w:pPr>
      <w:r w:rsidRPr="00232EBB">
        <w:rPr>
          <w:lang w:val="es-ES"/>
        </w:rPr>
        <w:br/>
        <w:t>Ambas herramientas representan un avance significativo en la modernización digital, mejorando la eficiencia operativa, la disponibilidad del servicio y la experiencia del ciudadano sin sustituir el valor del recurso humano.</w:t>
      </w:r>
    </w:p>
    <w:p w14:paraId="39F89E55" w14:textId="735F0BE7" w:rsidR="003F04C7" w:rsidRPr="00232EBB" w:rsidRDefault="003F04C7" w:rsidP="003F04C7">
      <w:pPr>
        <w:pStyle w:val="Heading1"/>
        <w:spacing w:after="240"/>
        <w:jc w:val="both"/>
        <w:rPr>
          <w:rFonts w:cs="Times New Roman"/>
          <w:spacing w:val="0"/>
          <w:sz w:val="24"/>
          <w:szCs w:val="24"/>
          <w:lang w:val="es-DO"/>
        </w:rPr>
      </w:pPr>
      <w:bookmarkStart w:id="214" w:name="_Toc216952246"/>
      <w:r w:rsidRPr="00232EBB">
        <w:rPr>
          <w:rFonts w:cs="Times New Roman"/>
          <w:spacing w:val="0"/>
          <w:sz w:val="24"/>
          <w:szCs w:val="24"/>
          <w:lang w:val="es-DO"/>
        </w:rPr>
        <w:t>Implementación de Sistema de Inventario Digital con Código QR</w:t>
      </w:r>
      <w:bookmarkEnd w:id="214"/>
    </w:p>
    <w:p w14:paraId="11DEE5F1" w14:textId="77777777" w:rsidR="003F04C7" w:rsidRPr="00232EBB" w:rsidRDefault="003F04C7" w:rsidP="003F04C7">
      <w:pPr>
        <w:spacing w:after="0" w:line="360" w:lineRule="auto"/>
        <w:jc w:val="both"/>
        <w:rPr>
          <w:lang w:val="es-ES"/>
        </w:rPr>
      </w:pPr>
      <w:r w:rsidRPr="00232EBB">
        <w:rPr>
          <w:lang w:val="es-ES"/>
        </w:rPr>
        <w:t xml:space="preserve">Se adoptó una solución de software open </w:t>
      </w:r>
      <w:proofErr w:type="spellStart"/>
      <w:r w:rsidRPr="00232EBB">
        <w:rPr>
          <w:lang w:val="es-ES"/>
        </w:rPr>
        <w:t>source</w:t>
      </w:r>
      <w:proofErr w:type="spellEnd"/>
      <w:r w:rsidRPr="00232EBB">
        <w:rPr>
          <w:lang w:val="es-ES"/>
        </w:rPr>
        <w:t xml:space="preserve"> para gestión de inventario de activos TI, con las siguientes funcionalidades destacadas:</w:t>
      </w:r>
    </w:p>
    <w:p w14:paraId="2F2817D5" w14:textId="77777777" w:rsidR="003F04C7" w:rsidRPr="00232EBB" w:rsidRDefault="003F04C7" w:rsidP="000E2299">
      <w:pPr>
        <w:numPr>
          <w:ilvl w:val="0"/>
          <w:numId w:val="37"/>
        </w:numPr>
        <w:spacing w:after="0" w:line="360" w:lineRule="auto"/>
        <w:jc w:val="both"/>
        <w:rPr>
          <w:lang w:val="es-ES"/>
        </w:rPr>
      </w:pPr>
      <w:r w:rsidRPr="00232EBB">
        <w:rPr>
          <w:lang w:val="es-ES"/>
        </w:rPr>
        <w:t>Visualización por usuario, ubicación y tipo de equipo.</w:t>
      </w:r>
    </w:p>
    <w:p w14:paraId="30271295" w14:textId="77777777" w:rsidR="003F04C7" w:rsidRPr="00232EBB" w:rsidRDefault="003F04C7" w:rsidP="000E2299">
      <w:pPr>
        <w:numPr>
          <w:ilvl w:val="0"/>
          <w:numId w:val="37"/>
        </w:numPr>
        <w:spacing w:after="0" w:line="360" w:lineRule="auto"/>
        <w:jc w:val="both"/>
        <w:rPr>
          <w:lang w:val="es-ES"/>
        </w:rPr>
      </w:pPr>
      <w:r w:rsidRPr="00232EBB">
        <w:rPr>
          <w:lang w:val="es-ES"/>
        </w:rPr>
        <w:t>Generación de etiquetas QR.</w:t>
      </w:r>
    </w:p>
    <w:p w14:paraId="6600AD8D" w14:textId="77777777" w:rsidR="003F04C7" w:rsidRPr="00232EBB" w:rsidRDefault="003F04C7" w:rsidP="000E2299">
      <w:pPr>
        <w:numPr>
          <w:ilvl w:val="0"/>
          <w:numId w:val="37"/>
        </w:numPr>
        <w:spacing w:after="0" w:line="360" w:lineRule="auto"/>
        <w:jc w:val="both"/>
        <w:rPr>
          <w:lang w:val="es-ES"/>
        </w:rPr>
      </w:pPr>
      <w:r w:rsidRPr="00232EBB">
        <w:rPr>
          <w:lang w:val="es-ES"/>
        </w:rPr>
        <w:t>Alerta de vencimiento de garantías y licencias.</w:t>
      </w:r>
    </w:p>
    <w:p w14:paraId="430EE8BE" w14:textId="77777777" w:rsidR="003F04C7" w:rsidRPr="00232EBB" w:rsidRDefault="003F04C7" w:rsidP="000E2299">
      <w:pPr>
        <w:numPr>
          <w:ilvl w:val="0"/>
          <w:numId w:val="37"/>
        </w:numPr>
        <w:spacing w:after="0" w:line="360" w:lineRule="auto"/>
        <w:jc w:val="both"/>
        <w:rPr>
          <w:lang w:val="es-ES"/>
        </w:rPr>
      </w:pPr>
      <w:r w:rsidRPr="00232EBB">
        <w:rPr>
          <w:lang w:val="es-ES"/>
        </w:rPr>
        <w:t>Auditoría con trazabilidad completa y firmas digitales.</w:t>
      </w:r>
    </w:p>
    <w:p w14:paraId="5AE30742" w14:textId="2058A0DE" w:rsidR="003F04C7" w:rsidRPr="00232EBB" w:rsidRDefault="003F04C7" w:rsidP="003F04C7">
      <w:pPr>
        <w:pStyle w:val="Heading1"/>
        <w:spacing w:after="240"/>
        <w:jc w:val="both"/>
        <w:rPr>
          <w:rFonts w:cs="Times New Roman"/>
          <w:spacing w:val="0"/>
          <w:sz w:val="24"/>
          <w:szCs w:val="24"/>
          <w:lang w:val="es-DO"/>
        </w:rPr>
      </w:pPr>
      <w:bookmarkStart w:id="215" w:name="_Toc216952247"/>
      <w:r w:rsidRPr="00232EBB">
        <w:rPr>
          <w:rFonts w:cs="Times New Roman"/>
          <w:spacing w:val="0"/>
          <w:sz w:val="24"/>
          <w:szCs w:val="24"/>
          <w:lang w:val="es-DO"/>
        </w:rPr>
        <w:lastRenderedPageBreak/>
        <w:t>Desarrollo De Aplicaciones Internas</w:t>
      </w:r>
      <w:bookmarkEnd w:id="215"/>
    </w:p>
    <w:p w14:paraId="529A57E0" w14:textId="77777777" w:rsidR="003F04C7" w:rsidRPr="00232EBB" w:rsidRDefault="003F04C7" w:rsidP="003F04C7">
      <w:pPr>
        <w:spacing w:before="100" w:beforeAutospacing="1" w:after="100" w:afterAutospacing="1" w:line="360" w:lineRule="auto"/>
        <w:jc w:val="both"/>
        <w:rPr>
          <w:lang w:val="es-ES"/>
        </w:rPr>
      </w:pPr>
      <w:r w:rsidRPr="00232EBB">
        <w:rPr>
          <w:lang w:val="es-ES"/>
        </w:rPr>
        <w:t>Se completó la puesta en producción de diversos módulos que fortalecen la operación interna:</w:t>
      </w:r>
    </w:p>
    <w:p w14:paraId="062A119B" w14:textId="77777777" w:rsidR="003F04C7" w:rsidRPr="00232EBB" w:rsidRDefault="003F04C7" w:rsidP="000E2299">
      <w:pPr>
        <w:numPr>
          <w:ilvl w:val="0"/>
          <w:numId w:val="39"/>
        </w:numPr>
        <w:spacing w:before="100" w:beforeAutospacing="1" w:after="100" w:afterAutospacing="1" w:line="360" w:lineRule="auto"/>
        <w:jc w:val="both"/>
        <w:rPr>
          <w:lang w:val="es-ES"/>
        </w:rPr>
      </w:pPr>
      <w:r w:rsidRPr="00232EBB">
        <w:rPr>
          <w:lang w:val="es-ES"/>
        </w:rPr>
        <w:t>Impresión de Cheques para el proceso de generar los cheques de manera automatizada</w:t>
      </w:r>
    </w:p>
    <w:p w14:paraId="16F229FF" w14:textId="77777777" w:rsidR="003F04C7" w:rsidRPr="00232EBB" w:rsidRDefault="003F04C7" w:rsidP="000E2299">
      <w:pPr>
        <w:numPr>
          <w:ilvl w:val="0"/>
          <w:numId w:val="39"/>
        </w:numPr>
        <w:spacing w:before="100" w:beforeAutospacing="1" w:after="100" w:afterAutospacing="1" w:line="360" w:lineRule="auto"/>
        <w:jc w:val="both"/>
        <w:rPr>
          <w:lang w:val="es-ES"/>
        </w:rPr>
      </w:pPr>
      <w:r w:rsidRPr="00232EBB">
        <w:rPr>
          <w:lang w:val="es-ES"/>
        </w:rPr>
        <w:t>Servicios Generales para la Gestión de todos los trabajos realizados por el área de servicios generales que permite mantener el control y trazabilidad de las operaciones.</w:t>
      </w:r>
    </w:p>
    <w:p w14:paraId="6341E870" w14:textId="66A72E97" w:rsidR="003F04C7" w:rsidRPr="00232EBB" w:rsidRDefault="003F04C7" w:rsidP="000E2299">
      <w:pPr>
        <w:numPr>
          <w:ilvl w:val="0"/>
          <w:numId w:val="39"/>
        </w:numPr>
        <w:spacing w:before="100" w:beforeAutospacing="1" w:after="100" w:afterAutospacing="1" w:line="360" w:lineRule="auto"/>
        <w:jc w:val="both"/>
        <w:rPr>
          <w:lang w:val="es-ES"/>
        </w:rPr>
      </w:pPr>
      <w:r w:rsidRPr="00232EBB">
        <w:rPr>
          <w:lang w:val="es-ES"/>
        </w:rPr>
        <w:t>M</w:t>
      </w:r>
      <w:r w:rsidR="008105FE" w:rsidRPr="00232EBB">
        <w:rPr>
          <w:lang w:val="es-ES"/>
        </w:rPr>
        <w:t>ó</w:t>
      </w:r>
      <w:r w:rsidRPr="00232EBB">
        <w:rPr>
          <w:lang w:val="es-ES"/>
        </w:rPr>
        <w:t xml:space="preserve">dulo que permite generar las Inspecciones realizadas por la Dirección de Fiscalización Externa </w:t>
      </w:r>
    </w:p>
    <w:p w14:paraId="0B0362B1" w14:textId="7C8A897F" w:rsidR="003F04C7" w:rsidRPr="00232EBB" w:rsidRDefault="003F04C7" w:rsidP="003F04C7">
      <w:pPr>
        <w:pStyle w:val="Heading1"/>
        <w:spacing w:after="240"/>
        <w:jc w:val="both"/>
        <w:rPr>
          <w:rFonts w:cs="Times New Roman"/>
          <w:spacing w:val="0"/>
          <w:sz w:val="24"/>
          <w:szCs w:val="24"/>
          <w:lang w:val="es-DO"/>
        </w:rPr>
      </w:pPr>
      <w:bookmarkStart w:id="216" w:name="_Toc216952248"/>
      <w:r w:rsidRPr="00232EBB">
        <w:rPr>
          <w:rFonts w:cs="Times New Roman"/>
          <w:spacing w:val="0"/>
          <w:sz w:val="24"/>
          <w:szCs w:val="24"/>
          <w:lang w:val="es-DO"/>
        </w:rPr>
        <w:t>Estadísticas de Desempeño de los procesos</w:t>
      </w:r>
      <w:bookmarkEnd w:id="216"/>
    </w:p>
    <w:p w14:paraId="2F422F53" w14:textId="0BF46D63" w:rsidR="003F04C7" w:rsidRPr="00232EBB" w:rsidRDefault="003F04C7" w:rsidP="00EE6326">
      <w:pPr>
        <w:spacing w:after="0" w:line="360" w:lineRule="auto"/>
        <w:jc w:val="both"/>
        <w:rPr>
          <w:lang w:val="es-ES"/>
        </w:rPr>
      </w:pPr>
      <w:r w:rsidRPr="00232EBB">
        <w:rPr>
          <w:lang w:val="es-ES"/>
        </w:rPr>
        <w:t xml:space="preserve">A lo largo del 2025 se registraron un total de 3,027 </w:t>
      </w:r>
      <w:proofErr w:type="gramStart"/>
      <w:r w:rsidRPr="00232EBB">
        <w:rPr>
          <w:lang w:val="es-ES"/>
        </w:rPr>
        <w:t>tickets</w:t>
      </w:r>
      <w:proofErr w:type="gramEnd"/>
      <w:r w:rsidRPr="00232EBB">
        <w:rPr>
          <w:lang w:val="es-ES"/>
        </w:rPr>
        <w:t xml:space="preserve"> atendidos, con un cumplimiento promedio de SLA del 95.7% en resolución y 4.98% de satisfacción en el servicio, </w:t>
      </w:r>
      <w:r w:rsidR="00C22D9A" w:rsidRPr="00232EBB">
        <w:rPr>
          <w:lang w:val="es-ES"/>
        </w:rPr>
        <w:t>de acuerdo con</w:t>
      </w:r>
      <w:r w:rsidRPr="00232EBB">
        <w:rPr>
          <w:lang w:val="es-ES"/>
        </w:rPr>
        <w:t xml:space="preserve"> la medición realizada. Este desempeño evidencia la consolidación del modelo de atención basado en ITIL y la alta satisfacción de los usuarios interno</w:t>
      </w:r>
      <w:r w:rsidR="008105FE" w:rsidRPr="00232EBB">
        <w:rPr>
          <w:lang w:val="es-ES"/>
        </w:rPr>
        <w:t>s, garantizando la continuidad operativa y la gestión oportuna de registros y novedades de los empleadores.</w:t>
      </w:r>
    </w:p>
    <w:p w14:paraId="191E580C" w14:textId="77777777" w:rsidR="003F04C7" w:rsidRPr="00232EBB" w:rsidRDefault="003F04C7" w:rsidP="00EE6326">
      <w:pPr>
        <w:spacing w:after="0" w:line="360" w:lineRule="auto"/>
        <w:jc w:val="both"/>
        <w:rPr>
          <w:lang w:val="es-ES"/>
        </w:rPr>
      </w:pPr>
    </w:p>
    <w:p w14:paraId="3C24967B" w14:textId="77777777" w:rsidR="003F04C7" w:rsidRPr="00232EBB" w:rsidRDefault="003F04C7" w:rsidP="00EE6326">
      <w:pPr>
        <w:spacing w:after="0" w:line="360" w:lineRule="auto"/>
        <w:jc w:val="both"/>
        <w:rPr>
          <w:lang w:val="es-ES"/>
        </w:rPr>
      </w:pPr>
      <w:r w:rsidRPr="00232EBB">
        <w:rPr>
          <w:lang w:val="es-ES"/>
        </w:rPr>
        <w:t>Asimismo, durante el período se realizaron mantenimientos correctivos y evolutivos, mejoras de seguridad, atención a incidencias y optimizaciones funcionales, fortaleciendo la estabilidad del sistema.</w:t>
      </w:r>
    </w:p>
    <w:p w14:paraId="3F7116BF" w14:textId="69C9C492" w:rsidR="00C22D9A" w:rsidRPr="00232EBB" w:rsidRDefault="00C22D9A" w:rsidP="00C22D9A">
      <w:pPr>
        <w:pStyle w:val="Heading1"/>
        <w:spacing w:after="240"/>
        <w:jc w:val="both"/>
        <w:rPr>
          <w:rFonts w:cs="Times New Roman"/>
          <w:spacing w:val="0"/>
          <w:sz w:val="24"/>
          <w:szCs w:val="24"/>
          <w:lang w:val="es-DO"/>
        </w:rPr>
      </w:pPr>
      <w:bookmarkStart w:id="217" w:name="_Toc216952249"/>
      <w:r w:rsidRPr="00232EBB">
        <w:rPr>
          <w:rFonts w:cs="Times New Roman"/>
          <w:spacing w:val="0"/>
          <w:sz w:val="24"/>
          <w:szCs w:val="24"/>
          <w:lang w:val="es-DO"/>
        </w:rPr>
        <w:t>Replicación de Ambientes y Procesos de Pruebas</w:t>
      </w:r>
      <w:bookmarkEnd w:id="217"/>
    </w:p>
    <w:p w14:paraId="5608560E" w14:textId="77777777" w:rsidR="00C22D9A" w:rsidRPr="00232EBB" w:rsidRDefault="00C22D9A" w:rsidP="00C22D9A">
      <w:pPr>
        <w:spacing w:after="0" w:line="360" w:lineRule="auto"/>
        <w:jc w:val="both"/>
        <w:rPr>
          <w:lang w:val="es-ES"/>
        </w:rPr>
      </w:pPr>
      <w:r w:rsidRPr="00232EBB">
        <w:rPr>
          <w:lang w:val="es-ES"/>
        </w:rPr>
        <w:t>Se habilitaron procesos de replicación controlada entre los ambientes de prueba y producción del sistema SUIR y su módulo de servicios externos. Esto permite validar despliegues con mayor seguridad y mitigar riesgos de interrupción.</w:t>
      </w:r>
    </w:p>
    <w:p w14:paraId="06A7B95C" w14:textId="7C87038E" w:rsidR="00C22D9A" w:rsidRPr="00232EBB" w:rsidRDefault="00C22D9A" w:rsidP="00C22D9A">
      <w:pPr>
        <w:pStyle w:val="Heading1"/>
        <w:spacing w:after="240"/>
        <w:jc w:val="both"/>
        <w:rPr>
          <w:rFonts w:cs="Times New Roman"/>
          <w:spacing w:val="0"/>
          <w:sz w:val="24"/>
          <w:szCs w:val="24"/>
          <w:lang w:val="es-DO"/>
        </w:rPr>
      </w:pPr>
      <w:bookmarkStart w:id="218" w:name="_Toc216952250"/>
      <w:r w:rsidRPr="00232EBB">
        <w:rPr>
          <w:rFonts w:cs="Times New Roman"/>
          <w:spacing w:val="0"/>
          <w:sz w:val="24"/>
          <w:szCs w:val="24"/>
          <w:lang w:val="es-DO"/>
        </w:rPr>
        <w:lastRenderedPageBreak/>
        <w:t>Nuevos Servicios en Línea</w:t>
      </w:r>
      <w:bookmarkEnd w:id="218"/>
      <w:r w:rsidRPr="00232EBB">
        <w:rPr>
          <w:rFonts w:cs="Times New Roman"/>
          <w:spacing w:val="0"/>
          <w:sz w:val="24"/>
          <w:szCs w:val="24"/>
          <w:lang w:val="es-DO"/>
        </w:rPr>
        <w:t xml:space="preserve"> </w:t>
      </w:r>
    </w:p>
    <w:p w14:paraId="749E6BB1" w14:textId="77777777" w:rsidR="00C22D9A" w:rsidRPr="00232EBB" w:rsidRDefault="00C22D9A" w:rsidP="00EE6326">
      <w:pPr>
        <w:spacing w:line="360" w:lineRule="auto"/>
        <w:jc w:val="both"/>
        <w:rPr>
          <w:lang w:val="es-ES"/>
        </w:rPr>
      </w:pPr>
      <w:r w:rsidRPr="00232EBB">
        <w:rPr>
          <w:lang w:val="es-ES"/>
        </w:rPr>
        <w:t>En línea con la modernización institucional, la nueva página web de la TSS, denominada "Servicios", fue diseñada no solo como un portal informativo, sino como una verdadera plataforma de trámites en línea, permitiendo al empleador gestionar procesos clave sin necesidad de trasladarse físicamente a la institución.</w:t>
      </w:r>
    </w:p>
    <w:p w14:paraId="2FB86382" w14:textId="77777777" w:rsidR="00C22D9A" w:rsidRPr="00232EBB" w:rsidRDefault="00C22D9A" w:rsidP="00EE6326">
      <w:pPr>
        <w:spacing w:line="360" w:lineRule="auto"/>
        <w:jc w:val="both"/>
        <w:rPr>
          <w:lang w:val="es-ES"/>
        </w:rPr>
      </w:pPr>
      <w:r w:rsidRPr="00232EBB">
        <w:rPr>
          <w:lang w:val="es-ES"/>
        </w:rPr>
        <w:t>Entre las funcionalidades más destacadas se encuentra la habilitación de servicios críticos como el registro de nuevos empleadores y la solicitud de acuerdos de pago, todo de forma 100% digital. Estos servicios incorporan mecanismos de trazabilidad para que el usuario pueda consultar el estado de su solicitud en todo momento, generando mayor transparencia, eficiencia y confianza.</w:t>
      </w:r>
    </w:p>
    <w:p w14:paraId="3899763A" w14:textId="77777777" w:rsidR="00C22D9A" w:rsidRPr="00232EBB" w:rsidRDefault="00C22D9A" w:rsidP="00EE6326">
      <w:pPr>
        <w:spacing w:line="360" w:lineRule="auto"/>
        <w:jc w:val="both"/>
        <w:rPr>
          <w:lang w:val="es-ES"/>
        </w:rPr>
      </w:pPr>
      <w:r w:rsidRPr="00232EBB">
        <w:rPr>
          <w:lang w:val="es-ES"/>
        </w:rPr>
        <w:t>La experiencia del usuario también se ha enriquecido con un diseño intuitivo y adaptado a dispositivos móviles, permitiendo el acceso desde cualquier lugar. El uso de filtros inteligentes y el enfoque en trámites prioritarios simplifican la navegación, y se han incluido notificaciones automáticas que alertan sobre el estado de los procesos iniciados.</w:t>
      </w:r>
    </w:p>
    <w:p w14:paraId="6AFDC59B" w14:textId="77777777" w:rsidR="00C22D9A" w:rsidRPr="00232EBB" w:rsidRDefault="00C22D9A" w:rsidP="00EE6326">
      <w:pPr>
        <w:spacing w:line="360" w:lineRule="auto"/>
        <w:jc w:val="both"/>
        <w:rPr>
          <w:lang w:val="es-ES"/>
        </w:rPr>
      </w:pPr>
      <w:r w:rsidRPr="00232EBB">
        <w:rPr>
          <w:lang w:val="es-ES"/>
        </w:rPr>
        <w:t>Este nuevo portal refleja el compromiso de la TSS con la transformación digital del Estado, ofreciendo servicios accesibles, seguros y orientados a las necesidades reales de los usuarios. Su implementación consolida a la TSS como una institución pionera en gobierno digital en la República Dominicana</w:t>
      </w:r>
    </w:p>
    <w:p w14:paraId="2EF22E33" w14:textId="77777777" w:rsidR="00C22D9A" w:rsidRPr="00232EBB" w:rsidRDefault="00C22D9A" w:rsidP="00C22D9A">
      <w:pPr>
        <w:pStyle w:val="Heading1"/>
        <w:spacing w:after="240"/>
        <w:jc w:val="both"/>
        <w:rPr>
          <w:rFonts w:cs="Times New Roman"/>
          <w:spacing w:val="0"/>
          <w:sz w:val="24"/>
          <w:szCs w:val="24"/>
          <w:lang w:val="es-DO"/>
        </w:rPr>
      </w:pPr>
      <w:bookmarkStart w:id="219" w:name="_Toc216952251"/>
      <w:r w:rsidRPr="00232EBB">
        <w:rPr>
          <w:rFonts w:cs="Times New Roman"/>
          <w:spacing w:val="0"/>
          <w:sz w:val="24"/>
          <w:szCs w:val="24"/>
          <w:lang w:val="es-DO"/>
        </w:rPr>
        <w:t>10. Análisis Estadístico y Gestión de Información Institucional</w:t>
      </w:r>
      <w:bookmarkEnd w:id="219"/>
    </w:p>
    <w:p w14:paraId="1BE32A1B" w14:textId="77777777" w:rsidR="00C22D9A" w:rsidRPr="00232EBB" w:rsidRDefault="00C22D9A" w:rsidP="00C22D9A">
      <w:pPr>
        <w:spacing w:after="0" w:line="360" w:lineRule="auto"/>
        <w:jc w:val="both"/>
        <w:rPr>
          <w:lang w:val="es-ES"/>
        </w:rPr>
      </w:pPr>
      <w:r w:rsidRPr="00232EBB">
        <w:rPr>
          <w:lang w:val="es-ES"/>
        </w:rPr>
        <w:t>Durante el año 2025 se registraron importantes avances que fortalecen la analítica institucional y la explotación eficiente de datos:</w:t>
      </w:r>
    </w:p>
    <w:p w14:paraId="74D2FD89" w14:textId="77777777" w:rsidR="00C22D9A" w:rsidRPr="00232EBB" w:rsidRDefault="00C22D9A" w:rsidP="000E2299">
      <w:pPr>
        <w:pStyle w:val="ListParagraph"/>
        <w:numPr>
          <w:ilvl w:val="0"/>
          <w:numId w:val="40"/>
        </w:numPr>
        <w:tabs>
          <w:tab w:val="num" w:pos="720"/>
        </w:tabs>
        <w:spacing w:after="0" w:line="360" w:lineRule="auto"/>
        <w:rPr>
          <w:rFonts w:ascii="Times New Roman" w:eastAsiaTheme="minorHAnsi" w:hAnsi="Times New Roman"/>
          <w:color w:val="767171"/>
          <w:spacing w:val="20"/>
          <w:sz w:val="24"/>
          <w:szCs w:val="24"/>
          <w:lang w:val="es-ES"/>
        </w:rPr>
      </w:pPr>
      <w:bookmarkStart w:id="220" w:name="_Hlk216944087"/>
      <w:r w:rsidRPr="00232EBB">
        <w:rPr>
          <w:rFonts w:ascii="Times New Roman" w:eastAsiaTheme="minorHAnsi" w:hAnsi="Times New Roman"/>
          <w:color w:val="767171"/>
          <w:spacing w:val="20"/>
          <w:sz w:val="24"/>
          <w:szCs w:val="24"/>
          <w:lang w:val="es-ES"/>
        </w:rPr>
        <w:t>Implementación y optimización de pipelines de datos para extracción, transformación y carga (ETL).</w:t>
      </w:r>
    </w:p>
    <w:p w14:paraId="5D5565A8" w14:textId="77777777" w:rsidR="00C22D9A" w:rsidRPr="00232EBB" w:rsidRDefault="00C22D9A" w:rsidP="000E2299">
      <w:pPr>
        <w:pStyle w:val="ListParagraph"/>
        <w:numPr>
          <w:ilvl w:val="0"/>
          <w:numId w:val="40"/>
        </w:numPr>
        <w:tabs>
          <w:tab w:val="num" w:pos="720"/>
        </w:tabs>
        <w:spacing w:after="0"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lastRenderedPageBreak/>
        <w:t>Integración del modelo predictivo de morosidad para apoyo en la gestión de cobros.</w:t>
      </w:r>
    </w:p>
    <w:p w14:paraId="3029C5A9" w14:textId="77777777" w:rsidR="00C22D9A" w:rsidRPr="00232EBB" w:rsidRDefault="00C22D9A" w:rsidP="000E2299">
      <w:pPr>
        <w:pStyle w:val="ListParagraph"/>
        <w:numPr>
          <w:ilvl w:val="0"/>
          <w:numId w:val="40"/>
        </w:numPr>
        <w:tabs>
          <w:tab w:val="num" w:pos="720"/>
        </w:tabs>
        <w:spacing w:after="0"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 xml:space="preserve">Creación del </w:t>
      </w:r>
      <w:proofErr w:type="spellStart"/>
      <w:r w:rsidRPr="00232EBB">
        <w:rPr>
          <w:rFonts w:ascii="Times New Roman" w:eastAsiaTheme="minorHAnsi" w:hAnsi="Times New Roman"/>
          <w:color w:val="767171"/>
          <w:spacing w:val="20"/>
          <w:sz w:val="24"/>
          <w:szCs w:val="24"/>
          <w:lang w:val="es-ES"/>
        </w:rPr>
        <w:t>Dashboard</w:t>
      </w:r>
      <w:proofErr w:type="spellEnd"/>
      <w:r w:rsidRPr="00232EBB">
        <w:rPr>
          <w:rFonts w:ascii="Times New Roman" w:eastAsiaTheme="minorHAnsi" w:hAnsi="Times New Roman"/>
          <w:color w:val="767171"/>
          <w:spacing w:val="20"/>
          <w:sz w:val="24"/>
          <w:szCs w:val="24"/>
          <w:lang w:val="es-ES"/>
        </w:rPr>
        <w:t xml:space="preserve"> de la Plataforma de Servicios en Línea.</w:t>
      </w:r>
    </w:p>
    <w:p w14:paraId="4D909FE3" w14:textId="77777777" w:rsidR="00C22D9A" w:rsidRPr="00232EBB" w:rsidRDefault="00C22D9A" w:rsidP="000E2299">
      <w:pPr>
        <w:pStyle w:val="ListParagraph"/>
        <w:numPr>
          <w:ilvl w:val="0"/>
          <w:numId w:val="40"/>
        </w:numPr>
        <w:tabs>
          <w:tab w:val="num" w:pos="720"/>
        </w:tabs>
        <w:spacing w:after="0"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Optimización del informe Panorama y Generalidades de la Cuenta Cuidado de la Salud V3.</w:t>
      </w:r>
    </w:p>
    <w:p w14:paraId="4052A9D9" w14:textId="12CD4ED7" w:rsidR="00C22D9A" w:rsidRPr="00232EBB" w:rsidRDefault="00C22D9A" w:rsidP="000E2299">
      <w:pPr>
        <w:pStyle w:val="ListParagraph"/>
        <w:numPr>
          <w:ilvl w:val="0"/>
          <w:numId w:val="40"/>
        </w:numPr>
        <w:tabs>
          <w:tab w:val="num" w:pos="720"/>
        </w:tabs>
        <w:spacing w:after="0"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Automatización de l</w:t>
      </w:r>
      <w:r w:rsidR="008105FE" w:rsidRPr="00232EBB">
        <w:rPr>
          <w:rFonts w:ascii="Times New Roman" w:eastAsiaTheme="minorHAnsi" w:hAnsi="Times New Roman"/>
          <w:color w:val="767171"/>
          <w:spacing w:val="20"/>
          <w:sz w:val="24"/>
          <w:szCs w:val="24"/>
          <w:lang w:val="es-ES"/>
        </w:rPr>
        <w:t>o</w:t>
      </w:r>
      <w:r w:rsidRPr="00232EBB">
        <w:rPr>
          <w:rFonts w:ascii="Times New Roman" w:eastAsiaTheme="minorHAnsi" w:hAnsi="Times New Roman"/>
          <w:color w:val="767171"/>
          <w:spacing w:val="20"/>
          <w:sz w:val="24"/>
          <w:szCs w:val="24"/>
          <w:lang w:val="es-ES"/>
        </w:rPr>
        <w:t>s boletin</w:t>
      </w:r>
      <w:r w:rsidR="008105FE" w:rsidRPr="00232EBB">
        <w:rPr>
          <w:rFonts w:ascii="Times New Roman" w:eastAsiaTheme="minorHAnsi" w:hAnsi="Times New Roman"/>
          <w:color w:val="767171"/>
          <w:spacing w:val="20"/>
          <w:sz w:val="24"/>
          <w:szCs w:val="24"/>
          <w:lang w:val="es-ES"/>
        </w:rPr>
        <w:t>es</w:t>
      </w:r>
      <w:r w:rsidRPr="00232EBB">
        <w:rPr>
          <w:rFonts w:ascii="Times New Roman" w:eastAsiaTheme="minorHAnsi" w:hAnsi="Times New Roman"/>
          <w:color w:val="767171"/>
          <w:spacing w:val="20"/>
          <w:sz w:val="24"/>
          <w:szCs w:val="24"/>
          <w:lang w:val="es-ES"/>
        </w:rPr>
        <w:t xml:space="preserve"> de datos estadísticos del SDSS.</w:t>
      </w:r>
    </w:p>
    <w:p w14:paraId="3E4AB044" w14:textId="77777777" w:rsidR="00C22D9A" w:rsidRPr="00232EBB" w:rsidRDefault="00C22D9A" w:rsidP="000E2299">
      <w:pPr>
        <w:pStyle w:val="ListParagraph"/>
        <w:numPr>
          <w:ilvl w:val="0"/>
          <w:numId w:val="40"/>
        </w:numPr>
        <w:tabs>
          <w:tab w:val="num" w:pos="720"/>
        </w:tabs>
        <w:spacing w:after="0"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 xml:space="preserve">Optimización del </w:t>
      </w:r>
      <w:proofErr w:type="spellStart"/>
      <w:r w:rsidRPr="00232EBB">
        <w:rPr>
          <w:rFonts w:ascii="Times New Roman" w:eastAsiaTheme="minorHAnsi" w:hAnsi="Times New Roman"/>
          <w:color w:val="767171"/>
          <w:spacing w:val="20"/>
          <w:sz w:val="24"/>
          <w:szCs w:val="24"/>
          <w:lang w:val="es-ES"/>
        </w:rPr>
        <w:t>Dashboard</w:t>
      </w:r>
      <w:proofErr w:type="spellEnd"/>
      <w:r w:rsidRPr="00232EBB">
        <w:rPr>
          <w:rFonts w:ascii="Times New Roman" w:eastAsiaTheme="minorHAnsi" w:hAnsi="Times New Roman"/>
          <w:color w:val="767171"/>
          <w:spacing w:val="20"/>
          <w:sz w:val="24"/>
          <w:szCs w:val="24"/>
          <w:lang w:val="es-ES"/>
        </w:rPr>
        <w:t xml:space="preserve"> Tablero de Indicadores TSS.</w:t>
      </w:r>
    </w:p>
    <w:p w14:paraId="5258F0A7" w14:textId="77777777" w:rsidR="00C22D9A" w:rsidRPr="00232EBB" w:rsidRDefault="00C22D9A" w:rsidP="00EE6326">
      <w:pPr>
        <w:pStyle w:val="ListParagraph"/>
        <w:numPr>
          <w:ilvl w:val="0"/>
          <w:numId w:val="40"/>
        </w:numPr>
        <w:tabs>
          <w:tab w:val="num" w:pos="720"/>
        </w:tabs>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 xml:space="preserve">Creación del </w:t>
      </w:r>
      <w:proofErr w:type="spellStart"/>
      <w:r w:rsidRPr="00232EBB">
        <w:rPr>
          <w:rFonts w:ascii="Times New Roman" w:eastAsiaTheme="minorHAnsi" w:hAnsi="Times New Roman"/>
          <w:color w:val="767171"/>
          <w:spacing w:val="20"/>
          <w:sz w:val="24"/>
          <w:szCs w:val="24"/>
          <w:lang w:val="es-ES"/>
        </w:rPr>
        <w:t>Dashboard</w:t>
      </w:r>
      <w:proofErr w:type="spellEnd"/>
      <w:r w:rsidRPr="00232EBB">
        <w:rPr>
          <w:rFonts w:ascii="Times New Roman" w:eastAsiaTheme="minorHAnsi" w:hAnsi="Times New Roman"/>
          <w:color w:val="767171"/>
          <w:spacing w:val="20"/>
          <w:sz w:val="24"/>
          <w:szCs w:val="24"/>
          <w:lang w:val="es-ES"/>
        </w:rPr>
        <w:t xml:space="preserve"> de Porcentaje de Pago de </w:t>
      </w:r>
      <w:proofErr w:type="spellStart"/>
      <w:r w:rsidRPr="00232EBB">
        <w:rPr>
          <w:rFonts w:ascii="Times New Roman" w:eastAsiaTheme="minorHAnsi" w:hAnsi="Times New Roman"/>
          <w:color w:val="767171"/>
          <w:spacing w:val="20"/>
          <w:sz w:val="24"/>
          <w:szCs w:val="24"/>
          <w:lang w:val="es-ES"/>
        </w:rPr>
        <w:t>NPs</w:t>
      </w:r>
      <w:proofErr w:type="spellEnd"/>
      <w:r w:rsidRPr="00232EBB">
        <w:rPr>
          <w:rFonts w:ascii="Times New Roman" w:eastAsiaTheme="minorHAnsi" w:hAnsi="Times New Roman"/>
          <w:color w:val="767171"/>
          <w:spacing w:val="20"/>
          <w:sz w:val="24"/>
          <w:szCs w:val="24"/>
          <w:lang w:val="es-ES"/>
        </w:rPr>
        <w:t>.</w:t>
      </w:r>
    </w:p>
    <w:bookmarkEnd w:id="220"/>
    <w:p w14:paraId="3915093D" w14:textId="34493C48" w:rsidR="00C22D9A" w:rsidRPr="00232EBB" w:rsidRDefault="00C22D9A" w:rsidP="001C0F69">
      <w:pPr>
        <w:spacing w:line="360" w:lineRule="auto"/>
        <w:jc w:val="both"/>
        <w:rPr>
          <w:lang w:val="es-ES"/>
        </w:rPr>
      </w:pPr>
      <w:r w:rsidRPr="00232EBB">
        <w:rPr>
          <w:lang w:val="es-ES"/>
        </w:rPr>
        <w:t>Estos logros fortalecen la capacidad de análisis institucional, mejoran la disponibilidad de información estratégica y permiten una toma de decisiones más oportuna.</w:t>
      </w:r>
    </w:p>
    <w:p w14:paraId="77104971" w14:textId="77777777" w:rsidR="00C22D9A" w:rsidRPr="00232EBB" w:rsidRDefault="00C22D9A" w:rsidP="00EE6326">
      <w:pPr>
        <w:pStyle w:val="ListParagraph"/>
        <w:numPr>
          <w:ilvl w:val="0"/>
          <w:numId w:val="41"/>
        </w:numPr>
        <w:tabs>
          <w:tab w:val="num" w:pos="720"/>
        </w:tabs>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Se publicaron informes estadísticos y estudios relevantes como el de los Determinantes de la Recaudación.</w:t>
      </w:r>
    </w:p>
    <w:p w14:paraId="46DE5D8D" w14:textId="77777777" w:rsidR="00C22D9A" w:rsidRPr="00232EBB" w:rsidRDefault="00C22D9A" w:rsidP="000E2299">
      <w:pPr>
        <w:pStyle w:val="ListParagraph"/>
        <w:numPr>
          <w:ilvl w:val="0"/>
          <w:numId w:val="41"/>
        </w:numPr>
        <w:tabs>
          <w:tab w:val="num" w:pos="720"/>
        </w:tabs>
        <w:spacing w:after="0"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La TSS fue reconocida en medios nacionales por su labor en el manejo financiero de la seguridad social.</w:t>
      </w:r>
    </w:p>
    <w:p w14:paraId="5BB7BA78" w14:textId="28BBA6D5" w:rsidR="00C22D9A" w:rsidRPr="00232EBB" w:rsidRDefault="00C22D9A" w:rsidP="000E2299">
      <w:pPr>
        <w:pStyle w:val="ListParagraph"/>
        <w:numPr>
          <w:ilvl w:val="0"/>
          <w:numId w:val="41"/>
        </w:numPr>
        <w:tabs>
          <w:tab w:val="num" w:pos="720"/>
        </w:tabs>
        <w:spacing w:after="0"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 xml:space="preserve">Las informaciones publicadas sirvieron como referencia para la publicación de artículos en n los periódicos, debajo los </w:t>
      </w:r>
      <w:proofErr w:type="gramStart"/>
      <w:r w:rsidRPr="00232EBB">
        <w:rPr>
          <w:rFonts w:ascii="Times New Roman" w:eastAsiaTheme="minorHAnsi" w:hAnsi="Times New Roman"/>
          <w:color w:val="767171"/>
          <w:spacing w:val="20"/>
          <w:sz w:val="24"/>
          <w:szCs w:val="24"/>
          <w:lang w:val="es-ES"/>
        </w:rPr>
        <w:t>links</w:t>
      </w:r>
      <w:proofErr w:type="gramEnd"/>
      <w:r w:rsidRPr="00232EBB">
        <w:rPr>
          <w:rFonts w:ascii="Times New Roman" w:eastAsiaTheme="minorHAnsi" w:hAnsi="Times New Roman"/>
          <w:color w:val="767171"/>
          <w:spacing w:val="20"/>
          <w:sz w:val="24"/>
          <w:szCs w:val="24"/>
          <w:lang w:val="es-ES"/>
        </w:rPr>
        <w:t xml:space="preserve"> de estas publicaciones.</w:t>
      </w:r>
    </w:p>
    <w:p w14:paraId="32797C0A" w14:textId="77777777" w:rsidR="00C22D9A" w:rsidRPr="00232EBB" w:rsidRDefault="00E223B8" w:rsidP="000E2299">
      <w:pPr>
        <w:pStyle w:val="ListParagraph"/>
        <w:numPr>
          <w:ilvl w:val="0"/>
          <w:numId w:val="41"/>
        </w:numPr>
        <w:tabs>
          <w:tab w:val="num" w:pos="1440"/>
        </w:tabs>
        <w:spacing w:after="0" w:line="360" w:lineRule="auto"/>
        <w:rPr>
          <w:rFonts w:ascii="Times New Roman" w:eastAsiaTheme="minorHAnsi" w:hAnsi="Times New Roman"/>
          <w:color w:val="767171"/>
          <w:spacing w:val="20"/>
          <w:sz w:val="24"/>
          <w:szCs w:val="24"/>
          <w:lang w:val="es-ES"/>
        </w:rPr>
      </w:pPr>
      <w:hyperlink r:id="rId48" w:tgtFrame="_blank" w:tooltip="https://eldinero.com.do/321852/sector-publico-evita-deficit-de-cuenta-de-salud-en-la-tss/" w:history="1">
        <w:r w:rsidR="00C22D9A" w:rsidRPr="00232EBB">
          <w:rPr>
            <w:rFonts w:ascii="Times New Roman" w:eastAsiaTheme="minorHAnsi" w:hAnsi="Times New Roman"/>
            <w:color w:val="767171"/>
            <w:spacing w:val="20"/>
            <w:sz w:val="24"/>
            <w:szCs w:val="24"/>
            <w:lang w:val="es-ES"/>
          </w:rPr>
          <w:t>Sector público evita déficit de cuenta de salud en la TSS</w:t>
        </w:r>
      </w:hyperlink>
    </w:p>
    <w:p w14:paraId="79985B6E" w14:textId="77777777" w:rsidR="00C22D9A" w:rsidRPr="00232EBB" w:rsidRDefault="00E223B8" w:rsidP="000E2299">
      <w:pPr>
        <w:pStyle w:val="ListParagraph"/>
        <w:numPr>
          <w:ilvl w:val="0"/>
          <w:numId w:val="41"/>
        </w:numPr>
        <w:tabs>
          <w:tab w:val="num" w:pos="1440"/>
        </w:tabs>
        <w:spacing w:after="0" w:line="360" w:lineRule="auto"/>
        <w:rPr>
          <w:rFonts w:ascii="Times New Roman" w:eastAsiaTheme="minorHAnsi" w:hAnsi="Times New Roman"/>
          <w:color w:val="767171"/>
          <w:spacing w:val="20"/>
          <w:sz w:val="24"/>
          <w:szCs w:val="24"/>
          <w:lang w:val="es-ES"/>
        </w:rPr>
      </w:pPr>
      <w:hyperlink r:id="rId49" w:history="1">
        <w:r w:rsidR="00C22D9A" w:rsidRPr="00232EBB">
          <w:rPr>
            <w:rFonts w:ascii="Times New Roman" w:eastAsiaTheme="minorHAnsi" w:hAnsi="Times New Roman"/>
            <w:color w:val="767171"/>
            <w:spacing w:val="20"/>
            <w:sz w:val="24"/>
            <w:szCs w:val="24"/>
            <w:lang w:val="es-ES"/>
          </w:rPr>
          <w:t>Seguridad Social: La TSS, el gigante recaudador</w:t>
        </w:r>
      </w:hyperlink>
    </w:p>
    <w:p w14:paraId="64F875F5" w14:textId="77777777" w:rsidR="00C22D9A" w:rsidRPr="00232EBB" w:rsidRDefault="00C22D9A" w:rsidP="000E2299">
      <w:pPr>
        <w:pStyle w:val="ListParagraph"/>
        <w:numPr>
          <w:ilvl w:val="0"/>
          <w:numId w:val="41"/>
        </w:numPr>
        <w:tabs>
          <w:tab w:val="num" w:pos="720"/>
        </w:tabs>
        <w:spacing w:after="0"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Se obtuvo la recertificación en la norma NORTIC E1.</w:t>
      </w:r>
    </w:p>
    <w:p w14:paraId="611D13F8" w14:textId="77777777" w:rsidR="00871FDE" w:rsidRPr="00232EBB" w:rsidRDefault="00871FDE" w:rsidP="00871FDE">
      <w:pPr>
        <w:pStyle w:val="ListParagraph"/>
        <w:spacing w:after="0" w:line="360" w:lineRule="auto"/>
        <w:ind w:firstLine="0"/>
        <w:rPr>
          <w:rFonts w:ascii="Times New Roman" w:eastAsiaTheme="minorHAnsi" w:hAnsi="Times New Roman"/>
          <w:color w:val="767171"/>
          <w:spacing w:val="20"/>
          <w:sz w:val="24"/>
          <w:szCs w:val="24"/>
          <w:lang w:val="es-ES"/>
        </w:rPr>
      </w:pPr>
    </w:p>
    <w:p w14:paraId="0C0C4E7A" w14:textId="3D28DC9E" w:rsidR="00490DE2" w:rsidRPr="00232EBB" w:rsidRDefault="00490DE2" w:rsidP="001C0F69">
      <w:pPr>
        <w:pStyle w:val="Heading1"/>
        <w:spacing w:before="0" w:after="240"/>
        <w:jc w:val="both"/>
        <w:rPr>
          <w:rFonts w:cs="Times New Roman"/>
          <w:spacing w:val="0"/>
          <w:sz w:val="24"/>
          <w:szCs w:val="24"/>
          <w:lang w:val="es-DO"/>
        </w:rPr>
      </w:pPr>
      <w:bookmarkStart w:id="221" w:name="_Toc216952252"/>
      <w:r w:rsidRPr="00232EBB">
        <w:rPr>
          <w:rFonts w:cs="Times New Roman"/>
          <w:spacing w:val="0"/>
          <w:sz w:val="24"/>
          <w:szCs w:val="24"/>
          <w:lang w:val="es-DO"/>
        </w:rPr>
        <w:t>Resultados obtenidos en el Índice de Uso de TIC e Implementación de Gobierno Electrónico (ITICGE) durante el año y justificación en caso de incumplimiento</w:t>
      </w:r>
      <w:bookmarkEnd w:id="203"/>
      <w:bookmarkEnd w:id="204"/>
      <w:bookmarkEnd w:id="205"/>
      <w:bookmarkEnd w:id="206"/>
      <w:bookmarkEnd w:id="207"/>
      <w:r w:rsidR="00B07950" w:rsidRPr="00232EBB">
        <w:rPr>
          <w:rFonts w:cs="Times New Roman"/>
          <w:spacing w:val="0"/>
          <w:sz w:val="24"/>
          <w:szCs w:val="24"/>
          <w:lang w:val="es-DO"/>
        </w:rPr>
        <w:t>.</w:t>
      </w:r>
      <w:bookmarkEnd w:id="221"/>
    </w:p>
    <w:p w14:paraId="4F2B5192" w14:textId="17F77FF5" w:rsidR="00490DE2" w:rsidRPr="00232EBB" w:rsidRDefault="00490DE2" w:rsidP="001C0F69">
      <w:pPr>
        <w:spacing w:line="360" w:lineRule="auto"/>
        <w:jc w:val="both"/>
        <w:rPr>
          <w:lang w:val="es-ES"/>
        </w:rPr>
      </w:pPr>
      <w:r w:rsidRPr="00232EBB">
        <w:rPr>
          <w:lang w:val="es-ES"/>
        </w:rPr>
        <w:t xml:space="preserve">Se ha logrado un notable avance en el indicador del SISTICGE, la herramienta de medición que evalúa el progreso de la </w:t>
      </w:r>
      <w:r w:rsidRPr="00232EBB">
        <w:rPr>
          <w:lang w:val="es-ES"/>
        </w:rPr>
        <w:lastRenderedPageBreak/>
        <w:t>implementación de las TIC, el e-Gobierno, Gobierno Abierto, e-Participación y los Servicios en Línea en el Estado Dominicano.</w:t>
      </w:r>
    </w:p>
    <w:p w14:paraId="7AF8B76E" w14:textId="77777777" w:rsidR="003F04C7" w:rsidRPr="00232EBB" w:rsidRDefault="003F04C7" w:rsidP="001C0F69">
      <w:pPr>
        <w:spacing w:line="360" w:lineRule="auto"/>
        <w:jc w:val="both"/>
        <w:rPr>
          <w:lang w:val="es-ES"/>
        </w:rPr>
      </w:pPr>
      <w:r w:rsidRPr="00232EBB">
        <w:rPr>
          <w:lang w:val="es-ES"/>
        </w:rPr>
        <w:t>La institución logró un avance significativo en el cumplimiento del SISTICGE, elevando su puntuación a 74.19%, lo que permitió pasar del puesto 27 al puesto 21 en el ranking nacional. Este resultado evidencia el fortalecimiento de los controles internos, la gestión documental y el cumplimiento de estándares gubernamentales.</w:t>
      </w:r>
    </w:p>
    <w:tbl>
      <w:tblPr>
        <w:tblStyle w:val="TableGrid"/>
        <w:tblpPr w:leftFromText="141" w:rightFromText="141" w:vertAnchor="page" w:horzAnchor="margin" w:tblpY="10877"/>
        <w:tblW w:w="7560" w:type="dxa"/>
        <w:tblLook w:val="04A0" w:firstRow="1" w:lastRow="0" w:firstColumn="1" w:lastColumn="0" w:noHBand="0" w:noVBand="1"/>
      </w:tblPr>
      <w:tblGrid>
        <w:gridCol w:w="3955"/>
        <w:gridCol w:w="2025"/>
        <w:gridCol w:w="1580"/>
      </w:tblGrid>
      <w:tr w:rsidR="00DD7973" w:rsidRPr="00232EBB" w14:paraId="3A716773" w14:textId="77777777" w:rsidTr="00DD7973">
        <w:trPr>
          <w:trHeight w:val="347"/>
          <w:tblHeader/>
        </w:trPr>
        <w:tc>
          <w:tcPr>
            <w:tcW w:w="7560" w:type="dxa"/>
            <w:gridSpan w:val="3"/>
            <w:shd w:val="clear" w:color="auto" w:fill="1F3864" w:themeFill="accent1" w:themeFillShade="80"/>
          </w:tcPr>
          <w:p w14:paraId="01266EB3" w14:textId="77777777" w:rsidR="00DD7973" w:rsidRPr="00232EBB" w:rsidRDefault="00DD7973" w:rsidP="00DD7973">
            <w:pPr>
              <w:pStyle w:val="xxmsonormal"/>
              <w:spacing w:line="360" w:lineRule="auto"/>
              <w:jc w:val="center"/>
              <w:rPr>
                <w:rFonts w:ascii="Times New Roman" w:hAnsi="Times New Roman" w:cs="Times New Roman"/>
                <w:b/>
                <w:bCs/>
                <w:color w:val="FFFFFF" w:themeColor="background1"/>
                <w:lang w:val="es-ES"/>
              </w:rPr>
            </w:pPr>
            <w:bookmarkStart w:id="222" w:name="_Hlk152923439"/>
            <w:bookmarkStart w:id="223" w:name="_Toc171677867"/>
            <w:bookmarkStart w:id="224" w:name="_Toc172119874"/>
            <w:bookmarkStart w:id="225" w:name="_Toc172120207"/>
            <w:bookmarkStart w:id="226" w:name="_Toc172121425"/>
            <w:bookmarkStart w:id="227" w:name="_Hlk171503917"/>
            <w:r w:rsidRPr="00232EBB">
              <w:rPr>
                <w:rFonts w:ascii="Times New Roman" w:eastAsia="Calibri" w:hAnsi="Times New Roman" w:cs="Times New Roman"/>
                <w:b/>
                <w:bCs/>
                <w:noProof/>
                <w:color w:val="FFFFFF" w:themeColor="background1"/>
                <w:spacing w:val="20"/>
              </w:rPr>
              <w:t>Indicador Sisticge</w:t>
            </w:r>
          </w:p>
        </w:tc>
      </w:tr>
      <w:tr w:rsidR="00DD7973" w:rsidRPr="00232EBB" w14:paraId="551AC3F6" w14:textId="77777777" w:rsidTr="00DD7973">
        <w:trPr>
          <w:trHeight w:val="230"/>
          <w:tblHeader/>
        </w:trPr>
        <w:tc>
          <w:tcPr>
            <w:tcW w:w="3955" w:type="dxa"/>
            <w:shd w:val="clear" w:color="auto" w:fill="1F3864" w:themeFill="accent1" w:themeFillShade="80"/>
            <w:hideMark/>
          </w:tcPr>
          <w:p w14:paraId="2B9A8260" w14:textId="77777777" w:rsidR="00DD7973" w:rsidRPr="00232EBB" w:rsidRDefault="00DD7973" w:rsidP="00DD7973">
            <w:pPr>
              <w:pStyle w:val="xxmsonormal"/>
              <w:spacing w:line="360" w:lineRule="auto"/>
              <w:jc w:val="center"/>
              <w:rPr>
                <w:rFonts w:ascii="Times New Roman" w:hAnsi="Times New Roman" w:cs="Times New Roman"/>
                <w:b/>
                <w:bCs/>
                <w:color w:val="FFFFFF" w:themeColor="background1"/>
              </w:rPr>
            </w:pPr>
            <w:proofErr w:type="spellStart"/>
            <w:r w:rsidRPr="00232EBB">
              <w:rPr>
                <w:rFonts w:ascii="Times New Roman" w:hAnsi="Times New Roman" w:cs="Times New Roman"/>
                <w:b/>
                <w:bCs/>
                <w:color w:val="FFFFFF" w:themeColor="background1"/>
                <w:lang w:val="es-ES"/>
              </w:rPr>
              <w:t>Subpilar</w:t>
            </w:r>
            <w:proofErr w:type="spellEnd"/>
          </w:p>
        </w:tc>
        <w:tc>
          <w:tcPr>
            <w:tcW w:w="2025" w:type="dxa"/>
            <w:shd w:val="clear" w:color="auto" w:fill="1F3864" w:themeFill="accent1" w:themeFillShade="80"/>
          </w:tcPr>
          <w:p w14:paraId="61887510" w14:textId="77777777" w:rsidR="00DD7973" w:rsidRPr="00232EBB" w:rsidRDefault="00DD7973" w:rsidP="00DD7973">
            <w:pPr>
              <w:pStyle w:val="xxmsonormal"/>
              <w:spacing w:line="360" w:lineRule="auto"/>
              <w:jc w:val="center"/>
              <w:rPr>
                <w:rFonts w:ascii="Times New Roman" w:hAnsi="Times New Roman" w:cs="Times New Roman"/>
                <w:b/>
                <w:bCs/>
                <w:color w:val="FFFFFF" w:themeColor="background1"/>
                <w:lang w:val="es-ES"/>
              </w:rPr>
            </w:pPr>
            <w:r w:rsidRPr="00232EBB">
              <w:rPr>
                <w:rFonts w:ascii="Times New Roman" w:hAnsi="Times New Roman" w:cs="Times New Roman"/>
                <w:b/>
                <w:bCs/>
                <w:color w:val="FFFFFF" w:themeColor="background1"/>
                <w:lang w:val="es-ES"/>
              </w:rPr>
              <w:t>Cumplimiento</w:t>
            </w:r>
          </w:p>
        </w:tc>
        <w:tc>
          <w:tcPr>
            <w:tcW w:w="1580" w:type="dxa"/>
            <w:shd w:val="clear" w:color="auto" w:fill="1F3864" w:themeFill="accent1" w:themeFillShade="80"/>
          </w:tcPr>
          <w:p w14:paraId="4AFFDEFF" w14:textId="77777777" w:rsidR="00DD7973" w:rsidRPr="00232EBB" w:rsidRDefault="00DD7973" w:rsidP="00DD7973">
            <w:pPr>
              <w:pStyle w:val="xxmsonormal"/>
              <w:spacing w:line="360" w:lineRule="auto"/>
              <w:jc w:val="center"/>
              <w:rPr>
                <w:rFonts w:ascii="Times New Roman" w:hAnsi="Times New Roman" w:cs="Times New Roman"/>
                <w:b/>
                <w:bCs/>
                <w:color w:val="FFFFFF" w:themeColor="background1"/>
                <w:lang w:val="es-ES"/>
              </w:rPr>
            </w:pPr>
            <w:r w:rsidRPr="00232EBB">
              <w:rPr>
                <w:rFonts w:ascii="Times New Roman" w:hAnsi="Times New Roman" w:cs="Times New Roman"/>
                <w:b/>
                <w:bCs/>
                <w:color w:val="FFFFFF" w:themeColor="background1"/>
                <w:lang w:val="es-ES"/>
              </w:rPr>
              <w:t>Posición</w:t>
            </w:r>
          </w:p>
        </w:tc>
      </w:tr>
      <w:tr w:rsidR="00DD7973" w:rsidRPr="00232EBB" w14:paraId="2B638925" w14:textId="77777777" w:rsidTr="00871FDE">
        <w:trPr>
          <w:trHeight w:val="203"/>
        </w:trPr>
        <w:tc>
          <w:tcPr>
            <w:tcW w:w="3955" w:type="dxa"/>
            <w:noWrap/>
            <w:vAlign w:val="center"/>
          </w:tcPr>
          <w:p w14:paraId="7EDCA0B6" w14:textId="77777777" w:rsidR="00DD7973" w:rsidRPr="00232EBB" w:rsidRDefault="00DD7973" w:rsidP="00871FDE">
            <w:pPr>
              <w:pStyle w:val="xxmsonormal"/>
              <w:spacing w:line="360" w:lineRule="auto"/>
              <w:rPr>
                <w:rFonts w:ascii="Times New Roman" w:eastAsia="Calibri" w:hAnsi="Times New Roman" w:cs="Times New Roman"/>
                <w:noProof/>
                <w:color w:val="767171"/>
                <w:spacing w:val="20"/>
                <w:sz w:val="24"/>
                <w:szCs w:val="24"/>
                <w:lang w:eastAsia="en-US"/>
              </w:rPr>
            </w:pPr>
            <w:r w:rsidRPr="00232EBB">
              <w:rPr>
                <w:rFonts w:ascii="Times New Roman" w:eastAsia="Calibri" w:hAnsi="Times New Roman" w:cs="Times New Roman"/>
                <w:noProof/>
                <w:color w:val="767171"/>
                <w:spacing w:val="20"/>
                <w:sz w:val="24"/>
                <w:szCs w:val="24"/>
              </w:rPr>
              <w:t>Usos de la TIC</w:t>
            </w:r>
          </w:p>
        </w:tc>
        <w:tc>
          <w:tcPr>
            <w:tcW w:w="2025" w:type="dxa"/>
            <w:vAlign w:val="center"/>
          </w:tcPr>
          <w:p w14:paraId="710E58FB"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rPr>
            </w:pPr>
            <w:r w:rsidRPr="00232EBB">
              <w:rPr>
                <w:rFonts w:ascii="Times New Roman" w:eastAsia="Calibri" w:hAnsi="Times New Roman" w:cs="Times New Roman"/>
                <w:noProof/>
                <w:color w:val="767171"/>
                <w:spacing w:val="20"/>
                <w:sz w:val="24"/>
                <w:szCs w:val="24"/>
              </w:rPr>
              <w:t>12.17</w:t>
            </w:r>
          </w:p>
        </w:tc>
        <w:tc>
          <w:tcPr>
            <w:tcW w:w="1580" w:type="dxa"/>
            <w:vMerge w:val="restart"/>
            <w:vAlign w:val="center"/>
          </w:tcPr>
          <w:p w14:paraId="4E78808E"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highlight w:val="yellow"/>
              </w:rPr>
            </w:pPr>
          </w:p>
          <w:p w14:paraId="7FE8ACA9"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highlight w:val="yellow"/>
              </w:rPr>
            </w:pPr>
          </w:p>
          <w:p w14:paraId="1C34D0E0"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highlight w:val="yellow"/>
              </w:rPr>
            </w:pPr>
          </w:p>
          <w:p w14:paraId="313DD00E"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highlight w:val="yellow"/>
                <w:lang w:eastAsia="en-US"/>
              </w:rPr>
            </w:pPr>
            <w:r w:rsidRPr="00232EBB">
              <w:rPr>
                <w:rFonts w:ascii="Times New Roman" w:eastAsia="Calibri" w:hAnsi="Times New Roman" w:cs="Times New Roman"/>
                <w:noProof/>
                <w:color w:val="767171"/>
                <w:spacing w:val="20"/>
                <w:sz w:val="24"/>
                <w:szCs w:val="24"/>
              </w:rPr>
              <w:t>21</w:t>
            </w:r>
          </w:p>
        </w:tc>
      </w:tr>
      <w:tr w:rsidR="00DD7973" w:rsidRPr="00232EBB" w14:paraId="488560E3" w14:textId="77777777" w:rsidTr="00871FDE">
        <w:trPr>
          <w:trHeight w:val="230"/>
        </w:trPr>
        <w:tc>
          <w:tcPr>
            <w:tcW w:w="3955" w:type="dxa"/>
            <w:noWrap/>
            <w:vAlign w:val="center"/>
          </w:tcPr>
          <w:p w14:paraId="2491250A" w14:textId="77777777" w:rsidR="00DD7973" w:rsidRPr="00232EBB" w:rsidRDefault="00DD7973" w:rsidP="00871FDE">
            <w:pPr>
              <w:pStyle w:val="xxmsonormal"/>
              <w:spacing w:line="360" w:lineRule="auto"/>
              <w:rPr>
                <w:rFonts w:ascii="Times New Roman" w:eastAsia="Calibri" w:hAnsi="Times New Roman" w:cs="Times New Roman"/>
                <w:noProof/>
                <w:color w:val="767171"/>
                <w:spacing w:val="20"/>
                <w:sz w:val="24"/>
                <w:szCs w:val="24"/>
                <w:lang w:eastAsia="en-US"/>
              </w:rPr>
            </w:pPr>
            <w:r w:rsidRPr="00232EBB">
              <w:rPr>
                <w:rFonts w:ascii="Times New Roman" w:eastAsia="Calibri" w:hAnsi="Times New Roman" w:cs="Times New Roman"/>
                <w:noProof/>
                <w:color w:val="767171"/>
                <w:spacing w:val="20"/>
                <w:sz w:val="24"/>
                <w:szCs w:val="24"/>
              </w:rPr>
              <w:t>Gobierno digigal</w:t>
            </w:r>
          </w:p>
        </w:tc>
        <w:tc>
          <w:tcPr>
            <w:tcW w:w="2025" w:type="dxa"/>
            <w:vAlign w:val="center"/>
          </w:tcPr>
          <w:p w14:paraId="6F46A6E1"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rPr>
            </w:pPr>
            <w:r w:rsidRPr="00232EBB">
              <w:rPr>
                <w:rFonts w:ascii="Times New Roman" w:eastAsia="Calibri" w:hAnsi="Times New Roman" w:cs="Times New Roman"/>
                <w:noProof/>
                <w:color w:val="767171"/>
                <w:spacing w:val="20"/>
                <w:sz w:val="24"/>
                <w:szCs w:val="24"/>
              </w:rPr>
              <w:t>20.61</w:t>
            </w:r>
          </w:p>
        </w:tc>
        <w:tc>
          <w:tcPr>
            <w:tcW w:w="1580" w:type="dxa"/>
            <w:vMerge/>
            <w:vAlign w:val="center"/>
          </w:tcPr>
          <w:p w14:paraId="047CF310"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r w:rsidR="00DD7973" w:rsidRPr="00232EBB" w14:paraId="523C6C10" w14:textId="77777777" w:rsidTr="00871FDE">
        <w:trPr>
          <w:trHeight w:val="338"/>
        </w:trPr>
        <w:tc>
          <w:tcPr>
            <w:tcW w:w="3955" w:type="dxa"/>
            <w:noWrap/>
            <w:vAlign w:val="center"/>
          </w:tcPr>
          <w:p w14:paraId="3FE2C785" w14:textId="77777777" w:rsidR="00DD7973" w:rsidRPr="00232EBB" w:rsidRDefault="00DD7973" w:rsidP="00871FDE">
            <w:pPr>
              <w:pStyle w:val="xxmsonormal"/>
              <w:spacing w:line="360" w:lineRule="auto"/>
              <w:rPr>
                <w:rFonts w:ascii="Times New Roman" w:eastAsia="Calibri" w:hAnsi="Times New Roman" w:cs="Times New Roman"/>
                <w:noProof/>
                <w:color w:val="767171"/>
                <w:spacing w:val="20"/>
                <w:sz w:val="24"/>
                <w:szCs w:val="24"/>
                <w:lang w:eastAsia="en-US"/>
              </w:rPr>
            </w:pPr>
            <w:r w:rsidRPr="00232EBB">
              <w:rPr>
                <w:rFonts w:ascii="Times New Roman" w:eastAsia="Calibri" w:hAnsi="Times New Roman" w:cs="Times New Roman"/>
                <w:noProof/>
                <w:color w:val="767171"/>
                <w:spacing w:val="20"/>
                <w:sz w:val="24"/>
                <w:szCs w:val="24"/>
              </w:rPr>
              <w:t>Innovación</w:t>
            </w:r>
          </w:p>
        </w:tc>
        <w:tc>
          <w:tcPr>
            <w:tcW w:w="2025" w:type="dxa"/>
            <w:vAlign w:val="center"/>
          </w:tcPr>
          <w:p w14:paraId="7A0D1819"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rPr>
            </w:pPr>
            <w:r w:rsidRPr="00232EBB">
              <w:rPr>
                <w:rFonts w:ascii="Times New Roman" w:eastAsia="Calibri" w:hAnsi="Times New Roman" w:cs="Times New Roman"/>
                <w:noProof/>
                <w:color w:val="767171"/>
                <w:spacing w:val="20"/>
                <w:sz w:val="24"/>
                <w:szCs w:val="24"/>
              </w:rPr>
              <w:t>2</w:t>
            </w:r>
          </w:p>
        </w:tc>
        <w:tc>
          <w:tcPr>
            <w:tcW w:w="1580" w:type="dxa"/>
            <w:vMerge/>
            <w:vAlign w:val="center"/>
          </w:tcPr>
          <w:p w14:paraId="63626EAA"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r w:rsidR="00DD7973" w:rsidRPr="00232EBB" w14:paraId="45CED14B" w14:textId="77777777" w:rsidTr="00871FDE">
        <w:trPr>
          <w:trHeight w:val="383"/>
        </w:trPr>
        <w:tc>
          <w:tcPr>
            <w:tcW w:w="3955" w:type="dxa"/>
            <w:noWrap/>
            <w:vAlign w:val="center"/>
          </w:tcPr>
          <w:p w14:paraId="730A88C3" w14:textId="77777777" w:rsidR="00DD7973" w:rsidRPr="00232EBB" w:rsidRDefault="00DD7973" w:rsidP="00871FDE">
            <w:pPr>
              <w:pStyle w:val="xxmsonormal"/>
              <w:spacing w:line="360" w:lineRule="auto"/>
              <w:rPr>
                <w:rFonts w:ascii="Times New Roman" w:eastAsia="Calibri" w:hAnsi="Times New Roman" w:cs="Times New Roman"/>
                <w:noProof/>
                <w:color w:val="767171"/>
                <w:spacing w:val="20"/>
                <w:sz w:val="24"/>
                <w:szCs w:val="24"/>
                <w:lang w:eastAsia="en-US"/>
              </w:rPr>
            </w:pPr>
            <w:r w:rsidRPr="00232EBB">
              <w:rPr>
                <w:rFonts w:ascii="Times New Roman" w:eastAsia="Calibri" w:hAnsi="Times New Roman" w:cs="Times New Roman"/>
                <w:noProof/>
                <w:color w:val="767171"/>
                <w:spacing w:val="20"/>
                <w:sz w:val="24"/>
                <w:szCs w:val="24"/>
              </w:rPr>
              <w:t>E-Participación</w:t>
            </w:r>
          </w:p>
        </w:tc>
        <w:tc>
          <w:tcPr>
            <w:tcW w:w="2025" w:type="dxa"/>
            <w:vAlign w:val="center"/>
          </w:tcPr>
          <w:p w14:paraId="762D90B4"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rPr>
            </w:pPr>
            <w:r w:rsidRPr="00232EBB">
              <w:rPr>
                <w:rFonts w:ascii="Times New Roman" w:eastAsia="Calibri" w:hAnsi="Times New Roman" w:cs="Times New Roman"/>
                <w:noProof/>
                <w:color w:val="767171"/>
                <w:spacing w:val="20"/>
                <w:sz w:val="24"/>
                <w:szCs w:val="24"/>
              </w:rPr>
              <w:t>13.13</w:t>
            </w:r>
          </w:p>
        </w:tc>
        <w:tc>
          <w:tcPr>
            <w:tcW w:w="1580" w:type="dxa"/>
            <w:vMerge/>
            <w:vAlign w:val="center"/>
          </w:tcPr>
          <w:p w14:paraId="4D1550EF"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r w:rsidR="00DD7973" w:rsidRPr="00232EBB" w14:paraId="37332B13" w14:textId="77777777" w:rsidTr="00871FDE">
        <w:trPr>
          <w:trHeight w:val="338"/>
        </w:trPr>
        <w:tc>
          <w:tcPr>
            <w:tcW w:w="3955" w:type="dxa"/>
            <w:noWrap/>
            <w:vAlign w:val="center"/>
          </w:tcPr>
          <w:p w14:paraId="2A3FF660" w14:textId="77777777" w:rsidR="00DD7973" w:rsidRPr="00232EBB" w:rsidRDefault="00DD7973" w:rsidP="00871FDE">
            <w:pPr>
              <w:pStyle w:val="xxmsonormal"/>
              <w:spacing w:line="360" w:lineRule="auto"/>
              <w:rPr>
                <w:rFonts w:ascii="Times New Roman" w:eastAsia="Calibri" w:hAnsi="Times New Roman" w:cs="Times New Roman"/>
                <w:noProof/>
                <w:color w:val="767171"/>
                <w:spacing w:val="20"/>
                <w:sz w:val="24"/>
                <w:szCs w:val="24"/>
              </w:rPr>
            </w:pPr>
            <w:r w:rsidRPr="00232EBB">
              <w:rPr>
                <w:rFonts w:ascii="Times New Roman" w:eastAsia="Calibri" w:hAnsi="Times New Roman" w:cs="Times New Roman"/>
                <w:noProof/>
                <w:color w:val="767171"/>
                <w:spacing w:val="20"/>
                <w:sz w:val="24"/>
                <w:szCs w:val="24"/>
                <w:lang w:eastAsia="en-US"/>
              </w:rPr>
              <w:t>Servicios en Línea</w:t>
            </w:r>
          </w:p>
        </w:tc>
        <w:tc>
          <w:tcPr>
            <w:tcW w:w="2025" w:type="dxa"/>
            <w:vAlign w:val="center"/>
          </w:tcPr>
          <w:p w14:paraId="72DB8954"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rPr>
            </w:pPr>
            <w:r w:rsidRPr="00232EBB">
              <w:rPr>
                <w:rFonts w:ascii="Times New Roman" w:eastAsia="Calibri" w:hAnsi="Times New Roman" w:cs="Times New Roman"/>
                <w:noProof/>
                <w:color w:val="767171"/>
                <w:spacing w:val="20"/>
                <w:sz w:val="24"/>
                <w:szCs w:val="24"/>
              </w:rPr>
              <w:t>28.28</w:t>
            </w:r>
          </w:p>
        </w:tc>
        <w:tc>
          <w:tcPr>
            <w:tcW w:w="1580" w:type="dxa"/>
            <w:vMerge/>
            <w:vAlign w:val="center"/>
          </w:tcPr>
          <w:p w14:paraId="6B304E27"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r w:rsidR="00DD7973" w:rsidRPr="00232EBB" w14:paraId="0BCCAF4D" w14:textId="77777777" w:rsidTr="00871FDE">
        <w:trPr>
          <w:trHeight w:val="96"/>
        </w:trPr>
        <w:tc>
          <w:tcPr>
            <w:tcW w:w="3955" w:type="dxa"/>
            <w:noWrap/>
            <w:vAlign w:val="center"/>
          </w:tcPr>
          <w:p w14:paraId="410849F3" w14:textId="77777777" w:rsidR="00DD7973" w:rsidRPr="00232EBB" w:rsidRDefault="00DD7973" w:rsidP="00871FDE">
            <w:pPr>
              <w:pStyle w:val="xxmsonormal"/>
              <w:spacing w:line="360" w:lineRule="auto"/>
              <w:rPr>
                <w:rFonts w:ascii="Times New Roman" w:eastAsia="Calibri" w:hAnsi="Times New Roman" w:cs="Times New Roman"/>
                <w:b/>
                <w:bCs/>
                <w:noProof/>
                <w:color w:val="767171"/>
                <w:spacing w:val="20"/>
                <w:sz w:val="24"/>
                <w:szCs w:val="24"/>
                <w:lang w:eastAsia="en-US"/>
              </w:rPr>
            </w:pPr>
            <w:r w:rsidRPr="00232EBB">
              <w:rPr>
                <w:rFonts w:ascii="Times New Roman" w:eastAsia="Calibri" w:hAnsi="Times New Roman" w:cs="Times New Roman"/>
                <w:b/>
                <w:bCs/>
                <w:noProof/>
                <w:color w:val="767171"/>
                <w:spacing w:val="20"/>
                <w:sz w:val="24"/>
                <w:szCs w:val="24"/>
                <w:lang w:eastAsia="en-US"/>
              </w:rPr>
              <w:t>TOTAL</w:t>
            </w:r>
          </w:p>
        </w:tc>
        <w:tc>
          <w:tcPr>
            <w:tcW w:w="2025" w:type="dxa"/>
            <w:vAlign w:val="center"/>
          </w:tcPr>
          <w:p w14:paraId="7609C524" w14:textId="77777777" w:rsidR="00DD7973" w:rsidRPr="00232EBB" w:rsidRDefault="00DD7973" w:rsidP="00871FDE">
            <w:pPr>
              <w:pStyle w:val="xxmsonormal"/>
              <w:spacing w:line="360" w:lineRule="auto"/>
              <w:jc w:val="center"/>
              <w:rPr>
                <w:rFonts w:ascii="Times New Roman" w:eastAsia="Calibri" w:hAnsi="Times New Roman" w:cs="Times New Roman"/>
                <w:b/>
                <w:bCs/>
                <w:noProof/>
                <w:color w:val="767171"/>
                <w:spacing w:val="20"/>
                <w:sz w:val="24"/>
                <w:szCs w:val="24"/>
              </w:rPr>
            </w:pPr>
            <w:r w:rsidRPr="00232EBB">
              <w:rPr>
                <w:rFonts w:ascii="Times New Roman" w:eastAsia="Calibri" w:hAnsi="Times New Roman" w:cs="Times New Roman"/>
                <w:b/>
                <w:bCs/>
                <w:noProof/>
                <w:color w:val="767171"/>
                <w:spacing w:val="20"/>
                <w:sz w:val="24"/>
                <w:szCs w:val="24"/>
              </w:rPr>
              <w:t>74.19</w:t>
            </w:r>
          </w:p>
        </w:tc>
        <w:tc>
          <w:tcPr>
            <w:tcW w:w="1580" w:type="dxa"/>
            <w:vMerge/>
            <w:vAlign w:val="center"/>
          </w:tcPr>
          <w:p w14:paraId="6FDCFC6C" w14:textId="77777777" w:rsidR="00DD7973" w:rsidRPr="00232EBB" w:rsidRDefault="00DD7973" w:rsidP="00871FDE">
            <w:pPr>
              <w:pStyle w:val="xxmsonormal"/>
              <w:spacing w:line="360" w:lineRule="auto"/>
              <w:jc w:val="center"/>
              <w:rPr>
                <w:rFonts w:ascii="Times New Roman" w:eastAsia="Calibri" w:hAnsi="Times New Roman" w:cs="Times New Roman"/>
                <w:noProof/>
                <w:color w:val="767171"/>
                <w:spacing w:val="20"/>
                <w:sz w:val="24"/>
                <w:szCs w:val="24"/>
                <w:lang w:eastAsia="en-US"/>
              </w:rPr>
            </w:pPr>
          </w:p>
        </w:tc>
      </w:tr>
      <w:bookmarkEnd w:id="227"/>
    </w:tbl>
    <w:p w14:paraId="503136C9" w14:textId="77777777" w:rsidR="008105FE" w:rsidRPr="00232EBB" w:rsidRDefault="008105FE" w:rsidP="001C0F69">
      <w:pPr>
        <w:spacing w:line="360" w:lineRule="auto"/>
        <w:jc w:val="both"/>
        <w:rPr>
          <w:rFonts w:eastAsia="Calibri"/>
          <w:b/>
          <w:bCs/>
          <w:sz w:val="18"/>
          <w:szCs w:val="18"/>
          <w:lang w:val="es-ES"/>
        </w:rPr>
      </w:pPr>
    </w:p>
    <w:p w14:paraId="565A8135" w14:textId="1E911618" w:rsidR="000400ED" w:rsidRPr="00232EBB" w:rsidRDefault="000400ED" w:rsidP="001C0F69">
      <w:pPr>
        <w:spacing w:line="360" w:lineRule="auto"/>
        <w:jc w:val="both"/>
        <w:rPr>
          <w:lang w:val="es-DO"/>
        </w:rPr>
      </w:pPr>
      <w:r w:rsidRPr="00232EBB">
        <w:rPr>
          <w:rFonts w:eastAsia="Calibri"/>
          <w:b/>
          <w:bCs/>
          <w:sz w:val="18"/>
          <w:szCs w:val="18"/>
          <w:lang w:val="es-ES"/>
        </w:rPr>
        <w:t>Tabla 2</w:t>
      </w:r>
      <w:r w:rsidR="00E14CB6" w:rsidRPr="00232EBB">
        <w:rPr>
          <w:rFonts w:eastAsia="Calibri"/>
          <w:b/>
          <w:bCs/>
          <w:sz w:val="18"/>
          <w:szCs w:val="18"/>
          <w:lang w:val="es-ES"/>
        </w:rPr>
        <w:t>0</w:t>
      </w:r>
      <w:r w:rsidRPr="00232EBB">
        <w:rPr>
          <w:rFonts w:eastAsia="Calibri"/>
          <w:b/>
          <w:bCs/>
          <w:sz w:val="18"/>
          <w:szCs w:val="18"/>
          <w:lang w:val="es-ES"/>
        </w:rPr>
        <w:t xml:space="preserve">: </w:t>
      </w:r>
      <w:hyperlink r:id="rId50" w:history="1">
        <w:r w:rsidRPr="00232EBB">
          <w:rPr>
            <w:rFonts w:eastAsia="Calibri"/>
            <w:sz w:val="18"/>
            <w:szCs w:val="18"/>
            <w:lang w:val="es-ES"/>
          </w:rPr>
          <w:t>http://sisticge.dominicana.gob.do/dashboard.php</w:t>
        </w:r>
      </w:hyperlink>
    </w:p>
    <w:p w14:paraId="03B1F615" w14:textId="0AD003C8" w:rsidR="00E82B86" w:rsidRPr="00232EBB" w:rsidRDefault="00E82B86" w:rsidP="001C0F69">
      <w:pPr>
        <w:spacing w:line="360" w:lineRule="auto"/>
        <w:jc w:val="both"/>
        <w:rPr>
          <w:b/>
          <w:bCs/>
          <w:lang w:val="es-ES"/>
        </w:rPr>
      </w:pPr>
      <w:r w:rsidRPr="00232EBB">
        <w:rPr>
          <w:b/>
          <w:bCs/>
          <w:lang w:val="es-ES"/>
        </w:rPr>
        <w:t>Departamento de Gestión Seguridad de la Información</w:t>
      </w:r>
      <w:bookmarkEnd w:id="222"/>
      <w:bookmarkEnd w:id="223"/>
      <w:bookmarkEnd w:id="224"/>
      <w:bookmarkEnd w:id="225"/>
      <w:bookmarkEnd w:id="226"/>
    </w:p>
    <w:p w14:paraId="00CB5F89" w14:textId="77777777" w:rsidR="008D0C91" w:rsidRPr="00232EBB" w:rsidRDefault="008D0C91" w:rsidP="001C0F69">
      <w:pPr>
        <w:spacing w:line="360" w:lineRule="auto"/>
        <w:jc w:val="both"/>
        <w:rPr>
          <w:rFonts w:eastAsia="Calibri"/>
          <w:noProof/>
          <w:lang w:val="es-DO"/>
        </w:rPr>
      </w:pPr>
      <w:bookmarkStart w:id="228" w:name="_Toc171677868"/>
      <w:bookmarkStart w:id="229" w:name="_Toc172119875"/>
      <w:bookmarkStart w:id="230" w:name="_Toc172120208"/>
      <w:bookmarkStart w:id="231" w:name="_Toc172121426"/>
      <w:bookmarkStart w:id="232" w:name="_Toc184981203"/>
      <w:r w:rsidRPr="00232EBB">
        <w:rPr>
          <w:rFonts w:eastAsia="Calibri"/>
          <w:noProof/>
          <w:lang w:val="es-DO"/>
        </w:rPr>
        <w:t>El Departamento de Seguridad de la Información trabajó para reforzar la seguridad de la institución, implementando mejoras y apoyando a otras áreas en el desarrollo de sus proyectos. Su labor se centró en asegurar que las soluciones y actividades cumplieran con los lineamientos establecidos para proteger la información.</w:t>
      </w:r>
    </w:p>
    <w:p w14:paraId="141422D4" w14:textId="1F73DBDF" w:rsidR="008105FE" w:rsidRPr="00232EBB" w:rsidRDefault="008D0C91" w:rsidP="00871FDE">
      <w:pPr>
        <w:spacing w:line="360" w:lineRule="auto"/>
        <w:jc w:val="both"/>
        <w:rPr>
          <w:rFonts w:eastAsia="Calibri"/>
          <w:noProof/>
          <w:lang w:val="es-DO"/>
        </w:rPr>
      </w:pPr>
      <w:r w:rsidRPr="00232EBB">
        <w:rPr>
          <w:rFonts w:eastAsia="Calibri"/>
          <w:noProof/>
          <w:lang w:val="es-DO"/>
        </w:rPr>
        <w:t>A continuación, se presentan los principales logros y participaciones del departamento</w:t>
      </w:r>
      <w:r w:rsidR="008105FE" w:rsidRPr="00232EBB">
        <w:rPr>
          <w:rFonts w:eastAsia="Calibri"/>
          <w:noProof/>
          <w:lang w:val="es-DO"/>
        </w:rPr>
        <w:t>:</w:t>
      </w:r>
    </w:p>
    <w:p w14:paraId="755AA966" w14:textId="77777777" w:rsidR="008D0C91" w:rsidRPr="00232EBB" w:rsidRDefault="008D0C91" w:rsidP="000E2299">
      <w:pPr>
        <w:pStyle w:val="ListParagraph"/>
        <w:numPr>
          <w:ilvl w:val="0"/>
          <w:numId w:val="26"/>
        </w:numPr>
        <w:spacing w:line="360" w:lineRule="auto"/>
        <w:rPr>
          <w:rFonts w:ascii="Times New Roman" w:eastAsiaTheme="minorHAnsi" w:hAnsi="Times New Roman"/>
          <w:b/>
          <w:bCs/>
          <w:color w:val="767171"/>
          <w:spacing w:val="20"/>
          <w:sz w:val="24"/>
          <w:szCs w:val="24"/>
          <w:lang w:val="es-ES"/>
        </w:rPr>
      </w:pPr>
      <w:r w:rsidRPr="00232EBB">
        <w:rPr>
          <w:rFonts w:ascii="Times New Roman" w:eastAsiaTheme="minorHAnsi" w:hAnsi="Times New Roman"/>
          <w:b/>
          <w:bCs/>
          <w:color w:val="767171"/>
          <w:spacing w:val="20"/>
          <w:sz w:val="24"/>
          <w:szCs w:val="24"/>
          <w:lang w:val="es-ES"/>
        </w:rPr>
        <w:t xml:space="preserve">Proyecto de Implementación del Aplicativo </w:t>
      </w:r>
      <w:proofErr w:type="spellStart"/>
      <w:r w:rsidRPr="00232EBB">
        <w:rPr>
          <w:rFonts w:ascii="Times New Roman" w:eastAsiaTheme="minorHAnsi" w:hAnsi="Times New Roman"/>
          <w:b/>
          <w:bCs/>
          <w:color w:val="767171"/>
          <w:spacing w:val="20"/>
          <w:sz w:val="24"/>
          <w:szCs w:val="24"/>
          <w:lang w:val="es-ES"/>
        </w:rPr>
        <w:t>Imperva</w:t>
      </w:r>
      <w:proofErr w:type="spellEnd"/>
      <w:r w:rsidRPr="00232EBB">
        <w:rPr>
          <w:rFonts w:ascii="Times New Roman" w:eastAsiaTheme="minorHAnsi" w:hAnsi="Times New Roman"/>
          <w:b/>
          <w:bCs/>
          <w:color w:val="767171"/>
          <w:spacing w:val="20"/>
          <w:sz w:val="24"/>
          <w:szCs w:val="24"/>
          <w:lang w:val="es-ES"/>
        </w:rPr>
        <w:t xml:space="preserve"> DAM </w:t>
      </w:r>
    </w:p>
    <w:p w14:paraId="4E3CFD3F" w14:textId="77777777" w:rsidR="008D0C91" w:rsidRPr="00232EBB" w:rsidRDefault="008D0C91" w:rsidP="00AA7D5D">
      <w:pPr>
        <w:spacing w:line="360" w:lineRule="auto"/>
        <w:jc w:val="both"/>
        <w:rPr>
          <w:rFonts w:eastAsia="Calibri"/>
          <w:noProof/>
          <w:lang w:val="es-DO"/>
        </w:rPr>
      </w:pPr>
      <w:r w:rsidRPr="00232EBB">
        <w:rPr>
          <w:rFonts w:eastAsia="Calibri"/>
          <w:noProof/>
          <w:lang w:val="es-DO"/>
        </w:rPr>
        <w:t xml:space="preserve">Como parte del fortalecimiento continuo del marco de seguridad institucional, se completó la implementación del aplicativo Imperva Database Activity Monitoring (DAM), una herramienta que permite </w:t>
      </w:r>
      <w:r w:rsidRPr="00232EBB">
        <w:rPr>
          <w:rFonts w:eastAsia="Calibri"/>
          <w:noProof/>
          <w:lang w:val="es-DO"/>
        </w:rPr>
        <w:lastRenderedPageBreak/>
        <w:t xml:space="preserve">monitorear, auditar y proteger las actividades realizadas sobre las bases de datos críticas de la institución. </w:t>
      </w:r>
    </w:p>
    <w:p w14:paraId="78A71B37" w14:textId="77777777" w:rsidR="008D0C91" w:rsidRPr="00232EBB" w:rsidRDefault="008D0C91" w:rsidP="00AA7D5D">
      <w:pPr>
        <w:spacing w:line="360" w:lineRule="auto"/>
        <w:jc w:val="both"/>
        <w:rPr>
          <w:rFonts w:eastAsia="Calibri"/>
          <w:noProof/>
          <w:lang w:val="es-DO"/>
        </w:rPr>
      </w:pPr>
      <w:r w:rsidRPr="00232EBB">
        <w:rPr>
          <w:rFonts w:eastAsia="Calibri"/>
          <w:noProof/>
          <w:lang w:val="es-DO"/>
        </w:rPr>
        <w:t>Este logro se enmarca en las directrices establecidas en el Plan Estratégico Institucional de la Tesorería de la Seguridad Social, el cual establece ejes orientados a la protección de los datos e informaciones. Dentro de estos ejes se contemplan acciones encaminadas a reforzar los controles, aumentar la capacidad de monitoreo y garantizar una gestión segura de la información institucional</w:t>
      </w:r>
    </w:p>
    <w:p w14:paraId="550659B8" w14:textId="77777777" w:rsidR="008D0C91" w:rsidRPr="00232EBB" w:rsidRDefault="008D0C91" w:rsidP="000E2299">
      <w:pPr>
        <w:pStyle w:val="ListParagraph"/>
        <w:numPr>
          <w:ilvl w:val="0"/>
          <w:numId w:val="26"/>
        </w:numPr>
        <w:spacing w:line="360" w:lineRule="auto"/>
        <w:rPr>
          <w:rFonts w:ascii="Times New Roman" w:eastAsiaTheme="minorHAnsi" w:hAnsi="Times New Roman"/>
          <w:b/>
          <w:bCs/>
          <w:color w:val="767171"/>
          <w:spacing w:val="20"/>
          <w:sz w:val="24"/>
          <w:szCs w:val="24"/>
          <w:lang w:val="es-ES"/>
        </w:rPr>
      </w:pPr>
      <w:r w:rsidRPr="00232EBB">
        <w:rPr>
          <w:rFonts w:ascii="Times New Roman" w:eastAsiaTheme="minorHAnsi" w:hAnsi="Times New Roman"/>
          <w:b/>
          <w:bCs/>
          <w:color w:val="767171"/>
          <w:spacing w:val="20"/>
          <w:sz w:val="24"/>
          <w:szCs w:val="24"/>
          <w:lang w:val="es-ES"/>
        </w:rPr>
        <w:t xml:space="preserve">Proyecto de clasificación de la información </w:t>
      </w:r>
    </w:p>
    <w:p w14:paraId="6FACC5CD" w14:textId="77777777" w:rsidR="008D0C91" w:rsidRPr="00232EBB" w:rsidRDefault="008D0C91" w:rsidP="00457447">
      <w:pPr>
        <w:spacing w:line="360" w:lineRule="auto"/>
        <w:jc w:val="both"/>
        <w:rPr>
          <w:rFonts w:eastAsia="Calibri"/>
          <w:noProof/>
          <w:lang w:val="es-DO"/>
        </w:rPr>
      </w:pPr>
      <w:r w:rsidRPr="00232EBB">
        <w:rPr>
          <w:rFonts w:eastAsia="Calibri"/>
          <w:noProof/>
          <w:lang w:val="es-DO"/>
        </w:rPr>
        <w:t xml:space="preserve">Con el objetivo de categorizar los activos de información en función de su nivel de sensibilidad, valor institucional y riesgo asociado fue realizado este proyecto de clasificación el cual pudo ser completado al 100%. </w:t>
      </w:r>
    </w:p>
    <w:p w14:paraId="522D4122" w14:textId="77777777" w:rsidR="008D0C91" w:rsidRPr="00232EBB" w:rsidRDefault="008D0C91" w:rsidP="00457447">
      <w:pPr>
        <w:spacing w:line="360" w:lineRule="auto"/>
        <w:jc w:val="both"/>
        <w:rPr>
          <w:rFonts w:eastAsia="Calibri"/>
          <w:noProof/>
          <w:lang w:val="es-DO"/>
        </w:rPr>
      </w:pPr>
      <w:r w:rsidRPr="00232EBB">
        <w:rPr>
          <w:rFonts w:eastAsia="Calibri"/>
          <w:noProof/>
          <w:lang w:val="es-DO"/>
        </w:rPr>
        <w:t>Con esta iniciativa fortalecemos la gestión de la información en la institución.</w:t>
      </w:r>
    </w:p>
    <w:p w14:paraId="0882D70B" w14:textId="77777777" w:rsidR="008D0C91" w:rsidRPr="00232EBB" w:rsidRDefault="008D0C91" w:rsidP="008D0C91">
      <w:pPr>
        <w:spacing w:line="360" w:lineRule="auto"/>
        <w:jc w:val="both"/>
        <w:rPr>
          <w:rFonts w:eastAsia="Calibri"/>
          <w:noProof/>
          <w:lang w:val="es-DO"/>
        </w:rPr>
      </w:pPr>
      <w:r w:rsidRPr="00232EBB">
        <w:rPr>
          <w:rFonts w:eastAsia="Calibri"/>
          <w:noProof/>
          <w:lang w:val="es-DO"/>
        </w:rPr>
        <w:t>A su vez, el departamento brindó acompañamiento especializado en proyectos liderados por diferentes áreas, con el objetivo de asegurar la correcta implementación de controles y el cumplimiento de los lineamientos institucionales de ciberseguridad.</w:t>
      </w:r>
    </w:p>
    <w:p w14:paraId="7D114232" w14:textId="77777777" w:rsidR="008D0C91" w:rsidRPr="00232EBB" w:rsidRDefault="008D0C91" w:rsidP="008D0C91">
      <w:pPr>
        <w:spacing w:line="360" w:lineRule="auto"/>
        <w:jc w:val="both"/>
        <w:rPr>
          <w:rFonts w:eastAsia="Calibri"/>
          <w:noProof/>
          <w:lang w:val="es-DO"/>
        </w:rPr>
      </w:pPr>
      <w:r w:rsidRPr="00232EBB">
        <w:rPr>
          <w:b/>
          <w:bCs/>
          <w:lang w:val="es-ES"/>
        </w:rPr>
        <w:t>Tales como</w:t>
      </w:r>
      <w:r w:rsidRPr="00232EBB">
        <w:rPr>
          <w:rFonts w:eastAsia="Calibri"/>
          <w:noProof/>
          <w:lang w:val="es-DO"/>
        </w:rPr>
        <w:t>:</w:t>
      </w:r>
    </w:p>
    <w:p w14:paraId="1A257B71" w14:textId="46F6D0E8" w:rsidR="008D0C91" w:rsidRPr="00232EBB" w:rsidRDefault="008D0C91" w:rsidP="000E2299">
      <w:pPr>
        <w:pStyle w:val="ListParagraph"/>
        <w:numPr>
          <w:ilvl w:val="0"/>
          <w:numId w:val="26"/>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Nueva p</w:t>
      </w:r>
      <w:r w:rsidR="00E90CE7" w:rsidRPr="00232EBB">
        <w:rPr>
          <w:rFonts w:ascii="Times New Roman" w:hAnsi="Times New Roman"/>
          <w:noProof/>
          <w:color w:val="767171"/>
          <w:spacing w:val="20"/>
          <w:sz w:val="24"/>
          <w:szCs w:val="24"/>
        </w:rPr>
        <w:t>á</w:t>
      </w:r>
      <w:r w:rsidRPr="00232EBB">
        <w:rPr>
          <w:rFonts w:ascii="Times New Roman" w:hAnsi="Times New Roman"/>
          <w:noProof/>
          <w:color w:val="767171"/>
          <w:spacing w:val="20"/>
          <w:sz w:val="24"/>
          <w:szCs w:val="24"/>
        </w:rPr>
        <w:t>gina web de la Tesorería de la Seguridad Social/Oficina Virtual (OVF)</w:t>
      </w:r>
    </w:p>
    <w:p w14:paraId="2AFD5A85" w14:textId="77777777" w:rsidR="008D0C91" w:rsidRPr="00232EBB" w:rsidRDefault="008D0C91" w:rsidP="008D0C91">
      <w:pPr>
        <w:spacing w:line="360" w:lineRule="auto"/>
        <w:contextualSpacing/>
        <w:jc w:val="both"/>
        <w:rPr>
          <w:b/>
          <w:bCs/>
          <w:lang w:val="es-ES"/>
        </w:rPr>
      </w:pPr>
      <w:r w:rsidRPr="00232EBB">
        <w:rPr>
          <w:b/>
          <w:bCs/>
          <w:lang w:val="es-ES"/>
        </w:rPr>
        <w:t xml:space="preserve">Principales aportes </w:t>
      </w:r>
    </w:p>
    <w:p w14:paraId="54866A32" w14:textId="77777777" w:rsidR="008D0C91" w:rsidRPr="00232EBB" w:rsidRDefault="008D0C91" w:rsidP="000E2299">
      <w:pPr>
        <w:pStyle w:val="ListParagraph"/>
        <w:numPr>
          <w:ilvl w:val="0"/>
          <w:numId w:val="30"/>
        </w:numPr>
        <w:spacing w:line="360" w:lineRule="auto"/>
        <w:rPr>
          <w:rFonts w:ascii="Times New Roman" w:hAnsi="Times New Roman"/>
          <w:noProof/>
          <w:color w:val="767171"/>
          <w:spacing w:val="20"/>
          <w:sz w:val="24"/>
          <w:szCs w:val="24"/>
        </w:rPr>
      </w:pPr>
      <w:bookmarkStart w:id="233" w:name="_Hlk216944759"/>
      <w:r w:rsidRPr="00232EBB">
        <w:rPr>
          <w:rFonts w:ascii="Times New Roman" w:hAnsi="Times New Roman"/>
          <w:noProof/>
          <w:color w:val="767171"/>
          <w:spacing w:val="20"/>
          <w:sz w:val="24"/>
          <w:szCs w:val="24"/>
        </w:rPr>
        <w:t>Evaluación y fortalecimiento de la seguridad de la nueva página web y sus servicios públicos. Realización de pruebas de vulnerabilidades y ajustes de protección (WAF, certificados, headers, APIs).</w:t>
      </w:r>
    </w:p>
    <w:bookmarkEnd w:id="233"/>
    <w:p w14:paraId="43A4DDC0" w14:textId="77777777" w:rsidR="008D0C91" w:rsidRPr="00232EBB" w:rsidRDefault="008D0C91" w:rsidP="000E2299">
      <w:pPr>
        <w:pStyle w:val="ListParagraph"/>
        <w:numPr>
          <w:ilvl w:val="0"/>
          <w:numId w:val="30"/>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lastRenderedPageBreak/>
        <w:t xml:space="preserve">Configuración técnica y apoyo directo en la publicación pública de la página, la OFV y los módulos de Quimera. </w:t>
      </w:r>
    </w:p>
    <w:p w14:paraId="26DBE392" w14:textId="77777777" w:rsidR="008D0C91" w:rsidRPr="00232EBB" w:rsidRDefault="008D0C91" w:rsidP="000E2299">
      <w:pPr>
        <w:pStyle w:val="ListParagraph"/>
        <w:numPr>
          <w:ilvl w:val="0"/>
          <w:numId w:val="30"/>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Revisión de autenticación, integraciones y cifrado en la nueva OFV. </w:t>
      </w:r>
    </w:p>
    <w:p w14:paraId="5CB62331" w14:textId="77777777" w:rsidR="008D0C91" w:rsidRPr="00232EBB" w:rsidRDefault="008D0C91" w:rsidP="000E2299">
      <w:pPr>
        <w:pStyle w:val="ListParagraph"/>
        <w:numPr>
          <w:ilvl w:val="0"/>
          <w:numId w:val="30"/>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Supervisión del despliegue productivo y monitoreo inicial de las plataformas.</w:t>
      </w:r>
    </w:p>
    <w:p w14:paraId="5270EFC2" w14:textId="77777777" w:rsidR="008D0C91" w:rsidRPr="00232EBB" w:rsidRDefault="008D0C91" w:rsidP="008D0C91">
      <w:pPr>
        <w:spacing w:line="360" w:lineRule="auto"/>
        <w:contextualSpacing/>
        <w:jc w:val="both"/>
        <w:rPr>
          <w:b/>
          <w:bCs/>
          <w:lang w:val="es-ES"/>
        </w:rPr>
      </w:pPr>
      <w:r w:rsidRPr="00232EBB">
        <w:rPr>
          <w:b/>
          <w:bCs/>
          <w:lang w:val="es-ES"/>
        </w:rPr>
        <w:t>Resultados</w:t>
      </w:r>
    </w:p>
    <w:p w14:paraId="51AAC0F7" w14:textId="77777777" w:rsidR="008D0C91" w:rsidRPr="00232EBB" w:rsidRDefault="008D0C91" w:rsidP="000E2299">
      <w:pPr>
        <w:pStyle w:val="ListParagraph"/>
        <w:numPr>
          <w:ilvl w:val="0"/>
          <w:numId w:val="29"/>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Mayor seguridad y estabilidad en los servicios publicados al público.</w:t>
      </w:r>
    </w:p>
    <w:p w14:paraId="1EB99541" w14:textId="77777777" w:rsidR="008D0C91" w:rsidRPr="00232EBB" w:rsidRDefault="008D0C91" w:rsidP="000E2299">
      <w:pPr>
        <w:pStyle w:val="ListParagraph"/>
        <w:numPr>
          <w:ilvl w:val="0"/>
          <w:numId w:val="29"/>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Reducción de vulnerabilidades antes del lanzamiento. </w:t>
      </w:r>
    </w:p>
    <w:p w14:paraId="509FAA11" w14:textId="77777777" w:rsidR="008D0C91" w:rsidRPr="00232EBB" w:rsidRDefault="008D0C91" w:rsidP="000E2299">
      <w:pPr>
        <w:pStyle w:val="ListParagraph"/>
        <w:numPr>
          <w:ilvl w:val="0"/>
          <w:numId w:val="29"/>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Fortalecimiento de la infraestructura digital de la TSS.</w:t>
      </w:r>
    </w:p>
    <w:p w14:paraId="3C2698F2" w14:textId="0FE0232C" w:rsidR="008D0C91" w:rsidRPr="00232EBB" w:rsidRDefault="008D0C91" w:rsidP="008D0C91">
      <w:pPr>
        <w:spacing w:line="360" w:lineRule="auto"/>
        <w:contextualSpacing/>
        <w:jc w:val="both"/>
        <w:rPr>
          <w:b/>
          <w:bCs/>
          <w:lang w:val="es-ES"/>
        </w:rPr>
      </w:pPr>
      <w:bookmarkStart w:id="234" w:name="_Hlk216944786"/>
      <w:r w:rsidRPr="00232EBB">
        <w:rPr>
          <w:b/>
          <w:bCs/>
          <w:lang w:val="es-ES"/>
        </w:rPr>
        <w:t>Implementación del Software de Inversiones</w:t>
      </w:r>
    </w:p>
    <w:p w14:paraId="4B9BBC8D" w14:textId="18C25C7E" w:rsidR="00E11C86" w:rsidRPr="00232EBB" w:rsidRDefault="008D0C91" w:rsidP="008D0C91">
      <w:pPr>
        <w:spacing w:line="360" w:lineRule="auto"/>
        <w:contextualSpacing/>
        <w:jc w:val="both"/>
        <w:rPr>
          <w:rFonts w:eastAsia="Calibri"/>
          <w:noProof/>
          <w:lang w:val="es-DO"/>
        </w:rPr>
      </w:pPr>
      <w:r w:rsidRPr="00232EBB">
        <w:rPr>
          <w:rFonts w:eastAsia="Calibri"/>
          <w:noProof/>
          <w:lang w:val="es-DO"/>
        </w:rPr>
        <w:t>Participación continua en la implementación y configuración del software inversiones adquirido para la Dirección Financiera.</w:t>
      </w:r>
    </w:p>
    <w:p w14:paraId="37A6EC42" w14:textId="77777777" w:rsidR="003B485A" w:rsidRPr="00232EBB" w:rsidRDefault="003B485A" w:rsidP="008D0C91">
      <w:pPr>
        <w:spacing w:line="360" w:lineRule="auto"/>
        <w:contextualSpacing/>
        <w:jc w:val="both"/>
        <w:rPr>
          <w:rFonts w:eastAsia="Calibri"/>
          <w:noProof/>
          <w:lang w:val="es-DO"/>
        </w:rPr>
      </w:pPr>
    </w:p>
    <w:p w14:paraId="563DC7C9" w14:textId="77777777" w:rsidR="003B485A" w:rsidRPr="00232EBB" w:rsidRDefault="003B485A" w:rsidP="008D0C91">
      <w:pPr>
        <w:spacing w:line="360" w:lineRule="auto"/>
        <w:contextualSpacing/>
        <w:jc w:val="both"/>
        <w:rPr>
          <w:rFonts w:eastAsia="Calibri"/>
          <w:noProof/>
          <w:lang w:val="es-DO"/>
        </w:rPr>
      </w:pPr>
    </w:p>
    <w:p w14:paraId="26289F0B" w14:textId="77777777" w:rsidR="003B485A" w:rsidRPr="00232EBB" w:rsidRDefault="003B485A" w:rsidP="008D0C91">
      <w:pPr>
        <w:spacing w:line="360" w:lineRule="auto"/>
        <w:contextualSpacing/>
        <w:jc w:val="both"/>
        <w:rPr>
          <w:rFonts w:eastAsia="Calibri"/>
          <w:noProof/>
          <w:lang w:val="es-DO"/>
        </w:rPr>
      </w:pPr>
    </w:p>
    <w:p w14:paraId="65CF0A8D" w14:textId="12150634" w:rsidR="008D0C91" w:rsidRPr="00232EBB" w:rsidRDefault="008D0C91" w:rsidP="008D0C91">
      <w:pPr>
        <w:spacing w:line="360" w:lineRule="auto"/>
        <w:contextualSpacing/>
        <w:jc w:val="both"/>
        <w:rPr>
          <w:b/>
          <w:bCs/>
          <w:lang w:val="es-ES"/>
        </w:rPr>
      </w:pPr>
      <w:r w:rsidRPr="00232EBB">
        <w:rPr>
          <w:b/>
          <w:bCs/>
          <w:lang w:val="es-ES"/>
        </w:rPr>
        <w:t>Principales aportes:</w:t>
      </w:r>
    </w:p>
    <w:p w14:paraId="52D4BA5C" w14:textId="77777777" w:rsidR="008D0C91" w:rsidRPr="00232EBB" w:rsidRDefault="008D0C91" w:rsidP="000E2299">
      <w:pPr>
        <w:pStyle w:val="ListParagraph"/>
        <w:numPr>
          <w:ilvl w:val="0"/>
          <w:numId w:val="2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Acompañamiento técnico durante todo el proceso de instalación y despliegue.</w:t>
      </w:r>
    </w:p>
    <w:p w14:paraId="45FE2DEB" w14:textId="77777777" w:rsidR="008D0C91" w:rsidRPr="00232EBB" w:rsidRDefault="008D0C91" w:rsidP="000E2299">
      <w:pPr>
        <w:pStyle w:val="ListParagraph"/>
        <w:numPr>
          <w:ilvl w:val="0"/>
          <w:numId w:val="2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Validación de configuraciones para garantizar seguridad, integridad y disponibilidad del sistema. </w:t>
      </w:r>
    </w:p>
    <w:p w14:paraId="433469B0" w14:textId="77777777" w:rsidR="008D0C91" w:rsidRPr="00232EBB" w:rsidRDefault="008D0C91" w:rsidP="000E2299">
      <w:pPr>
        <w:pStyle w:val="ListParagraph"/>
        <w:numPr>
          <w:ilvl w:val="0"/>
          <w:numId w:val="2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Revisión de accesos, roles y controles de autenticación. </w:t>
      </w:r>
    </w:p>
    <w:p w14:paraId="5AAE5968" w14:textId="73C8D5BC" w:rsidR="00E90CE7" w:rsidRPr="00232EBB" w:rsidRDefault="008D0C91" w:rsidP="00E979F0">
      <w:pPr>
        <w:pStyle w:val="ListParagraph"/>
        <w:numPr>
          <w:ilvl w:val="0"/>
          <w:numId w:val="27"/>
        </w:numPr>
        <w:spacing w:line="360" w:lineRule="auto"/>
        <w:rPr>
          <w:rFonts w:ascii="Times New Roman" w:hAnsi="Times New Roman"/>
          <w:b/>
          <w:bCs/>
          <w:lang w:val="es-ES"/>
        </w:rPr>
      </w:pPr>
      <w:r w:rsidRPr="00232EBB">
        <w:rPr>
          <w:rFonts w:ascii="Times New Roman" w:hAnsi="Times New Roman"/>
          <w:noProof/>
          <w:color w:val="767171"/>
          <w:spacing w:val="20"/>
          <w:sz w:val="24"/>
          <w:szCs w:val="24"/>
        </w:rPr>
        <w:t xml:space="preserve">Soporte en pruebas funcionales y de operación para asegurar un rendimiento adecuado. </w:t>
      </w:r>
      <w:bookmarkEnd w:id="234"/>
    </w:p>
    <w:p w14:paraId="14994D3D" w14:textId="66BC2398" w:rsidR="008D0C91" w:rsidRPr="00232EBB" w:rsidRDefault="008D0C91" w:rsidP="008D0C91">
      <w:pPr>
        <w:spacing w:line="360" w:lineRule="auto"/>
        <w:contextualSpacing/>
        <w:jc w:val="both"/>
        <w:rPr>
          <w:b/>
          <w:bCs/>
          <w:lang w:val="es-ES"/>
        </w:rPr>
      </w:pPr>
      <w:r w:rsidRPr="00232EBB">
        <w:rPr>
          <w:b/>
          <w:bCs/>
          <w:lang w:val="es-ES"/>
        </w:rPr>
        <w:t xml:space="preserve">Implementación Herramienta </w:t>
      </w:r>
      <w:proofErr w:type="spellStart"/>
      <w:r w:rsidRPr="00232EBB">
        <w:rPr>
          <w:b/>
          <w:bCs/>
          <w:lang w:val="es-ES"/>
        </w:rPr>
        <w:t>ProDoctivity</w:t>
      </w:r>
      <w:proofErr w:type="spellEnd"/>
    </w:p>
    <w:p w14:paraId="5F2DA8DB" w14:textId="14690974" w:rsidR="00457447" w:rsidRPr="00232EBB" w:rsidRDefault="008D0C91" w:rsidP="008D0C91">
      <w:pPr>
        <w:spacing w:line="360" w:lineRule="auto"/>
        <w:contextualSpacing/>
        <w:jc w:val="both"/>
        <w:rPr>
          <w:rFonts w:eastAsia="Calibri"/>
          <w:noProof/>
          <w:lang w:val="es-DO"/>
        </w:rPr>
      </w:pPr>
      <w:r w:rsidRPr="00232EBB">
        <w:rPr>
          <w:rFonts w:eastAsia="Calibri"/>
          <w:noProof/>
          <w:lang w:val="es-DO"/>
        </w:rPr>
        <w:t>Participación constante en la implementación y configuración de la herramienta ProDoctivity, enfocada en la mejora de procesos internos.</w:t>
      </w:r>
    </w:p>
    <w:p w14:paraId="7ECA1CA6" w14:textId="77777777" w:rsidR="008D0C91" w:rsidRPr="00232EBB" w:rsidRDefault="008D0C91" w:rsidP="008D0C91">
      <w:pPr>
        <w:spacing w:line="360" w:lineRule="auto"/>
        <w:contextualSpacing/>
        <w:jc w:val="both"/>
        <w:rPr>
          <w:b/>
          <w:bCs/>
          <w:lang w:val="es-ES"/>
        </w:rPr>
      </w:pPr>
      <w:r w:rsidRPr="00232EBB">
        <w:rPr>
          <w:b/>
          <w:bCs/>
          <w:lang w:val="es-ES"/>
        </w:rPr>
        <w:t>Principales aportes:</w:t>
      </w:r>
    </w:p>
    <w:p w14:paraId="2ABA0670" w14:textId="77777777" w:rsidR="008D0C91" w:rsidRPr="00232EBB" w:rsidRDefault="008D0C91" w:rsidP="000E2299">
      <w:pPr>
        <w:pStyle w:val="ListParagraph"/>
        <w:numPr>
          <w:ilvl w:val="0"/>
          <w:numId w:val="28"/>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lastRenderedPageBreak/>
        <w:t>Configuración inicial de la herramienta y adecuación a los requerimientos institucionales.</w:t>
      </w:r>
    </w:p>
    <w:p w14:paraId="3D95D386" w14:textId="77777777" w:rsidR="008D0C91" w:rsidRPr="00232EBB" w:rsidRDefault="008D0C91" w:rsidP="000E2299">
      <w:pPr>
        <w:pStyle w:val="ListParagraph"/>
        <w:numPr>
          <w:ilvl w:val="0"/>
          <w:numId w:val="28"/>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Revisión de seguridad y análisis de comunicaciones entre la red interna y sus módulos.</w:t>
      </w:r>
    </w:p>
    <w:p w14:paraId="37E0978B" w14:textId="77777777" w:rsidR="008D0C91" w:rsidRPr="00232EBB" w:rsidRDefault="008D0C91" w:rsidP="000E2299">
      <w:pPr>
        <w:pStyle w:val="ListParagraph"/>
        <w:numPr>
          <w:ilvl w:val="0"/>
          <w:numId w:val="28"/>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Asistencia continua en pruebas, ajustes técnicos y estabilización de la plataforma.</w:t>
      </w:r>
    </w:p>
    <w:p w14:paraId="4C354E59" w14:textId="77777777" w:rsidR="008D0C91" w:rsidRPr="00232EBB" w:rsidRDefault="008D0C91" w:rsidP="008D0C91">
      <w:pPr>
        <w:spacing w:line="360" w:lineRule="auto"/>
        <w:contextualSpacing/>
        <w:jc w:val="both"/>
        <w:rPr>
          <w:b/>
          <w:bCs/>
          <w:lang w:val="es-ES"/>
        </w:rPr>
      </w:pPr>
      <w:r w:rsidRPr="00232EBB">
        <w:rPr>
          <w:b/>
          <w:bCs/>
          <w:lang w:val="es-ES"/>
        </w:rPr>
        <w:t xml:space="preserve">Implementación Dynamics </w:t>
      </w:r>
      <w:proofErr w:type="spellStart"/>
      <w:r w:rsidRPr="00232EBB">
        <w:rPr>
          <w:b/>
          <w:bCs/>
          <w:lang w:val="es-ES"/>
        </w:rPr>
        <w:t>Finance</w:t>
      </w:r>
      <w:proofErr w:type="spellEnd"/>
      <w:r w:rsidRPr="00232EBB">
        <w:rPr>
          <w:b/>
          <w:bCs/>
          <w:lang w:val="es-ES"/>
        </w:rPr>
        <w:t>.</w:t>
      </w:r>
    </w:p>
    <w:p w14:paraId="102C5363" w14:textId="1C9C6A81" w:rsidR="008A6E85" w:rsidRPr="00232EBB" w:rsidRDefault="008D0C91" w:rsidP="008D0C91">
      <w:pPr>
        <w:spacing w:line="360" w:lineRule="auto"/>
        <w:contextualSpacing/>
        <w:jc w:val="both"/>
        <w:rPr>
          <w:rFonts w:eastAsia="Calibri"/>
          <w:noProof/>
          <w:lang w:val="es-DO"/>
        </w:rPr>
      </w:pPr>
      <w:r w:rsidRPr="00232EBB">
        <w:rPr>
          <w:rFonts w:eastAsia="Calibri"/>
          <w:noProof/>
          <w:lang w:val="es-DO"/>
        </w:rPr>
        <w:t>Participación en la reimplementación de la plataforma y optimizar la gestión de usuarios y permisos para asegurar un funcionamiento adecuado y controlado.</w:t>
      </w:r>
    </w:p>
    <w:p w14:paraId="7EDF35AE" w14:textId="77777777" w:rsidR="00E90CE7" w:rsidRPr="00232EBB" w:rsidRDefault="00E90CE7" w:rsidP="008D0C91">
      <w:pPr>
        <w:spacing w:line="360" w:lineRule="auto"/>
        <w:contextualSpacing/>
        <w:jc w:val="both"/>
        <w:rPr>
          <w:b/>
          <w:bCs/>
          <w:lang w:val="es-ES"/>
        </w:rPr>
      </w:pPr>
    </w:p>
    <w:p w14:paraId="38ED9A3E" w14:textId="6DA8C6CA" w:rsidR="008D0C91" w:rsidRPr="00232EBB" w:rsidRDefault="008D0C91" w:rsidP="008D0C91">
      <w:pPr>
        <w:spacing w:line="360" w:lineRule="auto"/>
        <w:contextualSpacing/>
        <w:jc w:val="both"/>
        <w:rPr>
          <w:b/>
          <w:bCs/>
          <w:lang w:val="es-ES"/>
        </w:rPr>
      </w:pPr>
      <w:r w:rsidRPr="00232EBB">
        <w:rPr>
          <w:b/>
          <w:bCs/>
          <w:lang w:val="es-ES"/>
        </w:rPr>
        <w:t>Principales aportes:</w:t>
      </w:r>
    </w:p>
    <w:p w14:paraId="0E431B9C" w14:textId="089DCE20" w:rsidR="008D0C91" w:rsidRPr="00232EBB" w:rsidRDefault="008D0C91" w:rsidP="000E2299">
      <w:pPr>
        <w:pStyle w:val="ListParagraph"/>
        <w:numPr>
          <w:ilvl w:val="0"/>
          <w:numId w:val="31"/>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Apoyo en el proceso de reimplementación de la plataforma.</w:t>
      </w:r>
    </w:p>
    <w:p w14:paraId="3F86F668" w14:textId="77777777" w:rsidR="008D0C91" w:rsidRPr="00232EBB" w:rsidRDefault="008D0C91" w:rsidP="000E2299">
      <w:pPr>
        <w:pStyle w:val="ListParagraph"/>
        <w:numPr>
          <w:ilvl w:val="0"/>
          <w:numId w:val="31"/>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Creación y registro de nuevos usuarios.</w:t>
      </w:r>
    </w:p>
    <w:p w14:paraId="37A7B93E" w14:textId="77777777" w:rsidR="008D0C91" w:rsidRPr="00232EBB" w:rsidRDefault="008D0C91" w:rsidP="000E2299">
      <w:pPr>
        <w:pStyle w:val="ListParagraph"/>
        <w:numPr>
          <w:ilvl w:val="0"/>
          <w:numId w:val="31"/>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Otorgamiento y ajuste de permisos según roles y necesidades operativas.</w:t>
      </w:r>
    </w:p>
    <w:p w14:paraId="59638010" w14:textId="77777777" w:rsidR="00E82B86" w:rsidRPr="00232EBB" w:rsidRDefault="00E82B86" w:rsidP="00E82B86">
      <w:pPr>
        <w:pStyle w:val="Heading1"/>
        <w:spacing w:before="100"/>
        <w:jc w:val="both"/>
        <w:rPr>
          <w:rFonts w:eastAsia="Calibri" w:cs="Times New Roman"/>
          <w:bCs/>
          <w:color w:val="767171"/>
          <w:sz w:val="24"/>
          <w:szCs w:val="24"/>
          <w:lang w:val="es-ES"/>
        </w:rPr>
      </w:pPr>
      <w:bookmarkStart w:id="235" w:name="_Toc216952253"/>
      <w:r w:rsidRPr="00232EBB">
        <w:rPr>
          <w:rFonts w:eastAsia="Calibri" w:cs="Times New Roman"/>
          <w:bCs/>
          <w:color w:val="767171"/>
          <w:sz w:val="24"/>
          <w:szCs w:val="24"/>
          <w:lang w:val="es-ES"/>
        </w:rPr>
        <w:t>Departamento de Ciberseguridad</w:t>
      </w:r>
      <w:bookmarkEnd w:id="228"/>
      <w:bookmarkEnd w:id="229"/>
      <w:bookmarkEnd w:id="230"/>
      <w:bookmarkEnd w:id="231"/>
      <w:bookmarkEnd w:id="232"/>
      <w:bookmarkEnd w:id="235"/>
    </w:p>
    <w:p w14:paraId="498556BB" w14:textId="77777777" w:rsidR="008D0C91" w:rsidRPr="00232EBB" w:rsidRDefault="008D0C91" w:rsidP="00457447">
      <w:pPr>
        <w:spacing w:line="360" w:lineRule="auto"/>
        <w:jc w:val="both"/>
        <w:rPr>
          <w:rFonts w:eastAsia="Calibri"/>
          <w:noProof/>
          <w:lang w:val="es-DO"/>
        </w:rPr>
      </w:pPr>
      <w:bookmarkStart w:id="236" w:name="_Hlk153448994"/>
      <w:bookmarkStart w:id="237" w:name="_Toc184981204"/>
      <w:r w:rsidRPr="00232EBB">
        <w:rPr>
          <w:rFonts w:eastAsia="Calibri"/>
          <w:noProof/>
          <w:lang w:val="es-DO"/>
        </w:rPr>
        <w:t>La Tesorería de la Seguridad Social (TSS) desempeña un papel fundamental en la gestión eficiente de los recursos destinados a garantizar la seguridad y bienestar de la población y tiene a su cargo el proceso de recaudo, distribución y pago de las cotizaciones del Sistema Dominicano de Seguridad Social (SDSS), así como del Sistema Único de Información y Recaudo (SUIR).</w:t>
      </w:r>
    </w:p>
    <w:p w14:paraId="1B5D1B27" w14:textId="77777777" w:rsidR="008D0C91" w:rsidRPr="00232EBB" w:rsidRDefault="008D0C91" w:rsidP="00457447">
      <w:pPr>
        <w:spacing w:line="360" w:lineRule="auto"/>
        <w:jc w:val="both"/>
        <w:rPr>
          <w:rFonts w:eastAsia="Calibri"/>
          <w:noProof/>
          <w:lang w:val="es-DO"/>
        </w:rPr>
      </w:pPr>
      <w:bookmarkStart w:id="238" w:name="_Hlk216945012"/>
      <w:r w:rsidRPr="00232EBB">
        <w:rPr>
          <w:rFonts w:eastAsia="Calibri"/>
          <w:noProof/>
          <w:lang w:val="es-DO"/>
        </w:rPr>
        <w:t xml:space="preserve">Como administradora del Sistema Único de Información y Recaudo (SUIR), donde reposa la base de datos del SDSS, propiedad exclusiva del Estado Dominicano, la cual está integrada por la información confidencial obtenida y resguardada por la TSS del SDSS, es primordial garantizar, para el cumplimiento adecuado de las obligaciones puestas a su cargo los pilares de disponibilidad, integridad, confidencialidad, autenticación, detección y respuesta </w:t>
      </w:r>
      <w:r w:rsidRPr="00232EBB">
        <w:rPr>
          <w:rFonts w:eastAsia="Calibri"/>
          <w:noProof/>
          <w:lang w:val="es-DO"/>
        </w:rPr>
        <w:lastRenderedPageBreak/>
        <w:t>rápida, prevención de amenazas, entre otros que sustentan la seguridad y ciberseguridad de la información, así como contar con herramientas tecnológicas y mecanismos que protejan su contenido.</w:t>
      </w:r>
    </w:p>
    <w:p w14:paraId="5DE76B20" w14:textId="77777777" w:rsidR="008D0C91" w:rsidRPr="00232EBB" w:rsidRDefault="008D0C91" w:rsidP="00457447">
      <w:pPr>
        <w:spacing w:line="360" w:lineRule="auto"/>
        <w:jc w:val="both"/>
        <w:rPr>
          <w:rFonts w:eastAsia="Calibri"/>
          <w:noProof/>
          <w:lang w:val="es-DO"/>
        </w:rPr>
      </w:pPr>
      <w:bookmarkStart w:id="239" w:name="_Hlk216945001"/>
      <w:bookmarkEnd w:id="238"/>
      <w:r w:rsidRPr="00232EBB">
        <w:rPr>
          <w:rFonts w:eastAsia="Calibri"/>
          <w:noProof/>
          <w:lang w:val="es-DO"/>
        </w:rPr>
        <w:t>Debido a esto se identificó la necesidad de establecer un Plan Estratégico de Ciberseguridad que definiera estrategias de Seguridad de la Información enfocadas en Ciberseguridad, con un enfoque moderno, actualizado y funcional, así como también definir el Modelo de Gobierno que permita gestionar dicho plan y las iniciativas propuestas la Dirección de Normas, Cumplimiento y Ciberseguridad.</w:t>
      </w:r>
    </w:p>
    <w:p w14:paraId="1205A12A" w14:textId="77777777" w:rsidR="008D0C91" w:rsidRPr="00232EBB" w:rsidRDefault="008D0C91" w:rsidP="00457447">
      <w:pPr>
        <w:pStyle w:val="Heading1"/>
        <w:spacing w:before="100"/>
        <w:jc w:val="both"/>
        <w:rPr>
          <w:rFonts w:eastAsia="Calibri" w:cs="Times New Roman"/>
          <w:bCs/>
          <w:color w:val="767171"/>
          <w:sz w:val="24"/>
          <w:szCs w:val="24"/>
          <w:lang w:val="es-ES"/>
        </w:rPr>
      </w:pPr>
      <w:bookmarkStart w:id="240" w:name="_Toc216952254"/>
      <w:bookmarkEnd w:id="239"/>
      <w:r w:rsidRPr="00232EBB">
        <w:rPr>
          <w:rFonts w:eastAsia="Calibri" w:cs="Times New Roman"/>
          <w:bCs/>
          <w:color w:val="767171"/>
          <w:sz w:val="24"/>
          <w:szCs w:val="24"/>
          <w:lang w:val="es-ES"/>
        </w:rPr>
        <w:t>Dicho plan tuvo como objetivos específicos:</w:t>
      </w:r>
      <w:bookmarkEnd w:id="240"/>
    </w:p>
    <w:p w14:paraId="7D04895E" w14:textId="43E4C2ED" w:rsidR="008D0C91" w:rsidRPr="00232EBB" w:rsidRDefault="008D0C91" w:rsidP="000E2299">
      <w:pPr>
        <w:numPr>
          <w:ilvl w:val="0"/>
          <w:numId w:val="32"/>
        </w:numPr>
        <w:spacing w:line="360" w:lineRule="auto"/>
        <w:contextualSpacing/>
        <w:jc w:val="both"/>
        <w:rPr>
          <w:rFonts w:eastAsia="Calibri"/>
          <w:noProof/>
          <w:lang w:val="es-DO"/>
        </w:rPr>
      </w:pPr>
      <w:r w:rsidRPr="00232EBB">
        <w:rPr>
          <w:rFonts w:eastAsia="Calibri"/>
          <w:noProof/>
          <w:lang w:val="es-DO"/>
        </w:rPr>
        <w:t xml:space="preserve">Identificar el nivel actual de ciberseguridad vs los marcos de referencia mencionados, así como los requerimientos regulatorios aplicables, incluyendo la del </w:t>
      </w:r>
      <w:r w:rsidR="00E90CE7" w:rsidRPr="00232EBB">
        <w:rPr>
          <w:rFonts w:eastAsia="Calibri"/>
          <w:noProof/>
          <w:lang w:val="es-DO"/>
        </w:rPr>
        <w:t>B</w:t>
      </w:r>
      <w:r w:rsidRPr="00232EBB">
        <w:rPr>
          <w:rFonts w:eastAsia="Calibri"/>
          <w:noProof/>
          <w:lang w:val="es-DO"/>
        </w:rPr>
        <w:t xml:space="preserve">anco </w:t>
      </w:r>
      <w:r w:rsidR="00E90CE7" w:rsidRPr="00232EBB">
        <w:rPr>
          <w:rFonts w:eastAsia="Calibri"/>
          <w:noProof/>
          <w:lang w:val="es-DO"/>
        </w:rPr>
        <w:t>C</w:t>
      </w:r>
      <w:r w:rsidRPr="00232EBB">
        <w:rPr>
          <w:rFonts w:eastAsia="Calibri"/>
          <w:noProof/>
          <w:lang w:val="es-DO"/>
        </w:rPr>
        <w:t>entral.</w:t>
      </w:r>
    </w:p>
    <w:p w14:paraId="3216D56F" w14:textId="77777777" w:rsidR="008D0C91" w:rsidRPr="00232EBB" w:rsidRDefault="008D0C91" w:rsidP="00E11C86">
      <w:pPr>
        <w:numPr>
          <w:ilvl w:val="0"/>
          <w:numId w:val="33"/>
        </w:numPr>
        <w:spacing w:line="360" w:lineRule="auto"/>
        <w:contextualSpacing/>
        <w:jc w:val="both"/>
        <w:rPr>
          <w:rFonts w:eastAsia="Calibri"/>
          <w:noProof/>
          <w:lang w:val="es-DO"/>
        </w:rPr>
      </w:pPr>
      <w:r w:rsidRPr="00232EBB">
        <w:rPr>
          <w:rFonts w:eastAsia="Calibri"/>
          <w:noProof/>
          <w:lang w:val="es-DO"/>
        </w:rPr>
        <w:t>Desarrollar el marco de gobierno de ciberseguridad y el Plan Estratégico de Seguridad de la Información que permitan alcanzar el nivel de madurez y requerido.</w:t>
      </w:r>
    </w:p>
    <w:p w14:paraId="2E947702" w14:textId="391E24F2" w:rsidR="00AA7D5D" w:rsidRPr="00232EBB" w:rsidRDefault="008D0C91" w:rsidP="00900074">
      <w:pPr>
        <w:numPr>
          <w:ilvl w:val="0"/>
          <w:numId w:val="33"/>
        </w:numPr>
        <w:spacing w:after="0" w:line="360" w:lineRule="auto"/>
        <w:contextualSpacing/>
        <w:jc w:val="both"/>
        <w:rPr>
          <w:rFonts w:eastAsia="Calibri"/>
          <w:noProof/>
          <w:lang w:val="es-DO"/>
        </w:rPr>
      </w:pPr>
      <w:r w:rsidRPr="00232EBB">
        <w:rPr>
          <w:rFonts w:eastAsia="Calibri"/>
          <w:noProof/>
          <w:lang w:val="es-DO"/>
        </w:rPr>
        <w:t>Definir y establecer el nivel de implementación los controles de ciberseguridad requeridos de acuerdo con el plan de seguridad definido.</w:t>
      </w:r>
    </w:p>
    <w:p w14:paraId="19D13F14" w14:textId="77777777" w:rsidR="00E90CE7" w:rsidRPr="00232EBB" w:rsidRDefault="00E90CE7" w:rsidP="00E90CE7">
      <w:pPr>
        <w:spacing w:after="0" w:line="360" w:lineRule="auto"/>
        <w:ind w:left="720"/>
        <w:contextualSpacing/>
        <w:jc w:val="both"/>
        <w:rPr>
          <w:rFonts w:eastAsia="Calibri"/>
          <w:noProof/>
          <w:lang w:val="es-DO"/>
        </w:rPr>
      </w:pPr>
    </w:p>
    <w:p w14:paraId="6C238B2C" w14:textId="3DF301AF" w:rsidR="008D0C91" w:rsidRPr="00232EBB" w:rsidRDefault="008D0C91" w:rsidP="00FF4316">
      <w:pPr>
        <w:spacing w:line="360" w:lineRule="auto"/>
        <w:jc w:val="both"/>
        <w:rPr>
          <w:rFonts w:eastAsia="Calibri"/>
          <w:noProof/>
          <w:lang w:val="es-DO"/>
        </w:rPr>
      </w:pPr>
      <w:bookmarkStart w:id="241" w:name="_Hlk216945083"/>
      <w:r w:rsidRPr="00232EBB">
        <w:rPr>
          <w:rFonts w:eastAsia="Calibri"/>
          <w:noProof/>
          <w:lang w:val="es-DO"/>
        </w:rPr>
        <w:t>El modelo de gobierno de Ciberseguridad permitirá a la institución mantener una cultura en ciberseguridad actualizada que garantice la prevención de ataques cibernéticos y una gestión oportuna en potenciales incidentes de ciberseguridad, por medio de la concientización del personal, toma de decisiones y adquisición de herramientas de gestión en ciberseguridad, lo que contribuirá a un ambiente ciberseguro y confiable desde el punto de vista de las partes interesadas</w:t>
      </w:r>
      <w:bookmarkEnd w:id="241"/>
      <w:r w:rsidRPr="00232EBB">
        <w:rPr>
          <w:rFonts w:eastAsia="Calibri"/>
          <w:noProof/>
          <w:lang w:val="es-DO"/>
        </w:rPr>
        <w:t xml:space="preserve">. Con esto se buscó proyectar una imagen de gestión correcta en ciberseguridad con lo que las personas puedan confiar más en sus servicios y productos, y esto es relevante ya que </w:t>
      </w:r>
      <w:r w:rsidRPr="00232EBB">
        <w:rPr>
          <w:rFonts w:eastAsia="Calibri"/>
          <w:noProof/>
          <w:lang w:val="es-DO"/>
        </w:rPr>
        <w:lastRenderedPageBreak/>
        <w:t>la credibilidad es esencial para construir relaciones a largo plazo con los usuarios y otras partes interesadas.</w:t>
      </w:r>
    </w:p>
    <w:p w14:paraId="2A9F1457" w14:textId="77777777" w:rsidR="008D0C91" w:rsidRPr="00232EBB" w:rsidRDefault="008D0C91" w:rsidP="00FF4316">
      <w:pPr>
        <w:spacing w:line="360" w:lineRule="auto"/>
        <w:jc w:val="both"/>
        <w:rPr>
          <w:rFonts w:eastAsia="Calibri"/>
          <w:noProof/>
          <w:lang w:val="es-DO"/>
        </w:rPr>
      </w:pPr>
      <w:r w:rsidRPr="00232EBB">
        <w:rPr>
          <w:rFonts w:eastAsia="Calibri"/>
          <w:noProof/>
          <w:lang w:val="es-DO"/>
        </w:rPr>
        <w:t xml:space="preserve">El plan se dividió en 3 fases las cuales fueron ejecutadas en un 100%. Como resultado cada fase buscaba: </w:t>
      </w:r>
    </w:p>
    <w:p w14:paraId="33DC231A" w14:textId="77777777" w:rsidR="008D0C91" w:rsidRPr="00232EBB" w:rsidRDefault="008D0C91" w:rsidP="008D0C91">
      <w:pPr>
        <w:pStyle w:val="Heading1"/>
        <w:jc w:val="both"/>
        <w:rPr>
          <w:rFonts w:cs="Times New Roman"/>
          <w:spacing w:val="0"/>
          <w:sz w:val="24"/>
          <w:szCs w:val="24"/>
          <w:lang w:val="es-DO"/>
        </w:rPr>
      </w:pPr>
      <w:bookmarkStart w:id="242" w:name="_Toc216952255"/>
      <w:r w:rsidRPr="00232EBB">
        <w:rPr>
          <w:rFonts w:cs="Times New Roman"/>
          <w:spacing w:val="0"/>
          <w:sz w:val="24"/>
          <w:szCs w:val="24"/>
          <w:lang w:val="es-DO"/>
        </w:rPr>
        <w:t>Fase 1. Situación Actual</w:t>
      </w:r>
      <w:bookmarkEnd w:id="242"/>
    </w:p>
    <w:p w14:paraId="1F3B5997" w14:textId="77777777" w:rsidR="008D0C91" w:rsidRPr="00232EBB" w:rsidRDefault="008D0C91" w:rsidP="000E2299">
      <w:pPr>
        <w:numPr>
          <w:ilvl w:val="1"/>
          <w:numId w:val="34"/>
        </w:numPr>
        <w:spacing w:line="360" w:lineRule="auto"/>
        <w:contextualSpacing/>
        <w:jc w:val="both"/>
        <w:rPr>
          <w:rFonts w:eastAsia="Calibri"/>
          <w:noProof/>
          <w:lang w:val="es-DO"/>
        </w:rPr>
      </w:pPr>
      <w:r w:rsidRPr="00232EBB">
        <w:rPr>
          <w:rFonts w:eastAsia="Calibri"/>
          <w:noProof/>
          <w:lang w:val="es-DO"/>
        </w:rPr>
        <w:t>Identificar y seleccionar de los marcos y mejores prácticas de seguridad referenciados en la propuesta, los controles que integrarán la estructurar de la matriz de evaluación de cumplimiento y madurez conforme los resultados de la etapa de contexto de seguridad, tecnológico y organizacional.</w:t>
      </w:r>
    </w:p>
    <w:p w14:paraId="42E8B1B9" w14:textId="77777777" w:rsidR="008D0C91" w:rsidRPr="00232EBB" w:rsidRDefault="008D0C91" w:rsidP="000E2299">
      <w:pPr>
        <w:numPr>
          <w:ilvl w:val="1"/>
          <w:numId w:val="34"/>
        </w:numPr>
        <w:spacing w:line="360" w:lineRule="auto"/>
        <w:contextualSpacing/>
        <w:jc w:val="both"/>
        <w:rPr>
          <w:rFonts w:eastAsia="Calibri"/>
          <w:noProof/>
          <w:lang w:val="es-DO"/>
        </w:rPr>
      </w:pPr>
      <w:r w:rsidRPr="00232EBB">
        <w:rPr>
          <w:rFonts w:eastAsia="Calibri"/>
          <w:noProof/>
          <w:lang w:val="es-DO"/>
        </w:rPr>
        <w:t>Evaluar efectividad en el diseño, la implementación y madurez del entorno de control de TSS, reportando la trazabilidad de cumplimiento conforme a los objetivos, dominios y regulación seleccionados en la etapa de contexto como un insumo de referencia para el análisis FODA y el PESI.</w:t>
      </w:r>
    </w:p>
    <w:p w14:paraId="73F6E510" w14:textId="77777777" w:rsidR="008D0C91" w:rsidRPr="00232EBB" w:rsidRDefault="008D0C91" w:rsidP="000E2299">
      <w:pPr>
        <w:numPr>
          <w:ilvl w:val="1"/>
          <w:numId w:val="34"/>
        </w:numPr>
        <w:spacing w:line="360" w:lineRule="auto"/>
        <w:contextualSpacing/>
        <w:jc w:val="both"/>
        <w:rPr>
          <w:rFonts w:eastAsia="Calibri"/>
          <w:noProof/>
          <w:lang w:val="es-DO"/>
        </w:rPr>
      </w:pPr>
      <w:r w:rsidRPr="00232EBB">
        <w:rPr>
          <w:rFonts w:eastAsia="Calibri"/>
          <w:noProof/>
          <w:lang w:val="es-DO"/>
        </w:rPr>
        <w:t>Identificar y considerar las regulaciones aplicables en materia de seguridad de la información establecidos por el Banco Central, el Departamento Nacional de Investigaciones (DNI) y el Centro Nacional de Ciberseguridad del Estado Dominicano.</w:t>
      </w:r>
    </w:p>
    <w:p w14:paraId="61BE955D" w14:textId="77777777" w:rsidR="008D0C91" w:rsidRPr="00232EBB" w:rsidRDefault="008D0C91" w:rsidP="008D0C91">
      <w:pPr>
        <w:pStyle w:val="Heading1"/>
        <w:jc w:val="both"/>
        <w:rPr>
          <w:rFonts w:cs="Times New Roman"/>
          <w:spacing w:val="0"/>
          <w:sz w:val="24"/>
          <w:szCs w:val="24"/>
          <w:lang w:val="es-DO"/>
        </w:rPr>
      </w:pPr>
      <w:bookmarkStart w:id="243" w:name="_Toc216952256"/>
      <w:r w:rsidRPr="00232EBB">
        <w:rPr>
          <w:rFonts w:cs="Times New Roman"/>
          <w:spacing w:val="0"/>
          <w:sz w:val="24"/>
          <w:szCs w:val="24"/>
          <w:lang w:val="es-DO"/>
        </w:rPr>
        <w:t>Fase 2. Situación Deseada</w:t>
      </w:r>
      <w:bookmarkEnd w:id="243"/>
    </w:p>
    <w:p w14:paraId="6775090B" w14:textId="77777777" w:rsidR="008D0C91" w:rsidRPr="00232EBB" w:rsidRDefault="008D0C91" w:rsidP="000E2299">
      <w:pPr>
        <w:numPr>
          <w:ilvl w:val="1"/>
          <w:numId w:val="35"/>
        </w:numPr>
        <w:spacing w:line="360" w:lineRule="auto"/>
        <w:contextualSpacing/>
        <w:jc w:val="both"/>
        <w:rPr>
          <w:rFonts w:eastAsia="Calibri"/>
          <w:noProof/>
          <w:lang w:val="es-DO"/>
        </w:rPr>
      </w:pPr>
      <w:r w:rsidRPr="00232EBB">
        <w:rPr>
          <w:rFonts w:eastAsia="Calibri"/>
          <w:noProof/>
          <w:lang w:val="es-DO"/>
        </w:rPr>
        <w:t xml:space="preserve">Considerar una arquitectura de seguridad a alto nivel como una representación general y estratégica de cómo se protegen los activos de información dentro de una organización. </w:t>
      </w:r>
    </w:p>
    <w:p w14:paraId="0FE8D94B" w14:textId="77777777" w:rsidR="008D0C91" w:rsidRPr="00232EBB" w:rsidRDefault="008D0C91" w:rsidP="000E2299">
      <w:pPr>
        <w:numPr>
          <w:ilvl w:val="1"/>
          <w:numId w:val="35"/>
        </w:numPr>
        <w:spacing w:line="360" w:lineRule="auto"/>
        <w:contextualSpacing/>
        <w:jc w:val="both"/>
        <w:rPr>
          <w:rFonts w:eastAsia="Calibri"/>
          <w:noProof/>
          <w:lang w:val="es-DO"/>
        </w:rPr>
      </w:pPr>
      <w:r w:rsidRPr="00232EBB">
        <w:rPr>
          <w:rFonts w:eastAsia="Calibri"/>
          <w:noProof/>
          <w:lang w:val="es-DO"/>
        </w:rPr>
        <w:t>Definir y desarrollar de manera detallada el Plan Estratégico de Ciberseguridad que deberá de ser implementado y operado con la habilitación del modelo de gobierno para lograr el nivel de seguridad y control de riesgos para la Tesorería Social.</w:t>
      </w:r>
    </w:p>
    <w:p w14:paraId="72E4D41B" w14:textId="77777777" w:rsidR="008D0C91" w:rsidRPr="00232EBB" w:rsidRDefault="008D0C91" w:rsidP="000E2299">
      <w:pPr>
        <w:numPr>
          <w:ilvl w:val="1"/>
          <w:numId w:val="35"/>
        </w:numPr>
        <w:spacing w:line="360" w:lineRule="auto"/>
        <w:contextualSpacing/>
        <w:jc w:val="both"/>
        <w:rPr>
          <w:rFonts w:eastAsia="Calibri"/>
          <w:noProof/>
          <w:lang w:val="es-DO"/>
        </w:rPr>
      </w:pPr>
      <w:r w:rsidRPr="00232EBB">
        <w:rPr>
          <w:rFonts w:eastAsia="Calibri"/>
          <w:noProof/>
          <w:lang w:val="es-DO"/>
        </w:rPr>
        <w:lastRenderedPageBreak/>
        <w:t>Desarrollar el Diseño de la arquitectura conforme al modelo OSA u otro similar.</w:t>
      </w:r>
    </w:p>
    <w:p w14:paraId="4FAA030C" w14:textId="77777777" w:rsidR="008D0C91" w:rsidRPr="00232EBB" w:rsidRDefault="008D0C91" w:rsidP="000E2299">
      <w:pPr>
        <w:numPr>
          <w:ilvl w:val="1"/>
          <w:numId w:val="35"/>
        </w:numPr>
        <w:spacing w:line="360" w:lineRule="auto"/>
        <w:contextualSpacing/>
        <w:jc w:val="both"/>
        <w:rPr>
          <w:rFonts w:eastAsia="Calibri"/>
          <w:noProof/>
          <w:lang w:val="es-DO"/>
        </w:rPr>
      </w:pPr>
      <w:r w:rsidRPr="00232EBB">
        <w:rPr>
          <w:rFonts w:eastAsia="Calibri"/>
          <w:noProof/>
          <w:lang w:val="es-DO"/>
        </w:rPr>
        <w:t>Establecer la matriz de control de seguridad con el nivel de madurez referenciando en las mejores prácticas, la regulación y el contexto.</w:t>
      </w:r>
    </w:p>
    <w:p w14:paraId="4843CB49" w14:textId="77777777" w:rsidR="008D0C91" w:rsidRPr="00232EBB" w:rsidRDefault="008D0C91" w:rsidP="008D0C91">
      <w:pPr>
        <w:pStyle w:val="Heading1"/>
        <w:jc w:val="both"/>
        <w:rPr>
          <w:rFonts w:cs="Times New Roman"/>
          <w:spacing w:val="0"/>
          <w:sz w:val="24"/>
          <w:szCs w:val="24"/>
          <w:lang w:val="es-DO"/>
        </w:rPr>
      </w:pPr>
      <w:bookmarkStart w:id="244" w:name="_Toc216952257"/>
      <w:r w:rsidRPr="00232EBB">
        <w:rPr>
          <w:rFonts w:cs="Times New Roman"/>
          <w:spacing w:val="0"/>
          <w:sz w:val="24"/>
          <w:szCs w:val="24"/>
          <w:lang w:val="es-DO"/>
        </w:rPr>
        <w:t>Fase 3. Plan Estratégico</w:t>
      </w:r>
      <w:bookmarkEnd w:id="244"/>
    </w:p>
    <w:p w14:paraId="6BDA86E2" w14:textId="77777777" w:rsidR="008D0C91" w:rsidRPr="00232EBB" w:rsidRDefault="008D0C91" w:rsidP="000E2299">
      <w:pPr>
        <w:numPr>
          <w:ilvl w:val="1"/>
          <w:numId w:val="36"/>
        </w:numPr>
        <w:spacing w:line="360" w:lineRule="auto"/>
        <w:contextualSpacing/>
        <w:jc w:val="both"/>
        <w:rPr>
          <w:rFonts w:eastAsia="Calibri"/>
          <w:noProof/>
          <w:lang w:val="es-DO"/>
        </w:rPr>
      </w:pPr>
      <w:r w:rsidRPr="00232EBB">
        <w:rPr>
          <w:rFonts w:eastAsia="Calibri"/>
          <w:noProof/>
          <w:lang w:val="es-DO"/>
        </w:rPr>
        <w:t>Desarrollar una matriz de controles detallada, estableciendo los objetivos y los aspectos clave de control a considerar en el diseño e implementación.</w:t>
      </w:r>
    </w:p>
    <w:p w14:paraId="3975845D" w14:textId="77777777" w:rsidR="008D0C91" w:rsidRPr="00232EBB" w:rsidRDefault="008D0C91" w:rsidP="000E2299">
      <w:pPr>
        <w:numPr>
          <w:ilvl w:val="1"/>
          <w:numId w:val="36"/>
        </w:numPr>
        <w:spacing w:line="360" w:lineRule="auto"/>
        <w:contextualSpacing/>
        <w:jc w:val="both"/>
        <w:rPr>
          <w:rFonts w:eastAsia="Calibri"/>
          <w:noProof/>
          <w:lang w:val="es-DO"/>
        </w:rPr>
      </w:pPr>
      <w:r w:rsidRPr="00232EBB">
        <w:rPr>
          <w:rFonts w:eastAsia="Calibri"/>
          <w:noProof/>
          <w:lang w:val="es-DO"/>
        </w:rPr>
        <w:t>Identificar y seleccionar la estructura del marco documental como la base a nivel política y procesos de seguridad fundamentales para la operación del área.</w:t>
      </w:r>
    </w:p>
    <w:p w14:paraId="6C63ABCA" w14:textId="77777777" w:rsidR="008D0C91" w:rsidRPr="00232EBB" w:rsidRDefault="008D0C91" w:rsidP="000E2299">
      <w:pPr>
        <w:numPr>
          <w:ilvl w:val="1"/>
          <w:numId w:val="36"/>
        </w:numPr>
        <w:spacing w:line="360" w:lineRule="auto"/>
        <w:contextualSpacing/>
        <w:jc w:val="both"/>
        <w:rPr>
          <w:rFonts w:eastAsia="Calibri"/>
          <w:noProof/>
          <w:lang w:val="es-DO"/>
        </w:rPr>
      </w:pPr>
      <w:r w:rsidRPr="00232EBB">
        <w:rPr>
          <w:rFonts w:eastAsia="Calibri"/>
          <w:noProof/>
          <w:lang w:val="es-DO"/>
        </w:rPr>
        <w:t>Diseñar la estructura del Marco Estratégico de Gestión, seleccionando los modelos, mecanismos y equipos planteados en la propuesta conforme al contexto organizacional.</w:t>
      </w:r>
    </w:p>
    <w:p w14:paraId="6AB083E8" w14:textId="4ED86C88" w:rsidR="006121D1" w:rsidRPr="00232EBB" w:rsidRDefault="006121D1" w:rsidP="006121D1">
      <w:pPr>
        <w:pStyle w:val="Heading1"/>
        <w:jc w:val="both"/>
        <w:rPr>
          <w:rFonts w:cs="Times New Roman"/>
          <w:spacing w:val="0"/>
          <w:sz w:val="24"/>
          <w:szCs w:val="24"/>
          <w:lang w:val="es-DO"/>
        </w:rPr>
      </w:pPr>
      <w:bookmarkStart w:id="245" w:name="_Toc216952258"/>
      <w:bookmarkEnd w:id="236"/>
      <w:r w:rsidRPr="00232EBB">
        <w:rPr>
          <w:rFonts w:cs="Times New Roman"/>
          <w:spacing w:val="0"/>
          <w:sz w:val="24"/>
          <w:szCs w:val="24"/>
          <w:lang w:val="es-DO"/>
        </w:rPr>
        <w:t>Departamento de Gestión Integral de Riesgos</w:t>
      </w:r>
      <w:bookmarkEnd w:id="130"/>
      <w:bookmarkEnd w:id="131"/>
      <w:bookmarkEnd w:id="132"/>
      <w:bookmarkEnd w:id="133"/>
      <w:bookmarkEnd w:id="237"/>
      <w:bookmarkEnd w:id="245"/>
    </w:p>
    <w:p w14:paraId="3079103C" w14:textId="77777777" w:rsidR="001F2D16" w:rsidRPr="00232EBB" w:rsidRDefault="001F2D16" w:rsidP="001F2D16">
      <w:pPr>
        <w:spacing w:before="240" w:line="360" w:lineRule="auto"/>
        <w:jc w:val="both"/>
        <w:rPr>
          <w:rFonts w:eastAsia="Calibri"/>
          <w:noProof/>
          <w:lang w:val="es-DO"/>
        </w:rPr>
      </w:pPr>
      <w:r w:rsidRPr="00232EBB">
        <w:rPr>
          <w:rFonts w:eastAsia="Calibri"/>
          <w:noProof/>
          <w:lang w:val="es-DO"/>
        </w:rPr>
        <w:t>La Gestión Integral de Riesgos (DGIR) ha culminado el año 2025 con una gestión innovadora y robusta, consolidando la resiliencia operativa de la TSS. Los logros se centran en la implementación exitosa de una cultura de riesgos, el cumplimiento total de las metas estratégicas, y el desarrollo de marcos de referencia avanzados para el futuro.</w:t>
      </w:r>
    </w:p>
    <w:p w14:paraId="0C555280" w14:textId="77777777" w:rsidR="001F2D16" w:rsidRPr="00232EBB" w:rsidRDefault="001F2D16" w:rsidP="001F2D16">
      <w:pPr>
        <w:pStyle w:val="Heading1"/>
        <w:jc w:val="both"/>
        <w:rPr>
          <w:rFonts w:cs="Times New Roman"/>
          <w:spacing w:val="0"/>
          <w:sz w:val="24"/>
          <w:szCs w:val="24"/>
          <w:lang w:val="es-DO"/>
        </w:rPr>
      </w:pPr>
      <w:bookmarkStart w:id="246" w:name="_Toc216952259"/>
      <w:r w:rsidRPr="00232EBB">
        <w:rPr>
          <w:rFonts w:cs="Times New Roman"/>
          <w:spacing w:val="0"/>
          <w:sz w:val="24"/>
          <w:szCs w:val="24"/>
          <w:lang w:val="es-DO"/>
        </w:rPr>
        <w:t>Visión 360°: La Gestión de Riesgos como Pilar Estratégico</w:t>
      </w:r>
      <w:bookmarkEnd w:id="246"/>
    </w:p>
    <w:p w14:paraId="404AA130" w14:textId="77777777" w:rsidR="001F2D16" w:rsidRPr="00232EBB" w:rsidRDefault="001F2D16" w:rsidP="001F2D16">
      <w:pPr>
        <w:spacing w:before="240" w:line="360" w:lineRule="auto"/>
        <w:jc w:val="both"/>
        <w:rPr>
          <w:rFonts w:eastAsia="Calibri"/>
          <w:noProof/>
          <w:lang w:val="es-DO"/>
        </w:rPr>
      </w:pPr>
      <w:r w:rsidRPr="00232EBB">
        <w:rPr>
          <w:rFonts w:eastAsia="Calibri"/>
          <w:noProof/>
          <w:lang w:val="es-DO"/>
        </w:rPr>
        <w:t>El trabajo del Departamento de Gestión Integral de Riesgo (DGIR) ha trascendido el cumplimiento normativo para enfocarse en la instauración exitosa de una cultura orientada a la gestión de riesgos. Esta cultura permite la identificación proactiva de eventos capaces de afectar las operaciones de la TSS, facilitando la adopción temprana de medidas de mitigación de impacto.</w:t>
      </w:r>
    </w:p>
    <w:p w14:paraId="1B5795E9" w14:textId="77777777" w:rsidR="001F2D16" w:rsidRPr="00232EBB" w:rsidRDefault="001F2D16" w:rsidP="001F2D16">
      <w:pPr>
        <w:pStyle w:val="Heading1"/>
        <w:jc w:val="both"/>
        <w:rPr>
          <w:rFonts w:cs="Times New Roman"/>
          <w:spacing w:val="0"/>
          <w:sz w:val="24"/>
          <w:szCs w:val="24"/>
          <w:lang w:val="es-DO"/>
        </w:rPr>
      </w:pPr>
      <w:bookmarkStart w:id="247" w:name="_Toc216952260"/>
      <w:r w:rsidRPr="00232EBB">
        <w:rPr>
          <w:rFonts w:cs="Times New Roman"/>
          <w:spacing w:val="0"/>
          <w:sz w:val="24"/>
          <w:szCs w:val="24"/>
          <w:lang w:val="es-DO"/>
        </w:rPr>
        <w:lastRenderedPageBreak/>
        <w:t>I. Consolidación de Metas Anuales (100% de Cumplimiento)</w:t>
      </w:r>
      <w:bookmarkEnd w:id="247"/>
    </w:p>
    <w:p w14:paraId="0A1ECA4A" w14:textId="77777777" w:rsidR="001F2D16" w:rsidRPr="00232EBB" w:rsidRDefault="001F2D16" w:rsidP="001F2D16">
      <w:pPr>
        <w:spacing w:before="240" w:line="360" w:lineRule="auto"/>
        <w:jc w:val="both"/>
        <w:rPr>
          <w:rFonts w:eastAsia="Calibri"/>
          <w:noProof/>
          <w:lang w:val="es-DO"/>
        </w:rPr>
      </w:pPr>
      <w:r w:rsidRPr="00232EBB">
        <w:rPr>
          <w:rFonts w:eastAsia="Calibri"/>
          <w:noProof/>
          <w:lang w:val="es-DO"/>
        </w:rPr>
        <w:t>Se logró el 100% de cumplimiento en los dos objetivos estratégicos clave del Sistema de Gestión Integrado (SGI) para 2025, demostrando la capacidad de ejecución del departamento:</w:t>
      </w:r>
    </w:p>
    <w:p w14:paraId="5A4326AA" w14:textId="41927126" w:rsidR="001F2D16" w:rsidRPr="00232EBB" w:rsidRDefault="001F2D16" w:rsidP="000E2299">
      <w:pPr>
        <w:pStyle w:val="ListParagraph"/>
        <w:numPr>
          <w:ilvl w:val="0"/>
          <w:numId w:val="24"/>
        </w:numPr>
        <w:spacing w:before="240" w:line="360" w:lineRule="auto"/>
        <w:rPr>
          <w:rFonts w:ascii="Times New Roman" w:hAnsi="Times New Roman"/>
          <w:noProof/>
          <w:color w:val="767171"/>
          <w:spacing w:val="20"/>
          <w:sz w:val="24"/>
          <w:szCs w:val="24"/>
        </w:rPr>
      </w:pPr>
      <w:bookmarkStart w:id="248" w:name="_Hlk216945217"/>
      <w:r w:rsidRPr="00232EBB">
        <w:rPr>
          <w:rFonts w:ascii="Times New Roman" w:hAnsi="Times New Roman"/>
          <w:noProof/>
          <w:color w:val="767171"/>
          <w:spacing w:val="20"/>
          <w:sz w:val="24"/>
          <w:szCs w:val="24"/>
        </w:rPr>
        <w:t>Se alcanzó el 100% de la meta en el Plan Cultura en Gestión de Riesgos, Resiliencia y Continuidad de Negocios.</w:t>
      </w:r>
    </w:p>
    <w:p w14:paraId="5D2F20EC" w14:textId="6A85F079" w:rsidR="001F2D16" w:rsidRPr="00232EBB" w:rsidRDefault="001F2D16" w:rsidP="000E2299">
      <w:pPr>
        <w:pStyle w:val="ListParagraph"/>
        <w:numPr>
          <w:ilvl w:val="0"/>
          <w:numId w:val="24"/>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 completó el 100% de los ejercicios planificados de Continuidad de Negocios, fortaleciendo la capacidad de respuesta ante interrupciones.</w:t>
      </w:r>
    </w:p>
    <w:p w14:paraId="740EDD6A" w14:textId="77777777" w:rsidR="001F2D16" w:rsidRPr="00232EBB" w:rsidRDefault="001F2D16" w:rsidP="001F2D16">
      <w:pPr>
        <w:pStyle w:val="Heading1"/>
        <w:jc w:val="both"/>
        <w:rPr>
          <w:rFonts w:cs="Times New Roman"/>
          <w:spacing w:val="0"/>
          <w:sz w:val="24"/>
          <w:szCs w:val="24"/>
          <w:lang w:val="es-DO"/>
        </w:rPr>
      </w:pPr>
      <w:bookmarkStart w:id="249" w:name="_Toc216952261"/>
      <w:bookmarkEnd w:id="248"/>
      <w:r w:rsidRPr="00232EBB">
        <w:rPr>
          <w:rFonts w:cs="Times New Roman"/>
          <w:spacing w:val="0"/>
          <w:sz w:val="24"/>
          <w:szCs w:val="24"/>
          <w:lang w:val="es-DO"/>
        </w:rPr>
        <w:t>II. Innovación y Desarrollo Metodológico</w:t>
      </w:r>
      <w:bookmarkEnd w:id="249"/>
    </w:p>
    <w:p w14:paraId="795129FC" w14:textId="77777777" w:rsidR="001F2D16" w:rsidRPr="00232EBB" w:rsidRDefault="001F2D16" w:rsidP="001F2D16">
      <w:pPr>
        <w:spacing w:before="240" w:line="360" w:lineRule="auto"/>
        <w:jc w:val="both"/>
        <w:rPr>
          <w:rFonts w:eastAsia="Calibri"/>
          <w:noProof/>
          <w:lang w:val="es-DO"/>
        </w:rPr>
      </w:pPr>
      <w:r w:rsidRPr="00232EBB">
        <w:rPr>
          <w:rFonts w:eastAsia="Calibri"/>
          <w:noProof/>
          <w:lang w:val="es-DO"/>
        </w:rPr>
        <w:t>El DGIR no solo ejecutó el plan, sino que sentó las bases para una gestión de riesgos de vanguardia:</w:t>
      </w:r>
    </w:p>
    <w:p w14:paraId="39C499C4" w14:textId="40EE1871" w:rsidR="001F2D16" w:rsidRPr="00232EBB" w:rsidRDefault="001F2D16" w:rsidP="000E2299">
      <w:pPr>
        <w:pStyle w:val="ListParagraph"/>
        <w:numPr>
          <w:ilvl w:val="0"/>
          <w:numId w:val="25"/>
        </w:numPr>
        <w:spacing w:before="240" w:line="360" w:lineRule="auto"/>
        <w:rPr>
          <w:rFonts w:ascii="Times New Roman" w:hAnsi="Times New Roman"/>
          <w:noProof/>
          <w:color w:val="767171"/>
          <w:spacing w:val="20"/>
          <w:sz w:val="24"/>
          <w:szCs w:val="24"/>
        </w:rPr>
      </w:pPr>
      <w:bookmarkStart w:id="250" w:name="_Hlk216945243"/>
      <w:r w:rsidRPr="00232EBB">
        <w:rPr>
          <w:rFonts w:ascii="Times New Roman" w:hAnsi="Times New Roman"/>
          <w:noProof/>
          <w:color w:val="767171"/>
          <w:spacing w:val="20"/>
          <w:sz w:val="24"/>
          <w:szCs w:val="24"/>
        </w:rPr>
        <w:t>Se presentó la metodología mejorada de la Gestión Integral de Riesgo, optimizando los procesos internos de identificación, evaluación y tratamiento de riesgos.</w:t>
      </w:r>
    </w:p>
    <w:bookmarkEnd w:id="250"/>
    <w:p w14:paraId="464BB95D" w14:textId="3215FEEA" w:rsidR="001F2D16" w:rsidRPr="00232EBB" w:rsidRDefault="001F2D16" w:rsidP="000E2299">
      <w:pPr>
        <w:pStyle w:val="ListParagraph"/>
        <w:numPr>
          <w:ilvl w:val="0"/>
          <w:numId w:val="25"/>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 elaboró y presentó la propuesta formal para el Modelo de Resiliencia a implementar en el 2026, acompañado de las políticas y modelos de continuidad de negocio. Esta formalización permitirá una gestión integral y estructurada de la continuidad de negocios y la gestión de incidentes a partir del próximo año.</w:t>
      </w:r>
    </w:p>
    <w:p w14:paraId="6212F15C" w14:textId="77777777" w:rsidR="001F2D16" w:rsidRPr="00232EBB" w:rsidRDefault="001F2D16" w:rsidP="001F2D16">
      <w:pPr>
        <w:pStyle w:val="Heading1"/>
        <w:jc w:val="both"/>
        <w:rPr>
          <w:rFonts w:cs="Times New Roman"/>
          <w:spacing w:val="0"/>
          <w:sz w:val="24"/>
          <w:szCs w:val="24"/>
          <w:lang w:val="es-DO"/>
        </w:rPr>
      </w:pPr>
      <w:bookmarkStart w:id="251" w:name="_Toc216952262"/>
      <w:r w:rsidRPr="00232EBB">
        <w:rPr>
          <w:rFonts w:cs="Times New Roman"/>
          <w:spacing w:val="0"/>
          <w:sz w:val="24"/>
          <w:szCs w:val="24"/>
          <w:lang w:val="es-DO"/>
        </w:rPr>
        <w:t>III. Fortalecimiento del Capital Humano y Enlace Externo</w:t>
      </w:r>
      <w:bookmarkEnd w:id="251"/>
    </w:p>
    <w:p w14:paraId="0BC248B1" w14:textId="77777777" w:rsidR="001F2D16" w:rsidRPr="00232EBB" w:rsidRDefault="001F2D16" w:rsidP="001F2D16">
      <w:pPr>
        <w:spacing w:before="240" w:line="360" w:lineRule="auto"/>
        <w:jc w:val="both"/>
        <w:rPr>
          <w:rFonts w:eastAsia="Calibri"/>
          <w:noProof/>
          <w:lang w:val="es-DO"/>
        </w:rPr>
      </w:pPr>
      <w:r w:rsidRPr="00232EBB">
        <w:rPr>
          <w:rFonts w:eastAsia="Calibri"/>
          <w:noProof/>
          <w:lang w:val="es-DO"/>
        </w:rPr>
        <w:t>El desarrollo de capacidades y la colaboración externa fueron pilares de la gestión:</w:t>
      </w:r>
    </w:p>
    <w:p w14:paraId="376B61DA" w14:textId="4940269F" w:rsidR="001F2D16" w:rsidRPr="00232EBB" w:rsidRDefault="001F2D16" w:rsidP="000E2299">
      <w:pPr>
        <w:pStyle w:val="ListParagraph"/>
        <w:numPr>
          <w:ilvl w:val="0"/>
          <w:numId w:val="23"/>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 xml:space="preserve">Se realizaron jornadas de capacitación </w:t>
      </w:r>
      <w:r w:rsidR="005162E7" w:rsidRPr="00232EBB">
        <w:rPr>
          <w:rFonts w:ascii="Times New Roman" w:hAnsi="Times New Roman"/>
          <w:noProof/>
          <w:color w:val="767171"/>
          <w:spacing w:val="20"/>
          <w:sz w:val="24"/>
          <w:szCs w:val="24"/>
        </w:rPr>
        <w:t xml:space="preserve">especializada </w:t>
      </w:r>
      <w:r w:rsidRPr="00232EBB">
        <w:rPr>
          <w:rFonts w:ascii="Times New Roman" w:hAnsi="Times New Roman"/>
          <w:noProof/>
          <w:color w:val="767171"/>
          <w:spacing w:val="20"/>
          <w:sz w:val="24"/>
          <w:szCs w:val="24"/>
        </w:rPr>
        <w:t xml:space="preserve">al personal de nuevo ingreso y a los diferentes encargados, cubriendo no solo el riesgo general, sino haciendo énfasis </w:t>
      </w:r>
      <w:r w:rsidRPr="00232EBB">
        <w:rPr>
          <w:rFonts w:ascii="Times New Roman" w:hAnsi="Times New Roman"/>
          <w:noProof/>
          <w:color w:val="767171"/>
          <w:spacing w:val="20"/>
          <w:sz w:val="24"/>
          <w:szCs w:val="24"/>
        </w:rPr>
        <w:lastRenderedPageBreak/>
        <w:t>especial en el riesgo conductual, vital para la integridad institucional.</w:t>
      </w:r>
    </w:p>
    <w:p w14:paraId="2D95C0D6" w14:textId="6E7B0D06" w:rsidR="001F2D16" w:rsidRPr="00232EBB" w:rsidRDefault="001F2D16" w:rsidP="000E2299">
      <w:pPr>
        <w:pStyle w:val="ListParagraph"/>
        <w:numPr>
          <w:ilvl w:val="0"/>
          <w:numId w:val="23"/>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Se destacó la participación en ejercicios de continuidad organizados por órganos externos, validando la preparación de la TSS a nivel interinstitucional.</w:t>
      </w:r>
    </w:p>
    <w:p w14:paraId="6513A702" w14:textId="3C8576F6" w:rsidR="001F2D16" w:rsidRPr="00232EBB" w:rsidRDefault="005162E7" w:rsidP="000E2299">
      <w:pPr>
        <w:pStyle w:val="ListParagraph"/>
        <w:numPr>
          <w:ilvl w:val="0"/>
          <w:numId w:val="23"/>
        </w:numPr>
        <w:spacing w:before="240"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P</w:t>
      </w:r>
      <w:r w:rsidR="001F2D16" w:rsidRPr="00232EBB">
        <w:rPr>
          <w:rFonts w:ascii="Times New Roman" w:hAnsi="Times New Roman"/>
          <w:noProof/>
          <w:color w:val="767171"/>
          <w:spacing w:val="20"/>
          <w:sz w:val="24"/>
          <w:szCs w:val="24"/>
        </w:rPr>
        <w:t>articip</w:t>
      </w:r>
      <w:r w:rsidRPr="00232EBB">
        <w:rPr>
          <w:rFonts w:ascii="Times New Roman" w:hAnsi="Times New Roman"/>
          <w:noProof/>
          <w:color w:val="767171"/>
          <w:spacing w:val="20"/>
          <w:sz w:val="24"/>
          <w:szCs w:val="24"/>
        </w:rPr>
        <w:t>ación</w:t>
      </w:r>
      <w:r w:rsidR="001F2D16" w:rsidRPr="00232EBB">
        <w:rPr>
          <w:rFonts w:ascii="Times New Roman" w:hAnsi="Times New Roman"/>
          <w:noProof/>
          <w:color w:val="767171"/>
          <w:spacing w:val="20"/>
          <w:sz w:val="24"/>
          <w:szCs w:val="24"/>
        </w:rPr>
        <w:t xml:space="preserve"> en actividades de benchlearning con la Superintendencia de Bancos, integrando mejores prácticas del sector financiero en la gestión de riesgos.</w:t>
      </w:r>
    </w:p>
    <w:p w14:paraId="3DFAECB1" w14:textId="77777777" w:rsidR="001F2D16" w:rsidRPr="00232EBB" w:rsidRDefault="001F2D16" w:rsidP="0037591B">
      <w:pPr>
        <w:pStyle w:val="Heading1"/>
        <w:spacing w:before="0"/>
        <w:jc w:val="both"/>
        <w:rPr>
          <w:rFonts w:cs="Times New Roman"/>
          <w:spacing w:val="0"/>
          <w:sz w:val="24"/>
          <w:szCs w:val="24"/>
          <w:lang w:val="es-DO"/>
        </w:rPr>
      </w:pPr>
      <w:bookmarkStart w:id="252" w:name="_Toc216952263"/>
      <w:r w:rsidRPr="00232EBB">
        <w:rPr>
          <w:rFonts w:cs="Times New Roman"/>
          <w:spacing w:val="0"/>
          <w:sz w:val="24"/>
          <w:szCs w:val="24"/>
          <w:lang w:val="es-DO"/>
        </w:rPr>
        <w:t>IV. Aseguramiento de la Calidad de la Información</w:t>
      </w:r>
      <w:bookmarkEnd w:id="252"/>
    </w:p>
    <w:p w14:paraId="5E570A88" w14:textId="77777777" w:rsidR="001F2D16" w:rsidRPr="00232EBB" w:rsidRDefault="001F2D16" w:rsidP="0037591B">
      <w:pPr>
        <w:spacing w:line="360" w:lineRule="auto"/>
        <w:jc w:val="both"/>
        <w:rPr>
          <w:rFonts w:eastAsia="Calibri"/>
          <w:noProof/>
          <w:lang w:val="es-DO"/>
        </w:rPr>
      </w:pPr>
      <w:r w:rsidRPr="00232EBB">
        <w:rPr>
          <w:rFonts w:eastAsia="Calibri"/>
          <w:noProof/>
          <w:lang w:val="es-DO"/>
        </w:rPr>
        <w:t>El compromiso con la transparencia y la precisión se evidenció al alcanzar un 100% en el Índice de Calidad de Recopilación de Información (ICRI), superando la meta establecida del 95%. Adicionalmente, se logró el 100% de cumplimiento en la actualización del mapa de riesgos de incumplimiento y antisoborno, asegurando herramientas de gestión precisas y actualizadas.</w:t>
      </w:r>
    </w:p>
    <w:p w14:paraId="0AA16BF3" w14:textId="6D939647" w:rsidR="00053E08" w:rsidRPr="00232EBB" w:rsidRDefault="00053E08" w:rsidP="00053E08">
      <w:pPr>
        <w:keepNext/>
        <w:keepLines/>
        <w:spacing w:before="240" w:line="360" w:lineRule="auto"/>
        <w:jc w:val="both"/>
        <w:outlineLvl w:val="0"/>
        <w:rPr>
          <w:rFonts w:eastAsiaTheme="majorEastAsia"/>
          <w:b/>
          <w:color w:val="767171" w:themeColor="background2" w:themeShade="80"/>
          <w:spacing w:val="0"/>
          <w:lang w:val="es-DO"/>
        </w:rPr>
      </w:pPr>
      <w:bookmarkStart w:id="253" w:name="_Toc184981206"/>
      <w:bookmarkStart w:id="254" w:name="_Toc216952264"/>
      <w:r w:rsidRPr="00232EBB">
        <w:rPr>
          <w:rFonts w:eastAsiaTheme="majorEastAsia"/>
          <w:b/>
          <w:color w:val="767171" w:themeColor="background2" w:themeShade="80"/>
          <w:spacing w:val="0"/>
          <w:lang w:val="es-DO"/>
        </w:rPr>
        <w:t>Resultados de las Normas Básicas de Control Interno (NOBACI)</w:t>
      </w:r>
      <w:bookmarkEnd w:id="253"/>
      <w:bookmarkEnd w:id="254"/>
    </w:p>
    <w:tbl>
      <w:tblPr>
        <w:tblW w:w="7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995"/>
        <w:gridCol w:w="1799"/>
      </w:tblGrid>
      <w:tr w:rsidR="003B5614" w:rsidRPr="00232EBB" w14:paraId="034F325A" w14:textId="77777777" w:rsidTr="00266E19">
        <w:trPr>
          <w:trHeight w:val="161"/>
          <w:tblHeader/>
        </w:trPr>
        <w:tc>
          <w:tcPr>
            <w:tcW w:w="7555" w:type="dxa"/>
            <w:gridSpan w:val="3"/>
            <w:shd w:val="clear" w:color="auto" w:fill="002060"/>
            <w:vAlign w:val="center"/>
            <w:hideMark/>
          </w:tcPr>
          <w:p w14:paraId="12F2AFCE" w14:textId="46FAEAF6" w:rsidR="003B5614" w:rsidRPr="00232EBB" w:rsidRDefault="00457D41" w:rsidP="009F54E3">
            <w:pPr>
              <w:spacing w:line="360" w:lineRule="auto"/>
              <w:jc w:val="center"/>
              <w:rPr>
                <w:rFonts w:eastAsia="Calibri"/>
                <w:b/>
                <w:bCs/>
                <w:noProof/>
                <w:color w:val="FFFFFF" w:themeColor="background1"/>
                <w:sz w:val="22"/>
                <w:szCs w:val="22"/>
                <w:lang w:val="es-DO"/>
              </w:rPr>
            </w:pPr>
            <w:r w:rsidRPr="00232EBB">
              <w:rPr>
                <w:rFonts w:eastAsia="Calibri"/>
                <w:b/>
                <w:bCs/>
                <w:noProof/>
                <w:color w:val="FFFFFF" w:themeColor="background1"/>
                <w:sz w:val="22"/>
                <w:szCs w:val="22"/>
                <w:lang w:val="es-DO"/>
              </w:rPr>
              <w:t>Contraloría</w:t>
            </w:r>
            <w:r w:rsidR="003B5614" w:rsidRPr="00232EBB">
              <w:rPr>
                <w:rFonts w:eastAsia="Calibri"/>
                <w:b/>
                <w:bCs/>
                <w:noProof/>
                <w:color w:val="FFFFFF" w:themeColor="background1"/>
                <w:sz w:val="22"/>
                <w:szCs w:val="22"/>
                <w:lang w:val="es-DO"/>
              </w:rPr>
              <w:t xml:space="preserve"> General de la República</w:t>
            </w:r>
          </w:p>
        </w:tc>
      </w:tr>
      <w:tr w:rsidR="003B5614" w:rsidRPr="00232EBB" w14:paraId="02B9CF84" w14:textId="77777777" w:rsidTr="00266E19">
        <w:trPr>
          <w:trHeight w:val="1043"/>
          <w:tblHeader/>
        </w:trPr>
        <w:tc>
          <w:tcPr>
            <w:tcW w:w="4045" w:type="dxa"/>
            <w:shd w:val="clear" w:color="auto" w:fill="002060"/>
            <w:vAlign w:val="center"/>
            <w:hideMark/>
          </w:tcPr>
          <w:p w14:paraId="104B693C" w14:textId="77777777" w:rsidR="003B5614" w:rsidRPr="00232EBB" w:rsidRDefault="003B5614" w:rsidP="009F54E3">
            <w:pPr>
              <w:spacing w:line="360" w:lineRule="auto"/>
              <w:jc w:val="center"/>
              <w:rPr>
                <w:rFonts w:eastAsia="Calibri"/>
                <w:b/>
                <w:bCs/>
                <w:noProof/>
                <w:color w:val="FFFFFF" w:themeColor="background1"/>
                <w:sz w:val="22"/>
                <w:szCs w:val="22"/>
                <w:lang w:val="es-DO"/>
              </w:rPr>
            </w:pPr>
            <w:r w:rsidRPr="00232EBB">
              <w:rPr>
                <w:rFonts w:eastAsia="Calibri"/>
                <w:b/>
                <w:bCs/>
                <w:noProof/>
                <w:color w:val="FFFFFF" w:themeColor="background1"/>
                <w:sz w:val="22"/>
                <w:szCs w:val="22"/>
                <w:lang w:val="es-DO"/>
              </w:rPr>
              <w:t>Componentes del Control Interno</w:t>
            </w:r>
          </w:p>
        </w:tc>
        <w:tc>
          <w:tcPr>
            <w:tcW w:w="2047" w:type="dxa"/>
            <w:shd w:val="clear" w:color="auto" w:fill="002060"/>
            <w:vAlign w:val="center"/>
            <w:hideMark/>
          </w:tcPr>
          <w:p w14:paraId="3810E1AA" w14:textId="77777777" w:rsidR="003B5614" w:rsidRPr="00232EBB" w:rsidRDefault="003B5614" w:rsidP="009F54E3">
            <w:pPr>
              <w:spacing w:line="360" w:lineRule="auto"/>
              <w:jc w:val="center"/>
              <w:rPr>
                <w:rFonts w:eastAsia="Calibri"/>
                <w:b/>
                <w:bCs/>
                <w:noProof/>
                <w:color w:val="FFFFFF" w:themeColor="background1"/>
                <w:sz w:val="22"/>
                <w:szCs w:val="22"/>
                <w:lang w:val="es-DO"/>
              </w:rPr>
            </w:pPr>
            <w:r w:rsidRPr="00232EBB">
              <w:rPr>
                <w:rFonts w:eastAsia="Calibri"/>
                <w:b/>
                <w:bCs/>
                <w:noProof/>
                <w:color w:val="FFFFFF" w:themeColor="background1"/>
                <w:sz w:val="22"/>
                <w:szCs w:val="22"/>
                <w:lang w:val="es-DO"/>
              </w:rPr>
              <w:t>Evaluación del diagnóstico CGR</w:t>
            </w:r>
          </w:p>
        </w:tc>
        <w:tc>
          <w:tcPr>
            <w:tcW w:w="1463" w:type="dxa"/>
            <w:shd w:val="clear" w:color="auto" w:fill="002060"/>
            <w:vAlign w:val="center"/>
            <w:hideMark/>
          </w:tcPr>
          <w:p w14:paraId="7AAE1072" w14:textId="77777777" w:rsidR="003B5614" w:rsidRPr="00232EBB" w:rsidRDefault="003B5614" w:rsidP="009F54E3">
            <w:pPr>
              <w:spacing w:line="360" w:lineRule="auto"/>
              <w:jc w:val="center"/>
              <w:rPr>
                <w:rFonts w:eastAsia="Calibri"/>
                <w:b/>
                <w:bCs/>
                <w:noProof/>
                <w:color w:val="FFFFFF" w:themeColor="background1"/>
                <w:sz w:val="22"/>
                <w:szCs w:val="22"/>
                <w:lang w:val="es-DO"/>
              </w:rPr>
            </w:pPr>
            <w:r w:rsidRPr="00232EBB">
              <w:rPr>
                <w:rFonts w:eastAsia="Calibri"/>
                <w:b/>
                <w:bCs/>
                <w:noProof/>
                <w:color w:val="FFFFFF" w:themeColor="background1"/>
                <w:sz w:val="22"/>
                <w:szCs w:val="22"/>
                <w:lang w:val="es-DO"/>
              </w:rPr>
              <w:t>Observaciones CGR</w:t>
            </w:r>
          </w:p>
        </w:tc>
      </w:tr>
      <w:tr w:rsidR="003B5614" w:rsidRPr="00232EBB" w14:paraId="5855A122" w14:textId="77777777" w:rsidTr="00266E19">
        <w:trPr>
          <w:trHeight w:val="88"/>
        </w:trPr>
        <w:tc>
          <w:tcPr>
            <w:tcW w:w="4045" w:type="dxa"/>
            <w:noWrap/>
            <w:vAlign w:val="center"/>
            <w:hideMark/>
          </w:tcPr>
          <w:p w14:paraId="2D5AB639" w14:textId="77777777" w:rsidR="003B5614" w:rsidRPr="00232EBB" w:rsidRDefault="003B5614" w:rsidP="00266E19">
            <w:pPr>
              <w:jc w:val="center"/>
            </w:pPr>
            <w:proofErr w:type="spellStart"/>
            <w:r w:rsidRPr="00232EBB">
              <w:t>Ambiente</w:t>
            </w:r>
            <w:proofErr w:type="spellEnd"/>
            <w:r w:rsidRPr="00232EBB">
              <w:t xml:space="preserve"> de Control</w:t>
            </w:r>
          </w:p>
        </w:tc>
        <w:tc>
          <w:tcPr>
            <w:tcW w:w="2047" w:type="dxa"/>
            <w:noWrap/>
            <w:vAlign w:val="center"/>
            <w:hideMark/>
          </w:tcPr>
          <w:p w14:paraId="0C0D7630" w14:textId="77777777" w:rsidR="003B5614" w:rsidRPr="00232EBB" w:rsidRDefault="003B5614" w:rsidP="00266E19">
            <w:pPr>
              <w:jc w:val="center"/>
            </w:pPr>
            <w:r w:rsidRPr="00232EBB">
              <w:t>100%</w:t>
            </w:r>
          </w:p>
        </w:tc>
        <w:tc>
          <w:tcPr>
            <w:tcW w:w="1463" w:type="dxa"/>
            <w:noWrap/>
            <w:vAlign w:val="center"/>
            <w:hideMark/>
          </w:tcPr>
          <w:p w14:paraId="7B7BD2DF" w14:textId="77777777" w:rsidR="003B5614" w:rsidRPr="00232EBB" w:rsidRDefault="003B5614" w:rsidP="00266E19">
            <w:pPr>
              <w:jc w:val="center"/>
            </w:pPr>
            <w:r w:rsidRPr="00232EBB">
              <w:t>0</w:t>
            </w:r>
          </w:p>
        </w:tc>
      </w:tr>
      <w:tr w:rsidR="003B5614" w:rsidRPr="00232EBB" w14:paraId="37813AEA" w14:textId="77777777" w:rsidTr="00266E19">
        <w:trPr>
          <w:trHeight w:val="476"/>
        </w:trPr>
        <w:tc>
          <w:tcPr>
            <w:tcW w:w="4045" w:type="dxa"/>
            <w:noWrap/>
            <w:vAlign w:val="center"/>
            <w:hideMark/>
          </w:tcPr>
          <w:p w14:paraId="68137362" w14:textId="77777777" w:rsidR="003B5614" w:rsidRPr="00232EBB" w:rsidRDefault="003B5614" w:rsidP="00266E19">
            <w:pPr>
              <w:jc w:val="center"/>
              <w:rPr>
                <w:lang w:val="es-DO"/>
              </w:rPr>
            </w:pPr>
            <w:r w:rsidRPr="00232EBB">
              <w:rPr>
                <w:lang w:val="es-DO"/>
              </w:rPr>
              <w:t>Valoración y Administración de Riesgos</w:t>
            </w:r>
          </w:p>
        </w:tc>
        <w:tc>
          <w:tcPr>
            <w:tcW w:w="2047" w:type="dxa"/>
            <w:noWrap/>
            <w:vAlign w:val="center"/>
            <w:hideMark/>
          </w:tcPr>
          <w:p w14:paraId="4D3E753B" w14:textId="77777777" w:rsidR="003B5614" w:rsidRPr="00232EBB" w:rsidRDefault="003B5614" w:rsidP="00266E19">
            <w:pPr>
              <w:jc w:val="center"/>
            </w:pPr>
            <w:r w:rsidRPr="00232EBB">
              <w:t>100%</w:t>
            </w:r>
          </w:p>
        </w:tc>
        <w:tc>
          <w:tcPr>
            <w:tcW w:w="1463" w:type="dxa"/>
            <w:noWrap/>
            <w:vAlign w:val="center"/>
            <w:hideMark/>
          </w:tcPr>
          <w:p w14:paraId="70243139" w14:textId="77777777" w:rsidR="003B5614" w:rsidRPr="00232EBB" w:rsidRDefault="003B5614" w:rsidP="00266E19">
            <w:pPr>
              <w:jc w:val="center"/>
            </w:pPr>
            <w:r w:rsidRPr="00232EBB">
              <w:t>0</w:t>
            </w:r>
          </w:p>
        </w:tc>
      </w:tr>
      <w:tr w:rsidR="003B5614" w:rsidRPr="00232EBB" w14:paraId="3FCBFEDC" w14:textId="77777777" w:rsidTr="00266E19">
        <w:trPr>
          <w:trHeight w:val="449"/>
        </w:trPr>
        <w:tc>
          <w:tcPr>
            <w:tcW w:w="4045" w:type="dxa"/>
            <w:noWrap/>
            <w:vAlign w:val="center"/>
            <w:hideMark/>
          </w:tcPr>
          <w:p w14:paraId="73BDE95D" w14:textId="77777777" w:rsidR="003B5614" w:rsidRPr="00232EBB" w:rsidRDefault="003B5614" w:rsidP="00266E19">
            <w:pPr>
              <w:jc w:val="center"/>
            </w:pPr>
            <w:proofErr w:type="spellStart"/>
            <w:r w:rsidRPr="00232EBB">
              <w:t>Actividades</w:t>
            </w:r>
            <w:proofErr w:type="spellEnd"/>
            <w:r w:rsidRPr="00232EBB">
              <w:t xml:space="preserve"> de Control</w:t>
            </w:r>
          </w:p>
        </w:tc>
        <w:tc>
          <w:tcPr>
            <w:tcW w:w="2047" w:type="dxa"/>
            <w:noWrap/>
            <w:vAlign w:val="center"/>
            <w:hideMark/>
          </w:tcPr>
          <w:p w14:paraId="57AE8421" w14:textId="77777777" w:rsidR="003B5614" w:rsidRPr="00232EBB" w:rsidRDefault="003B5614" w:rsidP="00266E19">
            <w:pPr>
              <w:jc w:val="center"/>
            </w:pPr>
            <w:r w:rsidRPr="00232EBB">
              <w:t>100%</w:t>
            </w:r>
          </w:p>
        </w:tc>
        <w:tc>
          <w:tcPr>
            <w:tcW w:w="1463" w:type="dxa"/>
            <w:noWrap/>
            <w:vAlign w:val="center"/>
            <w:hideMark/>
          </w:tcPr>
          <w:p w14:paraId="5D0FBCD4" w14:textId="77777777" w:rsidR="003B5614" w:rsidRPr="00232EBB" w:rsidRDefault="003B5614" w:rsidP="00266E19">
            <w:pPr>
              <w:jc w:val="center"/>
            </w:pPr>
            <w:r w:rsidRPr="00232EBB">
              <w:t>0</w:t>
            </w:r>
          </w:p>
        </w:tc>
      </w:tr>
      <w:tr w:rsidR="003B5614" w:rsidRPr="00232EBB" w14:paraId="7BEDC816" w14:textId="77777777" w:rsidTr="00266E19">
        <w:trPr>
          <w:trHeight w:val="431"/>
        </w:trPr>
        <w:tc>
          <w:tcPr>
            <w:tcW w:w="4045" w:type="dxa"/>
            <w:noWrap/>
            <w:vAlign w:val="center"/>
            <w:hideMark/>
          </w:tcPr>
          <w:p w14:paraId="0FFD22B4" w14:textId="77777777" w:rsidR="003B5614" w:rsidRPr="00232EBB" w:rsidRDefault="003B5614" w:rsidP="00266E19">
            <w:pPr>
              <w:jc w:val="center"/>
            </w:pPr>
            <w:proofErr w:type="spellStart"/>
            <w:r w:rsidRPr="00232EBB">
              <w:t>Información</w:t>
            </w:r>
            <w:proofErr w:type="spellEnd"/>
            <w:r w:rsidRPr="00232EBB">
              <w:t xml:space="preserve"> y </w:t>
            </w:r>
            <w:proofErr w:type="spellStart"/>
            <w:r w:rsidRPr="00232EBB">
              <w:t>Comunicación</w:t>
            </w:r>
            <w:proofErr w:type="spellEnd"/>
          </w:p>
        </w:tc>
        <w:tc>
          <w:tcPr>
            <w:tcW w:w="2047" w:type="dxa"/>
            <w:noWrap/>
            <w:vAlign w:val="center"/>
            <w:hideMark/>
          </w:tcPr>
          <w:p w14:paraId="7D2912A0" w14:textId="77777777" w:rsidR="003B5614" w:rsidRPr="00232EBB" w:rsidRDefault="003B5614" w:rsidP="00266E19">
            <w:pPr>
              <w:jc w:val="center"/>
            </w:pPr>
            <w:r w:rsidRPr="00232EBB">
              <w:t>100%</w:t>
            </w:r>
          </w:p>
        </w:tc>
        <w:tc>
          <w:tcPr>
            <w:tcW w:w="1463" w:type="dxa"/>
            <w:noWrap/>
            <w:vAlign w:val="center"/>
            <w:hideMark/>
          </w:tcPr>
          <w:p w14:paraId="2BBC9005" w14:textId="77777777" w:rsidR="003B5614" w:rsidRPr="00232EBB" w:rsidRDefault="003B5614" w:rsidP="00266E19">
            <w:pPr>
              <w:jc w:val="center"/>
            </w:pPr>
            <w:r w:rsidRPr="00232EBB">
              <w:t>0</w:t>
            </w:r>
          </w:p>
        </w:tc>
      </w:tr>
      <w:tr w:rsidR="003B5614" w:rsidRPr="00232EBB" w14:paraId="12A97733" w14:textId="77777777" w:rsidTr="00266E19">
        <w:trPr>
          <w:trHeight w:val="88"/>
        </w:trPr>
        <w:tc>
          <w:tcPr>
            <w:tcW w:w="4045" w:type="dxa"/>
            <w:noWrap/>
            <w:vAlign w:val="center"/>
            <w:hideMark/>
          </w:tcPr>
          <w:p w14:paraId="6C21DDA4" w14:textId="77777777" w:rsidR="003B5614" w:rsidRPr="00232EBB" w:rsidRDefault="003B5614" w:rsidP="00266E19">
            <w:pPr>
              <w:jc w:val="center"/>
            </w:pPr>
            <w:proofErr w:type="spellStart"/>
            <w:r w:rsidRPr="00232EBB">
              <w:t>Monitoreo</w:t>
            </w:r>
            <w:proofErr w:type="spellEnd"/>
            <w:r w:rsidRPr="00232EBB">
              <w:t xml:space="preserve"> y </w:t>
            </w:r>
            <w:proofErr w:type="spellStart"/>
            <w:r w:rsidRPr="00232EBB">
              <w:t>Evaluación</w:t>
            </w:r>
            <w:proofErr w:type="spellEnd"/>
          </w:p>
        </w:tc>
        <w:tc>
          <w:tcPr>
            <w:tcW w:w="2047" w:type="dxa"/>
            <w:noWrap/>
            <w:vAlign w:val="center"/>
            <w:hideMark/>
          </w:tcPr>
          <w:p w14:paraId="6A40BAE9" w14:textId="77777777" w:rsidR="003B5614" w:rsidRPr="00232EBB" w:rsidRDefault="003B5614" w:rsidP="00266E19">
            <w:pPr>
              <w:jc w:val="center"/>
            </w:pPr>
            <w:r w:rsidRPr="00232EBB">
              <w:t>100%</w:t>
            </w:r>
          </w:p>
        </w:tc>
        <w:tc>
          <w:tcPr>
            <w:tcW w:w="1463" w:type="dxa"/>
            <w:noWrap/>
            <w:vAlign w:val="center"/>
            <w:hideMark/>
          </w:tcPr>
          <w:p w14:paraId="504F70DC" w14:textId="77777777" w:rsidR="003B5614" w:rsidRPr="00232EBB" w:rsidRDefault="003B5614" w:rsidP="00266E19">
            <w:pPr>
              <w:jc w:val="center"/>
            </w:pPr>
            <w:r w:rsidRPr="00232EBB">
              <w:t>0</w:t>
            </w:r>
          </w:p>
        </w:tc>
      </w:tr>
      <w:tr w:rsidR="003B5614" w:rsidRPr="00232EBB" w14:paraId="4B3614DE" w14:textId="77777777" w:rsidTr="00266E19">
        <w:trPr>
          <w:trHeight w:val="296"/>
        </w:trPr>
        <w:tc>
          <w:tcPr>
            <w:tcW w:w="4045" w:type="dxa"/>
            <w:noWrap/>
            <w:vAlign w:val="center"/>
            <w:hideMark/>
          </w:tcPr>
          <w:p w14:paraId="0A4E99C0" w14:textId="56117C1C" w:rsidR="003B5614" w:rsidRPr="00232EBB" w:rsidRDefault="009F54E3" w:rsidP="00266E19">
            <w:pPr>
              <w:jc w:val="center"/>
            </w:pPr>
            <w:r w:rsidRPr="00232EBB">
              <w:t>% TOTALES</w:t>
            </w:r>
          </w:p>
        </w:tc>
        <w:tc>
          <w:tcPr>
            <w:tcW w:w="2047" w:type="dxa"/>
            <w:noWrap/>
            <w:vAlign w:val="center"/>
            <w:hideMark/>
          </w:tcPr>
          <w:p w14:paraId="046D1366" w14:textId="7C3DEF5D" w:rsidR="003B5614" w:rsidRPr="00232EBB" w:rsidRDefault="009F54E3" w:rsidP="00266E19">
            <w:pPr>
              <w:jc w:val="center"/>
            </w:pPr>
            <w:r w:rsidRPr="00232EBB">
              <w:t>100%</w:t>
            </w:r>
          </w:p>
        </w:tc>
        <w:tc>
          <w:tcPr>
            <w:tcW w:w="1463" w:type="dxa"/>
            <w:noWrap/>
            <w:vAlign w:val="center"/>
            <w:hideMark/>
          </w:tcPr>
          <w:p w14:paraId="678DEFD1" w14:textId="0C2CE2C7" w:rsidR="003B5614" w:rsidRPr="00232EBB" w:rsidRDefault="009F54E3" w:rsidP="00266E19">
            <w:pPr>
              <w:jc w:val="center"/>
            </w:pPr>
            <w:r w:rsidRPr="00232EBB">
              <w:t>0</w:t>
            </w:r>
          </w:p>
        </w:tc>
      </w:tr>
    </w:tbl>
    <w:p w14:paraId="428AD94F" w14:textId="46474745" w:rsidR="006852A9" w:rsidRPr="00232EBB" w:rsidRDefault="006852A9" w:rsidP="00307AEF">
      <w:pPr>
        <w:spacing w:before="240" w:line="360" w:lineRule="auto"/>
        <w:rPr>
          <w:noProof/>
          <w:sz w:val="18"/>
          <w:szCs w:val="18"/>
          <w:lang w:val="es-ES"/>
        </w:rPr>
      </w:pPr>
      <w:r w:rsidRPr="00232EBB">
        <w:rPr>
          <w:b/>
          <w:bCs/>
          <w:noProof/>
          <w:sz w:val="18"/>
          <w:szCs w:val="18"/>
          <w:lang w:val="es-ES"/>
        </w:rPr>
        <w:t>Tabla</w:t>
      </w:r>
      <w:r w:rsidR="00690EA0" w:rsidRPr="00232EBB">
        <w:rPr>
          <w:b/>
          <w:bCs/>
          <w:noProof/>
          <w:sz w:val="18"/>
          <w:szCs w:val="18"/>
          <w:lang w:val="es-ES"/>
        </w:rPr>
        <w:t xml:space="preserve"> 2</w:t>
      </w:r>
      <w:r w:rsidR="00E14CB6" w:rsidRPr="00232EBB">
        <w:rPr>
          <w:b/>
          <w:bCs/>
          <w:noProof/>
          <w:sz w:val="18"/>
          <w:szCs w:val="18"/>
          <w:lang w:val="es-ES"/>
        </w:rPr>
        <w:t>1</w:t>
      </w:r>
      <w:r w:rsidRPr="00232EBB">
        <w:rPr>
          <w:b/>
          <w:bCs/>
          <w:noProof/>
          <w:sz w:val="18"/>
          <w:szCs w:val="18"/>
          <w:lang w:val="es-ES"/>
        </w:rPr>
        <w:t xml:space="preserve">: </w:t>
      </w:r>
      <w:r w:rsidRPr="00232EBB">
        <w:rPr>
          <w:noProof/>
          <w:sz w:val="18"/>
          <w:szCs w:val="18"/>
          <w:lang w:val="es-ES"/>
        </w:rPr>
        <w:t xml:space="preserve">Resultado NOBACI Portal CGR </w:t>
      </w:r>
    </w:p>
    <w:p w14:paraId="4724DD47" w14:textId="5645B025" w:rsidR="006852A9" w:rsidRPr="00232EBB" w:rsidRDefault="00E1119D" w:rsidP="00307AEF">
      <w:pPr>
        <w:spacing w:line="360" w:lineRule="auto"/>
        <w:jc w:val="both"/>
        <w:rPr>
          <w:rFonts w:eastAsia="Calibri"/>
          <w:noProof/>
          <w:lang w:val="es-DO"/>
        </w:rPr>
      </w:pPr>
      <w:bookmarkStart w:id="255" w:name="_Hlk183681806"/>
      <w:r w:rsidRPr="00232EBB">
        <w:rPr>
          <w:rFonts w:eastAsia="Calibri"/>
          <w:noProof/>
          <w:lang w:val="es-DO"/>
        </w:rPr>
        <w:lastRenderedPageBreak/>
        <w:t>Para la actualización de los requerimientos de cada componente que integran Las Normas Básicas de Control Interno NOBACI, según la Ley 10-07, reglamentos y resoluciones emitidas por la Contraloría General de la República.  Se han enviado los informes de gestión correspondientes a los trimestres enero- marzo, abril - junio y julio – septiembre, fueron enviados a contraloría y actualizados en el portal de la Contraloría General de la República, referente al Sistema de diagnóstico de las NOBACI, este refleja el resultado de la verificación de cumplimiento dentro de los procesos Institucionales de acuerdo con la documentación presentada como evidencia y validadas por el ente regulador.</w:t>
      </w:r>
    </w:p>
    <w:bookmarkEnd w:id="255"/>
    <w:p w14:paraId="7ED405A5" w14:textId="469B86F4" w:rsidR="00E1119D" w:rsidRPr="00232EBB" w:rsidRDefault="00E1119D" w:rsidP="000E7FC2">
      <w:pPr>
        <w:spacing w:line="360" w:lineRule="auto"/>
        <w:jc w:val="both"/>
        <w:rPr>
          <w:rFonts w:eastAsia="Calibri"/>
          <w:noProof/>
          <w:lang w:val="es-DO"/>
        </w:rPr>
      </w:pPr>
      <w:r w:rsidRPr="00232EBB">
        <w:rPr>
          <w:rFonts w:eastAsia="Calibri"/>
          <w:noProof/>
          <w:lang w:val="es-DO"/>
        </w:rPr>
        <w:t>E</w:t>
      </w:r>
      <w:r w:rsidR="000E7FC2" w:rsidRPr="00232EBB">
        <w:rPr>
          <w:rFonts w:eastAsia="Calibri"/>
          <w:noProof/>
          <w:lang w:val="es-DO"/>
        </w:rPr>
        <w:t>l</w:t>
      </w:r>
      <w:r w:rsidRPr="00232EBB">
        <w:rPr>
          <w:rFonts w:eastAsia="Calibri"/>
          <w:noProof/>
          <w:lang w:val="es-DO"/>
        </w:rPr>
        <w:t xml:space="preserve"> </w:t>
      </w:r>
      <w:r w:rsidR="000E7FC2" w:rsidRPr="00232EBB">
        <w:rPr>
          <w:rFonts w:eastAsia="Calibri"/>
          <w:noProof/>
          <w:lang w:val="es-DO"/>
        </w:rPr>
        <w:t>p</w:t>
      </w:r>
      <w:r w:rsidRPr="00232EBB">
        <w:rPr>
          <w:rFonts w:eastAsia="Calibri"/>
          <w:noProof/>
          <w:lang w:val="es-DO"/>
        </w:rPr>
        <w:t xml:space="preserve">royecto de Implementación </w:t>
      </w:r>
      <w:r w:rsidR="000E7FC2" w:rsidRPr="00232EBB">
        <w:rPr>
          <w:rFonts w:eastAsia="Calibri"/>
          <w:noProof/>
          <w:lang w:val="es-DO"/>
        </w:rPr>
        <w:t xml:space="preserve">de las </w:t>
      </w:r>
      <w:r w:rsidRPr="00232EBB">
        <w:rPr>
          <w:rFonts w:eastAsia="Calibri"/>
          <w:noProof/>
          <w:lang w:val="es-DO"/>
        </w:rPr>
        <w:t>Normas ISO 37001/373001 de cumplimiento y antisoborno que tienen como objetivo gestionar los riesgos de incumplimiento y promover una cultura de integridad y prevención de incumplimiento y la corrupción administrativa. De igual manera dar cumplimiento la Ley núm. 340-06 y decreto no. 36-21 y sus modificaciones.</w:t>
      </w:r>
      <w:r w:rsidR="000E7FC2" w:rsidRPr="00232EBB">
        <w:rPr>
          <w:rFonts w:eastAsia="Calibri"/>
          <w:noProof/>
          <w:lang w:val="es-DO"/>
        </w:rPr>
        <w:t xml:space="preserve"> </w:t>
      </w:r>
      <w:r w:rsidRPr="00232EBB">
        <w:rPr>
          <w:rFonts w:eastAsia="Calibri"/>
          <w:noProof/>
          <w:lang w:val="es-DO"/>
        </w:rPr>
        <w:t>Nuestro sistema Integrado se encuentra implementado y listo para realizar su auditor</w:t>
      </w:r>
      <w:r w:rsidR="000E7FC2" w:rsidRPr="00232EBB">
        <w:rPr>
          <w:rFonts w:eastAsia="Calibri"/>
          <w:noProof/>
          <w:lang w:val="es-DO"/>
        </w:rPr>
        <w:t>í</w:t>
      </w:r>
      <w:r w:rsidRPr="00232EBB">
        <w:rPr>
          <w:rFonts w:eastAsia="Calibri"/>
          <w:noProof/>
          <w:lang w:val="es-DO"/>
        </w:rPr>
        <w:t xml:space="preserve">a de </w:t>
      </w:r>
      <w:r w:rsidR="000E7FC2" w:rsidRPr="00232EBB">
        <w:rPr>
          <w:rFonts w:eastAsia="Calibri"/>
          <w:noProof/>
          <w:lang w:val="es-DO"/>
        </w:rPr>
        <w:t>c</w:t>
      </w:r>
      <w:r w:rsidRPr="00232EBB">
        <w:rPr>
          <w:rFonts w:eastAsia="Calibri"/>
          <w:noProof/>
          <w:lang w:val="es-DO"/>
        </w:rPr>
        <w:t>ertificación</w:t>
      </w:r>
      <w:r w:rsidR="000E7FC2" w:rsidRPr="00232EBB">
        <w:rPr>
          <w:rFonts w:eastAsia="Calibri"/>
          <w:noProof/>
          <w:lang w:val="es-DO"/>
        </w:rPr>
        <w:t>.</w:t>
      </w:r>
    </w:p>
    <w:p w14:paraId="678647E1" w14:textId="78B3727D" w:rsidR="00E1119D" w:rsidRPr="00232EBB" w:rsidRDefault="000E7FC2" w:rsidP="00E1119D">
      <w:pPr>
        <w:spacing w:line="360" w:lineRule="auto"/>
        <w:jc w:val="both"/>
        <w:rPr>
          <w:rFonts w:eastAsia="Calibri"/>
          <w:noProof/>
          <w:lang w:val="es-DO"/>
        </w:rPr>
      </w:pPr>
      <w:r w:rsidRPr="00232EBB">
        <w:rPr>
          <w:rFonts w:eastAsia="Calibri"/>
          <w:noProof/>
          <w:lang w:val="es-DO"/>
        </w:rPr>
        <w:t>Se realizó un p</w:t>
      </w:r>
      <w:r w:rsidR="00E1119D" w:rsidRPr="00232EBB">
        <w:rPr>
          <w:rFonts w:eastAsia="Calibri"/>
          <w:noProof/>
          <w:lang w:val="es-DO"/>
        </w:rPr>
        <w:t xml:space="preserve">lan de </w:t>
      </w:r>
      <w:r w:rsidRPr="00232EBB">
        <w:rPr>
          <w:rFonts w:eastAsia="Calibri"/>
          <w:noProof/>
          <w:lang w:val="es-DO"/>
        </w:rPr>
        <w:t>c</w:t>
      </w:r>
      <w:r w:rsidR="00E1119D" w:rsidRPr="00232EBB">
        <w:rPr>
          <w:rFonts w:eastAsia="Calibri"/>
          <w:noProof/>
          <w:lang w:val="es-DO"/>
        </w:rPr>
        <w:t xml:space="preserve">oncientización para </w:t>
      </w:r>
      <w:r w:rsidRPr="00232EBB">
        <w:rPr>
          <w:rFonts w:eastAsia="Calibri"/>
          <w:noProof/>
          <w:lang w:val="es-DO"/>
        </w:rPr>
        <w:t xml:space="preserve">el 100% de </w:t>
      </w:r>
      <w:r w:rsidR="00E1119D" w:rsidRPr="00232EBB">
        <w:rPr>
          <w:rFonts w:eastAsia="Calibri"/>
          <w:noProof/>
          <w:lang w:val="es-DO"/>
        </w:rPr>
        <w:t>los colaboradores</w:t>
      </w:r>
      <w:r w:rsidRPr="00232EBB">
        <w:rPr>
          <w:rFonts w:eastAsia="Calibri"/>
          <w:noProof/>
          <w:lang w:val="es-DO"/>
        </w:rPr>
        <w:t>,</w:t>
      </w:r>
      <w:r w:rsidR="00E1119D" w:rsidRPr="00232EBB">
        <w:rPr>
          <w:rFonts w:eastAsia="Calibri"/>
          <w:noProof/>
          <w:lang w:val="es-DO"/>
        </w:rPr>
        <w:t xml:space="preserve"> donde fueron sensibilizados sobre las Normas ISO 37001/370301.</w:t>
      </w:r>
      <w:r w:rsidRPr="00232EBB">
        <w:rPr>
          <w:rFonts w:eastAsia="Calibri"/>
          <w:noProof/>
          <w:lang w:val="es-DO"/>
        </w:rPr>
        <w:t xml:space="preserve"> Se </w:t>
      </w:r>
      <w:r w:rsidR="0025466A" w:rsidRPr="00232EBB">
        <w:rPr>
          <w:rFonts w:eastAsia="Calibri"/>
          <w:noProof/>
          <w:lang w:val="es-DO"/>
        </w:rPr>
        <w:t>llevaron a cabo</w:t>
      </w:r>
      <w:r w:rsidRPr="00232EBB">
        <w:rPr>
          <w:rFonts w:eastAsia="Calibri"/>
          <w:noProof/>
          <w:lang w:val="es-DO"/>
        </w:rPr>
        <w:t xml:space="preserve"> c</w:t>
      </w:r>
      <w:r w:rsidR="00E1119D" w:rsidRPr="00232EBB">
        <w:rPr>
          <w:rFonts w:eastAsia="Calibri"/>
          <w:noProof/>
          <w:lang w:val="es-DO"/>
        </w:rPr>
        <w:t xml:space="preserve">apacitaciones personalizadas para </w:t>
      </w:r>
      <w:r w:rsidR="0025466A" w:rsidRPr="00232EBB">
        <w:rPr>
          <w:rFonts w:eastAsia="Calibri"/>
          <w:noProof/>
          <w:lang w:val="es-DO"/>
        </w:rPr>
        <w:t>el</w:t>
      </w:r>
      <w:r w:rsidR="00E1119D" w:rsidRPr="00232EBB">
        <w:rPr>
          <w:rFonts w:eastAsia="Calibri"/>
          <w:noProof/>
          <w:lang w:val="es-DO"/>
        </w:rPr>
        <w:t xml:space="preserve"> Departamento de Compras y Contrataciones, Dirección Financiera y Dirección Jurídic</w:t>
      </w:r>
      <w:r w:rsidRPr="00232EBB">
        <w:rPr>
          <w:rFonts w:eastAsia="Calibri"/>
          <w:noProof/>
          <w:lang w:val="es-DO"/>
        </w:rPr>
        <w:t>a.</w:t>
      </w:r>
    </w:p>
    <w:p w14:paraId="4CD058DF" w14:textId="53E33E4C" w:rsidR="00E1119D" w:rsidRPr="00232EBB" w:rsidRDefault="00E661D6" w:rsidP="00E1119D">
      <w:pPr>
        <w:spacing w:line="360" w:lineRule="auto"/>
        <w:jc w:val="both"/>
        <w:rPr>
          <w:rFonts w:eastAsia="Calibri"/>
          <w:noProof/>
          <w:lang w:val="es-DO"/>
        </w:rPr>
      </w:pPr>
      <w:r w:rsidRPr="00232EBB">
        <w:rPr>
          <w:rFonts w:eastAsia="Calibri"/>
          <w:noProof/>
          <w:lang w:val="es-DO"/>
        </w:rPr>
        <w:t>A</w:t>
      </w:r>
      <w:r w:rsidR="00E1119D" w:rsidRPr="00232EBB">
        <w:rPr>
          <w:rFonts w:eastAsia="Calibri"/>
          <w:noProof/>
          <w:lang w:val="es-DO"/>
        </w:rPr>
        <w:t>lcanzamos una puntuaci</w:t>
      </w:r>
      <w:r w:rsidRPr="00232EBB">
        <w:rPr>
          <w:rFonts w:eastAsia="Calibri"/>
          <w:noProof/>
          <w:lang w:val="es-DO"/>
        </w:rPr>
        <w:t>ó</w:t>
      </w:r>
      <w:r w:rsidR="00E1119D" w:rsidRPr="00232EBB">
        <w:rPr>
          <w:rFonts w:eastAsia="Calibri"/>
          <w:noProof/>
          <w:lang w:val="es-DO"/>
        </w:rPr>
        <w:t>n de 96.95%</w:t>
      </w:r>
      <w:r w:rsidRPr="00232EBB">
        <w:rPr>
          <w:rFonts w:eastAsia="Calibri"/>
          <w:noProof/>
          <w:lang w:val="es-DO"/>
        </w:rPr>
        <w:t xml:space="preserve"> al tercer trimestre del año 2025</w:t>
      </w:r>
      <w:r w:rsidR="00E1119D" w:rsidRPr="00232EBB">
        <w:rPr>
          <w:rFonts w:eastAsia="Calibri"/>
          <w:noProof/>
          <w:lang w:val="es-DO"/>
        </w:rPr>
        <w:t>, y nos encontramos dentro de las instituciones que han realizado su auditoria de Cumplimiento dando seguimiento a trav</w:t>
      </w:r>
      <w:r w:rsidRPr="00232EBB">
        <w:rPr>
          <w:rFonts w:eastAsia="Calibri"/>
          <w:noProof/>
          <w:lang w:val="es-DO"/>
        </w:rPr>
        <w:t>é</w:t>
      </w:r>
      <w:r w:rsidR="00E1119D" w:rsidRPr="00232EBB">
        <w:rPr>
          <w:rFonts w:eastAsia="Calibri"/>
          <w:noProof/>
          <w:lang w:val="es-DO"/>
        </w:rPr>
        <w:t xml:space="preserve">s del </w:t>
      </w:r>
      <w:r w:rsidR="002700A6" w:rsidRPr="00232EBB">
        <w:rPr>
          <w:rFonts w:eastAsia="Calibri"/>
          <w:noProof/>
          <w:sz w:val="18"/>
          <w:szCs w:val="18"/>
          <w:lang w:val="es-ES"/>
        </w:rPr>
        <w:t>Í</w:t>
      </w:r>
      <w:r w:rsidR="00E1119D" w:rsidRPr="00232EBB">
        <w:rPr>
          <w:rFonts w:eastAsia="Calibri"/>
          <w:noProof/>
          <w:lang w:val="es-DO"/>
        </w:rPr>
        <w:t>ndice de Control Interno de la Contralor</w:t>
      </w:r>
      <w:r w:rsidRPr="00232EBB">
        <w:rPr>
          <w:rFonts w:eastAsia="Calibri"/>
          <w:noProof/>
          <w:lang w:val="es-DO"/>
        </w:rPr>
        <w:t>í</w:t>
      </w:r>
      <w:r w:rsidR="00E1119D" w:rsidRPr="00232EBB">
        <w:rPr>
          <w:rFonts w:eastAsia="Calibri"/>
          <w:noProof/>
          <w:lang w:val="es-DO"/>
        </w:rPr>
        <w:t>a General de la Rep</w:t>
      </w:r>
      <w:r w:rsidRPr="00232EBB">
        <w:rPr>
          <w:rFonts w:eastAsia="Calibri"/>
          <w:noProof/>
          <w:lang w:val="es-DO"/>
        </w:rPr>
        <w:t>ú</w:t>
      </w:r>
      <w:r w:rsidR="00E1119D" w:rsidRPr="00232EBB">
        <w:rPr>
          <w:rFonts w:eastAsia="Calibri"/>
          <w:noProof/>
          <w:lang w:val="es-DO"/>
        </w:rPr>
        <w:t xml:space="preserve">blica. </w:t>
      </w:r>
    </w:p>
    <w:p w14:paraId="38D9B74C" w14:textId="30FDABCC" w:rsidR="00C05111" w:rsidRPr="00232EBB" w:rsidRDefault="00C45649" w:rsidP="00E1119D">
      <w:pPr>
        <w:spacing w:line="360" w:lineRule="auto"/>
        <w:jc w:val="both"/>
        <w:rPr>
          <w:rFonts w:eastAsia="Calibri"/>
          <w:noProof/>
          <w:lang w:val="es-DO"/>
        </w:rPr>
      </w:pPr>
      <w:r w:rsidRPr="00232EBB">
        <w:rPr>
          <w:rFonts w:eastAsia="Calibri"/>
          <w:noProof/>
          <w:lang w:val="es-DO"/>
        </w:rPr>
        <w:lastRenderedPageBreak/>
        <w:drawing>
          <wp:inline distT="0" distB="0" distL="0" distR="0" wp14:anchorId="0EB4878B" wp14:editId="3EC093D5">
            <wp:extent cx="4894748" cy="3855720"/>
            <wp:effectExtent l="0" t="0" r="1270" b="0"/>
            <wp:docPr id="75497342"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7342" name="Imagen 1" descr="A screenshot of a computer&#10;&#10;AI-generated content may be incorrect."/>
                    <pic:cNvPicPr>
                      <a:picLocks noChangeAspect="1" noChangeArrowheads="1"/>
                    </pic:cNvPicPr>
                  </pic:nvPicPr>
                  <pic:blipFill rotWithShape="1">
                    <a:blip r:embed="rId51">
                      <a:extLst>
                        <a:ext uri="{28A0092B-C50C-407E-A947-70E740481C1C}">
                          <a14:useLocalDpi xmlns:a14="http://schemas.microsoft.com/office/drawing/2010/main" val="0"/>
                        </a:ext>
                      </a:extLst>
                    </a:blip>
                    <a:srcRect t="3574"/>
                    <a:stretch/>
                  </pic:blipFill>
                  <pic:spPr bwMode="auto">
                    <a:xfrm>
                      <a:off x="0" y="0"/>
                      <a:ext cx="4916973" cy="3873227"/>
                    </a:xfrm>
                    <a:prstGeom prst="rect">
                      <a:avLst/>
                    </a:prstGeom>
                    <a:noFill/>
                    <a:ln>
                      <a:noFill/>
                    </a:ln>
                    <a:extLst>
                      <a:ext uri="{53640926-AAD7-44D8-BBD7-CCE9431645EC}">
                        <a14:shadowObscured xmlns:a14="http://schemas.microsoft.com/office/drawing/2010/main"/>
                      </a:ext>
                    </a:extLst>
                  </pic:spPr>
                </pic:pic>
              </a:graphicData>
            </a:graphic>
          </wp:inline>
        </w:drawing>
      </w:r>
    </w:p>
    <w:p w14:paraId="2A6E8C01" w14:textId="2B7C752D" w:rsidR="006852A9" w:rsidRPr="00232EBB" w:rsidRDefault="006852A9" w:rsidP="006852A9">
      <w:pPr>
        <w:spacing w:before="240" w:line="360" w:lineRule="auto"/>
        <w:rPr>
          <w:lang w:val="es-ES"/>
        </w:rPr>
      </w:pPr>
      <w:r w:rsidRPr="00232EBB">
        <w:rPr>
          <w:rFonts w:eastAsia="Calibri"/>
          <w:noProof/>
          <w:lang w:val="es-DO"/>
        </w:rPr>
        <w:t xml:space="preserve"> </w:t>
      </w:r>
      <w:bookmarkStart w:id="256" w:name="_Toc139461517"/>
      <w:bookmarkStart w:id="257" w:name="_Toc140587663"/>
      <w:r w:rsidRPr="00232EBB">
        <w:rPr>
          <w:rFonts w:eastAsia="Calibri"/>
          <w:b/>
          <w:bCs/>
          <w:noProof/>
          <w:sz w:val="18"/>
          <w:szCs w:val="18"/>
          <w:lang w:val="es-ES"/>
        </w:rPr>
        <w:t xml:space="preserve"> </w:t>
      </w:r>
      <w:r w:rsidRPr="00232EBB">
        <w:rPr>
          <w:rFonts w:eastAsia="Calibri"/>
          <w:b/>
          <w:bCs/>
          <w:noProof/>
          <w:sz w:val="18"/>
          <w:szCs w:val="18"/>
          <w:lang w:val="es-DO"/>
        </w:rPr>
        <w:t xml:space="preserve">Imagen </w:t>
      </w:r>
      <w:r w:rsidR="00E14CB6" w:rsidRPr="00232EBB">
        <w:rPr>
          <w:rFonts w:eastAsia="Calibri"/>
          <w:b/>
          <w:bCs/>
          <w:noProof/>
          <w:sz w:val="18"/>
          <w:szCs w:val="18"/>
          <w:lang w:val="es-DO"/>
        </w:rPr>
        <w:t>3</w:t>
      </w:r>
      <w:r w:rsidRPr="00232EBB">
        <w:rPr>
          <w:rFonts w:eastAsia="Calibri"/>
          <w:b/>
          <w:bCs/>
          <w:noProof/>
          <w:sz w:val="18"/>
          <w:szCs w:val="18"/>
          <w:lang w:val="es-DO"/>
        </w:rPr>
        <w:t>:</w:t>
      </w:r>
      <w:r w:rsidRPr="00232EBB">
        <w:rPr>
          <w:rFonts w:eastAsia="Calibri"/>
          <w:b/>
          <w:bCs/>
          <w:noProof/>
          <w:sz w:val="18"/>
          <w:szCs w:val="18"/>
          <w:lang w:val="es-ES"/>
        </w:rPr>
        <w:t xml:space="preserve"> </w:t>
      </w:r>
      <w:r w:rsidRPr="00232EBB">
        <w:rPr>
          <w:rFonts w:eastAsia="Calibri"/>
          <w:noProof/>
          <w:sz w:val="18"/>
          <w:szCs w:val="18"/>
          <w:lang w:val="es-ES"/>
        </w:rPr>
        <w:t>Reporte Índice de Control Interno.</w:t>
      </w:r>
      <w:bookmarkEnd w:id="256"/>
      <w:bookmarkEnd w:id="257"/>
    </w:p>
    <w:p w14:paraId="2303E3BB" w14:textId="77777777" w:rsidR="003E5FCE" w:rsidRPr="00232EBB" w:rsidRDefault="003E5FCE" w:rsidP="009F54E3">
      <w:pPr>
        <w:pStyle w:val="Heading1"/>
        <w:spacing w:after="240" w:line="259" w:lineRule="auto"/>
        <w:jc w:val="both"/>
        <w:rPr>
          <w:rFonts w:cs="Times New Roman"/>
          <w:spacing w:val="0"/>
          <w:lang w:val="es-DO"/>
        </w:rPr>
      </w:pPr>
      <w:bookmarkStart w:id="258" w:name="_Toc139461515"/>
      <w:bookmarkStart w:id="259" w:name="_Toc140587658"/>
      <w:bookmarkStart w:id="260" w:name="_Toc172121430"/>
      <w:bookmarkStart w:id="261" w:name="_Toc216952265"/>
      <w:bookmarkStart w:id="262" w:name="_Toc172121435"/>
      <w:r w:rsidRPr="00232EBB">
        <w:rPr>
          <w:rFonts w:cs="Times New Roman"/>
          <w:spacing w:val="0"/>
          <w:lang w:val="es-DO"/>
        </w:rPr>
        <w:t>4.5. Desempeño del Sistema de Planificación y Desarrollo Institucional</w:t>
      </w:r>
      <w:bookmarkEnd w:id="258"/>
      <w:bookmarkEnd w:id="259"/>
      <w:bookmarkEnd w:id="260"/>
      <w:bookmarkEnd w:id="261"/>
    </w:p>
    <w:p w14:paraId="67443401" w14:textId="22189674" w:rsidR="003E5FCE" w:rsidRPr="00232EBB" w:rsidRDefault="003E5FCE" w:rsidP="009F54E3">
      <w:pPr>
        <w:spacing w:line="360" w:lineRule="auto"/>
        <w:jc w:val="both"/>
        <w:rPr>
          <w:rFonts w:eastAsia="Calibri"/>
          <w:noProof/>
          <w:lang w:val="es-DO"/>
        </w:rPr>
      </w:pPr>
      <w:r w:rsidRPr="00232EBB">
        <w:rPr>
          <w:rFonts w:eastAsia="Calibri"/>
          <w:noProof/>
          <w:lang w:val="es-DO"/>
        </w:rPr>
        <w:t>La Dirección de Planificación y Desarrollo de la Tesorería de la Seguridad Social (TSS), es un área transversal a toda la organización y tiene la responsabilidad de asesorar a la Institución en materia de políticas, planes, programas y proyectos de la institución, así como la formulación del Plan Estratégico Institucional y los presupuestos institucionales</w:t>
      </w:r>
      <w:r w:rsidR="002700A6" w:rsidRPr="00232EBB">
        <w:rPr>
          <w:rFonts w:eastAsia="Calibri"/>
          <w:noProof/>
          <w:lang w:val="es-DO"/>
        </w:rPr>
        <w:t>.</w:t>
      </w:r>
      <w:r w:rsidRPr="00232EBB">
        <w:rPr>
          <w:rFonts w:eastAsia="Calibri"/>
          <w:noProof/>
          <w:lang w:val="es-DO"/>
        </w:rPr>
        <w:t xml:space="preserve"> </w:t>
      </w:r>
      <w:r w:rsidR="002700A6" w:rsidRPr="00232EBB">
        <w:rPr>
          <w:rFonts w:eastAsia="Calibri"/>
          <w:noProof/>
          <w:lang w:val="es-DO"/>
        </w:rPr>
        <w:t>D</w:t>
      </w:r>
      <w:r w:rsidRPr="00232EBB">
        <w:rPr>
          <w:rFonts w:eastAsia="Calibri"/>
          <w:noProof/>
          <w:lang w:val="es-DO"/>
        </w:rPr>
        <w:t xml:space="preserve">entro de su gestión contempla los  cambios organizacionales y de reingeniería de procesos y el sistema de gestión de Desarrollo Institucional y Calidad en la Gestión. </w:t>
      </w:r>
    </w:p>
    <w:p w14:paraId="3E8BF79C" w14:textId="5CE253F4" w:rsidR="003E5FCE" w:rsidRPr="00232EBB" w:rsidRDefault="003E5FCE" w:rsidP="009F54E3">
      <w:pPr>
        <w:spacing w:line="360" w:lineRule="auto"/>
        <w:jc w:val="both"/>
        <w:rPr>
          <w:rFonts w:eastAsia="Calibri"/>
          <w:noProof/>
          <w:lang w:val="es-DO"/>
        </w:rPr>
      </w:pPr>
      <w:r w:rsidRPr="00232EBB">
        <w:rPr>
          <w:rFonts w:eastAsia="Calibri"/>
          <w:noProof/>
          <w:lang w:val="es-DO"/>
        </w:rPr>
        <w:t xml:space="preserve">La TSS </w:t>
      </w:r>
      <w:r w:rsidR="00642ADF" w:rsidRPr="00232EBB">
        <w:rPr>
          <w:rFonts w:eastAsia="Calibri"/>
          <w:noProof/>
          <w:lang w:val="es-DO"/>
        </w:rPr>
        <w:t>realiz</w:t>
      </w:r>
      <w:r w:rsidR="002700A6" w:rsidRPr="00232EBB">
        <w:rPr>
          <w:rFonts w:eastAsia="Calibri"/>
          <w:noProof/>
          <w:lang w:val="es-DO"/>
        </w:rPr>
        <w:t>ó</w:t>
      </w:r>
      <w:r w:rsidR="00642ADF" w:rsidRPr="00232EBB">
        <w:rPr>
          <w:rFonts w:eastAsia="Calibri"/>
          <w:noProof/>
          <w:lang w:val="es-DO"/>
        </w:rPr>
        <w:t xml:space="preserve"> en el mes de agosto, el</w:t>
      </w:r>
      <w:r w:rsidRPr="00232EBB">
        <w:rPr>
          <w:rFonts w:eastAsia="Calibri"/>
          <w:noProof/>
          <w:lang w:val="es-DO"/>
        </w:rPr>
        <w:t xml:space="preserve"> proceso de Formulación del Anteproyecto de presupuesto 202</w:t>
      </w:r>
      <w:r w:rsidR="00583FAD" w:rsidRPr="00232EBB">
        <w:rPr>
          <w:rFonts w:eastAsia="Calibri"/>
          <w:noProof/>
          <w:lang w:val="es-DO"/>
        </w:rPr>
        <w:t>6</w:t>
      </w:r>
      <w:r w:rsidRPr="00232EBB">
        <w:rPr>
          <w:rFonts w:eastAsia="Calibri"/>
          <w:noProof/>
          <w:lang w:val="es-DO"/>
        </w:rPr>
        <w:t xml:space="preserve"> de acuerdo al calendario de DIGEPRES,  donde se mantienen aprobada la propuesta de </w:t>
      </w:r>
      <w:r w:rsidRPr="00232EBB">
        <w:rPr>
          <w:rFonts w:eastAsia="Calibri"/>
          <w:noProof/>
          <w:lang w:val="es-DO"/>
        </w:rPr>
        <w:lastRenderedPageBreak/>
        <w:t xml:space="preserve">estrucutura programatica con los productos 7333, 7334 y 7335 e indicadores que reflejan la naturaleza para la cual fue creada la TSS, asociados al SUIR por ser la entidad a cargo de la base de datos del SDSS y de sometimientos y sanciones a empleadores morosos facultad otorgada por la Ley no. 13-20. Los resultados alcanzados </w:t>
      </w:r>
      <w:r w:rsidR="00987B2F" w:rsidRPr="00232EBB">
        <w:rPr>
          <w:rFonts w:eastAsia="Calibri"/>
          <w:noProof/>
          <w:lang w:val="es-DO"/>
        </w:rPr>
        <w:t>al</w:t>
      </w:r>
      <w:r w:rsidRPr="00232EBB">
        <w:rPr>
          <w:rFonts w:eastAsia="Calibri"/>
          <w:noProof/>
          <w:lang w:val="es-DO"/>
        </w:rPr>
        <w:t xml:space="preserve"> tercer trimestre del 202</w:t>
      </w:r>
      <w:r w:rsidR="00583FAD" w:rsidRPr="00232EBB">
        <w:rPr>
          <w:rFonts w:eastAsia="Calibri"/>
          <w:noProof/>
          <w:lang w:val="es-DO"/>
        </w:rPr>
        <w:t>5</w:t>
      </w:r>
      <w:r w:rsidR="002700A6" w:rsidRPr="00232EBB">
        <w:rPr>
          <w:rFonts w:eastAsia="Calibri"/>
          <w:noProof/>
          <w:lang w:val="es-DO"/>
        </w:rPr>
        <w:t xml:space="preserve"> en el Indice de la gestión Presupuestaria</w:t>
      </w:r>
      <w:r w:rsidRPr="00232EBB">
        <w:rPr>
          <w:rFonts w:eastAsia="Calibri"/>
          <w:noProof/>
          <w:lang w:val="es-DO"/>
        </w:rPr>
        <w:t xml:space="preserve"> </w:t>
      </w:r>
      <w:r w:rsidR="002700A6" w:rsidRPr="00232EBB">
        <w:rPr>
          <w:rFonts w:eastAsia="Calibri"/>
          <w:noProof/>
          <w:lang w:val="es-DO"/>
        </w:rPr>
        <w:t>fueron de</w:t>
      </w:r>
      <w:r w:rsidRPr="00232EBB">
        <w:rPr>
          <w:rFonts w:eastAsia="Calibri"/>
          <w:noProof/>
          <w:lang w:val="es-DO"/>
        </w:rPr>
        <w:t xml:space="preserve"> </w:t>
      </w:r>
      <w:r w:rsidR="00583FAD" w:rsidRPr="00232EBB">
        <w:rPr>
          <w:rFonts w:eastAsia="Calibri"/>
          <w:noProof/>
          <w:lang w:val="es-DO"/>
        </w:rPr>
        <w:t>94</w:t>
      </w:r>
      <w:r w:rsidRPr="00232EBB">
        <w:rPr>
          <w:rFonts w:eastAsia="Calibri"/>
          <w:noProof/>
          <w:lang w:val="es-DO"/>
        </w:rPr>
        <w:t xml:space="preserve">%, </w:t>
      </w:r>
      <w:r w:rsidR="00583FAD" w:rsidRPr="00232EBB">
        <w:rPr>
          <w:rFonts w:eastAsia="Calibri"/>
          <w:noProof/>
          <w:lang w:val="es-DO"/>
        </w:rPr>
        <w:t>93</w:t>
      </w:r>
      <w:r w:rsidRPr="00232EBB">
        <w:rPr>
          <w:rFonts w:eastAsia="Calibri"/>
          <w:noProof/>
          <w:lang w:val="es-DO"/>
        </w:rPr>
        <w:t>% y 9</w:t>
      </w:r>
      <w:r w:rsidR="00583FAD" w:rsidRPr="00232EBB">
        <w:rPr>
          <w:rFonts w:eastAsia="Calibri"/>
          <w:noProof/>
          <w:lang w:val="es-DO"/>
        </w:rPr>
        <w:t>4</w:t>
      </w:r>
      <w:r w:rsidRPr="00232EBB">
        <w:rPr>
          <w:rFonts w:eastAsia="Calibri"/>
          <w:noProof/>
          <w:lang w:val="es-DO"/>
        </w:rPr>
        <w:t xml:space="preserve">% respectivamente </w:t>
      </w:r>
      <w:r w:rsidR="002700A6" w:rsidRPr="00232EBB">
        <w:rPr>
          <w:rFonts w:eastAsia="Calibri"/>
          <w:noProof/>
          <w:lang w:val="es-DO"/>
        </w:rPr>
        <w:t>conforme a lo</w:t>
      </w:r>
      <w:r w:rsidRPr="00232EBB">
        <w:rPr>
          <w:rFonts w:eastAsia="Calibri"/>
          <w:noProof/>
          <w:lang w:val="es-DO"/>
        </w:rPr>
        <w:t xml:space="preserve"> citado.</w:t>
      </w:r>
    </w:p>
    <w:p w14:paraId="7E6A60F5" w14:textId="77777777" w:rsidR="004655D8" w:rsidRPr="00232EBB" w:rsidRDefault="003E5FCE" w:rsidP="004655D8">
      <w:pPr>
        <w:spacing w:line="360" w:lineRule="auto"/>
        <w:jc w:val="both"/>
        <w:rPr>
          <w:rFonts w:eastAsia="Calibri"/>
          <w:noProof/>
          <w:lang w:val="es-DO"/>
        </w:rPr>
      </w:pPr>
      <w:r w:rsidRPr="00232EBB">
        <w:rPr>
          <w:rFonts w:eastAsia="Calibri"/>
          <w:noProof/>
          <w:lang w:val="es-DO"/>
        </w:rPr>
        <w:t>Como parte del fortalecimiento institucional,  se ha identificado la automatización de los procesos internos para la rápida respuesta a nuestras partes interesadas, como lo es el de planificación estratégica y presupuestaria que permitirá una automatización y mayor precisión de nuestras actividades, fortalecer la toma de decisiones basado en evidencias, lograr una disminución en la programación y apoyo a las áreas para elaborar la planificación anual y estratégica, los seguimientos oportunos, así como, tener un mayor control de las variaciones que va sufriendo el presupuesto conforme se ejecutan las actividades mensuales.</w:t>
      </w:r>
    </w:p>
    <w:p w14:paraId="1A89602F" w14:textId="2C7FDBF5" w:rsidR="004655D8" w:rsidRPr="00232EBB" w:rsidRDefault="004655D8" w:rsidP="004655D8">
      <w:pPr>
        <w:spacing w:line="360" w:lineRule="auto"/>
        <w:jc w:val="both"/>
        <w:rPr>
          <w:rFonts w:eastAsia="Calibri"/>
          <w:noProof/>
          <w:lang w:val="es-DO"/>
        </w:rPr>
      </w:pPr>
      <w:r w:rsidRPr="00232EBB">
        <w:rPr>
          <w:noProof/>
          <w:lang w:val="es-MX"/>
        </w:rPr>
        <w:t xml:space="preserve">La Tesorería de la Seguridad Social (TSS), en línea con su misión de velar por la eficiencia y transparencia, ha </w:t>
      </w:r>
      <w:r w:rsidR="00C05111" w:rsidRPr="00232EBB">
        <w:rPr>
          <w:noProof/>
          <w:lang w:val="es-MX"/>
        </w:rPr>
        <w:t>validado</w:t>
      </w:r>
      <w:r w:rsidRPr="00232EBB">
        <w:rPr>
          <w:noProof/>
          <w:lang w:val="es-MX"/>
        </w:rPr>
        <w:t xml:space="preserve"> el presente Plan Estratégico Institucional (PEI)</w:t>
      </w:r>
      <w:r w:rsidR="00C05111" w:rsidRPr="00232EBB">
        <w:rPr>
          <w:noProof/>
          <w:lang w:val="es-MX"/>
        </w:rPr>
        <w:t xml:space="preserve"> con el Ministerio de Hacienda y Econom</w:t>
      </w:r>
      <w:r w:rsidR="002C338F" w:rsidRPr="00232EBB">
        <w:rPr>
          <w:noProof/>
          <w:lang w:val="es-MX"/>
        </w:rPr>
        <w:t>í</w:t>
      </w:r>
      <w:r w:rsidR="00C05111" w:rsidRPr="00232EBB">
        <w:rPr>
          <w:noProof/>
          <w:lang w:val="es-MX"/>
        </w:rPr>
        <w:t>a</w:t>
      </w:r>
      <w:r w:rsidRPr="00232EBB">
        <w:rPr>
          <w:noProof/>
          <w:lang w:val="es-MX"/>
        </w:rPr>
        <w:t xml:space="preserve">,buscando fortalecer su gestión y velar por su alineación con los </w:t>
      </w:r>
      <w:r w:rsidR="00C05111" w:rsidRPr="00232EBB">
        <w:rPr>
          <w:noProof/>
          <w:lang w:val="es-MX"/>
        </w:rPr>
        <w:t>instrumentos de planificación nacional y la agenda 2030</w:t>
      </w:r>
      <w:r w:rsidRPr="00232EBB">
        <w:rPr>
          <w:noProof/>
          <w:lang w:val="es-MX"/>
        </w:rPr>
        <w:t>, que establece las directrices y prioridades a nivel nacional. En este sentido, el PEI de la TSS está diseñado para alinear sus metas internas con las metas nacionales, realizando una correcta gestión de los recursos financieros del SDSS.</w:t>
      </w:r>
    </w:p>
    <w:p w14:paraId="233B9F14" w14:textId="77777777" w:rsidR="004655D8" w:rsidRPr="00232EBB" w:rsidRDefault="004655D8" w:rsidP="004655D8">
      <w:pPr>
        <w:pStyle w:val="Body"/>
        <w:rPr>
          <w:rFonts w:ascii="Times New Roman" w:hAnsi="Times New Roman" w:cs="Times New Roman"/>
          <w:noProof/>
          <w:color w:val="767171"/>
          <w:spacing w:val="20"/>
        </w:rPr>
      </w:pPr>
      <w:r w:rsidRPr="00232EBB">
        <w:rPr>
          <w:rFonts w:ascii="Times New Roman" w:hAnsi="Times New Roman" w:cs="Times New Roman"/>
          <w:noProof/>
          <w:color w:val="767171"/>
          <w:spacing w:val="20"/>
        </w:rPr>
        <w:t xml:space="preserve">El Plan Estratégico Institucional está estructurado en torno a objetivos claros y medibles, que buscan establecer un servicio y una gestión operativa que maximice la interacción y el servicio de calidad a los usuarios, la eficiencia operativa, el incremento en el </w:t>
      </w:r>
      <w:r w:rsidRPr="00232EBB">
        <w:rPr>
          <w:rFonts w:ascii="Times New Roman" w:hAnsi="Times New Roman" w:cs="Times New Roman"/>
          <w:noProof/>
          <w:color w:val="767171"/>
          <w:spacing w:val="20"/>
        </w:rPr>
        <w:lastRenderedPageBreak/>
        <w:t>alcance a las empresas y grupos de interés, al igual que la formalización de estos. Se prioriza, además, el posicionamiento institucional de la TSS como un impulsor facilitador del cumplimiento de las iniciativas y objetivos estratégicos. Dentro del proceso de planificación estratégica, la TSS ha definido indicadores estratégicos, los cuales permitirán realizar un seguimiento consecuente respecto al progreso de sus acciones, fomentando las sanas prácticas, el desarrollo continuo y validando nuevamente su compromiso y misión de administrar y manejar correctamente los recursos financieros del SDSS.</w:t>
      </w:r>
    </w:p>
    <w:p w14:paraId="05B1E4C2" w14:textId="06D09D9B" w:rsidR="003E5FCE" w:rsidRPr="00232EBB" w:rsidRDefault="003E5FCE" w:rsidP="009F54E3">
      <w:pPr>
        <w:spacing w:line="360" w:lineRule="auto"/>
        <w:jc w:val="both"/>
        <w:rPr>
          <w:rFonts w:eastAsia="Calibri"/>
          <w:noProof/>
          <w:lang w:val="es-DO"/>
        </w:rPr>
      </w:pPr>
      <w:r w:rsidRPr="00232EBB">
        <w:rPr>
          <w:rFonts w:eastAsia="Calibri"/>
          <w:noProof/>
          <w:lang w:val="es-DO"/>
        </w:rPr>
        <w:t>A través de los seguimientos trimestrales realizados por la Dirección de Planificación y Desarrollo mediante las fichas de seguimiento del Plan Operativo Anual, se obtienen los resultados de los logros alcanzados por la TSS de los productos definidos en los diferentes ejes de nuestro plan estrat</w:t>
      </w:r>
      <w:r w:rsidR="005C4045" w:rsidRPr="00232EBB">
        <w:rPr>
          <w:rFonts w:eastAsia="Calibri"/>
          <w:noProof/>
          <w:lang w:val="es-DO"/>
        </w:rPr>
        <w:t>é</w:t>
      </w:r>
      <w:r w:rsidRPr="00232EBB">
        <w:rPr>
          <w:rFonts w:eastAsia="Calibri"/>
          <w:noProof/>
          <w:lang w:val="es-DO"/>
        </w:rPr>
        <w:t xml:space="preserve">gico vigente. Estos resultados </w:t>
      </w:r>
      <w:r w:rsidR="004655D8" w:rsidRPr="00232EBB">
        <w:rPr>
          <w:rFonts w:eastAsia="Calibri"/>
          <w:noProof/>
          <w:lang w:val="es-DO"/>
        </w:rPr>
        <w:t xml:space="preserve">al tercer trimestre </w:t>
      </w:r>
      <w:r w:rsidRPr="00232EBB">
        <w:rPr>
          <w:rFonts w:eastAsia="Calibri"/>
          <w:noProof/>
          <w:lang w:val="es-DO"/>
        </w:rPr>
        <w:t xml:space="preserve">se detallan a continuación: </w:t>
      </w:r>
    </w:p>
    <w:p w14:paraId="6439DD31" w14:textId="40261B46" w:rsidR="004655D8" w:rsidRPr="00232EBB" w:rsidRDefault="003E5FCE" w:rsidP="009F54E3">
      <w:pPr>
        <w:spacing w:line="360" w:lineRule="auto"/>
        <w:jc w:val="both"/>
        <w:rPr>
          <w:rFonts w:eastAsia="Calibri"/>
          <w:noProof/>
          <w:lang w:val="es-DO"/>
        </w:rPr>
      </w:pPr>
      <w:r w:rsidRPr="00232EBB">
        <w:rPr>
          <w:rFonts w:eastAsia="Calibri"/>
          <w:noProof/>
          <w:lang w:val="es-DO"/>
        </w:rPr>
        <w:t>EJE</w:t>
      </w:r>
      <w:r w:rsidR="004655D8" w:rsidRPr="00232EBB">
        <w:rPr>
          <w:rFonts w:eastAsia="Calibri"/>
          <w:noProof/>
          <w:lang w:val="es-DO"/>
        </w:rPr>
        <w:t xml:space="preserve"> 1: Regulación y Supervisión con un avance de un 70%</w:t>
      </w:r>
      <w:r w:rsidR="002C338F" w:rsidRPr="00232EBB">
        <w:rPr>
          <w:rFonts w:eastAsia="Calibri"/>
          <w:noProof/>
          <w:lang w:val="es-DO"/>
        </w:rPr>
        <w:t>.</w:t>
      </w:r>
    </w:p>
    <w:p w14:paraId="188A6112" w14:textId="10F11B08" w:rsidR="003E5FCE" w:rsidRPr="00232EBB" w:rsidRDefault="003E5FCE" w:rsidP="009F54E3">
      <w:pPr>
        <w:spacing w:line="360" w:lineRule="auto"/>
        <w:jc w:val="both"/>
        <w:rPr>
          <w:rFonts w:eastAsia="Calibri"/>
          <w:noProof/>
          <w:lang w:val="es-DO"/>
        </w:rPr>
      </w:pPr>
      <w:r w:rsidRPr="00232EBB">
        <w:rPr>
          <w:rFonts w:eastAsia="Calibri"/>
          <w:noProof/>
          <w:lang w:val="es-DO"/>
        </w:rPr>
        <w:t>EJE</w:t>
      </w:r>
      <w:r w:rsidR="004655D8" w:rsidRPr="00232EBB">
        <w:rPr>
          <w:rFonts w:eastAsia="Calibri"/>
          <w:noProof/>
          <w:lang w:val="es-DO"/>
        </w:rPr>
        <w:t xml:space="preserve"> </w:t>
      </w:r>
      <w:r w:rsidRPr="00232EBB">
        <w:rPr>
          <w:rFonts w:eastAsia="Calibri"/>
          <w:noProof/>
          <w:lang w:val="es-DO"/>
        </w:rPr>
        <w:t xml:space="preserve">2: </w:t>
      </w:r>
      <w:r w:rsidR="004655D8" w:rsidRPr="00232EBB">
        <w:rPr>
          <w:rFonts w:eastAsia="Calibri"/>
          <w:noProof/>
          <w:lang w:val="es-DO"/>
        </w:rPr>
        <w:t xml:space="preserve">Servicios y Posicionamiento Institucional </w:t>
      </w:r>
      <w:r w:rsidRPr="00232EBB">
        <w:rPr>
          <w:rFonts w:eastAsia="Calibri"/>
          <w:noProof/>
          <w:lang w:val="es-DO"/>
        </w:rPr>
        <w:t xml:space="preserve">con un avance de </w:t>
      </w:r>
      <w:r w:rsidR="004655D8" w:rsidRPr="00232EBB">
        <w:rPr>
          <w:rFonts w:eastAsia="Calibri"/>
          <w:noProof/>
          <w:lang w:val="es-DO"/>
        </w:rPr>
        <w:t>61</w:t>
      </w:r>
      <w:r w:rsidRPr="00232EBB">
        <w:rPr>
          <w:rFonts w:eastAsia="Calibri"/>
          <w:noProof/>
          <w:lang w:val="es-DO"/>
        </w:rPr>
        <w:t>%</w:t>
      </w:r>
      <w:r w:rsidR="002C338F" w:rsidRPr="00232EBB">
        <w:rPr>
          <w:rFonts w:eastAsia="Calibri"/>
          <w:noProof/>
          <w:lang w:val="es-DO"/>
        </w:rPr>
        <w:t>.</w:t>
      </w:r>
    </w:p>
    <w:p w14:paraId="1DD1E869" w14:textId="0CA6CA24" w:rsidR="003E5FCE" w:rsidRPr="00232EBB" w:rsidRDefault="003E5FCE" w:rsidP="009F54E3">
      <w:pPr>
        <w:spacing w:line="360" w:lineRule="auto"/>
        <w:jc w:val="both"/>
        <w:rPr>
          <w:rFonts w:eastAsia="Calibri"/>
          <w:noProof/>
          <w:lang w:val="es-DO"/>
        </w:rPr>
      </w:pPr>
      <w:r w:rsidRPr="00232EBB">
        <w:rPr>
          <w:rFonts w:eastAsia="Calibri"/>
          <w:noProof/>
          <w:lang w:val="es-DO"/>
        </w:rPr>
        <w:t>EJE</w:t>
      </w:r>
      <w:r w:rsidR="004655D8" w:rsidRPr="00232EBB">
        <w:rPr>
          <w:rFonts w:eastAsia="Calibri"/>
          <w:noProof/>
          <w:lang w:val="es-DO"/>
        </w:rPr>
        <w:t xml:space="preserve"> </w:t>
      </w:r>
      <w:r w:rsidRPr="00232EBB">
        <w:rPr>
          <w:rFonts w:eastAsia="Calibri"/>
          <w:noProof/>
          <w:lang w:val="es-DO"/>
        </w:rPr>
        <w:t xml:space="preserve">3: </w:t>
      </w:r>
      <w:r w:rsidR="004655D8" w:rsidRPr="00232EBB">
        <w:rPr>
          <w:rFonts w:eastAsia="Calibri"/>
          <w:noProof/>
          <w:lang w:val="es-DO"/>
        </w:rPr>
        <w:t xml:space="preserve">Gobernanza y Excelencia Operativa </w:t>
      </w:r>
      <w:r w:rsidRPr="00232EBB">
        <w:rPr>
          <w:rFonts w:eastAsia="Calibri"/>
          <w:noProof/>
          <w:lang w:val="es-DO"/>
        </w:rPr>
        <w:t xml:space="preserve">con un avance de </w:t>
      </w:r>
      <w:r w:rsidR="004655D8" w:rsidRPr="00232EBB">
        <w:rPr>
          <w:rFonts w:eastAsia="Calibri"/>
          <w:noProof/>
          <w:lang w:val="es-DO"/>
        </w:rPr>
        <w:t>68</w:t>
      </w:r>
      <w:r w:rsidRPr="00232EBB">
        <w:rPr>
          <w:rFonts w:eastAsia="Calibri"/>
          <w:noProof/>
          <w:lang w:val="es-DO"/>
        </w:rPr>
        <w:t>%</w:t>
      </w:r>
      <w:r w:rsidR="002C338F" w:rsidRPr="00232EBB">
        <w:rPr>
          <w:rFonts w:eastAsia="Calibri"/>
          <w:noProof/>
          <w:lang w:val="es-DO"/>
        </w:rPr>
        <w:t>.</w:t>
      </w:r>
    </w:p>
    <w:p w14:paraId="4EE41EE3" w14:textId="75A57E72" w:rsidR="004655D8" w:rsidRPr="00232EBB" w:rsidRDefault="004655D8" w:rsidP="004655D8">
      <w:pPr>
        <w:spacing w:line="360" w:lineRule="auto"/>
        <w:jc w:val="both"/>
        <w:rPr>
          <w:rFonts w:eastAsia="Calibri"/>
          <w:noProof/>
          <w:lang w:val="es-DO"/>
        </w:rPr>
      </w:pPr>
      <w:r w:rsidRPr="00232EBB">
        <w:rPr>
          <w:rFonts w:eastAsia="Calibri"/>
          <w:noProof/>
          <w:lang w:val="es-DO"/>
        </w:rPr>
        <w:t>EJE 4: Riesgos y Control de gestión con un avance de 76%</w:t>
      </w:r>
      <w:r w:rsidR="002C338F" w:rsidRPr="00232EBB">
        <w:rPr>
          <w:rFonts w:eastAsia="Calibri"/>
          <w:noProof/>
          <w:lang w:val="es-DO"/>
        </w:rPr>
        <w:t>.</w:t>
      </w:r>
    </w:p>
    <w:p w14:paraId="2081D2EB" w14:textId="68F0E488" w:rsidR="004655D8" w:rsidRPr="00232EBB" w:rsidRDefault="004655D8" w:rsidP="004655D8">
      <w:pPr>
        <w:spacing w:line="360" w:lineRule="auto"/>
        <w:jc w:val="both"/>
        <w:rPr>
          <w:rFonts w:eastAsia="Calibri"/>
          <w:noProof/>
          <w:lang w:val="es-DO"/>
        </w:rPr>
      </w:pPr>
      <w:r w:rsidRPr="00232EBB">
        <w:rPr>
          <w:rFonts w:eastAsia="Calibri"/>
          <w:noProof/>
          <w:lang w:val="es-DO"/>
        </w:rPr>
        <w:t>EJE 5: Crecimiento y Desarrollo del Talento Humano con un avance de 74%</w:t>
      </w:r>
      <w:r w:rsidR="002C338F" w:rsidRPr="00232EBB">
        <w:rPr>
          <w:rFonts w:eastAsia="Calibri"/>
          <w:noProof/>
          <w:lang w:val="es-DO"/>
        </w:rPr>
        <w:t>.</w:t>
      </w:r>
    </w:p>
    <w:p w14:paraId="3B66E595" w14:textId="77777777" w:rsidR="003303DE" w:rsidRPr="00232EBB" w:rsidRDefault="00796934" w:rsidP="009F54E3">
      <w:pPr>
        <w:spacing w:line="360" w:lineRule="auto"/>
        <w:jc w:val="both"/>
        <w:rPr>
          <w:rFonts w:eastAsia="Calibri"/>
          <w:noProof/>
          <w:lang w:val="es-DO"/>
        </w:rPr>
      </w:pPr>
      <w:r w:rsidRPr="00232EBB">
        <w:rPr>
          <w:rFonts w:eastAsia="Calibri"/>
          <w:noProof/>
          <w:lang w:val="es-DO"/>
        </w:rPr>
        <w:t>Los retos son continuar brindando eficaces servicios, velar por el cumplimiento de la misión y la calidad de los procesos conferidos por la Ley no. 87-01 con sus modificaciones.</w:t>
      </w:r>
    </w:p>
    <w:p w14:paraId="3C560F7F" w14:textId="656859A2" w:rsidR="0021654B" w:rsidRPr="00232EBB" w:rsidRDefault="00B0637A" w:rsidP="009F54E3">
      <w:pPr>
        <w:spacing w:line="360" w:lineRule="auto"/>
        <w:jc w:val="both"/>
        <w:rPr>
          <w:rFonts w:eastAsia="Calibri"/>
          <w:b/>
          <w:bCs/>
          <w:noProof/>
          <w:lang w:val="es-DO"/>
        </w:rPr>
      </w:pPr>
      <w:r w:rsidRPr="00232EBB">
        <w:rPr>
          <w:rFonts w:eastAsia="Calibri"/>
          <w:b/>
          <w:bCs/>
          <w:noProof/>
          <w:lang w:val="es-DO"/>
        </w:rPr>
        <w:t xml:space="preserve">Resultados </w:t>
      </w:r>
      <w:r w:rsidR="00C37A3B" w:rsidRPr="00232EBB">
        <w:rPr>
          <w:rFonts w:eastAsia="Calibri"/>
          <w:b/>
          <w:bCs/>
          <w:noProof/>
          <w:lang w:val="es-DO"/>
        </w:rPr>
        <w:t>del sistema de Gestión Integrado</w:t>
      </w:r>
    </w:p>
    <w:p w14:paraId="255EB734" w14:textId="77777777" w:rsidR="00FB0126" w:rsidRPr="00232EBB" w:rsidRDefault="00FB0126" w:rsidP="00FB0126">
      <w:pPr>
        <w:spacing w:line="360" w:lineRule="auto"/>
        <w:jc w:val="both"/>
        <w:rPr>
          <w:rFonts w:eastAsia="Calibri"/>
          <w:noProof/>
          <w:lang w:val="es-DO"/>
        </w:rPr>
      </w:pPr>
      <w:r w:rsidRPr="00232EBB">
        <w:rPr>
          <w:rFonts w:eastAsia="Calibri"/>
          <w:noProof/>
          <w:lang w:val="es-DO"/>
        </w:rPr>
        <w:lastRenderedPageBreak/>
        <w:t xml:space="preserve">La Tesorería de la Seguridad Social, como parte fundamental de su cultura organizacional, y reconociendo la importancia de las percepciones de sus partes interesadas, se compromete a escuchar activamente sus opiniones y evaluar la satisfacción de los servicios brindados. Para ello, se apoya en encuestas y en el seguimiento de los comentarios de los usuarios a través de los distintos canales de comunicación disponibles. </w:t>
      </w:r>
    </w:p>
    <w:p w14:paraId="3DA70F40" w14:textId="77777777" w:rsidR="00FB0126" w:rsidRPr="00232EBB" w:rsidRDefault="00FB0126" w:rsidP="00FB0126">
      <w:pPr>
        <w:spacing w:line="360" w:lineRule="auto"/>
        <w:jc w:val="both"/>
        <w:rPr>
          <w:rFonts w:eastAsia="Calibri"/>
          <w:noProof/>
          <w:lang w:val="es-DO"/>
        </w:rPr>
      </w:pPr>
      <w:r w:rsidRPr="00232EBB">
        <w:rPr>
          <w:rFonts w:eastAsia="Calibri"/>
          <w:noProof/>
          <w:lang w:val="es-DO"/>
        </w:rPr>
        <w:t xml:space="preserve">Durante el año se implementaron diversas iniciativas orientadas a mejorar la experiencia del usuario, como la optimización de procesos internos, lo que contribuyó al alto nivel de satisfacción registrado. Estos esfuerzos reflejan el compromiso de la institución con la calidad y la mejora continua, fortaleciendo la confianza de los ciudadanos en los servicios brindados. </w:t>
      </w:r>
    </w:p>
    <w:p w14:paraId="4D00CE0F" w14:textId="77777777" w:rsidR="00FB0126" w:rsidRPr="00232EBB" w:rsidRDefault="00FB0126" w:rsidP="00FB0126">
      <w:pPr>
        <w:spacing w:line="360" w:lineRule="auto"/>
        <w:jc w:val="both"/>
        <w:rPr>
          <w:rFonts w:eastAsia="Calibri"/>
          <w:noProof/>
          <w:lang w:val="es-DO"/>
        </w:rPr>
      </w:pPr>
      <w:r w:rsidRPr="00232EBB">
        <w:rPr>
          <w:rFonts w:eastAsia="Calibri"/>
          <w:noProof/>
          <w:lang w:val="es-DO"/>
        </w:rPr>
        <w:t>La meta establecida para este año es obtener, al menos, un 93% en la Encuesta de Satisfacción de los Servicios Brindados. En el periodo enero - diciembre del año se obtuvo un 93.5%.</w:t>
      </w:r>
    </w:p>
    <w:p w14:paraId="32EDFE0D" w14:textId="77777777" w:rsidR="00FB0126" w:rsidRPr="00232EBB" w:rsidRDefault="00FB0126" w:rsidP="00FB0126">
      <w:pPr>
        <w:spacing w:line="360" w:lineRule="auto"/>
        <w:jc w:val="both"/>
        <w:rPr>
          <w:rFonts w:eastAsia="Calibri"/>
          <w:noProof/>
          <w:lang w:val="es-DO"/>
        </w:rPr>
      </w:pPr>
      <w:r w:rsidRPr="00232EBB">
        <w:rPr>
          <w:rFonts w:eastAsia="Calibri"/>
          <w:noProof/>
          <w:lang w:val="es-DO"/>
        </w:rPr>
        <w:t xml:space="preserve">Además, se recibió retroalimentación positiva para un total de </w:t>
      </w:r>
      <w:r w:rsidRPr="00232EBB">
        <w:rPr>
          <w:rFonts w:eastAsia="Calibri"/>
          <w:b/>
          <w:bCs/>
          <w:noProof/>
          <w:lang w:val="es-DO"/>
        </w:rPr>
        <w:t>15</w:t>
      </w:r>
      <w:r w:rsidRPr="00232EBB">
        <w:rPr>
          <w:rFonts w:eastAsia="Calibri"/>
          <w:noProof/>
          <w:lang w:val="es-DO"/>
        </w:rPr>
        <w:t>, de los empleadores hacia la TSS y se registraron</w:t>
      </w:r>
      <w:r w:rsidRPr="00232EBB">
        <w:rPr>
          <w:rFonts w:eastAsia="Calibri"/>
          <w:b/>
          <w:bCs/>
          <w:noProof/>
          <w:lang w:val="es-DO"/>
        </w:rPr>
        <w:t xml:space="preserve"> 226</w:t>
      </w:r>
      <w:r w:rsidRPr="00232EBB">
        <w:rPr>
          <w:rFonts w:eastAsia="Calibri"/>
          <w:noProof/>
          <w:lang w:val="es-DO"/>
        </w:rPr>
        <w:t xml:space="preserve"> felicitaciones para los colaboradores por el excelente servicio brindado.</w:t>
      </w:r>
    </w:p>
    <w:p w14:paraId="7379770F" w14:textId="10A7D8B7" w:rsidR="00987B2F" w:rsidRPr="00232EBB" w:rsidRDefault="00B0637A" w:rsidP="00B0637A">
      <w:pPr>
        <w:spacing w:after="0" w:line="360" w:lineRule="auto"/>
        <w:jc w:val="both"/>
        <w:rPr>
          <w:noProof/>
          <w:lang w:val="es-ES"/>
        </w:rPr>
      </w:pPr>
      <w:r w:rsidRPr="00232EBB">
        <w:rPr>
          <w:noProof/>
          <w:lang w:val="es-ES"/>
        </w:rPr>
        <w:t xml:space="preserve"> </w:t>
      </w:r>
      <w:r w:rsidR="00FB0126" w:rsidRPr="00232EBB">
        <w:rPr>
          <w:noProof/>
          <w:szCs w:val="36"/>
          <w:lang w:val="es-ES"/>
        </w:rPr>
        <w:drawing>
          <wp:inline distT="0" distB="0" distL="0" distR="0" wp14:anchorId="123191D1" wp14:editId="74E51CDE">
            <wp:extent cx="4817110" cy="2587924"/>
            <wp:effectExtent l="0" t="0" r="2540" b="3175"/>
            <wp:docPr id="38026251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953290E" w14:textId="58DC58B5" w:rsidR="00987B2F" w:rsidRPr="00232EBB" w:rsidRDefault="00FB0126" w:rsidP="00987B2F">
      <w:pPr>
        <w:spacing w:after="0" w:line="360" w:lineRule="auto"/>
        <w:rPr>
          <w:sz w:val="18"/>
          <w:szCs w:val="18"/>
          <w:lang w:val="es-DO"/>
        </w:rPr>
      </w:pPr>
      <w:r w:rsidRPr="00232EBB">
        <w:rPr>
          <w:b/>
          <w:bCs/>
          <w:sz w:val="18"/>
          <w:szCs w:val="18"/>
          <w:lang w:val="es-DO"/>
        </w:rPr>
        <w:t>Gráfico</w:t>
      </w:r>
      <w:r w:rsidR="00231D31" w:rsidRPr="00232EBB">
        <w:rPr>
          <w:b/>
          <w:bCs/>
          <w:sz w:val="18"/>
          <w:szCs w:val="18"/>
          <w:lang w:val="es-DO"/>
        </w:rPr>
        <w:t xml:space="preserve"> </w:t>
      </w:r>
      <w:r w:rsidR="00E14CB6" w:rsidRPr="00232EBB">
        <w:rPr>
          <w:b/>
          <w:bCs/>
          <w:sz w:val="18"/>
          <w:szCs w:val="18"/>
          <w:lang w:val="es-DO"/>
        </w:rPr>
        <w:t>2</w:t>
      </w:r>
      <w:r w:rsidR="000743EE" w:rsidRPr="00232EBB">
        <w:rPr>
          <w:b/>
          <w:bCs/>
          <w:sz w:val="18"/>
          <w:szCs w:val="18"/>
          <w:lang w:val="es-DO"/>
        </w:rPr>
        <w:t>6</w:t>
      </w:r>
      <w:r w:rsidR="00690EA0" w:rsidRPr="00232EBB">
        <w:rPr>
          <w:b/>
          <w:bCs/>
          <w:sz w:val="18"/>
          <w:szCs w:val="18"/>
          <w:lang w:val="es-DO"/>
        </w:rPr>
        <w:t xml:space="preserve">: </w:t>
      </w:r>
      <w:r w:rsidRPr="00232EBB">
        <w:rPr>
          <w:sz w:val="18"/>
          <w:szCs w:val="18"/>
          <w:lang w:val="es-DO"/>
        </w:rPr>
        <w:t>Índice de satisfacción de los servicios brindados</w:t>
      </w:r>
      <w:r w:rsidR="0010597E" w:rsidRPr="00232EBB">
        <w:rPr>
          <w:sz w:val="18"/>
          <w:szCs w:val="18"/>
          <w:lang w:val="es-DO"/>
        </w:rPr>
        <w:t>.</w:t>
      </w:r>
    </w:p>
    <w:p w14:paraId="79A7EEA2" w14:textId="77777777" w:rsidR="0010597E" w:rsidRPr="00232EBB" w:rsidRDefault="0010597E" w:rsidP="00987B2F">
      <w:pPr>
        <w:spacing w:after="0" w:line="360" w:lineRule="auto"/>
        <w:rPr>
          <w:b/>
          <w:bCs/>
          <w:sz w:val="18"/>
          <w:szCs w:val="18"/>
          <w:lang w:val="es-DO"/>
        </w:rPr>
      </w:pPr>
    </w:p>
    <w:p w14:paraId="42D8B37C" w14:textId="77777777" w:rsidR="00E3132B" w:rsidRPr="00232EBB" w:rsidRDefault="00E3132B" w:rsidP="00E3132B">
      <w:pPr>
        <w:spacing w:line="360" w:lineRule="auto"/>
        <w:jc w:val="both"/>
        <w:rPr>
          <w:rFonts w:eastAsia="Calibri"/>
          <w:noProof/>
          <w:lang w:val="es-DO"/>
        </w:rPr>
      </w:pPr>
      <w:r w:rsidRPr="00232EBB">
        <w:rPr>
          <w:rFonts w:eastAsia="Calibri"/>
          <w:noProof/>
          <w:lang w:val="es-DO"/>
        </w:rPr>
        <w:lastRenderedPageBreak/>
        <w:t>Es importante resaltar que durante este periodo se gestionó la aplicación de 77,324 Encuesta de Satisfacción de los Servicios Brindados distribuidas de la siguente manera: 4,952 Encuesta de Satisfacción Simplificada (telefónica) y 72,372 Encuesta de Servicios (correo electrónico), de las cuales se obtuvieron 4,904</w:t>
      </w:r>
      <w:r w:rsidRPr="00232EBB">
        <w:rPr>
          <w:rFonts w:eastAsia="Calibri"/>
          <w:b/>
          <w:bCs/>
          <w:noProof/>
          <w:lang w:val="es-DO"/>
        </w:rPr>
        <w:t xml:space="preserve"> </w:t>
      </w:r>
      <w:r w:rsidRPr="00232EBB">
        <w:rPr>
          <w:rFonts w:eastAsia="Calibri"/>
          <w:noProof/>
          <w:lang w:val="es-DO"/>
        </w:rPr>
        <w:t xml:space="preserve">respuestas al 31 de diciembre 2025. </w:t>
      </w:r>
    </w:p>
    <w:p w14:paraId="2E069421" w14:textId="77777777" w:rsidR="00E3132B" w:rsidRPr="00232EBB" w:rsidRDefault="00E3132B" w:rsidP="00E3132B">
      <w:pPr>
        <w:spacing w:line="360" w:lineRule="auto"/>
        <w:jc w:val="both"/>
        <w:rPr>
          <w:rFonts w:eastAsia="Calibri"/>
          <w:noProof/>
          <w:lang w:val="es-DO"/>
        </w:rPr>
      </w:pPr>
      <w:r w:rsidRPr="00232EBB">
        <w:rPr>
          <w:rFonts w:eastAsia="Calibri"/>
          <w:noProof/>
          <w:lang w:val="es-DO"/>
        </w:rPr>
        <w:t>Estas respuestas generaron 676 quejas y 325 sugerencias de los empleadores para un total de 1,001 que corresponden de las encuestas aplicadas, a estas se le suman 35 quejas y 3 sugerencias recibidas por otros canales, respondidas en su totalidad por los colaboradores designados de la TSS. Estas quejas y sugerencias representan solo el 21% del total de respuestas. A continuación, presentamos el desglose mensual de las quejas y sugerencias:</w:t>
      </w:r>
    </w:p>
    <w:p w14:paraId="0E6A6DDF" w14:textId="060CA445" w:rsidR="00E3132B" w:rsidRPr="00232EBB" w:rsidRDefault="00E3132B" w:rsidP="00E3132B">
      <w:pPr>
        <w:spacing w:line="360" w:lineRule="auto"/>
        <w:jc w:val="both"/>
        <w:rPr>
          <w:szCs w:val="36"/>
          <w:lang w:val="es-ES"/>
        </w:rPr>
      </w:pPr>
      <w:r w:rsidRPr="00232EBB">
        <w:rPr>
          <w:noProof/>
          <w:lang w:val="es-ES"/>
        </w:rPr>
        <w:drawing>
          <wp:inline distT="0" distB="0" distL="0" distR="0" wp14:anchorId="2405C4FA" wp14:editId="0821B572">
            <wp:extent cx="4864608" cy="2645664"/>
            <wp:effectExtent l="0" t="0" r="12700" b="2540"/>
            <wp:docPr id="1016426774" name="Gráfico 10164267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3E15B91" w14:textId="04A602B8" w:rsidR="00E3132B" w:rsidRPr="00232EBB" w:rsidRDefault="00E3132B" w:rsidP="00E3132B">
      <w:pPr>
        <w:spacing w:after="0" w:line="360" w:lineRule="auto"/>
        <w:rPr>
          <w:sz w:val="18"/>
          <w:szCs w:val="18"/>
          <w:lang w:val="es-DO"/>
        </w:rPr>
      </w:pPr>
      <w:r w:rsidRPr="00232EBB">
        <w:rPr>
          <w:b/>
          <w:bCs/>
          <w:sz w:val="18"/>
          <w:szCs w:val="18"/>
          <w:lang w:val="es-DO"/>
        </w:rPr>
        <w:t>Gráfico</w:t>
      </w:r>
      <w:r w:rsidR="00410297" w:rsidRPr="00232EBB">
        <w:rPr>
          <w:b/>
          <w:bCs/>
          <w:sz w:val="18"/>
          <w:szCs w:val="18"/>
          <w:lang w:val="es-DO"/>
        </w:rPr>
        <w:t xml:space="preserve"> </w:t>
      </w:r>
      <w:r w:rsidR="00E14CB6" w:rsidRPr="00232EBB">
        <w:rPr>
          <w:b/>
          <w:bCs/>
          <w:sz w:val="18"/>
          <w:szCs w:val="18"/>
          <w:lang w:val="es-DO"/>
        </w:rPr>
        <w:t>2</w:t>
      </w:r>
      <w:r w:rsidR="000743EE" w:rsidRPr="00232EBB">
        <w:rPr>
          <w:b/>
          <w:bCs/>
          <w:sz w:val="18"/>
          <w:szCs w:val="18"/>
          <w:lang w:val="es-DO"/>
        </w:rPr>
        <w:t>7</w:t>
      </w:r>
      <w:r w:rsidRPr="00232EBB">
        <w:rPr>
          <w:b/>
          <w:bCs/>
          <w:sz w:val="18"/>
          <w:szCs w:val="18"/>
          <w:lang w:val="es-DO"/>
        </w:rPr>
        <w:t xml:space="preserve">: </w:t>
      </w:r>
      <w:r w:rsidRPr="00232EBB">
        <w:rPr>
          <w:sz w:val="18"/>
          <w:szCs w:val="18"/>
          <w:lang w:val="es-DO"/>
        </w:rPr>
        <w:t>Quejas y Sugerencias Enero- diciembre 2025</w:t>
      </w:r>
    </w:p>
    <w:p w14:paraId="4782883E" w14:textId="77777777" w:rsidR="00E3132B" w:rsidRPr="00232EBB" w:rsidRDefault="00E3132B" w:rsidP="00E3132B">
      <w:pPr>
        <w:spacing w:after="0" w:line="360" w:lineRule="auto"/>
        <w:rPr>
          <w:b/>
          <w:bCs/>
          <w:sz w:val="18"/>
          <w:szCs w:val="18"/>
          <w:lang w:val="es-DO"/>
        </w:rPr>
      </w:pPr>
    </w:p>
    <w:p w14:paraId="1500BEF1" w14:textId="77777777" w:rsidR="00E3132B" w:rsidRPr="00232EBB" w:rsidRDefault="00E3132B" w:rsidP="00E3132B">
      <w:pPr>
        <w:spacing w:line="360" w:lineRule="auto"/>
        <w:jc w:val="both"/>
        <w:rPr>
          <w:rFonts w:eastAsia="Calibri"/>
          <w:noProof/>
          <w:lang w:val="es-DO"/>
        </w:rPr>
      </w:pPr>
      <w:r w:rsidRPr="00232EBB">
        <w:rPr>
          <w:rFonts w:eastAsia="Calibri"/>
          <w:noProof/>
          <w:lang w:val="es-DO"/>
        </w:rPr>
        <w:t>A continuaciónse puede observar la clasificación de las quejas y sugerencias más recurrentes:</w:t>
      </w:r>
    </w:p>
    <w:tbl>
      <w:tblPr>
        <w:tblW w:w="5000" w:type="pct"/>
        <w:jc w:val="center"/>
        <w:tblLayout w:type="fixed"/>
        <w:tblLook w:val="04A0" w:firstRow="1" w:lastRow="0" w:firstColumn="1" w:lastColumn="0" w:noHBand="0" w:noVBand="1"/>
      </w:tblPr>
      <w:tblGrid>
        <w:gridCol w:w="1704"/>
        <w:gridCol w:w="949"/>
        <w:gridCol w:w="925"/>
        <w:gridCol w:w="1285"/>
        <w:gridCol w:w="1065"/>
        <w:gridCol w:w="771"/>
        <w:gridCol w:w="1031"/>
      </w:tblGrid>
      <w:tr w:rsidR="00E3132B" w:rsidRPr="00232EBB" w14:paraId="4C1820C0" w14:textId="77777777" w:rsidTr="00410297">
        <w:trPr>
          <w:trHeight w:val="508"/>
          <w:tblHeader/>
          <w:jc w:val="center"/>
        </w:trPr>
        <w:tc>
          <w:tcPr>
            <w:tcW w:w="1102" w:type="pct"/>
            <w:tcBorders>
              <w:top w:val="single" w:sz="4" w:space="0" w:color="auto"/>
              <w:left w:val="single" w:sz="4" w:space="0" w:color="auto"/>
              <w:bottom w:val="single" w:sz="4" w:space="0" w:color="auto"/>
              <w:right w:val="single" w:sz="4" w:space="0" w:color="auto"/>
            </w:tcBorders>
            <w:shd w:val="clear" w:color="DDEBF7" w:fill="203764"/>
            <w:noWrap/>
            <w:vAlign w:val="center"/>
            <w:hideMark/>
          </w:tcPr>
          <w:p w14:paraId="58A9DB25" w14:textId="77777777" w:rsidR="00E3132B" w:rsidRPr="00232EBB" w:rsidRDefault="00E3132B" w:rsidP="0055368C">
            <w:pPr>
              <w:spacing w:after="0" w:line="240" w:lineRule="auto"/>
              <w:rPr>
                <w:rFonts w:eastAsia="Calibri"/>
                <w:noProof/>
                <w:color w:val="FFFFFF" w:themeColor="background1"/>
                <w:sz w:val="20"/>
                <w:szCs w:val="20"/>
                <w:lang w:val="es-DO"/>
              </w:rPr>
            </w:pPr>
            <w:r w:rsidRPr="00232EBB">
              <w:rPr>
                <w:rFonts w:eastAsia="Calibri"/>
                <w:noProof/>
                <w:color w:val="FFFFFF" w:themeColor="background1"/>
                <w:sz w:val="20"/>
                <w:szCs w:val="20"/>
                <w:lang w:val="es-DO"/>
              </w:rPr>
              <w:t xml:space="preserve">Clasificación </w:t>
            </w:r>
          </w:p>
        </w:tc>
        <w:tc>
          <w:tcPr>
            <w:tcW w:w="614" w:type="pct"/>
            <w:tcBorders>
              <w:top w:val="single" w:sz="4" w:space="0" w:color="auto"/>
              <w:left w:val="nil"/>
              <w:bottom w:val="single" w:sz="4" w:space="0" w:color="auto"/>
              <w:right w:val="single" w:sz="4" w:space="0" w:color="auto"/>
            </w:tcBorders>
            <w:shd w:val="clear" w:color="DDEBF7" w:fill="203764"/>
            <w:vAlign w:val="center"/>
            <w:hideMark/>
          </w:tcPr>
          <w:p w14:paraId="0749121B" w14:textId="77777777" w:rsidR="00E3132B" w:rsidRPr="00232EBB" w:rsidRDefault="00E3132B" w:rsidP="0055368C">
            <w:pPr>
              <w:spacing w:after="0" w:line="240" w:lineRule="auto"/>
              <w:jc w:val="center"/>
              <w:rPr>
                <w:rFonts w:eastAsia="Calibri"/>
                <w:noProof/>
                <w:color w:val="FFFFFF" w:themeColor="background1"/>
                <w:sz w:val="20"/>
                <w:szCs w:val="20"/>
                <w:lang w:val="es-DO"/>
              </w:rPr>
            </w:pPr>
            <w:r w:rsidRPr="00232EBB">
              <w:rPr>
                <w:rFonts w:eastAsia="Calibri"/>
                <w:noProof/>
                <w:color w:val="FFFFFF" w:themeColor="background1"/>
                <w:sz w:val="20"/>
                <w:szCs w:val="20"/>
                <w:lang w:val="es-DO"/>
              </w:rPr>
              <w:t xml:space="preserve">Frecuencia Quejas </w:t>
            </w:r>
          </w:p>
        </w:tc>
        <w:tc>
          <w:tcPr>
            <w:tcW w:w="598" w:type="pct"/>
            <w:tcBorders>
              <w:top w:val="single" w:sz="4" w:space="0" w:color="auto"/>
              <w:left w:val="nil"/>
              <w:bottom w:val="single" w:sz="4" w:space="0" w:color="auto"/>
              <w:right w:val="single" w:sz="4" w:space="0" w:color="auto"/>
            </w:tcBorders>
            <w:shd w:val="clear" w:color="DDEBF7" w:fill="203764"/>
            <w:noWrap/>
            <w:vAlign w:val="center"/>
            <w:hideMark/>
          </w:tcPr>
          <w:p w14:paraId="19484C5C" w14:textId="77777777" w:rsidR="00E3132B" w:rsidRPr="00232EBB" w:rsidRDefault="00E3132B" w:rsidP="0055368C">
            <w:pPr>
              <w:spacing w:after="0" w:line="240" w:lineRule="auto"/>
              <w:jc w:val="center"/>
              <w:rPr>
                <w:rFonts w:eastAsia="Calibri"/>
                <w:noProof/>
                <w:color w:val="FFFFFF" w:themeColor="background1"/>
                <w:sz w:val="20"/>
                <w:szCs w:val="20"/>
                <w:lang w:val="es-DO"/>
              </w:rPr>
            </w:pPr>
            <w:r w:rsidRPr="00232EBB">
              <w:rPr>
                <w:rFonts w:eastAsia="Calibri"/>
                <w:noProof/>
                <w:color w:val="FFFFFF" w:themeColor="background1"/>
                <w:sz w:val="20"/>
                <w:szCs w:val="20"/>
                <w:lang w:val="es-DO"/>
              </w:rPr>
              <w:t>Quejas (%)</w:t>
            </w:r>
          </w:p>
        </w:tc>
        <w:tc>
          <w:tcPr>
            <w:tcW w:w="831" w:type="pct"/>
            <w:tcBorders>
              <w:top w:val="single" w:sz="4" w:space="0" w:color="auto"/>
              <w:left w:val="nil"/>
              <w:bottom w:val="single" w:sz="4" w:space="0" w:color="auto"/>
              <w:right w:val="single" w:sz="4" w:space="0" w:color="auto"/>
            </w:tcBorders>
            <w:shd w:val="clear" w:color="DDEBF7" w:fill="203764"/>
            <w:vAlign w:val="center"/>
            <w:hideMark/>
          </w:tcPr>
          <w:p w14:paraId="05A621E5" w14:textId="77777777" w:rsidR="00E3132B" w:rsidRPr="00232EBB" w:rsidRDefault="00E3132B" w:rsidP="0055368C">
            <w:pPr>
              <w:spacing w:after="0" w:line="240" w:lineRule="auto"/>
              <w:jc w:val="center"/>
              <w:rPr>
                <w:rFonts w:eastAsia="Calibri"/>
                <w:noProof/>
                <w:color w:val="FFFFFF" w:themeColor="background1"/>
                <w:sz w:val="20"/>
                <w:szCs w:val="20"/>
                <w:lang w:val="es-DO"/>
              </w:rPr>
            </w:pPr>
            <w:r w:rsidRPr="00232EBB">
              <w:rPr>
                <w:rFonts w:eastAsia="Calibri"/>
                <w:noProof/>
                <w:color w:val="FFFFFF" w:themeColor="background1"/>
                <w:sz w:val="20"/>
                <w:szCs w:val="20"/>
                <w:lang w:val="es-DO"/>
              </w:rPr>
              <w:t xml:space="preserve">Fecuencia Sugerencias </w:t>
            </w:r>
          </w:p>
        </w:tc>
        <w:tc>
          <w:tcPr>
            <w:tcW w:w="689" w:type="pct"/>
            <w:tcBorders>
              <w:top w:val="single" w:sz="4" w:space="0" w:color="auto"/>
              <w:left w:val="nil"/>
              <w:bottom w:val="single" w:sz="4" w:space="0" w:color="auto"/>
              <w:right w:val="single" w:sz="4" w:space="0" w:color="auto"/>
            </w:tcBorders>
            <w:shd w:val="clear" w:color="DDEBF7" w:fill="203764"/>
            <w:vAlign w:val="center"/>
            <w:hideMark/>
          </w:tcPr>
          <w:p w14:paraId="516EF1B5" w14:textId="77777777" w:rsidR="00E3132B" w:rsidRPr="00232EBB" w:rsidRDefault="00E3132B" w:rsidP="0055368C">
            <w:pPr>
              <w:spacing w:after="0" w:line="240" w:lineRule="auto"/>
              <w:jc w:val="center"/>
              <w:rPr>
                <w:rFonts w:eastAsia="Calibri"/>
                <w:noProof/>
                <w:color w:val="FFFFFF" w:themeColor="background1"/>
                <w:sz w:val="20"/>
                <w:szCs w:val="20"/>
                <w:lang w:val="es-DO"/>
              </w:rPr>
            </w:pPr>
            <w:r w:rsidRPr="00232EBB">
              <w:rPr>
                <w:rFonts w:eastAsia="Calibri"/>
                <w:noProof/>
                <w:color w:val="FFFFFF" w:themeColor="background1"/>
                <w:sz w:val="20"/>
                <w:szCs w:val="20"/>
                <w:lang w:val="es-DO"/>
              </w:rPr>
              <w:t>Sugerencias (%)</w:t>
            </w:r>
          </w:p>
        </w:tc>
        <w:tc>
          <w:tcPr>
            <w:tcW w:w="499" w:type="pct"/>
            <w:tcBorders>
              <w:top w:val="single" w:sz="4" w:space="0" w:color="auto"/>
              <w:left w:val="nil"/>
              <w:bottom w:val="single" w:sz="4" w:space="0" w:color="auto"/>
              <w:right w:val="single" w:sz="4" w:space="0" w:color="auto"/>
            </w:tcBorders>
            <w:shd w:val="clear" w:color="DDEBF7" w:fill="203764"/>
            <w:noWrap/>
            <w:vAlign w:val="center"/>
            <w:hideMark/>
          </w:tcPr>
          <w:p w14:paraId="283B8A57" w14:textId="77777777" w:rsidR="00E3132B" w:rsidRPr="00232EBB" w:rsidRDefault="00E3132B" w:rsidP="0055368C">
            <w:pPr>
              <w:spacing w:after="0" w:line="240" w:lineRule="auto"/>
              <w:jc w:val="center"/>
              <w:rPr>
                <w:rFonts w:eastAsia="Calibri"/>
                <w:noProof/>
                <w:color w:val="FFFFFF" w:themeColor="background1"/>
                <w:sz w:val="20"/>
                <w:szCs w:val="20"/>
                <w:lang w:val="es-DO"/>
              </w:rPr>
            </w:pPr>
            <w:r w:rsidRPr="00232EBB">
              <w:rPr>
                <w:rFonts w:eastAsia="Calibri"/>
                <w:noProof/>
                <w:color w:val="FFFFFF" w:themeColor="background1"/>
                <w:sz w:val="20"/>
                <w:szCs w:val="20"/>
                <w:lang w:val="es-DO"/>
              </w:rPr>
              <w:t>Total</w:t>
            </w:r>
          </w:p>
        </w:tc>
        <w:tc>
          <w:tcPr>
            <w:tcW w:w="667" w:type="pct"/>
            <w:tcBorders>
              <w:top w:val="single" w:sz="4" w:space="0" w:color="auto"/>
              <w:left w:val="nil"/>
              <w:bottom w:val="single" w:sz="4" w:space="0" w:color="auto"/>
              <w:right w:val="single" w:sz="4" w:space="0" w:color="auto"/>
            </w:tcBorders>
            <w:shd w:val="clear" w:color="DDEBF7" w:fill="203764"/>
            <w:noWrap/>
            <w:vAlign w:val="center"/>
            <w:hideMark/>
          </w:tcPr>
          <w:p w14:paraId="0F37006D" w14:textId="77777777" w:rsidR="00E3132B" w:rsidRPr="00232EBB" w:rsidRDefault="00E3132B" w:rsidP="0055368C">
            <w:pPr>
              <w:spacing w:after="0" w:line="240" w:lineRule="auto"/>
              <w:jc w:val="center"/>
              <w:rPr>
                <w:rFonts w:eastAsia="Calibri"/>
                <w:noProof/>
                <w:color w:val="FFFFFF" w:themeColor="background1"/>
                <w:sz w:val="20"/>
                <w:szCs w:val="20"/>
                <w:lang w:val="es-DO"/>
              </w:rPr>
            </w:pPr>
            <w:r w:rsidRPr="00232EBB">
              <w:rPr>
                <w:rFonts w:eastAsia="Calibri"/>
                <w:noProof/>
                <w:color w:val="FFFFFF" w:themeColor="background1"/>
                <w:sz w:val="20"/>
                <w:szCs w:val="20"/>
                <w:lang w:val="es-DO"/>
              </w:rPr>
              <w:t>Total (%)</w:t>
            </w:r>
          </w:p>
        </w:tc>
      </w:tr>
      <w:tr w:rsidR="00E3132B" w:rsidRPr="00232EBB" w14:paraId="1817297D"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54AD46B5"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Tiempo en espera</w:t>
            </w:r>
          </w:p>
        </w:tc>
        <w:tc>
          <w:tcPr>
            <w:tcW w:w="614" w:type="pct"/>
            <w:tcBorders>
              <w:top w:val="nil"/>
              <w:left w:val="nil"/>
              <w:bottom w:val="single" w:sz="4" w:space="0" w:color="auto"/>
              <w:right w:val="single" w:sz="4" w:space="0" w:color="auto"/>
            </w:tcBorders>
            <w:noWrap/>
            <w:vAlign w:val="center"/>
            <w:hideMark/>
          </w:tcPr>
          <w:p w14:paraId="167E693F"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161</w:t>
            </w:r>
          </w:p>
        </w:tc>
        <w:tc>
          <w:tcPr>
            <w:tcW w:w="598" w:type="pct"/>
            <w:tcBorders>
              <w:top w:val="nil"/>
              <w:left w:val="nil"/>
              <w:bottom w:val="single" w:sz="4" w:space="0" w:color="auto"/>
              <w:right w:val="single" w:sz="4" w:space="0" w:color="auto"/>
            </w:tcBorders>
            <w:noWrap/>
            <w:vAlign w:val="center"/>
            <w:hideMark/>
          </w:tcPr>
          <w:p w14:paraId="0A98410D"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23%</w:t>
            </w:r>
          </w:p>
        </w:tc>
        <w:tc>
          <w:tcPr>
            <w:tcW w:w="831" w:type="pct"/>
            <w:tcBorders>
              <w:top w:val="nil"/>
              <w:left w:val="nil"/>
              <w:bottom w:val="single" w:sz="4" w:space="0" w:color="auto"/>
              <w:right w:val="single" w:sz="4" w:space="0" w:color="auto"/>
            </w:tcBorders>
            <w:noWrap/>
            <w:vAlign w:val="center"/>
            <w:hideMark/>
          </w:tcPr>
          <w:p w14:paraId="0E0434D1"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17</w:t>
            </w:r>
          </w:p>
        </w:tc>
        <w:tc>
          <w:tcPr>
            <w:tcW w:w="689" w:type="pct"/>
            <w:tcBorders>
              <w:top w:val="nil"/>
              <w:left w:val="nil"/>
              <w:bottom w:val="single" w:sz="4" w:space="0" w:color="auto"/>
              <w:right w:val="single" w:sz="4" w:space="0" w:color="auto"/>
            </w:tcBorders>
            <w:noWrap/>
            <w:vAlign w:val="center"/>
            <w:hideMark/>
          </w:tcPr>
          <w:p w14:paraId="526AE607"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5%</w:t>
            </w:r>
          </w:p>
        </w:tc>
        <w:tc>
          <w:tcPr>
            <w:tcW w:w="499" w:type="pct"/>
            <w:tcBorders>
              <w:top w:val="nil"/>
              <w:left w:val="nil"/>
              <w:bottom w:val="single" w:sz="4" w:space="0" w:color="auto"/>
              <w:right w:val="single" w:sz="4" w:space="0" w:color="auto"/>
            </w:tcBorders>
            <w:noWrap/>
            <w:vAlign w:val="center"/>
            <w:hideMark/>
          </w:tcPr>
          <w:p w14:paraId="6A078BE8"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179</w:t>
            </w:r>
          </w:p>
        </w:tc>
        <w:tc>
          <w:tcPr>
            <w:tcW w:w="667" w:type="pct"/>
            <w:tcBorders>
              <w:top w:val="nil"/>
              <w:left w:val="nil"/>
              <w:bottom w:val="single" w:sz="4" w:space="0" w:color="auto"/>
              <w:right w:val="single" w:sz="4" w:space="0" w:color="auto"/>
            </w:tcBorders>
            <w:noWrap/>
            <w:vAlign w:val="center"/>
            <w:hideMark/>
          </w:tcPr>
          <w:p w14:paraId="3E8F3CAA"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17%</w:t>
            </w:r>
          </w:p>
        </w:tc>
      </w:tr>
      <w:tr w:rsidR="00E3132B" w:rsidRPr="00232EBB" w14:paraId="2A5638F6"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4B9F712F"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Comunicación</w:t>
            </w:r>
          </w:p>
        </w:tc>
        <w:tc>
          <w:tcPr>
            <w:tcW w:w="614" w:type="pct"/>
            <w:tcBorders>
              <w:top w:val="nil"/>
              <w:left w:val="nil"/>
              <w:bottom w:val="single" w:sz="4" w:space="0" w:color="auto"/>
              <w:right w:val="single" w:sz="4" w:space="0" w:color="auto"/>
            </w:tcBorders>
            <w:noWrap/>
            <w:vAlign w:val="center"/>
            <w:hideMark/>
          </w:tcPr>
          <w:p w14:paraId="3EC5EA92"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136</w:t>
            </w:r>
          </w:p>
        </w:tc>
        <w:tc>
          <w:tcPr>
            <w:tcW w:w="598" w:type="pct"/>
            <w:tcBorders>
              <w:top w:val="nil"/>
              <w:left w:val="nil"/>
              <w:bottom w:val="single" w:sz="4" w:space="0" w:color="auto"/>
              <w:right w:val="single" w:sz="4" w:space="0" w:color="auto"/>
            </w:tcBorders>
            <w:noWrap/>
            <w:vAlign w:val="center"/>
            <w:hideMark/>
          </w:tcPr>
          <w:p w14:paraId="49C4BC5A"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19%</w:t>
            </w:r>
          </w:p>
        </w:tc>
        <w:tc>
          <w:tcPr>
            <w:tcW w:w="831" w:type="pct"/>
            <w:tcBorders>
              <w:top w:val="nil"/>
              <w:left w:val="nil"/>
              <w:bottom w:val="single" w:sz="4" w:space="0" w:color="auto"/>
              <w:right w:val="single" w:sz="4" w:space="0" w:color="auto"/>
            </w:tcBorders>
            <w:noWrap/>
            <w:vAlign w:val="center"/>
            <w:hideMark/>
          </w:tcPr>
          <w:p w14:paraId="1B7AB651"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40</w:t>
            </w:r>
          </w:p>
        </w:tc>
        <w:tc>
          <w:tcPr>
            <w:tcW w:w="689" w:type="pct"/>
            <w:tcBorders>
              <w:top w:val="nil"/>
              <w:left w:val="nil"/>
              <w:bottom w:val="single" w:sz="4" w:space="0" w:color="auto"/>
              <w:right w:val="single" w:sz="4" w:space="0" w:color="auto"/>
            </w:tcBorders>
            <w:noWrap/>
            <w:vAlign w:val="center"/>
            <w:hideMark/>
          </w:tcPr>
          <w:p w14:paraId="4DB1114D"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12%</w:t>
            </w:r>
          </w:p>
        </w:tc>
        <w:tc>
          <w:tcPr>
            <w:tcW w:w="499" w:type="pct"/>
            <w:tcBorders>
              <w:top w:val="nil"/>
              <w:left w:val="nil"/>
              <w:bottom w:val="single" w:sz="4" w:space="0" w:color="auto"/>
              <w:right w:val="single" w:sz="4" w:space="0" w:color="auto"/>
            </w:tcBorders>
            <w:noWrap/>
            <w:vAlign w:val="center"/>
            <w:hideMark/>
          </w:tcPr>
          <w:p w14:paraId="1CF18294"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177</w:t>
            </w:r>
          </w:p>
        </w:tc>
        <w:tc>
          <w:tcPr>
            <w:tcW w:w="667" w:type="pct"/>
            <w:tcBorders>
              <w:top w:val="nil"/>
              <w:left w:val="nil"/>
              <w:bottom w:val="single" w:sz="4" w:space="0" w:color="auto"/>
              <w:right w:val="single" w:sz="4" w:space="0" w:color="auto"/>
            </w:tcBorders>
            <w:noWrap/>
            <w:vAlign w:val="center"/>
            <w:hideMark/>
          </w:tcPr>
          <w:p w14:paraId="782B25CE"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17%</w:t>
            </w:r>
          </w:p>
        </w:tc>
      </w:tr>
      <w:tr w:rsidR="00E3132B" w:rsidRPr="00232EBB" w14:paraId="54E727CC"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48D40936"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lastRenderedPageBreak/>
              <w:t>Mejora de procesos</w:t>
            </w:r>
          </w:p>
        </w:tc>
        <w:tc>
          <w:tcPr>
            <w:tcW w:w="614" w:type="pct"/>
            <w:tcBorders>
              <w:top w:val="nil"/>
              <w:left w:val="nil"/>
              <w:bottom w:val="single" w:sz="4" w:space="0" w:color="auto"/>
              <w:right w:val="single" w:sz="4" w:space="0" w:color="auto"/>
            </w:tcBorders>
            <w:noWrap/>
            <w:vAlign w:val="center"/>
            <w:hideMark/>
          </w:tcPr>
          <w:p w14:paraId="09724047"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116</w:t>
            </w:r>
          </w:p>
        </w:tc>
        <w:tc>
          <w:tcPr>
            <w:tcW w:w="598" w:type="pct"/>
            <w:tcBorders>
              <w:top w:val="nil"/>
              <w:left w:val="nil"/>
              <w:bottom w:val="single" w:sz="4" w:space="0" w:color="auto"/>
              <w:right w:val="single" w:sz="4" w:space="0" w:color="auto"/>
            </w:tcBorders>
            <w:noWrap/>
            <w:vAlign w:val="center"/>
            <w:hideMark/>
          </w:tcPr>
          <w:p w14:paraId="7F18873B"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16%</w:t>
            </w:r>
          </w:p>
        </w:tc>
        <w:tc>
          <w:tcPr>
            <w:tcW w:w="831" w:type="pct"/>
            <w:tcBorders>
              <w:top w:val="nil"/>
              <w:left w:val="nil"/>
              <w:bottom w:val="single" w:sz="4" w:space="0" w:color="auto"/>
              <w:right w:val="single" w:sz="4" w:space="0" w:color="auto"/>
            </w:tcBorders>
            <w:noWrap/>
            <w:vAlign w:val="center"/>
            <w:hideMark/>
          </w:tcPr>
          <w:p w14:paraId="6B08DF69"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143</w:t>
            </w:r>
          </w:p>
        </w:tc>
        <w:tc>
          <w:tcPr>
            <w:tcW w:w="689" w:type="pct"/>
            <w:tcBorders>
              <w:top w:val="nil"/>
              <w:left w:val="nil"/>
              <w:bottom w:val="single" w:sz="4" w:space="0" w:color="auto"/>
              <w:right w:val="single" w:sz="4" w:space="0" w:color="auto"/>
            </w:tcBorders>
            <w:noWrap/>
            <w:vAlign w:val="center"/>
            <w:hideMark/>
          </w:tcPr>
          <w:p w14:paraId="4E6FBE72"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44%</w:t>
            </w:r>
          </w:p>
        </w:tc>
        <w:tc>
          <w:tcPr>
            <w:tcW w:w="499" w:type="pct"/>
            <w:tcBorders>
              <w:top w:val="nil"/>
              <w:left w:val="nil"/>
              <w:bottom w:val="single" w:sz="4" w:space="0" w:color="auto"/>
              <w:right w:val="single" w:sz="4" w:space="0" w:color="auto"/>
            </w:tcBorders>
            <w:noWrap/>
            <w:vAlign w:val="center"/>
            <w:hideMark/>
          </w:tcPr>
          <w:p w14:paraId="2FEA0CA2"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259</w:t>
            </w:r>
          </w:p>
        </w:tc>
        <w:tc>
          <w:tcPr>
            <w:tcW w:w="667" w:type="pct"/>
            <w:tcBorders>
              <w:top w:val="nil"/>
              <w:left w:val="nil"/>
              <w:bottom w:val="single" w:sz="4" w:space="0" w:color="auto"/>
              <w:right w:val="single" w:sz="4" w:space="0" w:color="auto"/>
            </w:tcBorders>
            <w:noWrap/>
            <w:vAlign w:val="center"/>
            <w:hideMark/>
          </w:tcPr>
          <w:p w14:paraId="40F367F0"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25%</w:t>
            </w:r>
          </w:p>
        </w:tc>
      </w:tr>
      <w:tr w:rsidR="00E3132B" w:rsidRPr="00232EBB" w14:paraId="76DE5F9D"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42EE8D22"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Tiempo de respuesta</w:t>
            </w:r>
          </w:p>
        </w:tc>
        <w:tc>
          <w:tcPr>
            <w:tcW w:w="614" w:type="pct"/>
            <w:tcBorders>
              <w:top w:val="nil"/>
              <w:left w:val="nil"/>
              <w:bottom w:val="single" w:sz="4" w:space="0" w:color="auto"/>
              <w:right w:val="single" w:sz="4" w:space="0" w:color="auto"/>
            </w:tcBorders>
            <w:noWrap/>
            <w:vAlign w:val="center"/>
            <w:hideMark/>
          </w:tcPr>
          <w:p w14:paraId="54A92AE4"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65</w:t>
            </w:r>
          </w:p>
        </w:tc>
        <w:tc>
          <w:tcPr>
            <w:tcW w:w="598" w:type="pct"/>
            <w:tcBorders>
              <w:top w:val="nil"/>
              <w:left w:val="nil"/>
              <w:bottom w:val="single" w:sz="4" w:space="0" w:color="auto"/>
              <w:right w:val="single" w:sz="4" w:space="0" w:color="auto"/>
            </w:tcBorders>
            <w:noWrap/>
            <w:vAlign w:val="center"/>
            <w:hideMark/>
          </w:tcPr>
          <w:p w14:paraId="78DF48FD"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9%</w:t>
            </w:r>
          </w:p>
        </w:tc>
        <w:tc>
          <w:tcPr>
            <w:tcW w:w="831" w:type="pct"/>
            <w:tcBorders>
              <w:top w:val="nil"/>
              <w:left w:val="nil"/>
              <w:bottom w:val="single" w:sz="4" w:space="0" w:color="auto"/>
              <w:right w:val="single" w:sz="4" w:space="0" w:color="auto"/>
            </w:tcBorders>
            <w:noWrap/>
            <w:vAlign w:val="center"/>
            <w:hideMark/>
          </w:tcPr>
          <w:p w14:paraId="28FFFBC9"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20</w:t>
            </w:r>
          </w:p>
        </w:tc>
        <w:tc>
          <w:tcPr>
            <w:tcW w:w="689" w:type="pct"/>
            <w:tcBorders>
              <w:top w:val="nil"/>
              <w:left w:val="nil"/>
              <w:bottom w:val="single" w:sz="4" w:space="0" w:color="auto"/>
              <w:right w:val="single" w:sz="4" w:space="0" w:color="auto"/>
            </w:tcBorders>
            <w:noWrap/>
            <w:vAlign w:val="center"/>
            <w:hideMark/>
          </w:tcPr>
          <w:p w14:paraId="7F6B1AD1"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w:t>
            </w:r>
          </w:p>
        </w:tc>
        <w:tc>
          <w:tcPr>
            <w:tcW w:w="499" w:type="pct"/>
            <w:tcBorders>
              <w:top w:val="nil"/>
              <w:left w:val="nil"/>
              <w:bottom w:val="single" w:sz="4" w:space="0" w:color="auto"/>
              <w:right w:val="single" w:sz="4" w:space="0" w:color="auto"/>
            </w:tcBorders>
            <w:noWrap/>
            <w:vAlign w:val="center"/>
            <w:hideMark/>
          </w:tcPr>
          <w:p w14:paraId="4AF0CB19"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85</w:t>
            </w:r>
          </w:p>
        </w:tc>
        <w:tc>
          <w:tcPr>
            <w:tcW w:w="667" w:type="pct"/>
            <w:tcBorders>
              <w:top w:val="nil"/>
              <w:left w:val="nil"/>
              <w:bottom w:val="single" w:sz="4" w:space="0" w:color="auto"/>
              <w:right w:val="single" w:sz="4" w:space="0" w:color="auto"/>
            </w:tcBorders>
            <w:noWrap/>
            <w:vAlign w:val="center"/>
            <w:hideMark/>
          </w:tcPr>
          <w:p w14:paraId="12AC4BA3"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8%</w:t>
            </w:r>
          </w:p>
        </w:tc>
      </w:tr>
      <w:tr w:rsidR="00E3132B" w:rsidRPr="00232EBB" w14:paraId="4372D8C0"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4C06FB1A"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Servicio Ofrecido</w:t>
            </w:r>
          </w:p>
        </w:tc>
        <w:tc>
          <w:tcPr>
            <w:tcW w:w="614" w:type="pct"/>
            <w:tcBorders>
              <w:top w:val="nil"/>
              <w:left w:val="nil"/>
              <w:bottom w:val="single" w:sz="4" w:space="0" w:color="auto"/>
              <w:right w:val="single" w:sz="4" w:space="0" w:color="auto"/>
            </w:tcBorders>
            <w:noWrap/>
            <w:vAlign w:val="center"/>
            <w:hideMark/>
          </w:tcPr>
          <w:p w14:paraId="42DBF208"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46</w:t>
            </w:r>
          </w:p>
        </w:tc>
        <w:tc>
          <w:tcPr>
            <w:tcW w:w="598" w:type="pct"/>
            <w:tcBorders>
              <w:top w:val="nil"/>
              <w:left w:val="nil"/>
              <w:bottom w:val="single" w:sz="4" w:space="0" w:color="auto"/>
              <w:right w:val="single" w:sz="4" w:space="0" w:color="auto"/>
            </w:tcBorders>
            <w:noWrap/>
            <w:vAlign w:val="center"/>
            <w:hideMark/>
          </w:tcPr>
          <w:p w14:paraId="0AE0F1BB"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w:t>
            </w:r>
          </w:p>
        </w:tc>
        <w:tc>
          <w:tcPr>
            <w:tcW w:w="831" w:type="pct"/>
            <w:tcBorders>
              <w:top w:val="nil"/>
              <w:left w:val="nil"/>
              <w:bottom w:val="single" w:sz="4" w:space="0" w:color="auto"/>
              <w:right w:val="single" w:sz="4" w:space="0" w:color="auto"/>
            </w:tcBorders>
            <w:noWrap/>
            <w:vAlign w:val="center"/>
            <w:hideMark/>
          </w:tcPr>
          <w:p w14:paraId="72A637B8"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w:t>
            </w:r>
          </w:p>
        </w:tc>
        <w:tc>
          <w:tcPr>
            <w:tcW w:w="689" w:type="pct"/>
            <w:tcBorders>
              <w:top w:val="nil"/>
              <w:left w:val="nil"/>
              <w:bottom w:val="single" w:sz="4" w:space="0" w:color="auto"/>
              <w:right w:val="single" w:sz="4" w:space="0" w:color="auto"/>
            </w:tcBorders>
            <w:noWrap/>
            <w:vAlign w:val="center"/>
            <w:hideMark/>
          </w:tcPr>
          <w:p w14:paraId="6DB49529"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w:t>
            </w:r>
          </w:p>
        </w:tc>
        <w:tc>
          <w:tcPr>
            <w:tcW w:w="499" w:type="pct"/>
            <w:tcBorders>
              <w:top w:val="nil"/>
              <w:left w:val="nil"/>
              <w:bottom w:val="single" w:sz="4" w:space="0" w:color="auto"/>
              <w:right w:val="single" w:sz="4" w:space="0" w:color="auto"/>
            </w:tcBorders>
            <w:noWrap/>
            <w:vAlign w:val="center"/>
            <w:hideMark/>
          </w:tcPr>
          <w:p w14:paraId="43CB47E5"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50</w:t>
            </w:r>
          </w:p>
        </w:tc>
        <w:tc>
          <w:tcPr>
            <w:tcW w:w="667" w:type="pct"/>
            <w:tcBorders>
              <w:top w:val="nil"/>
              <w:left w:val="nil"/>
              <w:bottom w:val="single" w:sz="4" w:space="0" w:color="auto"/>
              <w:right w:val="single" w:sz="4" w:space="0" w:color="auto"/>
            </w:tcBorders>
            <w:noWrap/>
            <w:vAlign w:val="center"/>
            <w:hideMark/>
          </w:tcPr>
          <w:p w14:paraId="6891FBB9"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5%</w:t>
            </w:r>
          </w:p>
        </w:tc>
      </w:tr>
      <w:tr w:rsidR="00E3132B" w:rsidRPr="00232EBB" w14:paraId="6D10EAB6"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27F210D9"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 xml:space="preserve">Procesos </w:t>
            </w:r>
          </w:p>
        </w:tc>
        <w:tc>
          <w:tcPr>
            <w:tcW w:w="614" w:type="pct"/>
            <w:tcBorders>
              <w:top w:val="nil"/>
              <w:left w:val="nil"/>
              <w:bottom w:val="single" w:sz="4" w:space="0" w:color="auto"/>
              <w:right w:val="single" w:sz="4" w:space="0" w:color="auto"/>
            </w:tcBorders>
            <w:noWrap/>
            <w:vAlign w:val="center"/>
            <w:hideMark/>
          </w:tcPr>
          <w:p w14:paraId="0C7D192C"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45</w:t>
            </w:r>
          </w:p>
        </w:tc>
        <w:tc>
          <w:tcPr>
            <w:tcW w:w="598" w:type="pct"/>
            <w:tcBorders>
              <w:top w:val="nil"/>
              <w:left w:val="nil"/>
              <w:bottom w:val="single" w:sz="4" w:space="0" w:color="auto"/>
              <w:right w:val="single" w:sz="4" w:space="0" w:color="auto"/>
            </w:tcBorders>
            <w:noWrap/>
            <w:vAlign w:val="center"/>
            <w:hideMark/>
          </w:tcPr>
          <w:p w14:paraId="363B5346"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w:t>
            </w:r>
          </w:p>
        </w:tc>
        <w:tc>
          <w:tcPr>
            <w:tcW w:w="831" w:type="pct"/>
            <w:tcBorders>
              <w:top w:val="nil"/>
              <w:left w:val="nil"/>
              <w:bottom w:val="single" w:sz="4" w:space="0" w:color="auto"/>
              <w:right w:val="single" w:sz="4" w:space="0" w:color="auto"/>
            </w:tcBorders>
            <w:noWrap/>
            <w:vAlign w:val="center"/>
            <w:hideMark/>
          </w:tcPr>
          <w:p w14:paraId="1CF6774E"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14</w:t>
            </w:r>
          </w:p>
        </w:tc>
        <w:tc>
          <w:tcPr>
            <w:tcW w:w="689" w:type="pct"/>
            <w:tcBorders>
              <w:top w:val="nil"/>
              <w:left w:val="nil"/>
              <w:bottom w:val="single" w:sz="4" w:space="0" w:color="auto"/>
              <w:right w:val="single" w:sz="4" w:space="0" w:color="auto"/>
            </w:tcBorders>
            <w:noWrap/>
            <w:vAlign w:val="center"/>
            <w:hideMark/>
          </w:tcPr>
          <w:p w14:paraId="364B9AC4"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w:t>
            </w:r>
          </w:p>
        </w:tc>
        <w:tc>
          <w:tcPr>
            <w:tcW w:w="499" w:type="pct"/>
            <w:tcBorders>
              <w:top w:val="nil"/>
              <w:left w:val="nil"/>
              <w:bottom w:val="single" w:sz="4" w:space="0" w:color="auto"/>
              <w:right w:val="single" w:sz="4" w:space="0" w:color="auto"/>
            </w:tcBorders>
            <w:noWrap/>
            <w:vAlign w:val="center"/>
            <w:hideMark/>
          </w:tcPr>
          <w:p w14:paraId="0D7D2A39"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59</w:t>
            </w:r>
          </w:p>
        </w:tc>
        <w:tc>
          <w:tcPr>
            <w:tcW w:w="667" w:type="pct"/>
            <w:tcBorders>
              <w:top w:val="nil"/>
              <w:left w:val="nil"/>
              <w:bottom w:val="single" w:sz="4" w:space="0" w:color="auto"/>
              <w:right w:val="single" w:sz="4" w:space="0" w:color="auto"/>
            </w:tcBorders>
            <w:noWrap/>
            <w:vAlign w:val="center"/>
            <w:hideMark/>
          </w:tcPr>
          <w:p w14:paraId="15C97818"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w:t>
            </w:r>
          </w:p>
        </w:tc>
      </w:tr>
      <w:tr w:rsidR="00E3132B" w:rsidRPr="00232EBB" w14:paraId="48CA2437"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3D093896"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No respuesta a solicitud</w:t>
            </w:r>
          </w:p>
        </w:tc>
        <w:tc>
          <w:tcPr>
            <w:tcW w:w="614" w:type="pct"/>
            <w:tcBorders>
              <w:top w:val="nil"/>
              <w:left w:val="nil"/>
              <w:bottom w:val="single" w:sz="4" w:space="0" w:color="auto"/>
              <w:right w:val="single" w:sz="4" w:space="0" w:color="auto"/>
            </w:tcBorders>
            <w:noWrap/>
            <w:vAlign w:val="center"/>
            <w:hideMark/>
          </w:tcPr>
          <w:p w14:paraId="25CC9EB2"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44</w:t>
            </w:r>
          </w:p>
        </w:tc>
        <w:tc>
          <w:tcPr>
            <w:tcW w:w="598" w:type="pct"/>
            <w:tcBorders>
              <w:top w:val="nil"/>
              <w:left w:val="nil"/>
              <w:bottom w:val="single" w:sz="4" w:space="0" w:color="auto"/>
              <w:right w:val="single" w:sz="4" w:space="0" w:color="auto"/>
            </w:tcBorders>
            <w:noWrap/>
            <w:vAlign w:val="center"/>
            <w:hideMark/>
          </w:tcPr>
          <w:p w14:paraId="35F0E217"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w:t>
            </w:r>
          </w:p>
        </w:tc>
        <w:tc>
          <w:tcPr>
            <w:tcW w:w="831" w:type="pct"/>
            <w:tcBorders>
              <w:top w:val="nil"/>
              <w:left w:val="nil"/>
              <w:bottom w:val="single" w:sz="4" w:space="0" w:color="auto"/>
              <w:right w:val="single" w:sz="4" w:space="0" w:color="auto"/>
            </w:tcBorders>
            <w:noWrap/>
            <w:vAlign w:val="center"/>
            <w:hideMark/>
          </w:tcPr>
          <w:p w14:paraId="751E5482"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0</w:t>
            </w:r>
          </w:p>
        </w:tc>
        <w:tc>
          <w:tcPr>
            <w:tcW w:w="689" w:type="pct"/>
            <w:tcBorders>
              <w:top w:val="nil"/>
              <w:left w:val="nil"/>
              <w:bottom w:val="single" w:sz="4" w:space="0" w:color="auto"/>
              <w:right w:val="single" w:sz="4" w:space="0" w:color="auto"/>
            </w:tcBorders>
            <w:noWrap/>
            <w:vAlign w:val="center"/>
            <w:hideMark/>
          </w:tcPr>
          <w:p w14:paraId="279CFC5C"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0%</w:t>
            </w:r>
          </w:p>
        </w:tc>
        <w:tc>
          <w:tcPr>
            <w:tcW w:w="499" w:type="pct"/>
            <w:tcBorders>
              <w:top w:val="nil"/>
              <w:left w:val="nil"/>
              <w:bottom w:val="single" w:sz="4" w:space="0" w:color="auto"/>
              <w:right w:val="single" w:sz="4" w:space="0" w:color="auto"/>
            </w:tcBorders>
            <w:noWrap/>
            <w:vAlign w:val="center"/>
            <w:hideMark/>
          </w:tcPr>
          <w:p w14:paraId="4C8A1616"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44</w:t>
            </w:r>
          </w:p>
        </w:tc>
        <w:tc>
          <w:tcPr>
            <w:tcW w:w="667" w:type="pct"/>
            <w:tcBorders>
              <w:top w:val="nil"/>
              <w:left w:val="nil"/>
              <w:bottom w:val="single" w:sz="4" w:space="0" w:color="auto"/>
              <w:right w:val="single" w:sz="4" w:space="0" w:color="auto"/>
            </w:tcBorders>
            <w:noWrap/>
            <w:vAlign w:val="center"/>
            <w:hideMark/>
          </w:tcPr>
          <w:p w14:paraId="687E1A77"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w:t>
            </w:r>
          </w:p>
        </w:tc>
      </w:tr>
      <w:tr w:rsidR="00E3132B" w:rsidRPr="00232EBB" w14:paraId="6D907440"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0DDC3BC8"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Mejoras en el SUIR</w:t>
            </w:r>
          </w:p>
        </w:tc>
        <w:tc>
          <w:tcPr>
            <w:tcW w:w="614" w:type="pct"/>
            <w:tcBorders>
              <w:top w:val="nil"/>
              <w:left w:val="nil"/>
              <w:bottom w:val="single" w:sz="4" w:space="0" w:color="auto"/>
              <w:right w:val="single" w:sz="4" w:space="0" w:color="auto"/>
            </w:tcBorders>
            <w:noWrap/>
            <w:vAlign w:val="center"/>
            <w:hideMark/>
          </w:tcPr>
          <w:p w14:paraId="54EE2D6A"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34</w:t>
            </w:r>
          </w:p>
        </w:tc>
        <w:tc>
          <w:tcPr>
            <w:tcW w:w="598" w:type="pct"/>
            <w:tcBorders>
              <w:top w:val="nil"/>
              <w:left w:val="nil"/>
              <w:bottom w:val="single" w:sz="4" w:space="0" w:color="auto"/>
              <w:right w:val="single" w:sz="4" w:space="0" w:color="auto"/>
            </w:tcBorders>
            <w:noWrap/>
            <w:vAlign w:val="center"/>
            <w:hideMark/>
          </w:tcPr>
          <w:p w14:paraId="50511978"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5%</w:t>
            </w:r>
          </w:p>
        </w:tc>
        <w:tc>
          <w:tcPr>
            <w:tcW w:w="831" w:type="pct"/>
            <w:tcBorders>
              <w:top w:val="nil"/>
              <w:left w:val="nil"/>
              <w:bottom w:val="single" w:sz="4" w:space="0" w:color="auto"/>
              <w:right w:val="single" w:sz="4" w:space="0" w:color="auto"/>
            </w:tcBorders>
            <w:noWrap/>
            <w:vAlign w:val="center"/>
            <w:hideMark/>
          </w:tcPr>
          <w:p w14:paraId="524AE1E4"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28</w:t>
            </w:r>
          </w:p>
        </w:tc>
        <w:tc>
          <w:tcPr>
            <w:tcW w:w="689" w:type="pct"/>
            <w:tcBorders>
              <w:top w:val="nil"/>
              <w:left w:val="nil"/>
              <w:bottom w:val="single" w:sz="4" w:space="0" w:color="auto"/>
              <w:right w:val="single" w:sz="4" w:space="0" w:color="auto"/>
            </w:tcBorders>
            <w:noWrap/>
            <w:vAlign w:val="center"/>
            <w:hideMark/>
          </w:tcPr>
          <w:p w14:paraId="1DC8C4BE"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9%</w:t>
            </w:r>
          </w:p>
        </w:tc>
        <w:tc>
          <w:tcPr>
            <w:tcW w:w="499" w:type="pct"/>
            <w:tcBorders>
              <w:top w:val="nil"/>
              <w:left w:val="nil"/>
              <w:bottom w:val="single" w:sz="4" w:space="0" w:color="auto"/>
              <w:right w:val="single" w:sz="4" w:space="0" w:color="auto"/>
            </w:tcBorders>
            <w:noWrap/>
            <w:vAlign w:val="center"/>
            <w:hideMark/>
          </w:tcPr>
          <w:p w14:paraId="3A30697E"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62</w:t>
            </w:r>
          </w:p>
        </w:tc>
        <w:tc>
          <w:tcPr>
            <w:tcW w:w="667" w:type="pct"/>
            <w:tcBorders>
              <w:top w:val="nil"/>
              <w:left w:val="nil"/>
              <w:bottom w:val="single" w:sz="4" w:space="0" w:color="auto"/>
              <w:right w:val="single" w:sz="4" w:space="0" w:color="auto"/>
            </w:tcBorders>
            <w:noWrap/>
            <w:vAlign w:val="center"/>
            <w:hideMark/>
          </w:tcPr>
          <w:p w14:paraId="6E4BD0A6"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w:t>
            </w:r>
          </w:p>
        </w:tc>
      </w:tr>
      <w:tr w:rsidR="00E3132B" w:rsidRPr="00232EBB" w14:paraId="74D758EE"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59C8B681"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Accesibilidad</w:t>
            </w:r>
          </w:p>
        </w:tc>
        <w:tc>
          <w:tcPr>
            <w:tcW w:w="614" w:type="pct"/>
            <w:tcBorders>
              <w:top w:val="nil"/>
              <w:left w:val="nil"/>
              <w:bottom w:val="single" w:sz="4" w:space="0" w:color="auto"/>
              <w:right w:val="single" w:sz="4" w:space="0" w:color="auto"/>
            </w:tcBorders>
            <w:noWrap/>
            <w:vAlign w:val="center"/>
            <w:hideMark/>
          </w:tcPr>
          <w:p w14:paraId="040E6B6D"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31</w:t>
            </w:r>
          </w:p>
        </w:tc>
        <w:tc>
          <w:tcPr>
            <w:tcW w:w="598" w:type="pct"/>
            <w:tcBorders>
              <w:top w:val="nil"/>
              <w:left w:val="nil"/>
              <w:bottom w:val="single" w:sz="4" w:space="0" w:color="auto"/>
              <w:right w:val="single" w:sz="4" w:space="0" w:color="auto"/>
            </w:tcBorders>
            <w:noWrap/>
            <w:vAlign w:val="center"/>
            <w:hideMark/>
          </w:tcPr>
          <w:p w14:paraId="383BF20A"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4%</w:t>
            </w:r>
          </w:p>
        </w:tc>
        <w:tc>
          <w:tcPr>
            <w:tcW w:w="831" w:type="pct"/>
            <w:tcBorders>
              <w:top w:val="nil"/>
              <w:left w:val="nil"/>
              <w:bottom w:val="single" w:sz="4" w:space="0" w:color="auto"/>
              <w:right w:val="single" w:sz="4" w:space="0" w:color="auto"/>
            </w:tcBorders>
            <w:noWrap/>
            <w:vAlign w:val="center"/>
            <w:hideMark/>
          </w:tcPr>
          <w:p w14:paraId="6EC1415F"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34</w:t>
            </w:r>
          </w:p>
        </w:tc>
        <w:tc>
          <w:tcPr>
            <w:tcW w:w="689" w:type="pct"/>
            <w:tcBorders>
              <w:top w:val="nil"/>
              <w:left w:val="nil"/>
              <w:bottom w:val="single" w:sz="4" w:space="0" w:color="auto"/>
              <w:right w:val="single" w:sz="4" w:space="0" w:color="auto"/>
            </w:tcBorders>
            <w:noWrap/>
            <w:vAlign w:val="center"/>
            <w:hideMark/>
          </w:tcPr>
          <w:p w14:paraId="06F5CE41"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10%</w:t>
            </w:r>
          </w:p>
        </w:tc>
        <w:tc>
          <w:tcPr>
            <w:tcW w:w="499" w:type="pct"/>
            <w:tcBorders>
              <w:top w:val="nil"/>
              <w:left w:val="nil"/>
              <w:bottom w:val="single" w:sz="4" w:space="0" w:color="auto"/>
              <w:right w:val="single" w:sz="4" w:space="0" w:color="auto"/>
            </w:tcBorders>
            <w:noWrap/>
            <w:vAlign w:val="center"/>
            <w:hideMark/>
          </w:tcPr>
          <w:p w14:paraId="1EF64717"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64</w:t>
            </w:r>
          </w:p>
        </w:tc>
        <w:tc>
          <w:tcPr>
            <w:tcW w:w="667" w:type="pct"/>
            <w:tcBorders>
              <w:top w:val="nil"/>
              <w:left w:val="nil"/>
              <w:bottom w:val="single" w:sz="4" w:space="0" w:color="auto"/>
              <w:right w:val="single" w:sz="4" w:space="0" w:color="auto"/>
            </w:tcBorders>
            <w:noWrap/>
            <w:vAlign w:val="center"/>
            <w:hideMark/>
          </w:tcPr>
          <w:p w14:paraId="69120F06"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6%</w:t>
            </w:r>
          </w:p>
        </w:tc>
      </w:tr>
      <w:tr w:rsidR="00E3132B" w:rsidRPr="00232EBB" w14:paraId="7BC94844"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047B970E"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Error en el sistema</w:t>
            </w:r>
          </w:p>
        </w:tc>
        <w:tc>
          <w:tcPr>
            <w:tcW w:w="614" w:type="pct"/>
            <w:tcBorders>
              <w:top w:val="nil"/>
              <w:left w:val="nil"/>
              <w:bottom w:val="single" w:sz="4" w:space="0" w:color="auto"/>
              <w:right w:val="single" w:sz="4" w:space="0" w:color="auto"/>
            </w:tcBorders>
            <w:noWrap/>
            <w:vAlign w:val="center"/>
            <w:hideMark/>
          </w:tcPr>
          <w:p w14:paraId="145E997A"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13</w:t>
            </w:r>
          </w:p>
        </w:tc>
        <w:tc>
          <w:tcPr>
            <w:tcW w:w="598" w:type="pct"/>
            <w:tcBorders>
              <w:top w:val="nil"/>
              <w:left w:val="nil"/>
              <w:bottom w:val="single" w:sz="4" w:space="0" w:color="auto"/>
              <w:right w:val="single" w:sz="4" w:space="0" w:color="auto"/>
            </w:tcBorders>
            <w:noWrap/>
            <w:vAlign w:val="center"/>
            <w:hideMark/>
          </w:tcPr>
          <w:p w14:paraId="0C32A94D"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2%</w:t>
            </w:r>
          </w:p>
        </w:tc>
        <w:tc>
          <w:tcPr>
            <w:tcW w:w="831" w:type="pct"/>
            <w:tcBorders>
              <w:top w:val="nil"/>
              <w:left w:val="nil"/>
              <w:bottom w:val="single" w:sz="4" w:space="0" w:color="auto"/>
              <w:right w:val="single" w:sz="4" w:space="0" w:color="auto"/>
            </w:tcBorders>
            <w:noWrap/>
            <w:vAlign w:val="center"/>
            <w:hideMark/>
          </w:tcPr>
          <w:p w14:paraId="0E95A97F"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0</w:t>
            </w:r>
          </w:p>
        </w:tc>
        <w:tc>
          <w:tcPr>
            <w:tcW w:w="689" w:type="pct"/>
            <w:tcBorders>
              <w:top w:val="nil"/>
              <w:left w:val="nil"/>
              <w:bottom w:val="single" w:sz="4" w:space="0" w:color="auto"/>
              <w:right w:val="single" w:sz="4" w:space="0" w:color="auto"/>
            </w:tcBorders>
            <w:noWrap/>
            <w:vAlign w:val="center"/>
            <w:hideMark/>
          </w:tcPr>
          <w:p w14:paraId="1E941B4B"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0%</w:t>
            </w:r>
          </w:p>
        </w:tc>
        <w:tc>
          <w:tcPr>
            <w:tcW w:w="499" w:type="pct"/>
            <w:tcBorders>
              <w:top w:val="nil"/>
              <w:left w:val="nil"/>
              <w:bottom w:val="single" w:sz="4" w:space="0" w:color="auto"/>
              <w:right w:val="single" w:sz="4" w:space="0" w:color="auto"/>
            </w:tcBorders>
            <w:noWrap/>
            <w:vAlign w:val="center"/>
            <w:hideMark/>
          </w:tcPr>
          <w:p w14:paraId="32E7E1E4"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13</w:t>
            </w:r>
          </w:p>
        </w:tc>
        <w:tc>
          <w:tcPr>
            <w:tcW w:w="667" w:type="pct"/>
            <w:tcBorders>
              <w:top w:val="nil"/>
              <w:left w:val="nil"/>
              <w:bottom w:val="single" w:sz="4" w:space="0" w:color="auto"/>
              <w:right w:val="single" w:sz="4" w:space="0" w:color="auto"/>
            </w:tcBorders>
            <w:noWrap/>
            <w:vAlign w:val="center"/>
            <w:hideMark/>
          </w:tcPr>
          <w:p w14:paraId="04D1B2E9"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w:t>
            </w:r>
          </w:p>
        </w:tc>
      </w:tr>
      <w:tr w:rsidR="00E3132B" w:rsidRPr="00232EBB" w14:paraId="6FFAF6E6"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73E65EAC"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Servicios</w:t>
            </w:r>
          </w:p>
        </w:tc>
        <w:tc>
          <w:tcPr>
            <w:tcW w:w="614" w:type="pct"/>
            <w:tcBorders>
              <w:top w:val="nil"/>
              <w:left w:val="nil"/>
              <w:bottom w:val="single" w:sz="4" w:space="0" w:color="auto"/>
              <w:right w:val="single" w:sz="4" w:space="0" w:color="auto"/>
            </w:tcBorders>
            <w:noWrap/>
            <w:vAlign w:val="center"/>
            <w:hideMark/>
          </w:tcPr>
          <w:p w14:paraId="67CAE3FE"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10</w:t>
            </w:r>
          </w:p>
        </w:tc>
        <w:tc>
          <w:tcPr>
            <w:tcW w:w="598" w:type="pct"/>
            <w:tcBorders>
              <w:top w:val="nil"/>
              <w:left w:val="nil"/>
              <w:bottom w:val="single" w:sz="4" w:space="0" w:color="auto"/>
              <w:right w:val="single" w:sz="4" w:space="0" w:color="auto"/>
            </w:tcBorders>
            <w:noWrap/>
            <w:vAlign w:val="center"/>
            <w:hideMark/>
          </w:tcPr>
          <w:p w14:paraId="6D997CAF"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w:t>
            </w:r>
          </w:p>
        </w:tc>
        <w:tc>
          <w:tcPr>
            <w:tcW w:w="831" w:type="pct"/>
            <w:tcBorders>
              <w:top w:val="nil"/>
              <w:left w:val="nil"/>
              <w:bottom w:val="single" w:sz="4" w:space="0" w:color="auto"/>
              <w:right w:val="single" w:sz="4" w:space="0" w:color="auto"/>
            </w:tcBorders>
            <w:noWrap/>
            <w:vAlign w:val="center"/>
            <w:hideMark/>
          </w:tcPr>
          <w:p w14:paraId="3451379E"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15</w:t>
            </w:r>
          </w:p>
        </w:tc>
        <w:tc>
          <w:tcPr>
            <w:tcW w:w="689" w:type="pct"/>
            <w:tcBorders>
              <w:top w:val="nil"/>
              <w:left w:val="nil"/>
              <w:bottom w:val="single" w:sz="4" w:space="0" w:color="auto"/>
              <w:right w:val="single" w:sz="4" w:space="0" w:color="auto"/>
            </w:tcBorders>
            <w:noWrap/>
            <w:vAlign w:val="center"/>
            <w:hideMark/>
          </w:tcPr>
          <w:p w14:paraId="2ACF6D8F"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5%</w:t>
            </w:r>
          </w:p>
        </w:tc>
        <w:tc>
          <w:tcPr>
            <w:tcW w:w="499" w:type="pct"/>
            <w:tcBorders>
              <w:top w:val="nil"/>
              <w:left w:val="nil"/>
              <w:bottom w:val="single" w:sz="4" w:space="0" w:color="auto"/>
              <w:right w:val="single" w:sz="4" w:space="0" w:color="auto"/>
            </w:tcBorders>
            <w:noWrap/>
            <w:vAlign w:val="center"/>
            <w:hideMark/>
          </w:tcPr>
          <w:p w14:paraId="72AAD386"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25</w:t>
            </w:r>
          </w:p>
        </w:tc>
        <w:tc>
          <w:tcPr>
            <w:tcW w:w="667" w:type="pct"/>
            <w:tcBorders>
              <w:top w:val="nil"/>
              <w:left w:val="nil"/>
              <w:bottom w:val="single" w:sz="4" w:space="0" w:color="auto"/>
              <w:right w:val="single" w:sz="4" w:space="0" w:color="auto"/>
            </w:tcBorders>
            <w:noWrap/>
            <w:vAlign w:val="center"/>
            <w:hideMark/>
          </w:tcPr>
          <w:p w14:paraId="1E81ADF3" w14:textId="77777777" w:rsidR="00E3132B" w:rsidRPr="00232EBB" w:rsidRDefault="00E3132B" w:rsidP="0055368C">
            <w:pPr>
              <w:spacing w:after="0" w:line="240" w:lineRule="auto"/>
              <w:jc w:val="center"/>
              <w:rPr>
                <w:rFonts w:eastAsia="Calibri"/>
                <w:noProof/>
                <w:sz w:val="18"/>
                <w:szCs w:val="18"/>
                <w:lang w:val="es-DO"/>
              </w:rPr>
            </w:pPr>
            <w:r w:rsidRPr="00232EBB">
              <w:rPr>
                <w:rFonts w:eastAsia="Calibri"/>
                <w:noProof/>
                <w:sz w:val="18"/>
                <w:szCs w:val="18"/>
                <w:lang w:val="es-DO"/>
              </w:rPr>
              <w:t>2%</w:t>
            </w:r>
          </w:p>
        </w:tc>
      </w:tr>
      <w:tr w:rsidR="00E3132B" w:rsidRPr="00232EBB" w14:paraId="73E5978C"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09DEDB88"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Tardanza en respuesta</w:t>
            </w:r>
          </w:p>
        </w:tc>
        <w:tc>
          <w:tcPr>
            <w:tcW w:w="614" w:type="pct"/>
            <w:tcBorders>
              <w:top w:val="nil"/>
              <w:left w:val="nil"/>
              <w:bottom w:val="single" w:sz="4" w:space="0" w:color="auto"/>
              <w:right w:val="single" w:sz="4" w:space="0" w:color="auto"/>
            </w:tcBorders>
            <w:noWrap/>
            <w:vAlign w:val="center"/>
            <w:hideMark/>
          </w:tcPr>
          <w:p w14:paraId="45989B31"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8</w:t>
            </w:r>
          </w:p>
        </w:tc>
        <w:tc>
          <w:tcPr>
            <w:tcW w:w="598" w:type="pct"/>
            <w:tcBorders>
              <w:top w:val="nil"/>
              <w:left w:val="nil"/>
              <w:bottom w:val="single" w:sz="4" w:space="0" w:color="auto"/>
              <w:right w:val="single" w:sz="4" w:space="0" w:color="auto"/>
            </w:tcBorders>
            <w:noWrap/>
            <w:vAlign w:val="center"/>
            <w:hideMark/>
          </w:tcPr>
          <w:p w14:paraId="0A8675C7"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1%</w:t>
            </w:r>
          </w:p>
        </w:tc>
        <w:tc>
          <w:tcPr>
            <w:tcW w:w="831" w:type="pct"/>
            <w:tcBorders>
              <w:top w:val="nil"/>
              <w:left w:val="nil"/>
              <w:bottom w:val="single" w:sz="4" w:space="0" w:color="auto"/>
              <w:right w:val="single" w:sz="4" w:space="0" w:color="auto"/>
            </w:tcBorders>
            <w:noWrap/>
            <w:vAlign w:val="center"/>
            <w:hideMark/>
          </w:tcPr>
          <w:p w14:paraId="63611800"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2</w:t>
            </w:r>
          </w:p>
        </w:tc>
        <w:tc>
          <w:tcPr>
            <w:tcW w:w="689" w:type="pct"/>
            <w:tcBorders>
              <w:top w:val="nil"/>
              <w:left w:val="nil"/>
              <w:bottom w:val="single" w:sz="4" w:space="0" w:color="auto"/>
              <w:right w:val="single" w:sz="4" w:space="0" w:color="auto"/>
            </w:tcBorders>
            <w:noWrap/>
            <w:vAlign w:val="center"/>
            <w:hideMark/>
          </w:tcPr>
          <w:p w14:paraId="1EE2A77F"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1%</w:t>
            </w:r>
          </w:p>
        </w:tc>
        <w:tc>
          <w:tcPr>
            <w:tcW w:w="499" w:type="pct"/>
            <w:tcBorders>
              <w:top w:val="nil"/>
              <w:left w:val="nil"/>
              <w:bottom w:val="single" w:sz="4" w:space="0" w:color="auto"/>
              <w:right w:val="single" w:sz="4" w:space="0" w:color="auto"/>
            </w:tcBorders>
            <w:noWrap/>
            <w:vAlign w:val="center"/>
            <w:hideMark/>
          </w:tcPr>
          <w:p w14:paraId="78407166"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10</w:t>
            </w:r>
          </w:p>
        </w:tc>
        <w:tc>
          <w:tcPr>
            <w:tcW w:w="667" w:type="pct"/>
            <w:tcBorders>
              <w:top w:val="nil"/>
              <w:left w:val="nil"/>
              <w:bottom w:val="single" w:sz="4" w:space="0" w:color="auto"/>
              <w:right w:val="single" w:sz="4" w:space="0" w:color="auto"/>
            </w:tcBorders>
            <w:noWrap/>
            <w:vAlign w:val="center"/>
            <w:hideMark/>
          </w:tcPr>
          <w:p w14:paraId="5B4B5415"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1%</w:t>
            </w:r>
          </w:p>
        </w:tc>
      </w:tr>
      <w:tr w:rsidR="00E3132B" w:rsidRPr="00232EBB" w14:paraId="2C71C506"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49F3C19B"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No Clasificado</w:t>
            </w:r>
          </w:p>
        </w:tc>
        <w:tc>
          <w:tcPr>
            <w:tcW w:w="614" w:type="pct"/>
            <w:tcBorders>
              <w:top w:val="nil"/>
              <w:left w:val="nil"/>
              <w:bottom w:val="single" w:sz="4" w:space="0" w:color="auto"/>
              <w:right w:val="single" w:sz="4" w:space="0" w:color="auto"/>
            </w:tcBorders>
            <w:noWrap/>
            <w:vAlign w:val="center"/>
            <w:hideMark/>
          </w:tcPr>
          <w:p w14:paraId="275738F1"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2</w:t>
            </w:r>
          </w:p>
        </w:tc>
        <w:tc>
          <w:tcPr>
            <w:tcW w:w="598" w:type="pct"/>
            <w:tcBorders>
              <w:top w:val="nil"/>
              <w:left w:val="nil"/>
              <w:bottom w:val="single" w:sz="4" w:space="0" w:color="auto"/>
              <w:right w:val="single" w:sz="4" w:space="0" w:color="auto"/>
            </w:tcBorders>
            <w:noWrap/>
            <w:vAlign w:val="center"/>
            <w:hideMark/>
          </w:tcPr>
          <w:p w14:paraId="58304307"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0%</w:t>
            </w:r>
          </w:p>
        </w:tc>
        <w:tc>
          <w:tcPr>
            <w:tcW w:w="831" w:type="pct"/>
            <w:tcBorders>
              <w:top w:val="nil"/>
              <w:left w:val="nil"/>
              <w:bottom w:val="single" w:sz="4" w:space="0" w:color="auto"/>
              <w:right w:val="single" w:sz="4" w:space="0" w:color="auto"/>
            </w:tcBorders>
            <w:noWrap/>
            <w:vAlign w:val="center"/>
            <w:hideMark/>
          </w:tcPr>
          <w:p w14:paraId="4E883657"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9</w:t>
            </w:r>
          </w:p>
        </w:tc>
        <w:tc>
          <w:tcPr>
            <w:tcW w:w="689" w:type="pct"/>
            <w:tcBorders>
              <w:top w:val="nil"/>
              <w:left w:val="nil"/>
              <w:bottom w:val="single" w:sz="4" w:space="0" w:color="auto"/>
              <w:right w:val="single" w:sz="4" w:space="0" w:color="auto"/>
            </w:tcBorders>
            <w:noWrap/>
            <w:vAlign w:val="center"/>
            <w:hideMark/>
          </w:tcPr>
          <w:p w14:paraId="5A99766E"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3%</w:t>
            </w:r>
          </w:p>
        </w:tc>
        <w:tc>
          <w:tcPr>
            <w:tcW w:w="499" w:type="pct"/>
            <w:tcBorders>
              <w:top w:val="nil"/>
              <w:left w:val="nil"/>
              <w:bottom w:val="single" w:sz="4" w:space="0" w:color="auto"/>
              <w:right w:val="single" w:sz="4" w:space="0" w:color="auto"/>
            </w:tcBorders>
            <w:noWrap/>
            <w:vAlign w:val="center"/>
            <w:hideMark/>
          </w:tcPr>
          <w:p w14:paraId="4C613719"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11</w:t>
            </w:r>
          </w:p>
        </w:tc>
        <w:tc>
          <w:tcPr>
            <w:tcW w:w="667" w:type="pct"/>
            <w:tcBorders>
              <w:top w:val="nil"/>
              <w:left w:val="nil"/>
              <w:bottom w:val="single" w:sz="4" w:space="0" w:color="auto"/>
              <w:right w:val="single" w:sz="4" w:space="0" w:color="auto"/>
            </w:tcBorders>
            <w:noWrap/>
            <w:vAlign w:val="center"/>
            <w:hideMark/>
          </w:tcPr>
          <w:p w14:paraId="488B8B74"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1%</w:t>
            </w:r>
          </w:p>
        </w:tc>
      </w:tr>
      <w:tr w:rsidR="00E3132B" w:rsidRPr="00232EBB" w14:paraId="7E386D30" w14:textId="77777777" w:rsidTr="00E3132B">
        <w:trPr>
          <w:trHeight w:val="265"/>
          <w:jc w:val="center"/>
        </w:trPr>
        <w:tc>
          <w:tcPr>
            <w:tcW w:w="1102" w:type="pct"/>
            <w:tcBorders>
              <w:top w:val="nil"/>
              <w:left w:val="single" w:sz="4" w:space="0" w:color="auto"/>
              <w:bottom w:val="single" w:sz="4" w:space="0" w:color="auto"/>
              <w:right w:val="single" w:sz="4" w:space="0" w:color="auto"/>
            </w:tcBorders>
            <w:noWrap/>
            <w:vAlign w:val="bottom"/>
            <w:hideMark/>
          </w:tcPr>
          <w:p w14:paraId="23A02F87" w14:textId="77777777" w:rsidR="00E3132B" w:rsidRPr="00232EBB" w:rsidRDefault="00E3132B" w:rsidP="0055368C">
            <w:pPr>
              <w:spacing w:after="0" w:line="240" w:lineRule="auto"/>
              <w:rPr>
                <w:rFonts w:eastAsia="Calibri"/>
                <w:noProof/>
                <w:sz w:val="18"/>
                <w:szCs w:val="18"/>
                <w:lang w:val="es-DO"/>
              </w:rPr>
            </w:pPr>
            <w:r w:rsidRPr="00232EBB">
              <w:rPr>
                <w:rFonts w:eastAsia="Calibri"/>
                <w:noProof/>
                <w:sz w:val="18"/>
                <w:szCs w:val="18"/>
                <w:lang w:val="es-DO"/>
              </w:rPr>
              <w:t>Reclutamiento</w:t>
            </w:r>
          </w:p>
        </w:tc>
        <w:tc>
          <w:tcPr>
            <w:tcW w:w="614" w:type="pct"/>
            <w:tcBorders>
              <w:top w:val="nil"/>
              <w:left w:val="nil"/>
              <w:bottom w:val="single" w:sz="4" w:space="0" w:color="auto"/>
              <w:right w:val="single" w:sz="4" w:space="0" w:color="auto"/>
            </w:tcBorders>
            <w:noWrap/>
            <w:vAlign w:val="center"/>
            <w:hideMark/>
          </w:tcPr>
          <w:p w14:paraId="534C184C" w14:textId="77777777" w:rsidR="00E3132B" w:rsidRPr="00232EBB" w:rsidRDefault="00E3132B" w:rsidP="0055368C">
            <w:pPr>
              <w:spacing w:after="0" w:line="240" w:lineRule="auto"/>
              <w:jc w:val="center"/>
              <w:rPr>
                <w:rFonts w:eastAsia="Calibri"/>
                <w:noProof/>
                <w:lang w:val="es-DO"/>
              </w:rPr>
            </w:pPr>
          </w:p>
        </w:tc>
        <w:tc>
          <w:tcPr>
            <w:tcW w:w="598" w:type="pct"/>
            <w:tcBorders>
              <w:top w:val="nil"/>
              <w:left w:val="nil"/>
              <w:bottom w:val="single" w:sz="4" w:space="0" w:color="auto"/>
              <w:right w:val="single" w:sz="4" w:space="0" w:color="auto"/>
            </w:tcBorders>
            <w:noWrap/>
            <w:vAlign w:val="center"/>
            <w:hideMark/>
          </w:tcPr>
          <w:p w14:paraId="294CF5AD"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0%</w:t>
            </w:r>
          </w:p>
        </w:tc>
        <w:tc>
          <w:tcPr>
            <w:tcW w:w="831" w:type="pct"/>
            <w:tcBorders>
              <w:top w:val="nil"/>
              <w:left w:val="nil"/>
              <w:bottom w:val="single" w:sz="4" w:space="0" w:color="auto"/>
              <w:right w:val="single" w:sz="4" w:space="0" w:color="auto"/>
            </w:tcBorders>
            <w:noWrap/>
            <w:vAlign w:val="center"/>
            <w:hideMark/>
          </w:tcPr>
          <w:p w14:paraId="0879AE11"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1</w:t>
            </w:r>
          </w:p>
        </w:tc>
        <w:tc>
          <w:tcPr>
            <w:tcW w:w="689" w:type="pct"/>
            <w:tcBorders>
              <w:top w:val="nil"/>
              <w:left w:val="nil"/>
              <w:bottom w:val="single" w:sz="4" w:space="0" w:color="auto"/>
              <w:right w:val="single" w:sz="4" w:space="0" w:color="auto"/>
            </w:tcBorders>
            <w:noWrap/>
            <w:vAlign w:val="center"/>
            <w:hideMark/>
          </w:tcPr>
          <w:p w14:paraId="3F1768D7"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0%</w:t>
            </w:r>
          </w:p>
        </w:tc>
        <w:tc>
          <w:tcPr>
            <w:tcW w:w="499" w:type="pct"/>
            <w:tcBorders>
              <w:top w:val="nil"/>
              <w:left w:val="nil"/>
              <w:bottom w:val="single" w:sz="4" w:space="0" w:color="auto"/>
              <w:right w:val="single" w:sz="4" w:space="0" w:color="auto"/>
            </w:tcBorders>
            <w:noWrap/>
            <w:vAlign w:val="center"/>
            <w:hideMark/>
          </w:tcPr>
          <w:p w14:paraId="001DCF75"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1</w:t>
            </w:r>
          </w:p>
        </w:tc>
        <w:tc>
          <w:tcPr>
            <w:tcW w:w="667" w:type="pct"/>
            <w:tcBorders>
              <w:top w:val="nil"/>
              <w:left w:val="nil"/>
              <w:bottom w:val="single" w:sz="4" w:space="0" w:color="auto"/>
              <w:right w:val="single" w:sz="4" w:space="0" w:color="auto"/>
            </w:tcBorders>
            <w:noWrap/>
            <w:vAlign w:val="center"/>
            <w:hideMark/>
          </w:tcPr>
          <w:p w14:paraId="12AC7CB2" w14:textId="77777777" w:rsidR="00E3132B" w:rsidRPr="00232EBB" w:rsidRDefault="00E3132B" w:rsidP="0055368C">
            <w:pPr>
              <w:spacing w:after="0" w:line="240" w:lineRule="auto"/>
              <w:jc w:val="center"/>
              <w:rPr>
                <w:rFonts w:eastAsia="Calibri"/>
                <w:noProof/>
                <w:lang w:val="es-DO"/>
              </w:rPr>
            </w:pPr>
            <w:r w:rsidRPr="00232EBB">
              <w:rPr>
                <w:rFonts w:eastAsia="Calibri"/>
                <w:noProof/>
                <w:lang w:val="es-DO"/>
              </w:rPr>
              <w:t>0%</w:t>
            </w:r>
          </w:p>
        </w:tc>
      </w:tr>
      <w:tr w:rsidR="00E3132B" w:rsidRPr="00232EBB" w14:paraId="2A81BEA3" w14:textId="77777777" w:rsidTr="004E5D6E">
        <w:trPr>
          <w:trHeight w:val="386"/>
          <w:jc w:val="center"/>
        </w:trPr>
        <w:tc>
          <w:tcPr>
            <w:tcW w:w="1102" w:type="pct"/>
            <w:tcBorders>
              <w:top w:val="nil"/>
              <w:left w:val="single" w:sz="4" w:space="0" w:color="auto"/>
              <w:bottom w:val="single" w:sz="4" w:space="0" w:color="auto"/>
              <w:right w:val="single" w:sz="4" w:space="0" w:color="auto"/>
            </w:tcBorders>
            <w:shd w:val="clear" w:color="DDEBF7" w:fill="D0CECE"/>
            <w:noWrap/>
            <w:vAlign w:val="center"/>
            <w:hideMark/>
          </w:tcPr>
          <w:p w14:paraId="55C1BF4E" w14:textId="77777777" w:rsidR="00E3132B" w:rsidRPr="00232EBB" w:rsidRDefault="00E3132B" w:rsidP="0055368C">
            <w:pPr>
              <w:spacing w:after="0" w:line="240" w:lineRule="auto"/>
              <w:rPr>
                <w:rFonts w:eastAsia="Times New Roman"/>
                <w:b/>
                <w:color w:val="7F7F7F" w:themeColor="text1" w:themeTint="80"/>
                <w:spacing w:val="0"/>
                <w:sz w:val="20"/>
                <w:szCs w:val="20"/>
              </w:rPr>
            </w:pPr>
            <w:r w:rsidRPr="00232EBB">
              <w:rPr>
                <w:rFonts w:eastAsia="Times New Roman"/>
                <w:b/>
                <w:color w:val="7F7F7F" w:themeColor="text1" w:themeTint="80"/>
                <w:spacing w:val="0"/>
                <w:sz w:val="20"/>
                <w:szCs w:val="20"/>
              </w:rPr>
              <w:t>Total</w:t>
            </w:r>
          </w:p>
        </w:tc>
        <w:tc>
          <w:tcPr>
            <w:tcW w:w="614" w:type="pct"/>
            <w:tcBorders>
              <w:top w:val="nil"/>
              <w:left w:val="nil"/>
              <w:bottom w:val="single" w:sz="4" w:space="0" w:color="auto"/>
              <w:right w:val="single" w:sz="4" w:space="0" w:color="auto"/>
            </w:tcBorders>
            <w:shd w:val="clear" w:color="DDEBF7" w:fill="D0CECE"/>
            <w:noWrap/>
            <w:vAlign w:val="center"/>
            <w:hideMark/>
          </w:tcPr>
          <w:p w14:paraId="04D502E8" w14:textId="77777777" w:rsidR="00E3132B" w:rsidRPr="00232EBB" w:rsidRDefault="00E3132B" w:rsidP="0055368C">
            <w:pPr>
              <w:spacing w:after="0" w:line="240" w:lineRule="auto"/>
              <w:jc w:val="center"/>
              <w:rPr>
                <w:rFonts w:eastAsia="Times New Roman"/>
                <w:b/>
                <w:color w:val="7F7F7F" w:themeColor="text1" w:themeTint="80"/>
                <w:spacing w:val="0"/>
                <w:sz w:val="20"/>
                <w:szCs w:val="20"/>
              </w:rPr>
            </w:pPr>
            <w:r w:rsidRPr="00232EBB">
              <w:rPr>
                <w:rFonts w:eastAsia="Times New Roman"/>
                <w:b/>
                <w:color w:val="7F7F7F" w:themeColor="text1" w:themeTint="80"/>
                <w:spacing w:val="0"/>
                <w:sz w:val="20"/>
                <w:szCs w:val="20"/>
              </w:rPr>
              <w:t>711</w:t>
            </w:r>
          </w:p>
        </w:tc>
        <w:tc>
          <w:tcPr>
            <w:tcW w:w="598" w:type="pct"/>
            <w:tcBorders>
              <w:top w:val="nil"/>
              <w:left w:val="nil"/>
              <w:bottom w:val="single" w:sz="4" w:space="0" w:color="auto"/>
              <w:right w:val="single" w:sz="4" w:space="0" w:color="auto"/>
            </w:tcBorders>
            <w:shd w:val="clear" w:color="DDEBF7" w:fill="D0CECE"/>
            <w:noWrap/>
            <w:vAlign w:val="center"/>
            <w:hideMark/>
          </w:tcPr>
          <w:p w14:paraId="7ADD4383" w14:textId="77777777" w:rsidR="00E3132B" w:rsidRPr="00232EBB" w:rsidRDefault="00E3132B" w:rsidP="0055368C">
            <w:pPr>
              <w:spacing w:after="0" w:line="240" w:lineRule="auto"/>
              <w:jc w:val="center"/>
              <w:rPr>
                <w:rFonts w:eastAsia="Times New Roman"/>
                <w:b/>
                <w:color w:val="7F7F7F" w:themeColor="text1" w:themeTint="80"/>
                <w:spacing w:val="0"/>
                <w:sz w:val="20"/>
                <w:szCs w:val="20"/>
              </w:rPr>
            </w:pPr>
            <w:r w:rsidRPr="00232EBB">
              <w:rPr>
                <w:rFonts w:eastAsia="Times New Roman"/>
                <w:b/>
                <w:color w:val="7F7F7F" w:themeColor="text1" w:themeTint="80"/>
                <w:spacing w:val="0"/>
                <w:sz w:val="20"/>
                <w:szCs w:val="20"/>
              </w:rPr>
              <w:t>100%</w:t>
            </w:r>
          </w:p>
        </w:tc>
        <w:tc>
          <w:tcPr>
            <w:tcW w:w="831" w:type="pct"/>
            <w:tcBorders>
              <w:top w:val="nil"/>
              <w:left w:val="nil"/>
              <w:bottom w:val="single" w:sz="4" w:space="0" w:color="auto"/>
              <w:right w:val="single" w:sz="4" w:space="0" w:color="auto"/>
            </w:tcBorders>
            <w:shd w:val="clear" w:color="DDEBF7" w:fill="D0CECE"/>
            <w:noWrap/>
            <w:vAlign w:val="center"/>
            <w:hideMark/>
          </w:tcPr>
          <w:p w14:paraId="1573F280" w14:textId="77777777" w:rsidR="00E3132B" w:rsidRPr="00232EBB" w:rsidRDefault="00E3132B" w:rsidP="0055368C">
            <w:pPr>
              <w:spacing w:after="0" w:line="240" w:lineRule="auto"/>
              <w:jc w:val="center"/>
              <w:rPr>
                <w:rFonts w:eastAsia="Times New Roman"/>
                <w:b/>
                <w:color w:val="7F7F7F" w:themeColor="text1" w:themeTint="80"/>
                <w:spacing w:val="0"/>
                <w:sz w:val="20"/>
                <w:szCs w:val="20"/>
              </w:rPr>
            </w:pPr>
            <w:r w:rsidRPr="00232EBB">
              <w:rPr>
                <w:rFonts w:eastAsia="Times New Roman"/>
                <w:b/>
                <w:color w:val="7F7F7F" w:themeColor="text1" w:themeTint="80"/>
                <w:spacing w:val="0"/>
                <w:sz w:val="20"/>
                <w:szCs w:val="20"/>
              </w:rPr>
              <w:t>328</w:t>
            </w:r>
          </w:p>
        </w:tc>
        <w:tc>
          <w:tcPr>
            <w:tcW w:w="689" w:type="pct"/>
            <w:tcBorders>
              <w:top w:val="nil"/>
              <w:left w:val="nil"/>
              <w:bottom w:val="single" w:sz="4" w:space="0" w:color="auto"/>
              <w:right w:val="single" w:sz="4" w:space="0" w:color="auto"/>
            </w:tcBorders>
            <w:shd w:val="clear" w:color="DDEBF7" w:fill="D0CECE"/>
            <w:noWrap/>
            <w:vAlign w:val="center"/>
            <w:hideMark/>
          </w:tcPr>
          <w:p w14:paraId="1C2AE05C" w14:textId="77777777" w:rsidR="00E3132B" w:rsidRPr="00232EBB" w:rsidRDefault="00E3132B" w:rsidP="0055368C">
            <w:pPr>
              <w:spacing w:after="0" w:line="240" w:lineRule="auto"/>
              <w:jc w:val="center"/>
              <w:rPr>
                <w:rFonts w:eastAsia="Times New Roman"/>
                <w:b/>
                <w:color w:val="7F7F7F" w:themeColor="text1" w:themeTint="80"/>
                <w:spacing w:val="0"/>
                <w:sz w:val="20"/>
                <w:szCs w:val="20"/>
              </w:rPr>
            </w:pPr>
            <w:r w:rsidRPr="00232EBB">
              <w:rPr>
                <w:rFonts w:eastAsia="Times New Roman"/>
                <w:b/>
                <w:color w:val="7F7F7F" w:themeColor="text1" w:themeTint="80"/>
                <w:spacing w:val="0"/>
                <w:sz w:val="20"/>
                <w:szCs w:val="20"/>
              </w:rPr>
              <w:t>100%</w:t>
            </w:r>
          </w:p>
        </w:tc>
        <w:tc>
          <w:tcPr>
            <w:tcW w:w="499" w:type="pct"/>
            <w:tcBorders>
              <w:top w:val="nil"/>
              <w:left w:val="nil"/>
              <w:bottom w:val="single" w:sz="4" w:space="0" w:color="auto"/>
              <w:right w:val="single" w:sz="4" w:space="0" w:color="auto"/>
            </w:tcBorders>
            <w:shd w:val="clear" w:color="DDEBF7" w:fill="D0CECE"/>
            <w:noWrap/>
            <w:vAlign w:val="center"/>
            <w:hideMark/>
          </w:tcPr>
          <w:p w14:paraId="33EDE451" w14:textId="77777777" w:rsidR="00E3132B" w:rsidRPr="00232EBB" w:rsidRDefault="00E3132B" w:rsidP="0055368C">
            <w:pPr>
              <w:spacing w:after="0" w:line="240" w:lineRule="auto"/>
              <w:jc w:val="center"/>
              <w:rPr>
                <w:rFonts w:eastAsia="Times New Roman"/>
                <w:b/>
                <w:color w:val="7F7F7F" w:themeColor="text1" w:themeTint="80"/>
                <w:spacing w:val="0"/>
                <w:sz w:val="20"/>
                <w:szCs w:val="20"/>
              </w:rPr>
            </w:pPr>
            <w:r w:rsidRPr="00232EBB">
              <w:rPr>
                <w:rFonts w:eastAsia="Times New Roman"/>
                <w:b/>
                <w:color w:val="7F7F7F" w:themeColor="text1" w:themeTint="80"/>
                <w:spacing w:val="0"/>
                <w:sz w:val="20"/>
                <w:szCs w:val="20"/>
              </w:rPr>
              <w:t>1039</w:t>
            </w:r>
          </w:p>
        </w:tc>
        <w:tc>
          <w:tcPr>
            <w:tcW w:w="667" w:type="pct"/>
            <w:tcBorders>
              <w:top w:val="nil"/>
              <w:left w:val="nil"/>
              <w:bottom w:val="single" w:sz="4" w:space="0" w:color="auto"/>
              <w:right w:val="single" w:sz="4" w:space="0" w:color="auto"/>
            </w:tcBorders>
            <w:shd w:val="clear" w:color="DDEBF7" w:fill="D0CECE"/>
            <w:noWrap/>
            <w:vAlign w:val="center"/>
            <w:hideMark/>
          </w:tcPr>
          <w:p w14:paraId="485CC86C" w14:textId="77777777" w:rsidR="00E3132B" w:rsidRPr="00232EBB" w:rsidRDefault="00E3132B" w:rsidP="0055368C">
            <w:pPr>
              <w:spacing w:after="0" w:line="240" w:lineRule="auto"/>
              <w:jc w:val="center"/>
              <w:rPr>
                <w:rFonts w:eastAsia="Times New Roman"/>
                <w:b/>
                <w:color w:val="7F7F7F" w:themeColor="text1" w:themeTint="80"/>
                <w:spacing w:val="0"/>
                <w:sz w:val="20"/>
                <w:szCs w:val="20"/>
              </w:rPr>
            </w:pPr>
            <w:r w:rsidRPr="00232EBB">
              <w:rPr>
                <w:rFonts w:eastAsia="Times New Roman"/>
                <w:b/>
                <w:color w:val="7F7F7F" w:themeColor="text1" w:themeTint="80"/>
                <w:spacing w:val="0"/>
                <w:sz w:val="20"/>
                <w:szCs w:val="20"/>
              </w:rPr>
              <w:t>100%</w:t>
            </w:r>
          </w:p>
        </w:tc>
      </w:tr>
    </w:tbl>
    <w:p w14:paraId="6A75888B" w14:textId="77777777" w:rsidR="00097B97" w:rsidRPr="00232EBB" w:rsidRDefault="00097B97" w:rsidP="00097B97">
      <w:pPr>
        <w:spacing w:after="0" w:line="360" w:lineRule="auto"/>
        <w:rPr>
          <w:b/>
          <w:bCs/>
          <w:sz w:val="18"/>
          <w:szCs w:val="18"/>
          <w:lang w:val="es-DO"/>
        </w:rPr>
      </w:pPr>
    </w:p>
    <w:p w14:paraId="5FF4DB03" w14:textId="25F55328" w:rsidR="00097B97" w:rsidRPr="00232EBB" w:rsidRDefault="00E314FC" w:rsidP="00097B97">
      <w:pPr>
        <w:spacing w:after="0" w:line="360" w:lineRule="auto"/>
        <w:rPr>
          <w:sz w:val="18"/>
          <w:szCs w:val="18"/>
          <w:lang w:val="es-DO"/>
        </w:rPr>
      </w:pPr>
      <w:r w:rsidRPr="00232EBB">
        <w:rPr>
          <w:b/>
          <w:bCs/>
          <w:sz w:val="18"/>
          <w:szCs w:val="18"/>
          <w:lang w:val="es-DO"/>
        </w:rPr>
        <w:t>Tabla</w:t>
      </w:r>
      <w:r w:rsidR="00DC4778" w:rsidRPr="00232EBB">
        <w:rPr>
          <w:b/>
          <w:bCs/>
          <w:sz w:val="18"/>
          <w:szCs w:val="18"/>
          <w:lang w:val="es-DO"/>
        </w:rPr>
        <w:t xml:space="preserve"> 2</w:t>
      </w:r>
      <w:r w:rsidR="00E14CB6" w:rsidRPr="00232EBB">
        <w:rPr>
          <w:b/>
          <w:bCs/>
          <w:sz w:val="18"/>
          <w:szCs w:val="18"/>
          <w:lang w:val="es-DO"/>
        </w:rPr>
        <w:t>2</w:t>
      </w:r>
      <w:r w:rsidR="00097B97" w:rsidRPr="00232EBB">
        <w:rPr>
          <w:b/>
          <w:bCs/>
          <w:sz w:val="18"/>
          <w:szCs w:val="18"/>
          <w:lang w:val="es-DO"/>
        </w:rPr>
        <w:t>:</w:t>
      </w:r>
      <w:r w:rsidRPr="00232EBB">
        <w:rPr>
          <w:b/>
          <w:bCs/>
          <w:sz w:val="18"/>
          <w:szCs w:val="18"/>
          <w:lang w:val="es-DO"/>
        </w:rPr>
        <w:t xml:space="preserve"> </w:t>
      </w:r>
      <w:r w:rsidRPr="00232EBB">
        <w:rPr>
          <w:sz w:val="18"/>
          <w:szCs w:val="18"/>
          <w:lang w:val="es-DO"/>
        </w:rPr>
        <w:t>Calificación</w:t>
      </w:r>
      <w:r w:rsidR="00097B97" w:rsidRPr="00232EBB">
        <w:rPr>
          <w:b/>
          <w:bCs/>
          <w:sz w:val="18"/>
          <w:szCs w:val="18"/>
          <w:lang w:val="es-DO"/>
        </w:rPr>
        <w:t xml:space="preserve"> </w:t>
      </w:r>
      <w:r w:rsidR="00097B97" w:rsidRPr="00232EBB">
        <w:rPr>
          <w:sz w:val="18"/>
          <w:szCs w:val="18"/>
          <w:lang w:val="es-DO"/>
        </w:rPr>
        <w:t>Quejas y Sugerencias Enero- diciembre 2025</w:t>
      </w:r>
    </w:p>
    <w:p w14:paraId="4E7B402A" w14:textId="77777777" w:rsidR="00E3132B" w:rsidRPr="00232EBB" w:rsidRDefault="00E3132B" w:rsidP="00E3132B">
      <w:pPr>
        <w:jc w:val="both"/>
        <w:rPr>
          <w:szCs w:val="36"/>
          <w:lang w:val="es-DO"/>
        </w:rPr>
      </w:pPr>
    </w:p>
    <w:p w14:paraId="69597A00" w14:textId="77777777" w:rsidR="00E3132B" w:rsidRPr="00232EBB" w:rsidRDefault="00E3132B" w:rsidP="00E3132B">
      <w:pPr>
        <w:spacing w:line="360" w:lineRule="auto"/>
        <w:jc w:val="both"/>
        <w:rPr>
          <w:lang w:val="es-DO"/>
        </w:rPr>
      </w:pPr>
      <w:r w:rsidRPr="00232EBB">
        <w:rPr>
          <w:rFonts w:eastAsia="Calibri"/>
          <w:noProof/>
          <w:lang w:val="es-DO"/>
        </w:rPr>
        <w:t>Las quejas más recurrentes son, tiempo en espera con 23%, comunicación con un 19%, mejora de procesos con un 16%, tiempo de respuesta de 9% y servicio ofrecido un 6%.  En estas categorías se representa el 74% del total de las quejas recibidas. En cuanto a las sugerencias, la más recurrentes es la mejora de procesos con un 44%, comunicación con un 12%, accesibilidad con un 10%, mejoras en el SUIR con un 9% en esta categoría constituye el 75% del total de las sugerencias recibidas.</w:t>
      </w:r>
    </w:p>
    <w:p w14:paraId="50761254" w14:textId="77777777" w:rsidR="00E3132B" w:rsidRPr="00232EBB" w:rsidRDefault="00E3132B" w:rsidP="00E3132B">
      <w:pPr>
        <w:spacing w:line="360" w:lineRule="auto"/>
        <w:jc w:val="both"/>
        <w:rPr>
          <w:rFonts w:eastAsia="Calibri"/>
          <w:b/>
          <w:bCs/>
          <w:noProof/>
          <w:lang w:val="es-DO"/>
        </w:rPr>
      </w:pPr>
      <w:r w:rsidRPr="00232EBB">
        <w:rPr>
          <w:rFonts w:eastAsia="Calibri"/>
          <w:b/>
          <w:bCs/>
          <w:noProof/>
          <w:lang w:val="es-DO"/>
        </w:rPr>
        <w:t>Celebración de la Semana de la Calidad Institucional</w:t>
      </w:r>
    </w:p>
    <w:p w14:paraId="5CAA0033" w14:textId="77777777" w:rsidR="00E3132B" w:rsidRPr="00232EBB" w:rsidRDefault="00E3132B" w:rsidP="00410297">
      <w:pPr>
        <w:spacing w:line="360" w:lineRule="auto"/>
        <w:jc w:val="both"/>
        <w:rPr>
          <w:rFonts w:eastAsia="Calibri"/>
          <w:noProof/>
          <w:lang w:val="es-DO"/>
        </w:rPr>
      </w:pPr>
      <w:r w:rsidRPr="00232EBB">
        <w:rPr>
          <w:rFonts w:eastAsia="Calibri"/>
          <w:noProof/>
          <w:lang w:val="es-DO"/>
        </w:rPr>
        <w:t xml:space="preserve">Durante la Semana de la Calidad, destacamos el papel fundamental de nuestros colaboradores en la construcción de una cultura orientada a la calidad y excelencia. Como parte de esta celebración, remitimos Mailing informativos recordando la importancia a todos los colaboradores sobre la gestión documental y su importancia en el ámbito de la calidad. Esta iniciativa está alineada con los enfoque </w:t>
      </w:r>
      <w:r w:rsidRPr="00232EBB">
        <w:rPr>
          <w:rFonts w:eastAsia="Calibri"/>
          <w:noProof/>
          <w:lang w:val="es-DO"/>
        </w:rPr>
        <w:lastRenderedPageBreak/>
        <w:t>definido en nuestro Plan Estratégico Institucional 2025-2028, reafirmando nuestro compromiso de avanzar juntos hacia la excelencia y de consolidar la calidad como un pilar esencial en todas nuestras acciones.</w:t>
      </w:r>
    </w:p>
    <w:p w14:paraId="0F57A733" w14:textId="103A8E77" w:rsidR="00E3132B" w:rsidRPr="00232EBB" w:rsidRDefault="00E3132B" w:rsidP="00410297">
      <w:pPr>
        <w:spacing w:line="360" w:lineRule="auto"/>
        <w:jc w:val="both"/>
        <w:rPr>
          <w:rFonts w:eastAsia="Calibri"/>
          <w:b/>
          <w:bCs/>
          <w:noProof/>
          <w:lang w:val="es-DO"/>
        </w:rPr>
      </w:pPr>
      <w:r w:rsidRPr="00232EBB">
        <w:rPr>
          <w:rFonts w:eastAsia="Calibri"/>
          <w:b/>
          <w:bCs/>
          <w:noProof/>
          <w:lang w:val="es-DO"/>
        </w:rPr>
        <w:t>Sistema de Gestión Integrado</w:t>
      </w:r>
    </w:p>
    <w:p w14:paraId="30B5FA3D" w14:textId="77777777" w:rsidR="00E3132B" w:rsidRPr="00232EBB" w:rsidRDefault="00E3132B" w:rsidP="00E3132B">
      <w:pPr>
        <w:spacing w:line="360" w:lineRule="auto"/>
        <w:jc w:val="both"/>
        <w:rPr>
          <w:lang w:val="es-ES"/>
        </w:rPr>
      </w:pPr>
      <w:r w:rsidRPr="00232EBB">
        <w:rPr>
          <w:lang w:val="es-ES"/>
        </w:rPr>
        <w:t>Durante el año 2025 actualizamos nuestra Política del Sistema de Gestión Integrado, incorporando la prohibición explícita del soborno y promoviendo una cultura de cumplimiento normativo, en alineación con la implementación de las normas ISO 37001 (Sistema de Gestión Antisoborno) e ISO 37301 (Sistema de Gestión de Cumplimiento).</w:t>
      </w:r>
    </w:p>
    <w:p w14:paraId="504DBE2A" w14:textId="77777777" w:rsidR="00E3132B" w:rsidRPr="00232EBB" w:rsidRDefault="00E3132B" w:rsidP="00E3132B">
      <w:pPr>
        <w:spacing w:line="360" w:lineRule="auto"/>
        <w:jc w:val="both"/>
        <w:rPr>
          <w:lang w:val="es-ES"/>
        </w:rPr>
      </w:pPr>
      <w:r w:rsidRPr="00232EBB">
        <w:rPr>
          <w:noProof/>
        </w:rPr>
        <w:drawing>
          <wp:inline distT="0" distB="0" distL="0" distR="0" wp14:anchorId="68A2951B" wp14:editId="4A0608F2">
            <wp:extent cx="4495479" cy="4094328"/>
            <wp:effectExtent l="0" t="0" r="635" b="1905"/>
            <wp:docPr id="1187058258"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58258" name="Imagen 1" descr="Interfaz de usuario gráfica, Texto, Aplicación&#10;&#10;El contenido generado por IA puede ser incorrecto."/>
                    <pic:cNvPicPr/>
                  </pic:nvPicPr>
                  <pic:blipFill>
                    <a:blip r:embed="rId54"/>
                    <a:stretch>
                      <a:fillRect/>
                    </a:stretch>
                  </pic:blipFill>
                  <pic:spPr>
                    <a:xfrm>
                      <a:off x="0" y="0"/>
                      <a:ext cx="4506787" cy="4104627"/>
                    </a:xfrm>
                    <a:prstGeom prst="rect">
                      <a:avLst/>
                    </a:prstGeom>
                  </pic:spPr>
                </pic:pic>
              </a:graphicData>
            </a:graphic>
          </wp:inline>
        </w:drawing>
      </w:r>
    </w:p>
    <w:p w14:paraId="14DA7D58" w14:textId="55A75201" w:rsidR="00E14CB6" w:rsidRPr="00232EBB" w:rsidRDefault="00E14CB6" w:rsidP="00E3132B">
      <w:pPr>
        <w:spacing w:line="360" w:lineRule="auto"/>
        <w:jc w:val="both"/>
        <w:rPr>
          <w:sz w:val="18"/>
          <w:szCs w:val="18"/>
          <w:lang w:val="es-ES"/>
        </w:rPr>
      </w:pPr>
      <w:r w:rsidRPr="00232EBB">
        <w:rPr>
          <w:b/>
          <w:bCs/>
          <w:sz w:val="18"/>
          <w:szCs w:val="18"/>
          <w:lang w:val="es-ES"/>
        </w:rPr>
        <w:t>Imagen 4</w:t>
      </w:r>
      <w:r w:rsidRPr="00232EBB">
        <w:rPr>
          <w:sz w:val="18"/>
          <w:szCs w:val="18"/>
          <w:lang w:val="es-ES"/>
        </w:rPr>
        <w:t>: Política SGI</w:t>
      </w:r>
    </w:p>
    <w:p w14:paraId="51854073" w14:textId="77777777" w:rsidR="00E3132B" w:rsidRPr="00232EBB" w:rsidRDefault="00E3132B" w:rsidP="00E3132B">
      <w:pPr>
        <w:tabs>
          <w:tab w:val="left" w:pos="6450"/>
        </w:tabs>
        <w:spacing w:line="360" w:lineRule="auto"/>
        <w:jc w:val="both"/>
        <w:rPr>
          <w:rFonts w:eastAsiaTheme="majorEastAsia"/>
          <w:b/>
          <w:color w:val="767171" w:themeColor="background2" w:themeShade="80"/>
          <w:spacing w:val="0"/>
          <w:sz w:val="28"/>
          <w:szCs w:val="32"/>
          <w:lang w:val="es-DO"/>
        </w:rPr>
      </w:pPr>
      <w:r w:rsidRPr="00232EBB">
        <w:rPr>
          <w:lang w:val="es-ES"/>
        </w:rPr>
        <w:t>Hemos cumplido los objetivos propuestos para el Sistema de Gestión Integrado 2025.</w:t>
      </w:r>
      <w:r w:rsidRPr="00232EBB">
        <w:rPr>
          <w:rFonts w:eastAsiaTheme="majorEastAsia"/>
          <w:b/>
          <w:color w:val="767171" w:themeColor="background2" w:themeShade="80"/>
          <w:spacing w:val="0"/>
          <w:sz w:val="28"/>
          <w:szCs w:val="32"/>
          <w:lang w:val="es-DO"/>
        </w:rPr>
        <w:tab/>
      </w:r>
    </w:p>
    <w:tbl>
      <w:tblPr>
        <w:tblW w:w="8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810"/>
        <w:gridCol w:w="953"/>
        <w:gridCol w:w="953"/>
        <w:gridCol w:w="974"/>
        <w:gridCol w:w="810"/>
      </w:tblGrid>
      <w:tr w:rsidR="00E3132B" w:rsidRPr="00232EBB" w14:paraId="1D9F6F06" w14:textId="77777777" w:rsidTr="00747056">
        <w:trPr>
          <w:trHeight w:val="19"/>
          <w:tblHeader/>
          <w:jc w:val="center"/>
        </w:trPr>
        <w:tc>
          <w:tcPr>
            <w:tcW w:w="3685" w:type="dxa"/>
            <w:shd w:val="clear" w:color="auto" w:fill="1F3864" w:themeFill="accent1" w:themeFillShade="80"/>
            <w:noWrap/>
            <w:vAlign w:val="center"/>
            <w:hideMark/>
          </w:tcPr>
          <w:p w14:paraId="00066AE6" w14:textId="77777777" w:rsidR="00E3132B" w:rsidRPr="00232EBB" w:rsidRDefault="00E3132B" w:rsidP="0055368C">
            <w:pPr>
              <w:spacing w:line="240" w:lineRule="auto"/>
              <w:jc w:val="both"/>
              <w:rPr>
                <w:b/>
                <w:bCs/>
                <w:color w:val="FFFFFF" w:themeColor="background1"/>
                <w:sz w:val="20"/>
                <w:szCs w:val="20"/>
                <w:lang w:val="es-ES"/>
              </w:rPr>
            </w:pPr>
            <w:r w:rsidRPr="00232EBB">
              <w:rPr>
                <w:b/>
                <w:bCs/>
                <w:color w:val="FFFFFF" w:themeColor="background1"/>
                <w:sz w:val="20"/>
                <w:szCs w:val="20"/>
                <w:lang w:val="es-ES"/>
              </w:rPr>
              <w:lastRenderedPageBreak/>
              <w:t>Objetivos Sistema de Gestión Integrado</w:t>
            </w:r>
          </w:p>
        </w:tc>
        <w:tc>
          <w:tcPr>
            <w:tcW w:w="810" w:type="dxa"/>
            <w:shd w:val="clear" w:color="auto" w:fill="1F3864" w:themeFill="accent1" w:themeFillShade="80"/>
            <w:noWrap/>
            <w:vAlign w:val="center"/>
            <w:hideMark/>
          </w:tcPr>
          <w:p w14:paraId="113FBB58" w14:textId="77777777" w:rsidR="00E3132B" w:rsidRPr="00232EBB" w:rsidRDefault="00E3132B" w:rsidP="0055368C">
            <w:pPr>
              <w:spacing w:line="240" w:lineRule="auto"/>
              <w:jc w:val="both"/>
              <w:rPr>
                <w:b/>
                <w:bCs/>
                <w:color w:val="FFFFFF" w:themeColor="background1"/>
                <w:sz w:val="20"/>
                <w:szCs w:val="20"/>
                <w:lang w:val="es-ES"/>
              </w:rPr>
            </w:pPr>
            <w:r w:rsidRPr="00232EBB">
              <w:rPr>
                <w:b/>
                <w:bCs/>
                <w:color w:val="FFFFFF" w:themeColor="background1"/>
                <w:sz w:val="20"/>
                <w:szCs w:val="20"/>
                <w:lang w:val="es-ES"/>
              </w:rPr>
              <w:t>Meta</w:t>
            </w:r>
          </w:p>
        </w:tc>
        <w:tc>
          <w:tcPr>
            <w:tcW w:w="953" w:type="dxa"/>
            <w:shd w:val="clear" w:color="auto" w:fill="1F3864" w:themeFill="accent1" w:themeFillShade="80"/>
            <w:noWrap/>
            <w:vAlign w:val="center"/>
          </w:tcPr>
          <w:p w14:paraId="5502E4E1" w14:textId="77777777" w:rsidR="00E3132B" w:rsidRPr="00232EBB" w:rsidRDefault="00E3132B" w:rsidP="0055368C">
            <w:pPr>
              <w:spacing w:line="240" w:lineRule="auto"/>
              <w:jc w:val="center"/>
              <w:rPr>
                <w:b/>
                <w:bCs/>
                <w:color w:val="FFFFFF" w:themeColor="background1"/>
                <w:sz w:val="20"/>
                <w:szCs w:val="20"/>
                <w:lang w:val="es-ES"/>
              </w:rPr>
            </w:pPr>
            <w:r w:rsidRPr="00232EBB">
              <w:rPr>
                <w:b/>
                <w:bCs/>
                <w:color w:val="FFFFFF" w:themeColor="background1"/>
                <w:sz w:val="20"/>
                <w:szCs w:val="20"/>
                <w:lang w:val="es-ES"/>
              </w:rPr>
              <w:t>T1</w:t>
            </w:r>
          </w:p>
        </w:tc>
        <w:tc>
          <w:tcPr>
            <w:tcW w:w="953" w:type="dxa"/>
            <w:shd w:val="clear" w:color="auto" w:fill="1F3864" w:themeFill="accent1" w:themeFillShade="80"/>
            <w:vAlign w:val="center"/>
          </w:tcPr>
          <w:p w14:paraId="6B135EED" w14:textId="77777777" w:rsidR="00E3132B" w:rsidRPr="00232EBB" w:rsidRDefault="00E3132B" w:rsidP="0055368C">
            <w:pPr>
              <w:spacing w:line="240" w:lineRule="auto"/>
              <w:jc w:val="center"/>
              <w:rPr>
                <w:b/>
                <w:bCs/>
                <w:color w:val="FFFFFF" w:themeColor="background1"/>
                <w:sz w:val="20"/>
                <w:szCs w:val="20"/>
                <w:lang w:val="es-ES"/>
              </w:rPr>
            </w:pPr>
            <w:r w:rsidRPr="00232EBB">
              <w:rPr>
                <w:b/>
                <w:bCs/>
                <w:color w:val="FFFFFF" w:themeColor="background1"/>
                <w:sz w:val="20"/>
                <w:szCs w:val="20"/>
                <w:lang w:val="es-ES"/>
              </w:rPr>
              <w:t>T2</w:t>
            </w:r>
          </w:p>
        </w:tc>
        <w:tc>
          <w:tcPr>
            <w:tcW w:w="974" w:type="dxa"/>
            <w:shd w:val="clear" w:color="auto" w:fill="1F3864" w:themeFill="accent1" w:themeFillShade="80"/>
            <w:vAlign w:val="center"/>
          </w:tcPr>
          <w:p w14:paraId="612D93E5" w14:textId="77777777" w:rsidR="00E3132B" w:rsidRPr="00232EBB" w:rsidRDefault="00E3132B" w:rsidP="0055368C">
            <w:pPr>
              <w:spacing w:line="240" w:lineRule="auto"/>
              <w:jc w:val="center"/>
              <w:rPr>
                <w:b/>
                <w:bCs/>
                <w:color w:val="FFFFFF" w:themeColor="background1"/>
                <w:sz w:val="20"/>
                <w:szCs w:val="20"/>
                <w:lang w:val="es-ES"/>
              </w:rPr>
            </w:pPr>
            <w:r w:rsidRPr="00232EBB">
              <w:rPr>
                <w:b/>
                <w:bCs/>
                <w:color w:val="FFFFFF" w:themeColor="background1"/>
                <w:sz w:val="20"/>
                <w:szCs w:val="20"/>
                <w:lang w:val="es-ES"/>
              </w:rPr>
              <w:t>T3</w:t>
            </w:r>
          </w:p>
        </w:tc>
        <w:tc>
          <w:tcPr>
            <w:tcW w:w="810" w:type="dxa"/>
            <w:shd w:val="clear" w:color="auto" w:fill="1F3864" w:themeFill="accent1" w:themeFillShade="80"/>
            <w:vAlign w:val="center"/>
          </w:tcPr>
          <w:p w14:paraId="2C8FA450" w14:textId="77777777" w:rsidR="00E3132B" w:rsidRPr="00232EBB" w:rsidRDefault="00E3132B" w:rsidP="0055368C">
            <w:pPr>
              <w:spacing w:line="240" w:lineRule="auto"/>
              <w:jc w:val="center"/>
              <w:rPr>
                <w:b/>
                <w:bCs/>
                <w:color w:val="FFFFFF" w:themeColor="background1"/>
                <w:sz w:val="20"/>
                <w:szCs w:val="20"/>
                <w:lang w:val="es-ES"/>
              </w:rPr>
            </w:pPr>
            <w:r w:rsidRPr="00232EBB">
              <w:rPr>
                <w:b/>
                <w:bCs/>
                <w:color w:val="FFFFFF" w:themeColor="background1"/>
                <w:sz w:val="20"/>
                <w:szCs w:val="20"/>
                <w:lang w:val="es-ES"/>
              </w:rPr>
              <w:t>T4</w:t>
            </w:r>
          </w:p>
        </w:tc>
      </w:tr>
      <w:tr w:rsidR="00E3132B" w:rsidRPr="00232EBB" w14:paraId="0CDF6221" w14:textId="77777777" w:rsidTr="008B5B92">
        <w:trPr>
          <w:trHeight w:val="19"/>
          <w:jc w:val="center"/>
        </w:trPr>
        <w:tc>
          <w:tcPr>
            <w:tcW w:w="3685" w:type="dxa"/>
            <w:noWrap/>
            <w:vAlign w:val="center"/>
            <w:hideMark/>
          </w:tcPr>
          <w:p w14:paraId="08730A7B" w14:textId="77777777" w:rsidR="00E3132B" w:rsidRPr="00232EBB" w:rsidRDefault="00E3132B" w:rsidP="0055368C">
            <w:pPr>
              <w:spacing w:line="240" w:lineRule="auto"/>
              <w:jc w:val="both"/>
              <w:rPr>
                <w:sz w:val="20"/>
                <w:szCs w:val="20"/>
                <w:lang w:val="es-ES"/>
              </w:rPr>
            </w:pPr>
            <w:r w:rsidRPr="00232EBB">
              <w:rPr>
                <w:sz w:val="20"/>
                <w:szCs w:val="20"/>
                <w:lang w:val="es-ES"/>
              </w:rPr>
              <w:t>Obtener al menos un 93% en las encuestas de Satisfacción de los Servicios Brindados</w:t>
            </w:r>
          </w:p>
        </w:tc>
        <w:tc>
          <w:tcPr>
            <w:tcW w:w="810" w:type="dxa"/>
            <w:noWrap/>
            <w:vAlign w:val="center"/>
            <w:hideMark/>
          </w:tcPr>
          <w:p w14:paraId="4065C73B" w14:textId="77777777" w:rsidR="00E3132B" w:rsidRPr="00232EBB" w:rsidRDefault="00E3132B" w:rsidP="0055368C">
            <w:pPr>
              <w:spacing w:line="240" w:lineRule="auto"/>
              <w:jc w:val="both"/>
              <w:rPr>
                <w:sz w:val="20"/>
                <w:szCs w:val="20"/>
                <w:lang w:val="es-ES"/>
              </w:rPr>
            </w:pPr>
            <w:r w:rsidRPr="00232EBB">
              <w:rPr>
                <w:sz w:val="20"/>
                <w:szCs w:val="20"/>
                <w:lang w:val="es-ES"/>
              </w:rPr>
              <w:t>93%</w:t>
            </w:r>
          </w:p>
        </w:tc>
        <w:tc>
          <w:tcPr>
            <w:tcW w:w="953" w:type="dxa"/>
            <w:noWrap/>
            <w:vAlign w:val="center"/>
            <w:hideMark/>
          </w:tcPr>
          <w:p w14:paraId="1B990544" w14:textId="77777777" w:rsidR="00E3132B" w:rsidRPr="00232EBB" w:rsidRDefault="00E3132B" w:rsidP="0055368C">
            <w:pPr>
              <w:spacing w:line="240" w:lineRule="auto"/>
              <w:jc w:val="both"/>
              <w:rPr>
                <w:sz w:val="20"/>
                <w:szCs w:val="20"/>
                <w:lang w:val="es-ES"/>
              </w:rPr>
            </w:pPr>
            <w:r w:rsidRPr="00232EBB">
              <w:rPr>
                <w:sz w:val="20"/>
                <w:szCs w:val="20"/>
                <w:lang w:val="es-ES"/>
              </w:rPr>
              <w:t>94%</w:t>
            </w:r>
          </w:p>
        </w:tc>
        <w:tc>
          <w:tcPr>
            <w:tcW w:w="953" w:type="dxa"/>
            <w:vAlign w:val="center"/>
          </w:tcPr>
          <w:p w14:paraId="586BCB95" w14:textId="77777777" w:rsidR="00E3132B" w:rsidRPr="00232EBB" w:rsidRDefault="00E3132B" w:rsidP="0055368C">
            <w:pPr>
              <w:spacing w:line="240" w:lineRule="auto"/>
              <w:jc w:val="center"/>
              <w:rPr>
                <w:sz w:val="20"/>
                <w:szCs w:val="20"/>
                <w:lang w:val="es-ES"/>
              </w:rPr>
            </w:pPr>
            <w:r w:rsidRPr="00232EBB">
              <w:rPr>
                <w:sz w:val="20"/>
                <w:szCs w:val="20"/>
                <w:lang w:val="es-ES"/>
              </w:rPr>
              <w:t>94%</w:t>
            </w:r>
          </w:p>
        </w:tc>
        <w:tc>
          <w:tcPr>
            <w:tcW w:w="974" w:type="dxa"/>
            <w:vAlign w:val="center"/>
          </w:tcPr>
          <w:p w14:paraId="3A6DF0B7" w14:textId="77777777" w:rsidR="00E3132B" w:rsidRPr="00232EBB" w:rsidRDefault="00E3132B" w:rsidP="0055368C">
            <w:pPr>
              <w:spacing w:line="240" w:lineRule="auto"/>
              <w:jc w:val="center"/>
              <w:rPr>
                <w:sz w:val="20"/>
                <w:szCs w:val="20"/>
                <w:lang w:val="es-ES"/>
              </w:rPr>
            </w:pPr>
            <w:r w:rsidRPr="00232EBB">
              <w:rPr>
                <w:sz w:val="20"/>
                <w:szCs w:val="20"/>
                <w:lang w:val="es-ES"/>
              </w:rPr>
              <w:t>93%</w:t>
            </w:r>
          </w:p>
        </w:tc>
        <w:tc>
          <w:tcPr>
            <w:tcW w:w="810" w:type="dxa"/>
            <w:vAlign w:val="center"/>
          </w:tcPr>
          <w:p w14:paraId="26B8714D" w14:textId="77777777" w:rsidR="00E3132B" w:rsidRPr="00232EBB" w:rsidRDefault="00E3132B" w:rsidP="0055368C">
            <w:pPr>
              <w:spacing w:line="240" w:lineRule="auto"/>
              <w:jc w:val="center"/>
              <w:rPr>
                <w:sz w:val="20"/>
                <w:szCs w:val="20"/>
                <w:lang w:val="es-ES"/>
              </w:rPr>
            </w:pPr>
            <w:r w:rsidRPr="00232EBB">
              <w:rPr>
                <w:sz w:val="20"/>
                <w:szCs w:val="20"/>
                <w:lang w:val="es-ES"/>
              </w:rPr>
              <w:t>94%</w:t>
            </w:r>
          </w:p>
        </w:tc>
      </w:tr>
      <w:tr w:rsidR="00E3132B" w:rsidRPr="00232EBB" w14:paraId="5C6B55CB" w14:textId="77777777" w:rsidTr="008B5B92">
        <w:trPr>
          <w:trHeight w:val="19"/>
          <w:jc w:val="center"/>
        </w:trPr>
        <w:tc>
          <w:tcPr>
            <w:tcW w:w="3685" w:type="dxa"/>
            <w:noWrap/>
            <w:vAlign w:val="center"/>
          </w:tcPr>
          <w:p w14:paraId="70C44694" w14:textId="77777777" w:rsidR="00E3132B" w:rsidRPr="00232EBB" w:rsidRDefault="00E3132B" w:rsidP="0055368C">
            <w:pPr>
              <w:spacing w:line="240" w:lineRule="auto"/>
              <w:jc w:val="both"/>
              <w:rPr>
                <w:sz w:val="20"/>
                <w:szCs w:val="20"/>
                <w:lang w:val="es-ES"/>
              </w:rPr>
            </w:pPr>
            <w:r w:rsidRPr="00232EBB">
              <w:rPr>
                <w:sz w:val="20"/>
                <w:szCs w:val="20"/>
                <w:lang w:val="es-ES"/>
              </w:rPr>
              <w:t>Cumplir en al menos un 88% con los atributos de satisfacción de los colaboradores de la TSS</w:t>
            </w:r>
          </w:p>
        </w:tc>
        <w:tc>
          <w:tcPr>
            <w:tcW w:w="810" w:type="dxa"/>
            <w:noWrap/>
            <w:vAlign w:val="center"/>
          </w:tcPr>
          <w:p w14:paraId="34D49D9E" w14:textId="77777777" w:rsidR="00E3132B" w:rsidRPr="00232EBB" w:rsidRDefault="00E3132B" w:rsidP="0055368C">
            <w:pPr>
              <w:spacing w:line="240" w:lineRule="auto"/>
              <w:jc w:val="both"/>
              <w:rPr>
                <w:sz w:val="20"/>
                <w:szCs w:val="20"/>
                <w:lang w:val="es-ES"/>
              </w:rPr>
            </w:pPr>
            <w:r w:rsidRPr="00232EBB">
              <w:rPr>
                <w:sz w:val="20"/>
                <w:szCs w:val="20"/>
                <w:lang w:val="es-ES"/>
              </w:rPr>
              <w:t>88%</w:t>
            </w:r>
          </w:p>
        </w:tc>
        <w:tc>
          <w:tcPr>
            <w:tcW w:w="2880" w:type="dxa"/>
            <w:gridSpan w:val="3"/>
            <w:noWrap/>
            <w:vAlign w:val="center"/>
          </w:tcPr>
          <w:p w14:paraId="5BAF87FE" w14:textId="77777777" w:rsidR="00E3132B" w:rsidRPr="00232EBB" w:rsidRDefault="00E3132B" w:rsidP="0055368C">
            <w:pPr>
              <w:spacing w:line="240" w:lineRule="auto"/>
              <w:jc w:val="center"/>
              <w:rPr>
                <w:sz w:val="20"/>
                <w:szCs w:val="20"/>
                <w:lang w:val="es-ES"/>
              </w:rPr>
            </w:pPr>
            <w:r w:rsidRPr="00232EBB">
              <w:rPr>
                <w:sz w:val="20"/>
                <w:szCs w:val="20"/>
                <w:lang w:val="es-ES"/>
              </w:rPr>
              <w:t>Programado T4</w:t>
            </w:r>
          </w:p>
        </w:tc>
        <w:tc>
          <w:tcPr>
            <w:tcW w:w="810" w:type="dxa"/>
            <w:vAlign w:val="center"/>
          </w:tcPr>
          <w:p w14:paraId="7801140E" w14:textId="77777777" w:rsidR="00E3132B" w:rsidRPr="00232EBB" w:rsidRDefault="00E3132B" w:rsidP="0055368C">
            <w:pPr>
              <w:spacing w:line="240" w:lineRule="auto"/>
              <w:jc w:val="center"/>
              <w:rPr>
                <w:sz w:val="20"/>
                <w:szCs w:val="20"/>
                <w:lang w:val="es-ES"/>
              </w:rPr>
            </w:pPr>
            <w:r w:rsidRPr="00232EBB">
              <w:rPr>
                <w:sz w:val="20"/>
                <w:szCs w:val="20"/>
                <w:lang w:val="es-ES"/>
              </w:rPr>
              <w:t>90%</w:t>
            </w:r>
          </w:p>
        </w:tc>
      </w:tr>
      <w:tr w:rsidR="00E3132B" w:rsidRPr="00232EBB" w14:paraId="3880BE31" w14:textId="77777777" w:rsidTr="008B5B92">
        <w:trPr>
          <w:trHeight w:val="19"/>
          <w:jc w:val="center"/>
        </w:trPr>
        <w:tc>
          <w:tcPr>
            <w:tcW w:w="3685" w:type="dxa"/>
            <w:noWrap/>
            <w:vAlign w:val="center"/>
          </w:tcPr>
          <w:p w14:paraId="1CC73E91" w14:textId="77777777" w:rsidR="00E3132B" w:rsidRPr="00232EBB" w:rsidRDefault="00E3132B" w:rsidP="0055368C">
            <w:pPr>
              <w:spacing w:line="240" w:lineRule="auto"/>
              <w:jc w:val="both"/>
              <w:rPr>
                <w:sz w:val="20"/>
                <w:szCs w:val="20"/>
                <w:lang w:val="es-ES"/>
              </w:rPr>
            </w:pPr>
            <w:r w:rsidRPr="00232EBB">
              <w:rPr>
                <w:sz w:val="20"/>
                <w:szCs w:val="20"/>
                <w:lang w:val="es-ES"/>
              </w:rPr>
              <w:t>Alcanzar al menos un 90% en las Metas Transparencia Gubernamental</w:t>
            </w:r>
          </w:p>
        </w:tc>
        <w:tc>
          <w:tcPr>
            <w:tcW w:w="810" w:type="dxa"/>
            <w:noWrap/>
            <w:vAlign w:val="center"/>
          </w:tcPr>
          <w:p w14:paraId="22B7F0C8" w14:textId="77777777" w:rsidR="00E3132B" w:rsidRPr="00232EBB" w:rsidRDefault="00E3132B" w:rsidP="0055368C">
            <w:pPr>
              <w:spacing w:line="240" w:lineRule="auto"/>
              <w:jc w:val="both"/>
              <w:rPr>
                <w:sz w:val="20"/>
                <w:szCs w:val="20"/>
                <w:lang w:val="es-ES"/>
              </w:rPr>
            </w:pPr>
            <w:r w:rsidRPr="00232EBB">
              <w:rPr>
                <w:sz w:val="20"/>
                <w:szCs w:val="20"/>
                <w:lang w:val="es-ES"/>
              </w:rPr>
              <w:t>90%</w:t>
            </w:r>
          </w:p>
        </w:tc>
        <w:tc>
          <w:tcPr>
            <w:tcW w:w="953" w:type="dxa"/>
            <w:noWrap/>
            <w:vAlign w:val="center"/>
          </w:tcPr>
          <w:p w14:paraId="059CF3AA" w14:textId="77777777" w:rsidR="00E3132B" w:rsidRPr="00232EBB" w:rsidRDefault="00E3132B" w:rsidP="0055368C">
            <w:pPr>
              <w:spacing w:line="240" w:lineRule="auto"/>
              <w:jc w:val="both"/>
              <w:rPr>
                <w:sz w:val="20"/>
                <w:szCs w:val="20"/>
                <w:lang w:val="es-ES"/>
              </w:rPr>
            </w:pPr>
            <w:r w:rsidRPr="00232EBB">
              <w:rPr>
                <w:sz w:val="20"/>
                <w:szCs w:val="20"/>
                <w:lang w:val="es-ES"/>
              </w:rPr>
              <w:t>93.7%</w:t>
            </w:r>
          </w:p>
        </w:tc>
        <w:tc>
          <w:tcPr>
            <w:tcW w:w="953" w:type="dxa"/>
            <w:vAlign w:val="center"/>
          </w:tcPr>
          <w:p w14:paraId="713C6D6A" w14:textId="77777777" w:rsidR="00E3132B" w:rsidRPr="00232EBB" w:rsidRDefault="00E3132B" w:rsidP="0055368C">
            <w:pPr>
              <w:spacing w:line="240" w:lineRule="auto"/>
              <w:jc w:val="both"/>
              <w:rPr>
                <w:sz w:val="20"/>
                <w:szCs w:val="20"/>
                <w:lang w:val="es-ES"/>
              </w:rPr>
            </w:pPr>
            <w:r w:rsidRPr="00232EBB">
              <w:rPr>
                <w:sz w:val="20"/>
                <w:szCs w:val="20"/>
                <w:lang w:val="es-ES"/>
              </w:rPr>
              <w:t>92.85%</w:t>
            </w:r>
          </w:p>
        </w:tc>
        <w:tc>
          <w:tcPr>
            <w:tcW w:w="974" w:type="dxa"/>
            <w:vAlign w:val="center"/>
          </w:tcPr>
          <w:p w14:paraId="363E5F3D" w14:textId="77777777" w:rsidR="00E3132B" w:rsidRPr="00232EBB" w:rsidRDefault="00E3132B" w:rsidP="0055368C">
            <w:pPr>
              <w:spacing w:line="240" w:lineRule="auto"/>
              <w:jc w:val="both"/>
              <w:rPr>
                <w:sz w:val="20"/>
                <w:szCs w:val="20"/>
                <w:lang w:val="es-ES"/>
              </w:rPr>
            </w:pPr>
            <w:r w:rsidRPr="00232EBB">
              <w:rPr>
                <w:sz w:val="20"/>
                <w:szCs w:val="20"/>
                <w:lang w:val="es-ES"/>
              </w:rPr>
              <w:t>92.85%</w:t>
            </w:r>
          </w:p>
        </w:tc>
        <w:tc>
          <w:tcPr>
            <w:tcW w:w="810" w:type="dxa"/>
            <w:vAlign w:val="center"/>
          </w:tcPr>
          <w:p w14:paraId="11D87803" w14:textId="77777777" w:rsidR="00E3132B" w:rsidRPr="00232EBB" w:rsidRDefault="00E3132B" w:rsidP="0055368C">
            <w:pPr>
              <w:spacing w:line="240" w:lineRule="auto"/>
              <w:jc w:val="center"/>
              <w:rPr>
                <w:sz w:val="20"/>
                <w:szCs w:val="20"/>
                <w:lang w:val="es-ES"/>
              </w:rPr>
            </w:pPr>
            <w:r w:rsidRPr="00232EBB">
              <w:rPr>
                <w:sz w:val="20"/>
                <w:szCs w:val="20"/>
                <w:lang w:val="es-ES"/>
              </w:rPr>
              <w:t>93%</w:t>
            </w:r>
          </w:p>
        </w:tc>
      </w:tr>
      <w:tr w:rsidR="00E3132B" w:rsidRPr="00232EBB" w14:paraId="41802DAF" w14:textId="77777777" w:rsidTr="00747056">
        <w:trPr>
          <w:trHeight w:val="19"/>
          <w:jc w:val="center"/>
        </w:trPr>
        <w:tc>
          <w:tcPr>
            <w:tcW w:w="3685" w:type="dxa"/>
            <w:noWrap/>
            <w:vAlign w:val="center"/>
          </w:tcPr>
          <w:p w14:paraId="3E0D32FF" w14:textId="77777777" w:rsidR="00E3132B" w:rsidRPr="00232EBB" w:rsidRDefault="00E3132B" w:rsidP="0055368C">
            <w:pPr>
              <w:spacing w:line="240" w:lineRule="auto"/>
              <w:jc w:val="both"/>
              <w:rPr>
                <w:sz w:val="20"/>
                <w:szCs w:val="20"/>
                <w:lang w:val="es-ES"/>
              </w:rPr>
            </w:pPr>
            <w:r w:rsidRPr="00232EBB">
              <w:rPr>
                <w:sz w:val="20"/>
                <w:szCs w:val="20"/>
                <w:lang w:val="es-ES"/>
              </w:rPr>
              <w:t>Dotar el 89% de las competencias conforme programa de capacitación aprobado 2025</w:t>
            </w:r>
          </w:p>
        </w:tc>
        <w:tc>
          <w:tcPr>
            <w:tcW w:w="810" w:type="dxa"/>
            <w:noWrap/>
            <w:vAlign w:val="center"/>
          </w:tcPr>
          <w:p w14:paraId="1B6A2845" w14:textId="77777777" w:rsidR="00E3132B" w:rsidRPr="00232EBB" w:rsidRDefault="00E3132B" w:rsidP="00747056">
            <w:pPr>
              <w:spacing w:line="240" w:lineRule="auto"/>
              <w:jc w:val="center"/>
              <w:rPr>
                <w:sz w:val="20"/>
                <w:szCs w:val="20"/>
                <w:lang w:val="es-ES"/>
              </w:rPr>
            </w:pPr>
            <w:r w:rsidRPr="00232EBB">
              <w:rPr>
                <w:sz w:val="20"/>
                <w:szCs w:val="20"/>
                <w:lang w:val="es-ES"/>
              </w:rPr>
              <w:t>89%</w:t>
            </w:r>
          </w:p>
        </w:tc>
        <w:tc>
          <w:tcPr>
            <w:tcW w:w="953" w:type="dxa"/>
            <w:noWrap/>
            <w:vAlign w:val="center"/>
          </w:tcPr>
          <w:p w14:paraId="5297AB6B" w14:textId="77777777" w:rsidR="00E3132B" w:rsidRPr="00232EBB" w:rsidRDefault="00E3132B" w:rsidP="00747056">
            <w:pPr>
              <w:spacing w:line="240" w:lineRule="auto"/>
              <w:jc w:val="center"/>
              <w:rPr>
                <w:sz w:val="20"/>
                <w:szCs w:val="20"/>
                <w:lang w:val="es-ES"/>
              </w:rPr>
            </w:pPr>
            <w:r w:rsidRPr="00232EBB">
              <w:rPr>
                <w:sz w:val="20"/>
                <w:szCs w:val="20"/>
                <w:lang w:val="es-ES"/>
              </w:rPr>
              <w:t>21.36%</w:t>
            </w:r>
          </w:p>
        </w:tc>
        <w:tc>
          <w:tcPr>
            <w:tcW w:w="953" w:type="dxa"/>
            <w:vAlign w:val="center"/>
          </w:tcPr>
          <w:p w14:paraId="1F98053C" w14:textId="77777777" w:rsidR="00E3132B" w:rsidRPr="00232EBB" w:rsidRDefault="00E3132B" w:rsidP="00747056">
            <w:pPr>
              <w:spacing w:line="240" w:lineRule="auto"/>
              <w:jc w:val="center"/>
              <w:rPr>
                <w:sz w:val="20"/>
                <w:szCs w:val="20"/>
                <w:lang w:val="es-ES"/>
              </w:rPr>
            </w:pPr>
            <w:r w:rsidRPr="00232EBB">
              <w:rPr>
                <w:sz w:val="20"/>
                <w:szCs w:val="20"/>
                <w:lang w:val="es-ES"/>
              </w:rPr>
              <w:t>55.90%</w:t>
            </w:r>
          </w:p>
        </w:tc>
        <w:tc>
          <w:tcPr>
            <w:tcW w:w="974" w:type="dxa"/>
            <w:vAlign w:val="center"/>
          </w:tcPr>
          <w:p w14:paraId="260D8EB6" w14:textId="77777777" w:rsidR="00E3132B" w:rsidRPr="00232EBB" w:rsidRDefault="00E3132B" w:rsidP="00747056">
            <w:pPr>
              <w:spacing w:line="240" w:lineRule="auto"/>
              <w:jc w:val="center"/>
              <w:rPr>
                <w:sz w:val="20"/>
                <w:szCs w:val="20"/>
                <w:lang w:val="es-ES"/>
              </w:rPr>
            </w:pPr>
            <w:r w:rsidRPr="00232EBB">
              <w:rPr>
                <w:sz w:val="20"/>
                <w:szCs w:val="20"/>
                <w:lang w:val="es-ES"/>
              </w:rPr>
              <w:t>61.26%</w:t>
            </w:r>
          </w:p>
        </w:tc>
        <w:tc>
          <w:tcPr>
            <w:tcW w:w="810" w:type="dxa"/>
            <w:vAlign w:val="center"/>
          </w:tcPr>
          <w:p w14:paraId="7128B3A1" w14:textId="77777777" w:rsidR="00E3132B" w:rsidRPr="00232EBB" w:rsidRDefault="00E3132B" w:rsidP="00747056">
            <w:pPr>
              <w:spacing w:line="240" w:lineRule="auto"/>
              <w:jc w:val="center"/>
              <w:rPr>
                <w:sz w:val="20"/>
                <w:szCs w:val="20"/>
                <w:lang w:val="es-ES"/>
              </w:rPr>
            </w:pPr>
            <w:r w:rsidRPr="00232EBB">
              <w:rPr>
                <w:sz w:val="20"/>
                <w:szCs w:val="20"/>
                <w:lang w:val="es-ES"/>
              </w:rPr>
              <w:t>89%</w:t>
            </w:r>
          </w:p>
        </w:tc>
      </w:tr>
      <w:tr w:rsidR="00E3132B" w:rsidRPr="00232EBB" w14:paraId="746F86AA" w14:textId="77777777" w:rsidTr="00747056">
        <w:trPr>
          <w:trHeight w:val="19"/>
          <w:jc w:val="center"/>
        </w:trPr>
        <w:tc>
          <w:tcPr>
            <w:tcW w:w="3685" w:type="dxa"/>
            <w:noWrap/>
            <w:vAlign w:val="center"/>
          </w:tcPr>
          <w:p w14:paraId="6D6578B3" w14:textId="77777777" w:rsidR="00E3132B" w:rsidRPr="00232EBB" w:rsidRDefault="00E3132B" w:rsidP="0055368C">
            <w:pPr>
              <w:spacing w:line="240" w:lineRule="auto"/>
              <w:jc w:val="both"/>
              <w:rPr>
                <w:sz w:val="20"/>
                <w:szCs w:val="20"/>
                <w:lang w:val="es-ES"/>
              </w:rPr>
            </w:pPr>
            <w:r w:rsidRPr="00232EBB">
              <w:rPr>
                <w:sz w:val="20"/>
                <w:szCs w:val="20"/>
                <w:lang w:val="es-ES"/>
              </w:rPr>
              <w:t>Lograr la ejecución del 100% de las 16,000 horas/hombre programadas en capacitaciones durante el año 2025</w:t>
            </w:r>
          </w:p>
        </w:tc>
        <w:tc>
          <w:tcPr>
            <w:tcW w:w="810" w:type="dxa"/>
            <w:noWrap/>
            <w:vAlign w:val="center"/>
          </w:tcPr>
          <w:p w14:paraId="68D45AF8"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953" w:type="dxa"/>
            <w:noWrap/>
            <w:vAlign w:val="center"/>
          </w:tcPr>
          <w:p w14:paraId="35B2C452" w14:textId="77777777" w:rsidR="00E3132B" w:rsidRPr="00232EBB" w:rsidRDefault="00E3132B" w:rsidP="00747056">
            <w:pPr>
              <w:spacing w:line="240" w:lineRule="auto"/>
              <w:jc w:val="center"/>
              <w:rPr>
                <w:sz w:val="20"/>
                <w:szCs w:val="20"/>
                <w:lang w:val="es-ES"/>
              </w:rPr>
            </w:pPr>
            <w:r w:rsidRPr="00232EBB">
              <w:rPr>
                <w:sz w:val="20"/>
                <w:szCs w:val="20"/>
                <w:lang w:val="es-ES"/>
              </w:rPr>
              <w:t>22.9%</w:t>
            </w:r>
          </w:p>
        </w:tc>
        <w:tc>
          <w:tcPr>
            <w:tcW w:w="953" w:type="dxa"/>
            <w:vAlign w:val="center"/>
          </w:tcPr>
          <w:p w14:paraId="26224AAB" w14:textId="77777777" w:rsidR="00E3132B" w:rsidRPr="00232EBB" w:rsidRDefault="00E3132B" w:rsidP="00747056">
            <w:pPr>
              <w:spacing w:line="240" w:lineRule="auto"/>
              <w:jc w:val="center"/>
              <w:rPr>
                <w:sz w:val="20"/>
                <w:szCs w:val="20"/>
                <w:lang w:val="es-ES"/>
              </w:rPr>
            </w:pPr>
            <w:r w:rsidRPr="00232EBB">
              <w:rPr>
                <w:sz w:val="20"/>
                <w:szCs w:val="20"/>
                <w:lang w:val="es-ES"/>
              </w:rPr>
              <w:t>44.39%</w:t>
            </w:r>
          </w:p>
        </w:tc>
        <w:tc>
          <w:tcPr>
            <w:tcW w:w="974" w:type="dxa"/>
            <w:vAlign w:val="center"/>
          </w:tcPr>
          <w:p w14:paraId="0C974389" w14:textId="77777777" w:rsidR="00E3132B" w:rsidRPr="00232EBB" w:rsidRDefault="00E3132B" w:rsidP="00747056">
            <w:pPr>
              <w:spacing w:line="240" w:lineRule="auto"/>
              <w:jc w:val="center"/>
              <w:rPr>
                <w:sz w:val="20"/>
                <w:szCs w:val="20"/>
                <w:lang w:val="es-ES"/>
              </w:rPr>
            </w:pPr>
            <w:r w:rsidRPr="00232EBB">
              <w:rPr>
                <w:sz w:val="20"/>
                <w:szCs w:val="20"/>
                <w:lang w:val="es-ES"/>
              </w:rPr>
              <w:t>68.27%</w:t>
            </w:r>
          </w:p>
        </w:tc>
        <w:tc>
          <w:tcPr>
            <w:tcW w:w="810" w:type="dxa"/>
            <w:vAlign w:val="center"/>
          </w:tcPr>
          <w:p w14:paraId="2206A834"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r w:rsidR="00E3132B" w:rsidRPr="00232EBB" w14:paraId="2EC619C6" w14:textId="77777777" w:rsidTr="00747056">
        <w:trPr>
          <w:trHeight w:val="19"/>
          <w:jc w:val="center"/>
        </w:trPr>
        <w:tc>
          <w:tcPr>
            <w:tcW w:w="3685" w:type="dxa"/>
            <w:noWrap/>
            <w:vAlign w:val="center"/>
          </w:tcPr>
          <w:p w14:paraId="758E154D" w14:textId="77777777" w:rsidR="00E3132B" w:rsidRPr="00232EBB" w:rsidRDefault="00E3132B" w:rsidP="0055368C">
            <w:pPr>
              <w:spacing w:line="240" w:lineRule="auto"/>
              <w:jc w:val="both"/>
              <w:rPr>
                <w:sz w:val="20"/>
                <w:szCs w:val="20"/>
                <w:lang w:val="es-ES"/>
              </w:rPr>
            </w:pPr>
            <w:r w:rsidRPr="00232EBB">
              <w:rPr>
                <w:sz w:val="20"/>
                <w:szCs w:val="20"/>
                <w:lang w:val="es-ES"/>
              </w:rPr>
              <w:t>Cumplir con el 100% del Plan Cultura en Gestión de Riesgos, Resiliencia y Continuidad de Negocios a diciembre 2025</w:t>
            </w:r>
          </w:p>
        </w:tc>
        <w:tc>
          <w:tcPr>
            <w:tcW w:w="810" w:type="dxa"/>
            <w:noWrap/>
            <w:vAlign w:val="center"/>
          </w:tcPr>
          <w:p w14:paraId="66D41A64"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953" w:type="dxa"/>
            <w:noWrap/>
            <w:vAlign w:val="center"/>
          </w:tcPr>
          <w:p w14:paraId="72054C10" w14:textId="77777777" w:rsidR="00E3132B" w:rsidRPr="00232EBB" w:rsidRDefault="00E3132B" w:rsidP="00747056">
            <w:pPr>
              <w:spacing w:line="240" w:lineRule="auto"/>
              <w:jc w:val="center"/>
              <w:rPr>
                <w:sz w:val="20"/>
                <w:szCs w:val="20"/>
                <w:lang w:val="es-ES"/>
              </w:rPr>
            </w:pPr>
            <w:r w:rsidRPr="00232EBB">
              <w:rPr>
                <w:sz w:val="20"/>
                <w:szCs w:val="20"/>
                <w:lang w:val="es-ES"/>
              </w:rPr>
              <w:t>20%</w:t>
            </w:r>
          </w:p>
        </w:tc>
        <w:tc>
          <w:tcPr>
            <w:tcW w:w="953" w:type="dxa"/>
            <w:vAlign w:val="center"/>
          </w:tcPr>
          <w:p w14:paraId="5043E491" w14:textId="77777777" w:rsidR="00E3132B" w:rsidRPr="00232EBB" w:rsidRDefault="00E3132B" w:rsidP="00747056">
            <w:pPr>
              <w:spacing w:line="240" w:lineRule="auto"/>
              <w:jc w:val="center"/>
              <w:rPr>
                <w:sz w:val="20"/>
                <w:szCs w:val="20"/>
                <w:lang w:val="es-ES"/>
              </w:rPr>
            </w:pPr>
            <w:r w:rsidRPr="00232EBB">
              <w:rPr>
                <w:sz w:val="20"/>
                <w:szCs w:val="20"/>
                <w:lang w:val="es-ES"/>
              </w:rPr>
              <w:t>40.5%</w:t>
            </w:r>
          </w:p>
        </w:tc>
        <w:tc>
          <w:tcPr>
            <w:tcW w:w="974" w:type="dxa"/>
            <w:vAlign w:val="center"/>
          </w:tcPr>
          <w:p w14:paraId="57A47819" w14:textId="77777777" w:rsidR="00E3132B" w:rsidRPr="00232EBB" w:rsidRDefault="00E3132B" w:rsidP="00747056">
            <w:pPr>
              <w:spacing w:line="240" w:lineRule="auto"/>
              <w:jc w:val="center"/>
              <w:rPr>
                <w:sz w:val="20"/>
                <w:szCs w:val="20"/>
                <w:lang w:val="es-ES"/>
              </w:rPr>
            </w:pPr>
            <w:r w:rsidRPr="00232EBB">
              <w:rPr>
                <w:sz w:val="20"/>
                <w:szCs w:val="20"/>
                <w:lang w:val="es-ES"/>
              </w:rPr>
              <w:t>48%</w:t>
            </w:r>
          </w:p>
        </w:tc>
        <w:tc>
          <w:tcPr>
            <w:tcW w:w="810" w:type="dxa"/>
            <w:vAlign w:val="center"/>
          </w:tcPr>
          <w:p w14:paraId="5BA046B9"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r w:rsidR="00E3132B" w:rsidRPr="00232EBB" w14:paraId="7751CF09" w14:textId="77777777" w:rsidTr="00747056">
        <w:trPr>
          <w:trHeight w:val="19"/>
          <w:jc w:val="center"/>
        </w:trPr>
        <w:tc>
          <w:tcPr>
            <w:tcW w:w="3685" w:type="dxa"/>
            <w:noWrap/>
            <w:vAlign w:val="center"/>
          </w:tcPr>
          <w:p w14:paraId="00D7905C" w14:textId="77777777" w:rsidR="00E3132B" w:rsidRPr="00232EBB" w:rsidRDefault="00E3132B" w:rsidP="0055368C">
            <w:pPr>
              <w:spacing w:line="240" w:lineRule="auto"/>
              <w:jc w:val="both"/>
              <w:rPr>
                <w:sz w:val="20"/>
                <w:szCs w:val="20"/>
                <w:lang w:val="es-ES"/>
              </w:rPr>
            </w:pPr>
            <w:r w:rsidRPr="00232EBB">
              <w:rPr>
                <w:sz w:val="20"/>
                <w:szCs w:val="20"/>
                <w:lang w:val="es-ES"/>
              </w:rPr>
              <w:t>Realizar el 100% de los ejercicios planificados para el 2025 en Continuidad de los Negocios</w:t>
            </w:r>
          </w:p>
        </w:tc>
        <w:tc>
          <w:tcPr>
            <w:tcW w:w="810" w:type="dxa"/>
            <w:noWrap/>
            <w:vAlign w:val="center"/>
          </w:tcPr>
          <w:p w14:paraId="68C9BB36"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953" w:type="dxa"/>
            <w:noWrap/>
            <w:vAlign w:val="center"/>
          </w:tcPr>
          <w:p w14:paraId="1E2003C0" w14:textId="77777777" w:rsidR="00E3132B" w:rsidRPr="00232EBB" w:rsidRDefault="00E3132B" w:rsidP="00747056">
            <w:pPr>
              <w:spacing w:line="240" w:lineRule="auto"/>
              <w:jc w:val="center"/>
              <w:rPr>
                <w:sz w:val="20"/>
                <w:szCs w:val="20"/>
                <w:lang w:val="es-ES"/>
              </w:rPr>
            </w:pPr>
            <w:r w:rsidRPr="00232EBB">
              <w:rPr>
                <w:sz w:val="20"/>
                <w:szCs w:val="20"/>
                <w:lang w:val="es-ES"/>
              </w:rPr>
              <w:t>-</w:t>
            </w:r>
          </w:p>
        </w:tc>
        <w:tc>
          <w:tcPr>
            <w:tcW w:w="953" w:type="dxa"/>
            <w:vAlign w:val="center"/>
          </w:tcPr>
          <w:p w14:paraId="4D3CA8BA" w14:textId="77777777" w:rsidR="00E3132B" w:rsidRPr="00232EBB" w:rsidRDefault="00E3132B" w:rsidP="00747056">
            <w:pPr>
              <w:spacing w:line="240" w:lineRule="auto"/>
              <w:jc w:val="center"/>
              <w:rPr>
                <w:sz w:val="20"/>
                <w:szCs w:val="20"/>
                <w:lang w:val="es-ES"/>
              </w:rPr>
            </w:pPr>
            <w:r w:rsidRPr="00232EBB">
              <w:rPr>
                <w:sz w:val="20"/>
                <w:szCs w:val="20"/>
                <w:lang w:val="es-ES"/>
              </w:rPr>
              <w:t>25%</w:t>
            </w:r>
          </w:p>
        </w:tc>
        <w:tc>
          <w:tcPr>
            <w:tcW w:w="974" w:type="dxa"/>
            <w:vAlign w:val="center"/>
          </w:tcPr>
          <w:p w14:paraId="2B21C874" w14:textId="77777777" w:rsidR="00E3132B" w:rsidRPr="00232EBB" w:rsidRDefault="00E3132B" w:rsidP="00747056">
            <w:pPr>
              <w:spacing w:line="240" w:lineRule="auto"/>
              <w:jc w:val="center"/>
              <w:rPr>
                <w:sz w:val="20"/>
                <w:szCs w:val="20"/>
                <w:lang w:val="es-ES"/>
              </w:rPr>
            </w:pPr>
            <w:r w:rsidRPr="00232EBB">
              <w:rPr>
                <w:sz w:val="20"/>
                <w:szCs w:val="20"/>
                <w:lang w:val="es-ES"/>
              </w:rPr>
              <w:t>25%</w:t>
            </w:r>
          </w:p>
        </w:tc>
        <w:tc>
          <w:tcPr>
            <w:tcW w:w="810" w:type="dxa"/>
            <w:vAlign w:val="center"/>
          </w:tcPr>
          <w:p w14:paraId="4A13DEA9"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r w:rsidR="00E3132B" w:rsidRPr="00232EBB" w14:paraId="4334B772" w14:textId="77777777" w:rsidTr="00747056">
        <w:trPr>
          <w:trHeight w:val="19"/>
          <w:jc w:val="center"/>
        </w:trPr>
        <w:tc>
          <w:tcPr>
            <w:tcW w:w="3685" w:type="dxa"/>
            <w:noWrap/>
            <w:vAlign w:val="center"/>
          </w:tcPr>
          <w:p w14:paraId="18807DB7" w14:textId="77777777" w:rsidR="00E3132B" w:rsidRPr="00232EBB" w:rsidRDefault="00E3132B" w:rsidP="0055368C">
            <w:pPr>
              <w:spacing w:line="240" w:lineRule="auto"/>
              <w:jc w:val="both"/>
              <w:rPr>
                <w:sz w:val="20"/>
                <w:szCs w:val="20"/>
                <w:lang w:val="es-ES"/>
              </w:rPr>
            </w:pPr>
            <w:r w:rsidRPr="00232EBB">
              <w:rPr>
                <w:sz w:val="20"/>
                <w:szCs w:val="20"/>
                <w:lang w:val="es-ES"/>
              </w:rPr>
              <w:t xml:space="preserve">Implementar en un 100% enfoques innovadores para fomentar el cumplimiento y prevenir el soborno. </w:t>
            </w:r>
          </w:p>
        </w:tc>
        <w:tc>
          <w:tcPr>
            <w:tcW w:w="810" w:type="dxa"/>
            <w:noWrap/>
            <w:vAlign w:val="center"/>
          </w:tcPr>
          <w:p w14:paraId="14638942"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953" w:type="dxa"/>
            <w:noWrap/>
            <w:vAlign w:val="center"/>
          </w:tcPr>
          <w:p w14:paraId="49957028" w14:textId="77777777" w:rsidR="00E3132B" w:rsidRPr="00232EBB" w:rsidRDefault="00E3132B" w:rsidP="00747056">
            <w:pPr>
              <w:spacing w:line="240" w:lineRule="auto"/>
              <w:jc w:val="center"/>
              <w:rPr>
                <w:sz w:val="20"/>
                <w:szCs w:val="20"/>
                <w:lang w:val="es-ES"/>
              </w:rPr>
            </w:pPr>
            <w:r w:rsidRPr="00232EBB">
              <w:rPr>
                <w:sz w:val="20"/>
                <w:szCs w:val="20"/>
                <w:lang w:val="es-ES"/>
              </w:rPr>
              <w:t>50%</w:t>
            </w:r>
          </w:p>
        </w:tc>
        <w:tc>
          <w:tcPr>
            <w:tcW w:w="953" w:type="dxa"/>
            <w:vAlign w:val="center"/>
          </w:tcPr>
          <w:p w14:paraId="04FC9DCE" w14:textId="77777777" w:rsidR="00E3132B" w:rsidRPr="00232EBB" w:rsidRDefault="00E3132B" w:rsidP="00747056">
            <w:pPr>
              <w:spacing w:line="240" w:lineRule="auto"/>
              <w:jc w:val="center"/>
              <w:rPr>
                <w:sz w:val="20"/>
                <w:szCs w:val="20"/>
                <w:lang w:val="es-ES"/>
              </w:rPr>
            </w:pPr>
            <w:r w:rsidRPr="00232EBB">
              <w:rPr>
                <w:sz w:val="20"/>
                <w:szCs w:val="20"/>
                <w:lang w:val="es-ES"/>
              </w:rPr>
              <w:t>75%</w:t>
            </w:r>
          </w:p>
        </w:tc>
        <w:tc>
          <w:tcPr>
            <w:tcW w:w="974" w:type="dxa"/>
            <w:vAlign w:val="center"/>
          </w:tcPr>
          <w:p w14:paraId="6A3E9132" w14:textId="77777777" w:rsidR="00E3132B" w:rsidRPr="00232EBB" w:rsidRDefault="00E3132B" w:rsidP="00747056">
            <w:pPr>
              <w:spacing w:line="240" w:lineRule="auto"/>
              <w:jc w:val="center"/>
              <w:rPr>
                <w:sz w:val="20"/>
                <w:szCs w:val="20"/>
                <w:lang w:val="es-ES"/>
              </w:rPr>
            </w:pPr>
            <w:r w:rsidRPr="00232EBB">
              <w:rPr>
                <w:sz w:val="20"/>
                <w:szCs w:val="20"/>
                <w:lang w:val="es-ES"/>
              </w:rPr>
              <w:t>85%</w:t>
            </w:r>
          </w:p>
        </w:tc>
        <w:tc>
          <w:tcPr>
            <w:tcW w:w="810" w:type="dxa"/>
            <w:vAlign w:val="center"/>
          </w:tcPr>
          <w:p w14:paraId="7D550F31"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r w:rsidR="00E3132B" w:rsidRPr="00232EBB" w14:paraId="409B36BD" w14:textId="77777777" w:rsidTr="00747056">
        <w:trPr>
          <w:trHeight w:val="19"/>
          <w:jc w:val="center"/>
        </w:trPr>
        <w:tc>
          <w:tcPr>
            <w:tcW w:w="3685" w:type="dxa"/>
            <w:noWrap/>
            <w:vAlign w:val="center"/>
          </w:tcPr>
          <w:p w14:paraId="586E78F0" w14:textId="77777777" w:rsidR="00E3132B" w:rsidRPr="00232EBB" w:rsidRDefault="00E3132B" w:rsidP="0055368C">
            <w:pPr>
              <w:spacing w:line="240" w:lineRule="auto"/>
              <w:jc w:val="both"/>
              <w:rPr>
                <w:sz w:val="20"/>
                <w:szCs w:val="20"/>
                <w:lang w:val="es-ES"/>
              </w:rPr>
            </w:pPr>
            <w:r w:rsidRPr="00232EBB">
              <w:rPr>
                <w:sz w:val="20"/>
                <w:szCs w:val="20"/>
                <w:lang w:val="es-ES"/>
              </w:rPr>
              <w:t>Promover en un 100% la alineación estratégica promovida en cumplimiento y antisoborno, mediante la sensibilización, formación y comunicación de directrices conforme ISO 37001 y 37301.</w:t>
            </w:r>
          </w:p>
        </w:tc>
        <w:tc>
          <w:tcPr>
            <w:tcW w:w="810" w:type="dxa"/>
            <w:noWrap/>
            <w:vAlign w:val="center"/>
          </w:tcPr>
          <w:p w14:paraId="212277F1"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953" w:type="dxa"/>
            <w:noWrap/>
            <w:vAlign w:val="center"/>
          </w:tcPr>
          <w:p w14:paraId="4260097B" w14:textId="77777777" w:rsidR="00E3132B" w:rsidRPr="00232EBB" w:rsidRDefault="00E3132B" w:rsidP="00747056">
            <w:pPr>
              <w:spacing w:line="240" w:lineRule="auto"/>
              <w:jc w:val="center"/>
              <w:rPr>
                <w:sz w:val="20"/>
                <w:szCs w:val="20"/>
                <w:lang w:val="es-ES"/>
              </w:rPr>
            </w:pPr>
            <w:r w:rsidRPr="00232EBB">
              <w:rPr>
                <w:sz w:val="20"/>
                <w:szCs w:val="20"/>
                <w:lang w:val="es-ES"/>
              </w:rPr>
              <w:t>16.4%</w:t>
            </w:r>
          </w:p>
        </w:tc>
        <w:tc>
          <w:tcPr>
            <w:tcW w:w="953" w:type="dxa"/>
            <w:vAlign w:val="center"/>
          </w:tcPr>
          <w:p w14:paraId="79587E9C" w14:textId="77777777" w:rsidR="00E3132B" w:rsidRPr="00232EBB" w:rsidRDefault="00E3132B" w:rsidP="00747056">
            <w:pPr>
              <w:spacing w:line="240" w:lineRule="auto"/>
              <w:jc w:val="center"/>
              <w:rPr>
                <w:sz w:val="20"/>
                <w:szCs w:val="20"/>
                <w:lang w:val="es-ES"/>
              </w:rPr>
            </w:pPr>
            <w:r w:rsidRPr="00232EBB">
              <w:rPr>
                <w:sz w:val="20"/>
                <w:szCs w:val="20"/>
                <w:lang w:val="es-ES"/>
              </w:rPr>
              <w:t>61%</w:t>
            </w:r>
          </w:p>
        </w:tc>
        <w:tc>
          <w:tcPr>
            <w:tcW w:w="974" w:type="dxa"/>
            <w:vAlign w:val="center"/>
          </w:tcPr>
          <w:p w14:paraId="52FE1916" w14:textId="77777777" w:rsidR="00E3132B" w:rsidRPr="00232EBB" w:rsidRDefault="00E3132B" w:rsidP="00747056">
            <w:pPr>
              <w:spacing w:line="240" w:lineRule="auto"/>
              <w:jc w:val="center"/>
              <w:rPr>
                <w:sz w:val="20"/>
                <w:szCs w:val="20"/>
                <w:lang w:val="es-ES"/>
              </w:rPr>
            </w:pPr>
            <w:r w:rsidRPr="00232EBB">
              <w:rPr>
                <w:sz w:val="20"/>
                <w:szCs w:val="20"/>
                <w:lang w:val="es-ES"/>
              </w:rPr>
              <w:t>70%</w:t>
            </w:r>
          </w:p>
        </w:tc>
        <w:tc>
          <w:tcPr>
            <w:tcW w:w="810" w:type="dxa"/>
            <w:vAlign w:val="center"/>
          </w:tcPr>
          <w:p w14:paraId="791548EA"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r w:rsidR="00E3132B" w:rsidRPr="00232EBB" w14:paraId="1777BED6" w14:textId="77777777" w:rsidTr="00747056">
        <w:trPr>
          <w:trHeight w:val="19"/>
          <w:jc w:val="center"/>
        </w:trPr>
        <w:tc>
          <w:tcPr>
            <w:tcW w:w="3685" w:type="dxa"/>
            <w:noWrap/>
            <w:vAlign w:val="center"/>
          </w:tcPr>
          <w:p w14:paraId="1D8FC2B6" w14:textId="77777777" w:rsidR="00E3132B" w:rsidRPr="00232EBB" w:rsidRDefault="00E3132B" w:rsidP="0055368C">
            <w:pPr>
              <w:spacing w:line="240" w:lineRule="auto"/>
              <w:jc w:val="both"/>
              <w:rPr>
                <w:sz w:val="20"/>
                <w:szCs w:val="20"/>
                <w:lang w:val="es-ES"/>
              </w:rPr>
            </w:pPr>
            <w:r w:rsidRPr="00232EBB">
              <w:rPr>
                <w:sz w:val="20"/>
                <w:szCs w:val="20"/>
                <w:lang w:val="es-ES"/>
              </w:rPr>
              <w:t xml:space="preserve">Sistematizar en un 100% la gestión de riesgos de soborno e incumplimiento en la organización </w:t>
            </w:r>
          </w:p>
        </w:tc>
        <w:tc>
          <w:tcPr>
            <w:tcW w:w="810" w:type="dxa"/>
            <w:noWrap/>
            <w:vAlign w:val="center"/>
          </w:tcPr>
          <w:p w14:paraId="2F2D6FA0"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953" w:type="dxa"/>
            <w:noWrap/>
            <w:vAlign w:val="center"/>
          </w:tcPr>
          <w:p w14:paraId="7D2006BE" w14:textId="77777777" w:rsidR="00E3132B" w:rsidRPr="00232EBB" w:rsidRDefault="00E3132B" w:rsidP="00747056">
            <w:pPr>
              <w:spacing w:line="240" w:lineRule="auto"/>
              <w:jc w:val="center"/>
              <w:rPr>
                <w:sz w:val="20"/>
                <w:szCs w:val="20"/>
                <w:lang w:val="es-ES"/>
              </w:rPr>
            </w:pPr>
            <w:r w:rsidRPr="00232EBB">
              <w:rPr>
                <w:sz w:val="20"/>
                <w:szCs w:val="20"/>
                <w:lang w:val="es-ES"/>
              </w:rPr>
              <w:t>76%</w:t>
            </w:r>
          </w:p>
        </w:tc>
        <w:tc>
          <w:tcPr>
            <w:tcW w:w="953" w:type="dxa"/>
            <w:vAlign w:val="center"/>
          </w:tcPr>
          <w:p w14:paraId="50AF9B03" w14:textId="77777777" w:rsidR="00E3132B" w:rsidRPr="00232EBB" w:rsidRDefault="00E3132B" w:rsidP="00747056">
            <w:pPr>
              <w:spacing w:line="240" w:lineRule="auto"/>
              <w:jc w:val="center"/>
              <w:rPr>
                <w:sz w:val="20"/>
                <w:szCs w:val="20"/>
                <w:lang w:val="es-ES"/>
              </w:rPr>
            </w:pPr>
            <w:r w:rsidRPr="00232EBB">
              <w:rPr>
                <w:sz w:val="20"/>
                <w:szCs w:val="20"/>
                <w:lang w:val="es-ES"/>
              </w:rPr>
              <w:t>84%</w:t>
            </w:r>
          </w:p>
        </w:tc>
        <w:tc>
          <w:tcPr>
            <w:tcW w:w="974" w:type="dxa"/>
            <w:vAlign w:val="center"/>
          </w:tcPr>
          <w:p w14:paraId="7BDAA2D2"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810" w:type="dxa"/>
            <w:vAlign w:val="center"/>
          </w:tcPr>
          <w:p w14:paraId="0DA53F3D"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r w:rsidR="00E3132B" w:rsidRPr="00232EBB" w14:paraId="11489D79" w14:textId="77777777" w:rsidTr="00747056">
        <w:trPr>
          <w:trHeight w:val="19"/>
          <w:jc w:val="center"/>
        </w:trPr>
        <w:tc>
          <w:tcPr>
            <w:tcW w:w="3685" w:type="dxa"/>
            <w:noWrap/>
            <w:vAlign w:val="center"/>
          </w:tcPr>
          <w:p w14:paraId="67E0C9A4" w14:textId="77777777" w:rsidR="00E3132B" w:rsidRPr="00232EBB" w:rsidRDefault="00E3132B" w:rsidP="0055368C">
            <w:pPr>
              <w:spacing w:line="240" w:lineRule="auto"/>
              <w:jc w:val="both"/>
              <w:rPr>
                <w:sz w:val="20"/>
                <w:szCs w:val="20"/>
                <w:lang w:val="es-ES"/>
              </w:rPr>
            </w:pPr>
            <w:r w:rsidRPr="00232EBB">
              <w:rPr>
                <w:sz w:val="20"/>
                <w:szCs w:val="20"/>
                <w:lang w:val="es-ES"/>
              </w:rPr>
              <w:t xml:space="preserve">Promover en un 100% la cultura de apertura escucha y protección a denunciantes  </w:t>
            </w:r>
          </w:p>
        </w:tc>
        <w:tc>
          <w:tcPr>
            <w:tcW w:w="810" w:type="dxa"/>
            <w:noWrap/>
            <w:vAlign w:val="center"/>
          </w:tcPr>
          <w:p w14:paraId="35A497BB"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953" w:type="dxa"/>
            <w:noWrap/>
            <w:vAlign w:val="center"/>
          </w:tcPr>
          <w:p w14:paraId="065DC424" w14:textId="77777777" w:rsidR="00E3132B" w:rsidRPr="00232EBB" w:rsidRDefault="00E3132B" w:rsidP="00747056">
            <w:pPr>
              <w:spacing w:line="240" w:lineRule="auto"/>
              <w:jc w:val="center"/>
              <w:rPr>
                <w:sz w:val="20"/>
                <w:szCs w:val="20"/>
                <w:lang w:val="es-ES"/>
              </w:rPr>
            </w:pPr>
            <w:r w:rsidRPr="00232EBB">
              <w:rPr>
                <w:sz w:val="20"/>
                <w:szCs w:val="20"/>
                <w:lang w:val="es-ES"/>
              </w:rPr>
              <w:t>-</w:t>
            </w:r>
          </w:p>
        </w:tc>
        <w:tc>
          <w:tcPr>
            <w:tcW w:w="953" w:type="dxa"/>
            <w:vAlign w:val="center"/>
          </w:tcPr>
          <w:p w14:paraId="563A5F6F" w14:textId="77777777" w:rsidR="00E3132B" w:rsidRPr="00232EBB" w:rsidRDefault="00E3132B" w:rsidP="00747056">
            <w:pPr>
              <w:spacing w:line="240" w:lineRule="auto"/>
              <w:jc w:val="center"/>
              <w:rPr>
                <w:sz w:val="20"/>
                <w:szCs w:val="20"/>
                <w:lang w:val="es-ES"/>
              </w:rPr>
            </w:pPr>
            <w:r w:rsidRPr="00232EBB">
              <w:rPr>
                <w:sz w:val="20"/>
                <w:szCs w:val="20"/>
                <w:lang w:val="es-ES"/>
              </w:rPr>
              <w:t>36%</w:t>
            </w:r>
          </w:p>
        </w:tc>
        <w:tc>
          <w:tcPr>
            <w:tcW w:w="974" w:type="dxa"/>
            <w:vAlign w:val="center"/>
          </w:tcPr>
          <w:p w14:paraId="186C14AC" w14:textId="77777777" w:rsidR="00E3132B" w:rsidRPr="00232EBB" w:rsidRDefault="00E3132B" w:rsidP="00747056">
            <w:pPr>
              <w:spacing w:line="240" w:lineRule="auto"/>
              <w:jc w:val="center"/>
              <w:rPr>
                <w:sz w:val="20"/>
                <w:szCs w:val="20"/>
                <w:lang w:val="es-ES"/>
              </w:rPr>
            </w:pPr>
            <w:r w:rsidRPr="00232EBB">
              <w:rPr>
                <w:sz w:val="20"/>
                <w:szCs w:val="20"/>
                <w:lang w:val="es-ES"/>
              </w:rPr>
              <w:t>42%</w:t>
            </w:r>
          </w:p>
        </w:tc>
        <w:tc>
          <w:tcPr>
            <w:tcW w:w="810" w:type="dxa"/>
            <w:vAlign w:val="center"/>
          </w:tcPr>
          <w:p w14:paraId="0561BAD1"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r w:rsidR="00E3132B" w:rsidRPr="00232EBB" w14:paraId="1E1318A1" w14:textId="77777777" w:rsidTr="00747056">
        <w:trPr>
          <w:trHeight w:val="19"/>
          <w:jc w:val="center"/>
        </w:trPr>
        <w:tc>
          <w:tcPr>
            <w:tcW w:w="3685" w:type="dxa"/>
            <w:noWrap/>
            <w:vAlign w:val="center"/>
          </w:tcPr>
          <w:p w14:paraId="29CDF19E" w14:textId="77777777" w:rsidR="00E3132B" w:rsidRPr="00232EBB" w:rsidRDefault="00E3132B" w:rsidP="0055368C">
            <w:pPr>
              <w:spacing w:line="240" w:lineRule="auto"/>
              <w:jc w:val="both"/>
              <w:rPr>
                <w:sz w:val="20"/>
                <w:szCs w:val="20"/>
                <w:lang w:val="es-ES"/>
              </w:rPr>
            </w:pPr>
            <w:r w:rsidRPr="00232EBB">
              <w:rPr>
                <w:sz w:val="20"/>
                <w:szCs w:val="20"/>
                <w:lang w:val="es-ES"/>
              </w:rPr>
              <w:t>Asegurar en un 100% la mejora continua del sistema de cumplimiento y antisoborno</w:t>
            </w:r>
          </w:p>
        </w:tc>
        <w:tc>
          <w:tcPr>
            <w:tcW w:w="810" w:type="dxa"/>
            <w:noWrap/>
            <w:vAlign w:val="center"/>
          </w:tcPr>
          <w:p w14:paraId="5CBAF8E3"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c>
          <w:tcPr>
            <w:tcW w:w="953" w:type="dxa"/>
            <w:noWrap/>
            <w:vAlign w:val="center"/>
          </w:tcPr>
          <w:p w14:paraId="0BEB090A" w14:textId="77777777" w:rsidR="00E3132B" w:rsidRPr="00232EBB" w:rsidRDefault="00E3132B" w:rsidP="00747056">
            <w:pPr>
              <w:spacing w:line="240" w:lineRule="auto"/>
              <w:jc w:val="center"/>
              <w:rPr>
                <w:sz w:val="20"/>
                <w:szCs w:val="20"/>
                <w:lang w:val="es-ES"/>
              </w:rPr>
            </w:pPr>
            <w:r w:rsidRPr="00232EBB">
              <w:rPr>
                <w:sz w:val="20"/>
                <w:szCs w:val="20"/>
                <w:lang w:val="es-ES"/>
              </w:rPr>
              <w:t>-</w:t>
            </w:r>
          </w:p>
        </w:tc>
        <w:tc>
          <w:tcPr>
            <w:tcW w:w="953" w:type="dxa"/>
            <w:vAlign w:val="center"/>
          </w:tcPr>
          <w:p w14:paraId="52C67FAD" w14:textId="77777777" w:rsidR="00E3132B" w:rsidRPr="00232EBB" w:rsidRDefault="00E3132B" w:rsidP="00747056">
            <w:pPr>
              <w:spacing w:line="240" w:lineRule="auto"/>
              <w:jc w:val="center"/>
              <w:rPr>
                <w:sz w:val="20"/>
                <w:szCs w:val="20"/>
                <w:lang w:val="es-ES"/>
              </w:rPr>
            </w:pPr>
            <w:r w:rsidRPr="00232EBB">
              <w:rPr>
                <w:sz w:val="20"/>
                <w:szCs w:val="20"/>
                <w:lang w:val="es-ES"/>
              </w:rPr>
              <w:t>50%</w:t>
            </w:r>
          </w:p>
        </w:tc>
        <w:tc>
          <w:tcPr>
            <w:tcW w:w="974" w:type="dxa"/>
            <w:vAlign w:val="center"/>
          </w:tcPr>
          <w:p w14:paraId="241CEEC9" w14:textId="77777777" w:rsidR="00E3132B" w:rsidRPr="00232EBB" w:rsidRDefault="00E3132B" w:rsidP="00747056">
            <w:pPr>
              <w:spacing w:line="240" w:lineRule="auto"/>
              <w:jc w:val="center"/>
              <w:rPr>
                <w:sz w:val="20"/>
                <w:szCs w:val="20"/>
                <w:lang w:val="es-ES"/>
              </w:rPr>
            </w:pPr>
            <w:r w:rsidRPr="00232EBB">
              <w:rPr>
                <w:sz w:val="20"/>
                <w:szCs w:val="20"/>
                <w:lang w:val="es-ES"/>
              </w:rPr>
              <w:t>80%</w:t>
            </w:r>
          </w:p>
        </w:tc>
        <w:tc>
          <w:tcPr>
            <w:tcW w:w="810" w:type="dxa"/>
            <w:vAlign w:val="center"/>
          </w:tcPr>
          <w:p w14:paraId="05014DD2"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r w:rsidR="00E3132B" w:rsidRPr="00232EBB" w14:paraId="7FEF3FF0" w14:textId="77777777" w:rsidTr="00747056">
        <w:trPr>
          <w:trHeight w:val="19"/>
          <w:jc w:val="center"/>
        </w:trPr>
        <w:tc>
          <w:tcPr>
            <w:tcW w:w="3685" w:type="dxa"/>
            <w:noWrap/>
            <w:vAlign w:val="center"/>
          </w:tcPr>
          <w:p w14:paraId="5DA499D3" w14:textId="77777777" w:rsidR="00E3132B" w:rsidRPr="00232EBB" w:rsidRDefault="00E3132B" w:rsidP="0055368C">
            <w:pPr>
              <w:spacing w:line="240" w:lineRule="auto"/>
              <w:jc w:val="both"/>
              <w:rPr>
                <w:sz w:val="20"/>
                <w:szCs w:val="20"/>
                <w:lang w:val="es-ES"/>
              </w:rPr>
            </w:pPr>
            <w:r w:rsidRPr="00232EBB">
              <w:rPr>
                <w:sz w:val="20"/>
                <w:szCs w:val="20"/>
                <w:lang w:val="es-ES"/>
              </w:rPr>
              <w:t xml:space="preserve">Fomentar en un 100% el conocimiento del sistema de </w:t>
            </w:r>
            <w:r w:rsidRPr="00232EBB">
              <w:rPr>
                <w:sz w:val="20"/>
                <w:szCs w:val="20"/>
                <w:lang w:val="es-ES"/>
              </w:rPr>
              <w:lastRenderedPageBreak/>
              <w:t>consecuencias ante el soborno e incumplimiento regulatorio</w:t>
            </w:r>
          </w:p>
        </w:tc>
        <w:tc>
          <w:tcPr>
            <w:tcW w:w="810" w:type="dxa"/>
            <w:noWrap/>
            <w:vAlign w:val="center"/>
          </w:tcPr>
          <w:p w14:paraId="0EAE1C7B" w14:textId="77777777" w:rsidR="00E3132B" w:rsidRPr="00232EBB" w:rsidRDefault="00E3132B" w:rsidP="00747056">
            <w:pPr>
              <w:spacing w:line="240" w:lineRule="auto"/>
              <w:jc w:val="center"/>
              <w:rPr>
                <w:sz w:val="20"/>
                <w:szCs w:val="20"/>
                <w:lang w:val="es-ES"/>
              </w:rPr>
            </w:pPr>
            <w:r w:rsidRPr="00232EBB">
              <w:rPr>
                <w:sz w:val="20"/>
                <w:szCs w:val="20"/>
                <w:lang w:val="es-ES"/>
              </w:rPr>
              <w:lastRenderedPageBreak/>
              <w:t>100%</w:t>
            </w:r>
          </w:p>
        </w:tc>
        <w:tc>
          <w:tcPr>
            <w:tcW w:w="953" w:type="dxa"/>
            <w:noWrap/>
            <w:vAlign w:val="center"/>
          </w:tcPr>
          <w:p w14:paraId="48875294" w14:textId="77777777" w:rsidR="00E3132B" w:rsidRPr="00232EBB" w:rsidRDefault="00E3132B" w:rsidP="00747056">
            <w:pPr>
              <w:spacing w:line="240" w:lineRule="auto"/>
              <w:jc w:val="center"/>
              <w:rPr>
                <w:sz w:val="20"/>
                <w:szCs w:val="20"/>
                <w:lang w:val="es-ES"/>
              </w:rPr>
            </w:pPr>
            <w:r w:rsidRPr="00232EBB">
              <w:rPr>
                <w:sz w:val="20"/>
                <w:szCs w:val="20"/>
                <w:lang w:val="es-ES"/>
              </w:rPr>
              <w:t>-</w:t>
            </w:r>
          </w:p>
        </w:tc>
        <w:tc>
          <w:tcPr>
            <w:tcW w:w="953" w:type="dxa"/>
            <w:vAlign w:val="center"/>
          </w:tcPr>
          <w:p w14:paraId="0A77E4F1" w14:textId="77777777" w:rsidR="00E3132B" w:rsidRPr="00232EBB" w:rsidRDefault="00E3132B" w:rsidP="00747056">
            <w:pPr>
              <w:spacing w:line="240" w:lineRule="auto"/>
              <w:jc w:val="center"/>
              <w:rPr>
                <w:sz w:val="20"/>
                <w:szCs w:val="20"/>
                <w:lang w:val="es-ES"/>
              </w:rPr>
            </w:pPr>
            <w:r w:rsidRPr="00232EBB">
              <w:rPr>
                <w:sz w:val="20"/>
                <w:szCs w:val="20"/>
                <w:lang w:val="es-ES"/>
              </w:rPr>
              <w:t>25%</w:t>
            </w:r>
          </w:p>
        </w:tc>
        <w:tc>
          <w:tcPr>
            <w:tcW w:w="974" w:type="dxa"/>
            <w:vAlign w:val="center"/>
          </w:tcPr>
          <w:p w14:paraId="3496979E" w14:textId="77777777" w:rsidR="00E3132B" w:rsidRPr="00232EBB" w:rsidRDefault="00E3132B" w:rsidP="00747056">
            <w:pPr>
              <w:spacing w:line="240" w:lineRule="auto"/>
              <w:jc w:val="center"/>
              <w:rPr>
                <w:sz w:val="20"/>
                <w:szCs w:val="20"/>
                <w:lang w:val="es-ES"/>
              </w:rPr>
            </w:pPr>
            <w:r w:rsidRPr="00232EBB">
              <w:rPr>
                <w:sz w:val="20"/>
                <w:szCs w:val="20"/>
                <w:lang w:val="es-ES"/>
              </w:rPr>
              <w:t>62.5%</w:t>
            </w:r>
          </w:p>
        </w:tc>
        <w:tc>
          <w:tcPr>
            <w:tcW w:w="810" w:type="dxa"/>
            <w:vAlign w:val="center"/>
          </w:tcPr>
          <w:p w14:paraId="1043465E" w14:textId="77777777" w:rsidR="00E3132B" w:rsidRPr="00232EBB" w:rsidRDefault="00E3132B" w:rsidP="00747056">
            <w:pPr>
              <w:spacing w:line="240" w:lineRule="auto"/>
              <w:jc w:val="center"/>
              <w:rPr>
                <w:sz w:val="20"/>
                <w:szCs w:val="20"/>
                <w:lang w:val="es-ES"/>
              </w:rPr>
            </w:pPr>
            <w:r w:rsidRPr="00232EBB">
              <w:rPr>
                <w:sz w:val="20"/>
                <w:szCs w:val="20"/>
                <w:lang w:val="es-ES"/>
              </w:rPr>
              <w:t>100%</w:t>
            </w:r>
          </w:p>
        </w:tc>
      </w:tr>
    </w:tbl>
    <w:p w14:paraId="346C489C" w14:textId="7240AAF8" w:rsidR="00E314FC" w:rsidRPr="00232EBB" w:rsidRDefault="00E314FC" w:rsidP="00E314FC">
      <w:pPr>
        <w:spacing w:after="0" w:line="360" w:lineRule="auto"/>
        <w:rPr>
          <w:sz w:val="18"/>
          <w:szCs w:val="18"/>
          <w:lang w:val="es-DO"/>
        </w:rPr>
      </w:pPr>
      <w:r w:rsidRPr="00232EBB">
        <w:rPr>
          <w:b/>
          <w:bCs/>
          <w:sz w:val="18"/>
          <w:szCs w:val="18"/>
          <w:lang w:val="es-DO"/>
        </w:rPr>
        <w:t>Tabla</w:t>
      </w:r>
      <w:r w:rsidR="00DC4778" w:rsidRPr="00232EBB">
        <w:rPr>
          <w:b/>
          <w:bCs/>
          <w:sz w:val="18"/>
          <w:szCs w:val="18"/>
          <w:lang w:val="es-DO"/>
        </w:rPr>
        <w:t xml:space="preserve"> 2</w:t>
      </w:r>
      <w:r w:rsidR="00C547FF" w:rsidRPr="00232EBB">
        <w:rPr>
          <w:b/>
          <w:bCs/>
          <w:sz w:val="18"/>
          <w:szCs w:val="18"/>
          <w:lang w:val="es-DO"/>
        </w:rPr>
        <w:t>3</w:t>
      </w:r>
      <w:r w:rsidRPr="00232EBB">
        <w:rPr>
          <w:b/>
          <w:bCs/>
          <w:sz w:val="18"/>
          <w:szCs w:val="18"/>
          <w:lang w:val="es-DO"/>
        </w:rPr>
        <w:t xml:space="preserve">: </w:t>
      </w:r>
      <w:r w:rsidR="00592BE2" w:rsidRPr="00232EBB">
        <w:rPr>
          <w:sz w:val="18"/>
          <w:szCs w:val="18"/>
          <w:lang w:val="es-DO"/>
        </w:rPr>
        <w:t xml:space="preserve">Objetivos Sistema de Gestión Integrado </w:t>
      </w:r>
      <w:r w:rsidRPr="00232EBB">
        <w:rPr>
          <w:sz w:val="18"/>
          <w:szCs w:val="18"/>
          <w:lang w:val="es-DO"/>
        </w:rPr>
        <w:t>2025</w:t>
      </w:r>
    </w:p>
    <w:p w14:paraId="51D3C4B2" w14:textId="77777777" w:rsidR="00C45649" w:rsidRPr="00232EBB" w:rsidRDefault="00C45649" w:rsidP="00592BE2">
      <w:pPr>
        <w:spacing w:line="360" w:lineRule="auto"/>
        <w:jc w:val="both"/>
        <w:rPr>
          <w:lang w:val="es-ES"/>
        </w:rPr>
      </w:pPr>
    </w:p>
    <w:p w14:paraId="087145ED" w14:textId="64920B98" w:rsidR="00FB1BA1" w:rsidRPr="00232EBB" w:rsidRDefault="00E3132B" w:rsidP="00592BE2">
      <w:pPr>
        <w:spacing w:line="360" w:lineRule="auto"/>
        <w:jc w:val="both"/>
        <w:rPr>
          <w:lang w:val="es-ES"/>
        </w:rPr>
      </w:pPr>
      <w:r w:rsidRPr="00232EBB">
        <w:rPr>
          <w:lang w:val="es-ES"/>
        </w:rPr>
        <w:t>Otro de los avances relevantes de este período fue el fortalecimiento de la gestión documental, logrando la migración de documentos no controlados hacia los controlados en el INTRANET. Este proceso permitió organizar, estandarizar y asegurar la trazabilidad de la información institucional, garantizando que cada documento cuente con versiones oficiales, actualizadas y accesibles para todos los colaboradores. Esta mejora no solo aporta mayor orden y transparencia, sino que también fortalece la eficiencia operativa y el cumplimiento de los lineamientos establecidos para la administración pública moderna.</w:t>
      </w:r>
    </w:p>
    <w:p w14:paraId="0047F81B" w14:textId="65339F40" w:rsidR="00E3132B" w:rsidRPr="00232EBB" w:rsidRDefault="00E3132B" w:rsidP="00097B97">
      <w:pPr>
        <w:spacing w:line="360" w:lineRule="auto"/>
        <w:jc w:val="both"/>
        <w:rPr>
          <w:rFonts w:eastAsia="Calibri"/>
          <w:b/>
          <w:bCs/>
          <w:noProof/>
          <w:lang w:val="es-DO"/>
        </w:rPr>
      </w:pPr>
      <w:r w:rsidRPr="00232EBB">
        <w:rPr>
          <w:rFonts w:eastAsia="Calibri"/>
          <w:b/>
          <w:bCs/>
          <w:noProof/>
          <w:lang w:val="es-DO"/>
        </w:rPr>
        <w:t xml:space="preserve">Avances indicadores SISMAP </w:t>
      </w:r>
    </w:p>
    <w:p w14:paraId="6405E42C" w14:textId="77777777" w:rsidR="00E3132B" w:rsidRPr="00232EBB" w:rsidRDefault="00E3132B" w:rsidP="00E3132B">
      <w:pPr>
        <w:spacing w:line="360" w:lineRule="auto"/>
        <w:jc w:val="both"/>
        <w:rPr>
          <w:lang w:val="es-ES"/>
        </w:rPr>
      </w:pPr>
      <w:r w:rsidRPr="00232EBB">
        <w:rPr>
          <w:lang w:val="es-ES"/>
        </w:rPr>
        <w:t>Durante este período alcanzamos un hito significativo en materia de gestión institucional, logrando posicionarnos con un 89 % en el SISMAP, a pesar de los ajustes introducidos en la metodología y la incorporación de nuevos indicadores. Este resultado refleja nuestro compromiso con la mejora continua y la excelencia en la administración pública.</w:t>
      </w:r>
    </w:p>
    <w:p w14:paraId="510F46F3" w14:textId="77777777" w:rsidR="00E3132B" w:rsidRPr="00232EBB" w:rsidRDefault="00E3132B" w:rsidP="00E3132B">
      <w:pPr>
        <w:spacing w:line="360" w:lineRule="auto"/>
        <w:jc w:val="both"/>
        <w:rPr>
          <w:lang w:val="es-ES"/>
        </w:rPr>
      </w:pPr>
      <w:r w:rsidRPr="00232EBB">
        <w:rPr>
          <w:lang w:val="es-ES"/>
        </w:rPr>
        <w:t>Entre los avances más relevantes se destacan:</w:t>
      </w:r>
    </w:p>
    <w:p w14:paraId="5221ADC5" w14:textId="641564E5" w:rsidR="00E3132B" w:rsidRPr="00232EBB" w:rsidRDefault="00E3132B" w:rsidP="000E2299">
      <w:pPr>
        <w:pStyle w:val="ListParagraph"/>
        <w:numPr>
          <w:ilvl w:val="0"/>
          <w:numId w:val="22"/>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Implementación de Acciones de Inclusión y Accesibilidad (Indicador 09.6): Consolidamos iniciativas que garantizan servicios accesibles para todos, fortaleciendo la equidad y la inclusión.</w:t>
      </w:r>
    </w:p>
    <w:p w14:paraId="71144212" w14:textId="7CAFC856" w:rsidR="00E3132B" w:rsidRPr="00232EBB" w:rsidRDefault="00E3132B" w:rsidP="000E2299">
      <w:pPr>
        <w:pStyle w:val="ListParagraph"/>
        <w:numPr>
          <w:ilvl w:val="0"/>
          <w:numId w:val="22"/>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 xml:space="preserve">Monitoreo de la Calidad de los Servicios (Indicador 01.6): Por primera vez, la evaluación se realizó a través de la plataforma del Observatorio de la Calidad de los Servicios </w:t>
      </w:r>
      <w:r w:rsidRPr="00232EBB">
        <w:rPr>
          <w:rFonts w:ascii="Times New Roman" w:eastAsiaTheme="minorHAnsi" w:hAnsi="Times New Roman"/>
          <w:color w:val="767171"/>
          <w:spacing w:val="20"/>
          <w:sz w:val="24"/>
          <w:szCs w:val="24"/>
          <w:lang w:val="es-ES"/>
        </w:rPr>
        <w:lastRenderedPageBreak/>
        <w:t>Públicos, donde obtuvimos un 87 %, confirmando nuestro esfuerzo por mantener estándares elevados y una cultura de calidad.</w:t>
      </w:r>
    </w:p>
    <w:p w14:paraId="31378EC5" w14:textId="2CC72A0F" w:rsidR="00E3132B" w:rsidRPr="00232EBB" w:rsidRDefault="00E3132B" w:rsidP="000E2299">
      <w:pPr>
        <w:pStyle w:val="ListParagraph"/>
        <w:numPr>
          <w:ilvl w:val="0"/>
          <w:numId w:val="22"/>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Autoevaluación CAF: Alcanzamos un 100 %, demostrando la madurez institucional en la gestión de calidad y gobernanza.</w:t>
      </w:r>
    </w:p>
    <w:p w14:paraId="3B6CFA80" w14:textId="364CF050" w:rsidR="00E3132B" w:rsidRPr="00232EBB" w:rsidRDefault="00E3132B" w:rsidP="000E2299">
      <w:pPr>
        <w:pStyle w:val="ListParagraph"/>
        <w:numPr>
          <w:ilvl w:val="0"/>
          <w:numId w:val="22"/>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Estandarización de Procesos: Avanzamos en la formalización y optimización de procedimientos internos, asegurando mayor eficiencia y transparencia.</w:t>
      </w:r>
    </w:p>
    <w:p w14:paraId="5ED2DFA8" w14:textId="226F1F25" w:rsidR="00E3132B" w:rsidRPr="00232EBB" w:rsidRDefault="00E3132B" w:rsidP="000E2299">
      <w:pPr>
        <w:pStyle w:val="ListParagraph"/>
        <w:numPr>
          <w:ilvl w:val="0"/>
          <w:numId w:val="22"/>
        </w:numPr>
        <w:spacing w:line="360" w:lineRule="auto"/>
        <w:rPr>
          <w:rFonts w:ascii="Times New Roman" w:eastAsiaTheme="minorHAnsi" w:hAnsi="Times New Roman"/>
          <w:color w:val="767171"/>
          <w:spacing w:val="20"/>
          <w:sz w:val="24"/>
          <w:szCs w:val="24"/>
          <w:lang w:val="es-ES"/>
        </w:rPr>
      </w:pPr>
      <w:r w:rsidRPr="00232EBB">
        <w:rPr>
          <w:rFonts w:ascii="Times New Roman" w:eastAsiaTheme="minorHAnsi" w:hAnsi="Times New Roman"/>
          <w:color w:val="767171"/>
          <w:spacing w:val="20"/>
          <w:sz w:val="24"/>
          <w:szCs w:val="24"/>
          <w:lang w:val="es-ES"/>
        </w:rPr>
        <w:t xml:space="preserve">Carta Compromiso al Ciudadano: Hemos actualizado nuestra carta compromiso, extendiendo su vigencia de junio de 2025 a junio de 2027. La nueva versión es más didáctica e interactiva para las localidades e incorpora un código QR para acceder a nuestra encuesta de satisfacción. </w:t>
      </w:r>
    </w:p>
    <w:p w14:paraId="5ADB2418" w14:textId="77777777" w:rsidR="00E3132B" w:rsidRPr="00232EBB" w:rsidRDefault="00E3132B" w:rsidP="00E3132B">
      <w:pPr>
        <w:spacing w:line="360" w:lineRule="auto"/>
        <w:jc w:val="both"/>
        <w:rPr>
          <w:lang w:val="es-ES"/>
        </w:rPr>
      </w:pPr>
      <w:r w:rsidRPr="00232EBB">
        <w:rPr>
          <w:lang w:val="es-ES"/>
        </w:rPr>
        <w:t>Asimismo, se añadieron los servicios de Capacitaciones, Acuerdos de Pago y Solicitud de Alta de Empleador, lo que nos permite comprometernos con atributos de profesionalidad en las capacitaciones y con tiempos de respuesta para los demás servicios, garantizando así la transparencia institucional. La carta compromiso fue actualizada conforme a nuestra misión, visión y valores, alineados al Plan Estratégico Institucional 2025–2028.</w:t>
      </w:r>
    </w:p>
    <w:p w14:paraId="2404946C" w14:textId="621898A0" w:rsidR="00E3132B" w:rsidRPr="00232EBB" w:rsidRDefault="00747056" w:rsidP="00F65B16">
      <w:pPr>
        <w:spacing w:line="360" w:lineRule="auto"/>
        <w:jc w:val="center"/>
        <w:rPr>
          <w:lang w:val="es-ES"/>
        </w:rPr>
      </w:pPr>
      <w:r w:rsidRPr="00232EBB">
        <w:rPr>
          <w:noProof/>
        </w:rPr>
        <w:drawing>
          <wp:inline distT="0" distB="0" distL="0" distR="0" wp14:anchorId="64A41481" wp14:editId="40380626">
            <wp:extent cx="3955138" cy="2414905"/>
            <wp:effectExtent l="0" t="0" r="7620" b="4445"/>
            <wp:docPr id="2024036583"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09040" name="Imagen 1" descr="Interfaz de usuario gráfica, Texto&#10;&#10;El contenido generado por IA puede ser incorrecto."/>
                    <pic:cNvPicPr/>
                  </pic:nvPicPr>
                  <pic:blipFill>
                    <a:blip r:embed="rId55"/>
                    <a:stretch>
                      <a:fillRect/>
                    </a:stretch>
                  </pic:blipFill>
                  <pic:spPr>
                    <a:xfrm>
                      <a:off x="0" y="0"/>
                      <a:ext cx="3985105" cy="2433202"/>
                    </a:xfrm>
                    <a:prstGeom prst="rect">
                      <a:avLst/>
                    </a:prstGeom>
                  </pic:spPr>
                </pic:pic>
              </a:graphicData>
            </a:graphic>
          </wp:inline>
        </w:drawing>
      </w:r>
    </w:p>
    <w:p w14:paraId="3BB941C1" w14:textId="2CD99030" w:rsidR="005259E7" w:rsidRPr="00232EBB" w:rsidRDefault="005259E7" w:rsidP="005259E7">
      <w:pPr>
        <w:spacing w:line="360" w:lineRule="auto"/>
        <w:jc w:val="both"/>
        <w:rPr>
          <w:rFonts w:eastAsia="Calibri"/>
          <w:b/>
          <w:bCs/>
          <w:noProof/>
          <w:lang w:val="es-DO"/>
        </w:rPr>
      </w:pPr>
      <w:r w:rsidRPr="00232EBB">
        <w:rPr>
          <w:b/>
          <w:color w:val="808080" w:themeColor="background1" w:themeShade="80"/>
          <w:sz w:val="18"/>
          <w:szCs w:val="20"/>
          <w:lang w:val="es-ES"/>
        </w:rPr>
        <w:t xml:space="preserve">Imagen </w:t>
      </w:r>
      <w:r w:rsidR="00C45649" w:rsidRPr="00232EBB">
        <w:rPr>
          <w:b/>
          <w:color w:val="808080" w:themeColor="background1" w:themeShade="80"/>
          <w:sz w:val="18"/>
          <w:szCs w:val="20"/>
          <w:lang w:val="es-ES"/>
        </w:rPr>
        <w:t>5</w:t>
      </w:r>
      <w:r w:rsidRPr="00232EBB">
        <w:rPr>
          <w:b/>
          <w:color w:val="808080" w:themeColor="background1" w:themeShade="80"/>
          <w:sz w:val="18"/>
          <w:szCs w:val="20"/>
          <w:lang w:val="es-ES"/>
        </w:rPr>
        <w:t>:</w:t>
      </w:r>
      <w:r w:rsidRPr="00232EBB">
        <w:rPr>
          <w:color w:val="808080" w:themeColor="background1" w:themeShade="80"/>
          <w:sz w:val="18"/>
          <w:szCs w:val="20"/>
          <w:lang w:val="es-ES"/>
        </w:rPr>
        <w:t xml:space="preserve"> Carta al Ciudadano 2025</w:t>
      </w:r>
    </w:p>
    <w:p w14:paraId="116689E8" w14:textId="76C07D20" w:rsidR="00E3132B" w:rsidRPr="00232EBB" w:rsidRDefault="00E3132B" w:rsidP="00E3132B">
      <w:pPr>
        <w:spacing w:line="360" w:lineRule="auto"/>
        <w:jc w:val="both"/>
        <w:rPr>
          <w:rFonts w:eastAsia="Calibri"/>
          <w:b/>
          <w:bCs/>
          <w:noProof/>
          <w:lang w:val="es-DO"/>
        </w:rPr>
      </w:pPr>
      <w:r w:rsidRPr="00232EBB">
        <w:rPr>
          <w:rFonts w:eastAsia="Calibri"/>
          <w:b/>
          <w:bCs/>
          <w:noProof/>
          <w:lang w:val="es-DO"/>
        </w:rPr>
        <w:lastRenderedPageBreak/>
        <w:t xml:space="preserve">Manual de Organización y Funciones </w:t>
      </w:r>
    </w:p>
    <w:p w14:paraId="25C555B6" w14:textId="77777777" w:rsidR="00E3132B" w:rsidRPr="00232EBB" w:rsidRDefault="00E3132B" w:rsidP="00E3132B">
      <w:pPr>
        <w:spacing w:line="360" w:lineRule="auto"/>
        <w:jc w:val="both"/>
        <w:rPr>
          <w:lang w:val="es-ES"/>
        </w:rPr>
      </w:pPr>
      <w:r w:rsidRPr="00232EBB">
        <w:rPr>
          <w:lang w:val="es-ES"/>
        </w:rPr>
        <w:t>Mediante la resolución 03-2025 fue aprobado el Manual de Organización y Funciones de la Tesorería de la Seguridad Social detallándose la descripción de las unidades organizativas, sus competencias y funciones sirviendo como instrumento técnico institucional a la estructura organizacional aprobado.</w:t>
      </w:r>
    </w:p>
    <w:p w14:paraId="1E75E516" w14:textId="77777777" w:rsidR="00E3132B" w:rsidRPr="00232EBB" w:rsidRDefault="00E3132B" w:rsidP="00E3132B">
      <w:pPr>
        <w:spacing w:line="360" w:lineRule="auto"/>
        <w:jc w:val="both"/>
        <w:rPr>
          <w:lang w:val="es-ES"/>
        </w:rPr>
      </w:pPr>
      <w:r w:rsidRPr="00232EBB">
        <w:rPr>
          <w:lang w:val="es-ES"/>
        </w:rPr>
        <w:t>Estos logros son el resultado del trabajo colectivo orientado a fortalecer la cultura de calidad, garantizar servicios accesibles e inclusivos, y consolidar la gestión institucional como referente en el sector público.</w:t>
      </w:r>
    </w:p>
    <w:p w14:paraId="1A451CF5" w14:textId="604AA547" w:rsidR="00E3132B" w:rsidRPr="00232EBB" w:rsidRDefault="00E3132B" w:rsidP="00E3132B">
      <w:pPr>
        <w:spacing w:line="360" w:lineRule="auto"/>
        <w:jc w:val="both"/>
        <w:rPr>
          <w:rFonts w:eastAsia="Calibri"/>
          <w:b/>
          <w:bCs/>
          <w:noProof/>
          <w:lang w:val="es-DO"/>
        </w:rPr>
      </w:pPr>
      <w:r w:rsidRPr="00232EBB">
        <w:rPr>
          <w:rFonts w:eastAsia="Calibri"/>
          <w:b/>
          <w:bCs/>
          <w:noProof/>
          <w:lang w:val="es-DO"/>
        </w:rPr>
        <w:t>Manual de Cargos Comunes y Típicos actualizado</w:t>
      </w:r>
    </w:p>
    <w:p w14:paraId="482FE114" w14:textId="7EAD531B" w:rsidR="00097B97" w:rsidRPr="00232EBB" w:rsidRDefault="00E3132B" w:rsidP="00E3132B">
      <w:pPr>
        <w:spacing w:line="360" w:lineRule="auto"/>
        <w:jc w:val="both"/>
        <w:rPr>
          <w:lang w:val="es-ES"/>
        </w:rPr>
      </w:pPr>
      <w:r w:rsidRPr="00232EBB">
        <w:rPr>
          <w:lang w:val="es-ES"/>
        </w:rPr>
        <w:t>Mediante la Resolución No. 05-2025 fue aprobado el Manual de Cargos Comunes y Típicos el cual representa un instrumento de apoyo para los procesos institucionales de reclutamiento, selección, inducción, capacitación, evaluación del desempeño y desarrollo del personal, contribuyendo a fortalecer la profesionalización, meritocracia y eficiencia en la gestión del talento humano de la Tesorería de la Seguridad Social</w:t>
      </w:r>
      <w:r w:rsidR="00097B97" w:rsidRPr="00232EBB">
        <w:rPr>
          <w:lang w:val="es-ES"/>
        </w:rPr>
        <w:t>.</w:t>
      </w:r>
    </w:p>
    <w:p w14:paraId="4BB9149F" w14:textId="3E8631CC" w:rsidR="000C47CC" w:rsidRPr="00232EBB" w:rsidRDefault="000C47CC" w:rsidP="005A76F1">
      <w:pPr>
        <w:pStyle w:val="Heading1"/>
        <w:spacing w:after="240" w:line="259" w:lineRule="auto"/>
        <w:jc w:val="both"/>
        <w:rPr>
          <w:rFonts w:cs="Times New Roman"/>
          <w:spacing w:val="0"/>
          <w:lang w:val="es-DO"/>
        </w:rPr>
      </w:pPr>
      <w:bookmarkStart w:id="263" w:name="_Toc216952266"/>
      <w:r w:rsidRPr="00232EBB">
        <w:rPr>
          <w:rFonts w:cs="Times New Roman"/>
          <w:spacing w:val="0"/>
          <w:lang w:val="es-DO"/>
        </w:rPr>
        <w:t>4.6 Desempeño del Área de Comunicaciones</w:t>
      </w:r>
      <w:bookmarkEnd w:id="262"/>
      <w:bookmarkEnd w:id="263"/>
    </w:p>
    <w:p w14:paraId="67936FDD"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El Departamento de Comunicaciones de la Tesorería de la Seguridad Social (TSS) constituye un área transversal a toda la organización, con la responsabilidad de apoyar a las distintas unidades institucionales en la difusión de sus logros y avances. Su propósito es contribuir al posicionamiento positivo de la TSS ante la ciudadanía, destacando el crecimiento de las recaudaciones del Sistema Dominicano de Seguridad Social (SDSS), el aumento sostenido de cotizantes, y los beneficios derivados del registro oportuno de empleadores y trabajadores.</w:t>
      </w:r>
    </w:p>
    <w:p w14:paraId="1E376068"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lastRenderedPageBreak/>
        <w:t>Este Departamento diseña estrategias de comunicación y genera contenidos para los diferentes canales institucionales. Además de los procesos administrativos propios, opera a través de tres áreas clave: comunicación digital, gestión de medios (prensa) y comunicación interna. Desde estas líneas de trabajo se han alcanzado importantes resultados que han favorecido el clima organizacional, reforzado el sentido de pertenencia entre los colaboradores, y promovido el conocimiento público sobre el rol de la TSS dentro del SDSS.</w:t>
      </w:r>
    </w:p>
    <w:p w14:paraId="4D7A3791"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Durante el 2025, el Departamento de Comunicaciones ha trabajado de forma estratégica y articulada en sus tres áreas operativas, logrando avances sustanciales en la proyección de la TSS hacia la ciudadanía, en el fortalecimiento del vínculo con los medios, y en la consolidación de la comunicación interna como motor del bienestar y la identidad organizacional.</w:t>
      </w:r>
    </w:p>
    <w:p w14:paraId="64B2A1F2" w14:textId="77777777" w:rsidR="004208C9" w:rsidRPr="00232EBB" w:rsidRDefault="004208C9" w:rsidP="004208C9">
      <w:pPr>
        <w:spacing w:line="360" w:lineRule="auto"/>
        <w:jc w:val="both"/>
        <w:rPr>
          <w:b/>
          <w:bCs/>
          <w:lang w:val="es-DO"/>
        </w:rPr>
      </w:pPr>
      <w:r w:rsidRPr="00232EBB">
        <w:rPr>
          <w:b/>
          <w:bCs/>
          <w:lang w:val="es-DO"/>
        </w:rPr>
        <w:t>Comunicación digital</w:t>
      </w:r>
    </w:p>
    <w:p w14:paraId="33FBACD0"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La TSS mantiene presencia activa en seis plataformas sociales: Instagram, X, LinkedIn, Facebook, YouTube y Threads. A través de estos canales se difunden, de forma continua, noticias institucionales, iniciativas, servicios y contenidos educativos dirigidos a trabajadores y empleadores.</w:t>
      </w:r>
    </w:p>
    <w:p w14:paraId="5921709E" w14:textId="77777777" w:rsidR="004208C9" w:rsidRPr="00232EBB" w:rsidRDefault="004208C9" w:rsidP="004208C9">
      <w:pPr>
        <w:spacing w:line="360" w:lineRule="auto"/>
        <w:jc w:val="both"/>
        <w:rPr>
          <w:b/>
          <w:bCs/>
          <w:lang w:val="es-DO"/>
        </w:rPr>
      </w:pPr>
      <w:r w:rsidRPr="00232EBB">
        <w:rPr>
          <w:b/>
          <w:bCs/>
          <w:lang w:val="es-DO"/>
        </w:rPr>
        <w:t>Entre las campañas destacadas del 2025 se encuentran:</w:t>
      </w:r>
    </w:p>
    <w:p w14:paraId="72EA3B0E" w14:textId="4E88C4C7" w:rsidR="004208C9" w:rsidRPr="00232EBB" w:rsidRDefault="004208C9" w:rsidP="000E2299">
      <w:pPr>
        <w:pStyle w:val="ListParagraph"/>
        <w:numPr>
          <w:ilvl w:val="0"/>
          <w:numId w:val="15"/>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Difusión de la nueva plataforma de servicios en línea.</w:t>
      </w:r>
    </w:p>
    <w:p w14:paraId="1EE88A3D" w14:textId="45BEA87C" w:rsidR="004208C9" w:rsidRPr="00232EBB" w:rsidRDefault="004208C9" w:rsidP="000E2299">
      <w:pPr>
        <w:pStyle w:val="ListParagraph"/>
        <w:numPr>
          <w:ilvl w:val="0"/>
          <w:numId w:val="15"/>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Cobertura de la apertura del Punto GOB San Cristóbal.</w:t>
      </w:r>
    </w:p>
    <w:p w14:paraId="5A0C0D44" w14:textId="3E528233" w:rsidR="004208C9" w:rsidRPr="00232EBB" w:rsidRDefault="004208C9" w:rsidP="000E2299">
      <w:pPr>
        <w:pStyle w:val="ListParagraph"/>
        <w:numPr>
          <w:ilvl w:val="0"/>
          <w:numId w:val="15"/>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Promoción del proceso de devolución de aportes por pagos en exceso y per cápitas no dispersadas del 2024.</w:t>
      </w:r>
    </w:p>
    <w:p w14:paraId="1B65D202" w14:textId="543EF198" w:rsidR="004208C9" w:rsidRPr="00232EBB" w:rsidRDefault="004208C9" w:rsidP="000E2299">
      <w:pPr>
        <w:pStyle w:val="ListParagraph"/>
        <w:numPr>
          <w:ilvl w:val="0"/>
          <w:numId w:val="15"/>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Apoyo a las capacitaciones sobre el uso del SUIR.</w:t>
      </w:r>
    </w:p>
    <w:p w14:paraId="2C364436" w14:textId="2E3BBBBE" w:rsidR="004208C9" w:rsidRPr="00232EBB" w:rsidRDefault="004208C9" w:rsidP="000E2299">
      <w:pPr>
        <w:pStyle w:val="ListParagraph"/>
        <w:numPr>
          <w:ilvl w:val="0"/>
          <w:numId w:val="15"/>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Y la campaña publicitaria “Hazlo en línea con la TSS”, que busca dar a conocer los canales digitales de la institución para la prestación de los servicios.</w:t>
      </w:r>
    </w:p>
    <w:p w14:paraId="38E388E9"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lastRenderedPageBreak/>
        <w:t>Asimismo, se desarrollaron las identidades visuales de los asistentes virtuales de la Tesorería de la Seguridad Social: Newton, científico de datos, y Tessa, asistente virtual de Servicios. Esta iniciativa fortaleció la coherencia visual de las plataformas digitales de la institución y aportó mayor claridad e identificación para los usuarios que interactúan con estos canales.</w:t>
      </w:r>
    </w:p>
    <w:p w14:paraId="0C081C74"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La página web institucional continúa siendo una herramienta de consulta clave. Se actualiza con notas de prensa, novedades, modificaciones en los servicios y apertura de nuevos canales de atención.</w:t>
      </w:r>
    </w:p>
    <w:p w14:paraId="2E383E65"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El enfoque de comunicación digital prioriza la cercanía, la sencillez y el lenguaje claro, con el objetivo de conectar con la ciudadanía, especialmente trabajadores y empleadores, e informar de manera accesible y efectiva.</w:t>
      </w:r>
    </w:p>
    <w:p w14:paraId="3EBE81A2"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Actualmente, las plataformas sociales de la TSS cuentan con las siguientes cifras de seguidores:</w:t>
      </w:r>
    </w:p>
    <w:p w14:paraId="2D7FEEA2" w14:textId="0C9E324F" w:rsidR="004208C9" w:rsidRPr="00232EBB" w:rsidRDefault="004208C9" w:rsidP="000E2299">
      <w:pPr>
        <w:pStyle w:val="ListParagraph"/>
        <w:numPr>
          <w:ilvl w:val="0"/>
          <w:numId w:val="16"/>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Instagram: 65,918</w:t>
      </w:r>
    </w:p>
    <w:p w14:paraId="1FF27AF8" w14:textId="187C3551" w:rsidR="004208C9" w:rsidRPr="00232EBB" w:rsidRDefault="004208C9" w:rsidP="000E2299">
      <w:pPr>
        <w:pStyle w:val="ListParagraph"/>
        <w:numPr>
          <w:ilvl w:val="0"/>
          <w:numId w:val="16"/>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X: 4,249</w:t>
      </w:r>
    </w:p>
    <w:p w14:paraId="346445D3" w14:textId="1AFBC674" w:rsidR="004208C9" w:rsidRPr="00232EBB" w:rsidRDefault="004208C9" w:rsidP="000E2299">
      <w:pPr>
        <w:pStyle w:val="ListParagraph"/>
        <w:numPr>
          <w:ilvl w:val="0"/>
          <w:numId w:val="16"/>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Facebook: 8,467</w:t>
      </w:r>
    </w:p>
    <w:p w14:paraId="05D77F4E" w14:textId="3A3CF158" w:rsidR="004208C9" w:rsidRPr="00232EBB" w:rsidRDefault="004208C9" w:rsidP="000E2299">
      <w:pPr>
        <w:pStyle w:val="ListParagraph"/>
        <w:numPr>
          <w:ilvl w:val="0"/>
          <w:numId w:val="16"/>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LinkedIn: 22,809</w:t>
      </w:r>
    </w:p>
    <w:p w14:paraId="373B8A09" w14:textId="54C0B745" w:rsidR="004208C9" w:rsidRPr="00232EBB" w:rsidRDefault="004208C9" w:rsidP="000E2299">
      <w:pPr>
        <w:pStyle w:val="ListParagraph"/>
        <w:numPr>
          <w:ilvl w:val="0"/>
          <w:numId w:val="16"/>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YouTube: 2,291</w:t>
      </w:r>
    </w:p>
    <w:p w14:paraId="022B45AD" w14:textId="42628FB5" w:rsidR="004208C9" w:rsidRPr="00232EBB" w:rsidRDefault="004208C9" w:rsidP="000E2299">
      <w:pPr>
        <w:pStyle w:val="ListParagraph"/>
        <w:numPr>
          <w:ilvl w:val="0"/>
          <w:numId w:val="16"/>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Threads: 10,700</w:t>
      </w:r>
    </w:p>
    <w:p w14:paraId="511CBF7C"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Hasta diciembre, se realizaron más de 2,000 publicaciones en las distintas plataformas. Además, se gestionaron 75 consultas ciudadanas a través del foro institucional, lo que fortaleció la atención digital y la educación sobre el correcto uso del SDSS.</w:t>
      </w:r>
    </w:p>
    <w:p w14:paraId="56EAD662"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Los esfuerzos en esta área han permitido un crecimiento sostenido de la comunidad en línea, así como una mejora en el posicionamiento institucional y el reconocimiento de la marca TSS.</w:t>
      </w:r>
    </w:p>
    <w:p w14:paraId="0A2F5262" w14:textId="77777777" w:rsidR="004208C9" w:rsidRPr="00232EBB" w:rsidRDefault="004208C9" w:rsidP="004208C9">
      <w:pPr>
        <w:spacing w:line="360" w:lineRule="auto"/>
        <w:jc w:val="both"/>
        <w:rPr>
          <w:b/>
          <w:bCs/>
          <w:lang w:val="es-DO"/>
        </w:rPr>
      </w:pPr>
      <w:r w:rsidRPr="00232EBB">
        <w:rPr>
          <w:b/>
          <w:bCs/>
          <w:lang w:val="es-DO"/>
        </w:rPr>
        <w:lastRenderedPageBreak/>
        <w:t>Gestión de medios (prensa)</w:t>
      </w:r>
    </w:p>
    <w:p w14:paraId="78E73EF4" w14:textId="17E0A626" w:rsidR="00E63B33" w:rsidRPr="00232EBB" w:rsidRDefault="004208C9" w:rsidP="00C547FF">
      <w:pPr>
        <w:spacing w:line="360" w:lineRule="auto"/>
        <w:jc w:val="both"/>
        <w:rPr>
          <w:rFonts w:eastAsia="Calibri"/>
          <w:noProof/>
          <w:lang w:val="es-DO"/>
        </w:rPr>
      </w:pPr>
      <w:r w:rsidRPr="00232EBB">
        <w:rPr>
          <w:rFonts w:eastAsia="Calibri"/>
          <w:noProof/>
          <w:lang w:val="es-DO"/>
        </w:rPr>
        <w:t>Durante el 2025, el Departamento elaboró 18 notas de prensa y, con difusión en periódicos impresos, más de 23 medios digitales y el portal web institucional.</w:t>
      </w:r>
    </w:p>
    <w:p w14:paraId="232975A3" w14:textId="19309C42" w:rsidR="004208C9" w:rsidRPr="00232EBB" w:rsidRDefault="004208C9" w:rsidP="004208C9">
      <w:pPr>
        <w:spacing w:line="360" w:lineRule="auto"/>
        <w:jc w:val="both"/>
        <w:rPr>
          <w:rFonts w:eastAsia="Calibri"/>
          <w:noProof/>
          <w:lang w:val="es-DO"/>
        </w:rPr>
      </w:pPr>
      <w:r w:rsidRPr="00232EBB">
        <w:rPr>
          <w:rFonts w:eastAsia="Calibri"/>
          <w:noProof/>
          <w:lang w:val="es-DO"/>
        </w:rPr>
        <w:t>Los temas abordados incluyeron:</w:t>
      </w:r>
    </w:p>
    <w:p w14:paraId="0892A66A" w14:textId="25A062CC" w:rsidR="004208C9" w:rsidRPr="00232EBB" w:rsidRDefault="004208C9" w:rsidP="000E2299">
      <w:pPr>
        <w:pStyle w:val="ListParagraph"/>
        <w:numPr>
          <w:ilvl w:val="0"/>
          <w:numId w:val="19"/>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Actualización de los topes de cotización del régimen contributivo para 2025.</w:t>
      </w:r>
    </w:p>
    <w:p w14:paraId="7D06ECD2" w14:textId="7A1ACFBC" w:rsidR="004208C9" w:rsidRPr="00232EBB" w:rsidRDefault="004208C9" w:rsidP="000E2299">
      <w:pPr>
        <w:pStyle w:val="ListParagraph"/>
        <w:numPr>
          <w:ilvl w:val="0"/>
          <w:numId w:val="19"/>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Lanzamiento del nuevo portal de servicios para empleadores.</w:t>
      </w:r>
    </w:p>
    <w:p w14:paraId="0DB83CF6" w14:textId="2FD2EACE" w:rsidR="004208C9" w:rsidRPr="00232EBB" w:rsidRDefault="004208C9" w:rsidP="000E2299">
      <w:pPr>
        <w:pStyle w:val="ListParagraph"/>
        <w:numPr>
          <w:ilvl w:val="0"/>
          <w:numId w:val="19"/>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Proceso de devolución de aportes a trabajadores y empleadores.</w:t>
      </w:r>
    </w:p>
    <w:p w14:paraId="700768D4" w14:textId="62797F7B" w:rsidR="004208C9" w:rsidRPr="00232EBB" w:rsidRDefault="004208C9" w:rsidP="000E2299">
      <w:pPr>
        <w:pStyle w:val="ListParagraph"/>
        <w:numPr>
          <w:ilvl w:val="0"/>
          <w:numId w:val="19"/>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Aplicación de la resolución 624-02 del CNSS, para el cálculo de la cápita de dependientes adicionales.</w:t>
      </w:r>
    </w:p>
    <w:p w14:paraId="674D8772"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Asimismo, se difundieron informaciones sobre eventos institucionales como:</w:t>
      </w:r>
    </w:p>
    <w:p w14:paraId="24521920" w14:textId="6374B5E3" w:rsidR="004208C9" w:rsidRPr="00232EBB" w:rsidRDefault="004208C9" w:rsidP="000E2299">
      <w:pPr>
        <w:pStyle w:val="ListParagraph"/>
        <w:numPr>
          <w:ilvl w:val="0"/>
          <w:numId w:val="1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Reconocimiento a doce colaboradores por su trayectoria en el servicio público.</w:t>
      </w:r>
    </w:p>
    <w:p w14:paraId="7C9AAC00" w14:textId="3E94FFA2" w:rsidR="004208C9" w:rsidRPr="00232EBB" w:rsidRDefault="004208C9" w:rsidP="000E2299">
      <w:pPr>
        <w:pStyle w:val="ListParagraph"/>
        <w:numPr>
          <w:ilvl w:val="0"/>
          <w:numId w:val="1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Participación en el simposio “Reformando la Seguridad Social desde una Visión Legislativa”.</w:t>
      </w:r>
    </w:p>
    <w:p w14:paraId="54C571DC" w14:textId="5E4FD2B9" w:rsidR="004208C9" w:rsidRPr="00232EBB" w:rsidRDefault="004208C9" w:rsidP="000E2299">
      <w:pPr>
        <w:pStyle w:val="ListParagraph"/>
        <w:numPr>
          <w:ilvl w:val="0"/>
          <w:numId w:val="1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Actividades conmemorativas de la Semana de la Seguridad Social.</w:t>
      </w:r>
    </w:p>
    <w:p w14:paraId="35ADFA7C" w14:textId="27EF200D" w:rsidR="004208C9" w:rsidRPr="00232EBB" w:rsidRDefault="004208C9" w:rsidP="000E2299">
      <w:pPr>
        <w:pStyle w:val="ListParagraph"/>
        <w:numPr>
          <w:ilvl w:val="0"/>
          <w:numId w:val="1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Inicio de servicios en el Punto GOB San Cristóbal.</w:t>
      </w:r>
    </w:p>
    <w:p w14:paraId="6E6F40A9" w14:textId="627ED7C8" w:rsidR="004208C9" w:rsidRPr="00232EBB" w:rsidRDefault="004208C9" w:rsidP="000E2299">
      <w:pPr>
        <w:pStyle w:val="ListParagraph"/>
        <w:numPr>
          <w:ilvl w:val="0"/>
          <w:numId w:val="1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Acto de ofrenda floral por el Mes de la Patria.</w:t>
      </w:r>
    </w:p>
    <w:p w14:paraId="3D107686" w14:textId="3C0E8610" w:rsidR="004208C9" w:rsidRPr="00232EBB" w:rsidRDefault="004208C9" w:rsidP="000E2299">
      <w:pPr>
        <w:pStyle w:val="ListParagraph"/>
        <w:numPr>
          <w:ilvl w:val="0"/>
          <w:numId w:val="1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Acuerdo interinstitucional con INDOCAL.</w:t>
      </w:r>
    </w:p>
    <w:p w14:paraId="3B9FD882" w14:textId="0C567D3E" w:rsidR="004208C9" w:rsidRPr="00232EBB" w:rsidRDefault="004208C9" w:rsidP="000E2299">
      <w:pPr>
        <w:pStyle w:val="ListParagraph"/>
        <w:numPr>
          <w:ilvl w:val="0"/>
          <w:numId w:val="17"/>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Recolección y entrega de donativos a hogar de ancianos en Puerto Plata.</w:t>
      </w:r>
    </w:p>
    <w:p w14:paraId="7E41C74B"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Estos esfuerzos permitieron mantener activa la conversación sobre la TSS en medios de circulación nacional y consolidar su posicionamiento ante la opinión pública.</w:t>
      </w:r>
    </w:p>
    <w:p w14:paraId="3C8780CE" w14:textId="77777777" w:rsidR="004208C9" w:rsidRPr="00232EBB" w:rsidRDefault="004208C9" w:rsidP="004208C9">
      <w:pPr>
        <w:spacing w:line="360" w:lineRule="auto"/>
        <w:jc w:val="both"/>
        <w:rPr>
          <w:b/>
          <w:bCs/>
          <w:lang w:val="es-DO"/>
        </w:rPr>
      </w:pPr>
      <w:r w:rsidRPr="00232EBB">
        <w:rPr>
          <w:b/>
          <w:bCs/>
          <w:lang w:val="es-DO"/>
        </w:rPr>
        <w:t>Comunicación interna</w:t>
      </w:r>
    </w:p>
    <w:p w14:paraId="356542B7"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lastRenderedPageBreak/>
        <w:t>La comunicación interna ha sido una prioridad para fortalecer la cultura organizacional y promover un entorno de trabajo colaborativo y alineado con los valores institucionales.</w:t>
      </w:r>
    </w:p>
    <w:p w14:paraId="08BD4532" w14:textId="5A92855D" w:rsidR="004208C9" w:rsidRPr="00232EBB" w:rsidRDefault="004208C9" w:rsidP="00F65B16">
      <w:pPr>
        <w:rPr>
          <w:rFonts w:eastAsia="Calibri"/>
          <w:noProof/>
          <w:lang w:val="es-DO"/>
        </w:rPr>
      </w:pPr>
      <w:r w:rsidRPr="00232EBB">
        <w:rPr>
          <w:rFonts w:eastAsia="Calibri"/>
          <w:noProof/>
          <w:lang w:val="es-DO"/>
        </w:rPr>
        <w:t>Durante el semestre se ejecutaron las siguientes acciones:</w:t>
      </w:r>
    </w:p>
    <w:p w14:paraId="6014330E" w14:textId="4BED8690" w:rsidR="004208C9" w:rsidRPr="00232EBB" w:rsidRDefault="004208C9" w:rsidP="000E2299">
      <w:pPr>
        <w:pStyle w:val="ListParagraph"/>
        <w:numPr>
          <w:ilvl w:val="0"/>
          <w:numId w:val="18"/>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Envío de 310 comunicaciones digitales a través del correo institucional, con informaciones relevantes y formativas para los colaboradores.</w:t>
      </w:r>
    </w:p>
    <w:p w14:paraId="01F77A27" w14:textId="048BCA68" w:rsidR="004208C9" w:rsidRPr="00232EBB" w:rsidRDefault="004208C9" w:rsidP="000E2299">
      <w:pPr>
        <w:pStyle w:val="ListParagraph"/>
        <w:numPr>
          <w:ilvl w:val="0"/>
          <w:numId w:val="18"/>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Actualización continua de murales informativos con contenido de interés interno.</w:t>
      </w:r>
    </w:p>
    <w:p w14:paraId="0E15EA63" w14:textId="237E4FFF" w:rsidR="004208C9" w:rsidRPr="00232EBB" w:rsidRDefault="004208C9" w:rsidP="000E2299">
      <w:pPr>
        <w:pStyle w:val="ListParagraph"/>
        <w:numPr>
          <w:ilvl w:val="0"/>
          <w:numId w:val="18"/>
        </w:numPr>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Publicación mensual del boletín interno, con un resumen de actividades y logros institucionales.</w:t>
      </w:r>
    </w:p>
    <w:p w14:paraId="79CD7EA1"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Además, se impartieron 11 charlas de inducción a colaboradores de nuevo ingreso sobre la política de comunicación institucional, reforzando desde el inicio el sentido de identidad con la misión de la TSS.</w:t>
      </w:r>
    </w:p>
    <w:p w14:paraId="5B7FCCD7"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Se realizaron 25 coberturas fotográficas de actividades institucionales, tanto internas como externas, contribuyendo a la documentación visual del quehacer institucional y a la generación de contenidos para otros canales.</w:t>
      </w:r>
    </w:p>
    <w:p w14:paraId="50E232BD" w14:textId="77777777" w:rsidR="004208C9" w:rsidRPr="00232EBB" w:rsidRDefault="004208C9" w:rsidP="004208C9">
      <w:pPr>
        <w:spacing w:line="360" w:lineRule="auto"/>
        <w:jc w:val="both"/>
        <w:rPr>
          <w:rFonts w:eastAsia="Calibri"/>
          <w:noProof/>
          <w:lang w:val="es-DO"/>
        </w:rPr>
      </w:pPr>
      <w:r w:rsidRPr="00232EBB">
        <w:rPr>
          <w:rFonts w:eastAsia="Calibri"/>
          <w:noProof/>
          <w:lang w:val="es-DO"/>
        </w:rPr>
        <w:t>En reconocimiento a las acciones solidarias del personal, se difundieron historias como la de un colaborador voluntario del cuerpo de bomberos en la tragedia del Jet Set y otra colaboradora donante de leche materna al Banco de Leche Humana de la Maternidad Nuestra Señora de La Altagracia.</w:t>
      </w:r>
    </w:p>
    <w:p w14:paraId="2EF46DFF" w14:textId="10C16650" w:rsidR="000C47CC" w:rsidRPr="00232EBB" w:rsidRDefault="004208C9" w:rsidP="004208C9">
      <w:pPr>
        <w:spacing w:line="360" w:lineRule="auto"/>
        <w:jc w:val="both"/>
        <w:rPr>
          <w:rFonts w:eastAsia="Calibri"/>
          <w:noProof/>
          <w:lang w:val="es-DO"/>
        </w:rPr>
      </w:pPr>
      <w:r w:rsidRPr="00232EBB">
        <w:rPr>
          <w:rFonts w:eastAsia="Calibri"/>
          <w:noProof/>
          <w:lang w:val="es-DO"/>
        </w:rPr>
        <w:t>Como parte del fortalecimiento de la identidad visual, se rediseñó el Manual de Identidad Corporativa, creando por primera vez los lineamientos de uso de marca del SuirPlus; se actualizó el mural del Salón de Capacitaciones y se entregaron materiales de trabajo con la renovada filosofía institucional, con el fin de afianzar el posicionamiento de la marca TSS entre el público interno y externo.</w:t>
      </w:r>
    </w:p>
    <w:bookmarkStart w:id="264" w:name="_Toc216952267"/>
    <w:p w14:paraId="0A54B7AA" w14:textId="5AA7B161" w:rsidR="00DD7615" w:rsidRPr="00232EBB" w:rsidRDefault="00BC0B52" w:rsidP="00BC0B52">
      <w:pPr>
        <w:pStyle w:val="Heading1"/>
        <w:spacing w:after="240" w:line="259" w:lineRule="auto"/>
        <w:ind w:left="360" w:hanging="360"/>
        <w:rPr>
          <w:rFonts w:cs="Times New Roman"/>
          <w:spacing w:val="0"/>
          <w:lang w:val="es-DO"/>
        </w:rPr>
      </w:pPr>
      <w:r w:rsidRPr="00232EBB">
        <w:rPr>
          <w:rFonts w:eastAsia="Calibri" w:cs="Times New Roman"/>
          <w:noProof/>
          <w:color w:val="4C4747"/>
          <w:sz w:val="18"/>
        </w:rPr>
        <w:lastRenderedPageBreak/>
        <mc:AlternateContent>
          <mc:Choice Requires="wps">
            <w:drawing>
              <wp:anchor distT="0" distB="0" distL="114300" distR="114300" simplePos="0" relativeHeight="251658256" behindDoc="0" locked="0" layoutInCell="1" allowOverlap="1" wp14:anchorId="5B826A78" wp14:editId="62B8BC26">
                <wp:simplePos x="0" y="0"/>
                <wp:positionH relativeFrom="margin">
                  <wp:posOffset>2188032</wp:posOffset>
                </wp:positionH>
                <wp:positionV relativeFrom="paragraph">
                  <wp:posOffset>510997</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0C08929" id="Straight Connector 3"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3pt,40.25pt" to="208.8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" strokecolor="#ee2a24" strokeweight="2.25pt">
                <v:stroke joinstyle="miter"/>
                <w10:wrap anchorx="margin"/>
              </v:line>
            </w:pict>
          </mc:Fallback>
        </mc:AlternateContent>
      </w:r>
      <w:r w:rsidRPr="00232EBB">
        <w:rPr>
          <w:rFonts w:cs="Times New Roman"/>
          <w:spacing w:val="0"/>
          <w:lang w:val="es-DO"/>
        </w:rPr>
        <w:t xml:space="preserve">V. </w:t>
      </w:r>
      <w:r w:rsidR="00DD7615" w:rsidRPr="00232EBB">
        <w:rPr>
          <w:rFonts w:cs="Times New Roman"/>
          <w:spacing w:val="0"/>
          <w:lang w:val="es-DO"/>
        </w:rPr>
        <w:t>SERVICIO AL CIUDADANO Y TRANSPARENCIA INSTITUCIONAL</w:t>
      </w:r>
      <w:bookmarkEnd w:id="264"/>
    </w:p>
    <w:p w14:paraId="5468EA26" w14:textId="057A9CAD" w:rsidR="00DD7615" w:rsidRPr="00232EBB" w:rsidRDefault="00DD7615" w:rsidP="00BC0B52">
      <w:pPr>
        <w:spacing w:before="240" w:after="240"/>
        <w:jc w:val="center"/>
        <w:rPr>
          <w:sz w:val="22"/>
          <w:szCs w:val="36"/>
          <w:lang w:val="es-DO"/>
        </w:rPr>
      </w:pPr>
      <w:r w:rsidRPr="00232EBB">
        <w:rPr>
          <w:sz w:val="22"/>
          <w:szCs w:val="36"/>
          <w:lang w:val="es-DO"/>
        </w:rPr>
        <w:t xml:space="preserve">Memoria </w:t>
      </w:r>
      <w:r w:rsidR="00F05DF4" w:rsidRPr="00232EBB">
        <w:rPr>
          <w:sz w:val="22"/>
          <w:szCs w:val="36"/>
          <w:lang w:val="es-DO"/>
        </w:rPr>
        <w:t>I</w:t>
      </w:r>
      <w:r w:rsidRPr="00232EBB">
        <w:rPr>
          <w:sz w:val="22"/>
          <w:szCs w:val="36"/>
          <w:lang w:val="es-DO"/>
        </w:rPr>
        <w:t xml:space="preserve">nstitucional </w:t>
      </w:r>
      <w:r w:rsidR="000025D4" w:rsidRPr="00232EBB">
        <w:rPr>
          <w:sz w:val="22"/>
          <w:szCs w:val="36"/>
          <w:lang w:val="es-DO"/>
        </w:rPr>
        <w:t>202</w:t>
      </w:r>
      <w:r w:rsidR="00A667A3" w:rsidRPr="00232EBB">
        <w:rPr>
          <w:sz w:val="22"/>
          <w:szCs w:val="36"/>
          <w:lang w:val="es-DO"/>
        </w:rPr>
        <w:t>5</w:t>
      </w:r>
    </w:p>
    <w:p w14:paraId="4F164E91" w14:textId="0BB478AE" w:rsidR="00BC0B52" w:rsidRPr="00232EBB" w:rsidRDefault="00BC0B52" w:rsidP="001E7BA6">
      <w:pPr>
        <w:pStyle w:val="Heading1"/>
        <w:spacing w:after="240" w:line="259" w:lineRule="auto"/>
        <w:ind w:left="360" w:hanging="375"/>
        <w:jc w:val="left"/>
        <w:rPr>
          <w:rFonts w:cs="Times New Roman"/>
          <w:spacing w:val="0"/>
          <w:lang w:val="es-DO"/>
        </w:rPr>
      </w:pPr>
      <w:bookmarkStart w:id="265" w:name="_Toc154736747"/>
      <w:bookmarkStart w:id="266" w:name="_Toc216952268"/>
      <w:r w:rsidRPr="00232EBB">
        <w:rPr>
          <w:rFonts w:cs="Times New Roman"/>
          <w:spacing w:val="0"/>
          <w:lang w:val="es-DO"/>
        </w:rPr>
        <w:t>5.1 Nivel de la Satisfacción con el Servicio</w:t>
      </w:r>
      <w:bookmarkEnd w:id="265"/>
      <w:bookmarkEnd w:id="266"/>
      <w:r w:rsidRPr="00232EBB">
        <w:rPr>
          <w:rFonts w:cs="Times New Roman"/>
          <w:spacing w:val="0"/>
          <w:lang w:val="es-DO"/>
        </w:rPr>
        <w:t xml:space="preserve">  </w:t>
      </w:r>
    </w:p>
    <w:p w14:paraId="4B701613" w14:textId="77777777" w:rsidR="008016B9" w:rsidRPr="00232EBB" w:rsidRDefault="008016B9" w:rsidP="004E5D6E">
      <w:pPr>
        <w:spacing w:line="360" w:lineRule="auto"/>
        <w:jc w:val="both"/>
        <w:rPr>
          <w:rFonts w:eastAsia="Calibri"/>
          <w:noProof/>
          <w:lang w:val="es-DO"/>
        </w:rPr>
      </w:pPr>
      <w:bookmarkStart w:id="267" w:name="_Toc154736750"/>
      <w:r w:rsidRPr="00232EBB">
        <w:rPr>
          <w:rFonts w:eastAsia="Calibri"/>
          <w:noProof/>
          <w:lang w:val="es-DO"/>
        </w:rPr>
        <w:t xml:space="preserve">La Dirección de Servicios se encarga de asistir a las empresas en los diferentes procesos del Sistema Único de Información y Recaudo (SuirPlus). Además, proporciona soporte para el registro de los trabajadores según la ley no. 87-01, que establece el Sistema Dominicano de Seguridad Social. Esto incluye el cumplimiento del régimen contributivo asegurando la confidencialidad de la información y la calidad del servicio. </w:t>
      </w:r>
    </w:p>
    <w:p w14:paraId="260BC26D"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Nuestro objetivo principal es garantizar una experiencia transformadora para los ciudadanos manteniendo los valores fundamentales de la institución, logrando así una asistencia oportuna y la facilitación de la gestión de pagos y el cumplimiento de los compromisos de nuestros empleadores con sus trabajadores.</w:t>
      </w:r>
    </w:p>
    <w:p w14:paraId="2C2E9C2D" w14:textId="77777777" w:rsidR="008016B9" w:rsidRPr="00232EBB" w:rsidRDefault="008016B9" w:rsidP="004E5D6E">
      <w:pPr>
        <w:pStyle w:val="Heading1"/>
        <w:spacing w:before="0" w:after="160"/>
        <w:jc w:val="both"/>
        <w:rPr>
          <w:rFonts w:cs="Times New Roman"/>
          <w:spacing w:val="0"/>
          <w:sz w:val="24"/>
          <w:szCs w:val="24"/>
          <w:lang w:val="es-DO"/>
        </w:rPr>
      </w:pPr>
      <w:bookmarkStart w:id="268" w:name="_Toc171677886"/>
      <w:bookmarkStart w:id="269" w:name="_Toc172119890"/>
      <w:bookmarkStart w:id="270" w:name="_Toc172120223"/>
      <w:bookmarkStart w:id="271" w:name="_Toc172121441"/>
      <w:bookmarkStart w:id="272" w:name="_Toc216952269"/>
      <w:r w:rsidRPr="00232EBB">
        <w:rPr>
          <w:rFonts w:cs="Times New Roman"/>
          <w:spacing w:val="0"/>
          <w:sz w:val="24"/>
          <w:szCs w:val="24"/>
          <w:lang w:val="es-DO"/>
        </w:rPr>
        <w:t>Importancia del Servicio</w:t>
      </w:r>
      <w:bookmarkEnd w:id="268"/>
      <w:bookmarkEnd w:id="269"/>
      <w:bookmarkEnd w:id="270"/>
      <w:bookmarkEnd w:id="271"/>
      <w:bookmarkEnd w:id="272"/>
    </w:p>
    <w:p w14:paraId="132A3641" w14:textId="77777777" w:rsidR="008016B9" w:rsidRPr="00232EBB" w:rsidRDefault="008016B9" w:rsidP="004E5D6E">
      <w:pPr>
        <w:pStyle w:val="ListParagraph"/>
        <w:numPr>
          <w:ilvl w:val="0"/>
          <w:numId w:val="43"/>
        </w:numPr>
        <w:spacing w:line="360" w:lineRule="auto"/>
        <w:rPr>
          <w:rFonts w:ascii="Times New Roman" w:hAnsi="Times New Roman"/>
          <w:noProof/>
          <w:color w:val="767171"/>
          <w:spacing w:val="20"/>
          <w:sz w:val="24"/>
          <w:szCs w:val="24"/>
          <w:lang w:val="es-ES"/>
        </w:rPr>
      </w:pPr>
      <w:r w:rsidRPr="00232EBB">
        <w:rPr>
          <w:rFonts w:ascii="Times New Roman" w:hAnsi="Times New Roman"/>
          <w:b/>
          <w:bCs/>
          <w:noProof/>
          <w:color w:val="767171"/>
          <w:spacing w:val="20"/>
          <w:sz w:val="24"/>
          <w:szCs w:val="24"/>
          <w:lang w:val="es-ES"/>
        </w:rPr>
        <w:t>Sostenibilidad del Sistema:</w:t>
      </w:r>
      <w:r w:rsidRPr="00232EBB">
        <w:rPr>
          <w:rFonts w:ascii="Times New Roman" w:hAnsi="Times New Roman"/>
          <w:noProof/>
          <w:color w:val="767171"/>
          <w:spacing w:val="20"/>
          <w:sz w:val="24"/>
          <w:szCs w:val="24"/>
          <w:lang w:val="es-ES"/>
        </w:rPr>
        <w:t xml:space="preserve"> Aumenta la base de contribuyentes, fortaleciendo la sostenibilidad financiera del sistema de seguridad social.</w:t>
      </w:r>
    </w:p>
    <w:p w14:paraId="55700F2A" w14:textId="77777777" w:rsidR="008016B9" w:rsidRPr="00232EBB" w:rsidRDefault="008016B9" w:rsidP="004E5D6E">
      <w:pPr>
        <w:pStyle w:val="ListParagraph"/>
        <w:numPr>
          <w:ilvl w:val="0"/>
          <w:numId w:val="43"/>
        </w:numPr>
        <w:spacing w:line="360" w:lineRule="auto"/>
        <w:rPr>
          <w:rFonts w:ascii="Times New Roman" w:hAnsi="Times New Roman"/>
          <w:noProof/>
          <w:color w:val="767171"/>
          <w:spacing w:val="20"/>
          <w:sz w:val="24"/>
          <w:szCs w:val="24"/>
          <w:lang w:val="es-ES"/>
        </w:rPr>
      </w:pPr>
      <w:r w:rsidRPr="00232EBB">
        <w:rPr>
          <w:rFonts w:ascii="Times New Roman" w:hAnsi="Times New Roman"/>
          <w:b/>
          <w:bCs/>
          <w:noProof/>
          <w:color w:val="767171"/>
          <w:spacing w:val="20"/>
          <w:sz w:val="24"/>
          <w:szCs w:val="24"/>
          <w:lang w:val="es-ES"/>
        </w:rPr>
        <w:t>Transparencia y Legalidad:</w:t>
      </w:r>
      <w:r w:rsidRPr="00232EBB">
        <w:rPr>
          <w:rFonts w:ascii="Times New Roman" w:hAnsi="Times New Roman"/>
          <w:noProof/>
          <w:color w:val="767171"/>
          <w:spacing w:val="20"/>
          <w:sz w:val="24"/>
          <w:szCs w:val="24"/>
          <w:lang w:val="es-ES"/>
        </w:rPr>
        <w:t xml:space="preserve"> Promueve la transparencia y asegura que las empresas operen dentro de los límites legales, evitando el trabajo informal.</w:t>
      </w:r>
    </w:p>
    <w:p w14:paraId="470296E6" w14:textId="77777777" w:rsidR="008016B9" w:rsidRPr="00232EBB" w:rsidRDefault="008016B9" w:rsidP="004E5D6E">
      <w:pPr>
        <w:pStyle w:val="ListParagraph"/>
        <w:numPr>
          <w:ilvl w:val="0"/>
          <w:numId w:val="43"/>
        </w:numPr>
        <w:spacing w:line="360" w:lineRule="auto"/>
        <w:rPr>
          <w:rFonts w:ascii="Times New Roman" w:hAnsi="Times New Roman"/>
          <w:noProof/>
          <w:color w:val="767171"/>
          <w:spacing w:val="20"/>
          <w:sz w:val="24"/>
          <w:szCs w:val="24"/>
          <w:lang w:val="es-ES"/>
        </w:rPr>
      </w:pPr>
      <w:r w:rsidRPr="00232EBB">
        <w:rPr>
          <w:rFonts w:ascii="Times New Roman" w:hAnsi="Times New Roman"/>
          <w:b/>
          <w:bCs/>
          <w:noProof/>
          <w:color w:val="767171"/>
          <w:spacing w:val="20"/>
          <w:sz w:val="24"/>
          <w:szCs w:val="24"/>
          <w:lang w:val="es-ES"/>
        </w:rPr>
        <w:t>Protección Social:</w:t>
      </w:r>
      <w:r w:rsidRPr="00232EBB">
        <w:rPr>
          <w:rFonts w:ascii="Times New Roman" w:hAnsi="Times New Roman"/>
          <w:noProof/>
          <w:color w:val="767171"/>
          <w:spacing w:val="20"/>
          <w:sz w:val="24"/>
          <w:szCs w:val="24"/>
          <w:lang w:val="es-ES"/>
        </w:rPr>
        <w:t xml:space="preserve"> Garantiza que los trabajadores reciban los beneficios a los que tienen derecho, como pensiones, seguro de salud, y otros servicios de seguridad social.</w:t>
      </w:r>
    </w:p>
    <w:p w14:paraId="4963CAD3" w14:textId="77777777" w:rsidR="008016B9" w:rsidRPr="00232EBB" w:rsidRDefault="008016B9" w:rsidP="004E5D6E">
      <w:pPr>
        <w:pStyle w:val="ListParagraph"/>
        <w:numPr>
          <w:ilvl w:val="0"/>
          <w:numId w:val="43"/>
        </w:numPr>
        <w:spacing w:line="360" w:lineRule="auto"/>
        <w:rPr>
          <w:rFonts w:ascii="Times New Roman" w:hAnsi="Times New Roman"/>
          <w:noProof/>
          <w:color w:val="767171"/>
          <w:spacing w:val="20"/>
          <w:sz w:val="24"/>
          <w:szCs w:val="24"/>
          <w:lang w:val="es-ES"/>
        </w:rPr>
      </w:pPr>
      <w:r w:rsidRPr="00232EBB">
        <w:rPr>
          <w:rFonts w:ascii="Times New Roman" w:hAnsi="Times New Roman"/>
          <w:b/>
          <w:bCs/>
          <w:noProof/>
          <w:color w:val="767171"/>
          <w:spacing w:val="20"/>
          <w:sz w:val="24"/>
          <w:szCs w:val="24"/>
          <w:lang w:val="es-ES"/>
        </w:rPr>
        <w:t>Mejora en la Recaudación:</w:t>
      </w:r>
      <w:r w:rsidRPr="00232EBB">
        <w:rPr>
          <w:rFonts w:ascii="Times New Roman" w:hAnsi="Times New Roman"/>
          <w:noProof/>
          <w:color w:val="767171"/>
          <w:spacing w:val="20"/>
          <w:sz w:val="24"/>
          <w:szCs w:val="24"/>
          <w:lang w:val="es-ES"/>
        </w:rPr>
        <w:t xml:space="preserve"> Facilita un flujo constante y predecible de ingresos al sistema de seguridad social, lo que permite una mejor planificación y distribución de recursos.</w:t>
      </w:r>
      <w:r w:rsidRPr="00232EBB">
        <w:rPr>
          <w:rFonts w:ascii="Times New Roman" w:hAnsi="Times New Roman"/>
          <w:noProof/>
          <w:szCs w:val="18"/>
        </w:rPr>
        <w:t xml:space="preserve"> </w:t>
      </w:r>
    </w:p>
    <w:p w14:paraId="1468CF41" w14:textId="77777777" w:rsidR="008016B9" w:rsidRPr="00232EBB" w:rsidRDefault="008016B9" w:rsidP="004E5D6E">
      <w:pPr>
        <w:pStyle w:val="Heading1"/>
        <w:spacing w:before="0" w:after="160"/>
        <w:jc w:val="both"/>
        <w:rPr>
          <w:rFonts w:cs="Times New Roman"/>
          <w:spacing w:val="0"/>
          <w:sz w:val="24"/>
          <w:szCs w:val="24"/>
          <w:lang w:val="es-DO"/>
        </w:rPr>
      </w:pPr>
      <w:bookmarkStart w:id="273" w:name="_Toc171677893"/>
      <w:bookmarkStart w:id="274" w:name="_Toc172119891"/>
      <w:bookmarkStart w:id="275" w:name="_Toc172120224"/>
      <w:bookmarkStart w:id="276" w:name="_Toc172121442"/>
      <w:bookmarkStart w:id="277" w:name="_Toc216952270"/>
      <w:r w:rsidRPr="00232EBB">
        <w:rPr>
          <w:rFonts w:cs="Times New Roman"/>
          <w:spacing w:val="0"/>
          <w:sz w:val="24"/>
          <w:szCs w:val="24"/>
          <w:lang w:val="es-DO"/>
        </w:rPr>
        <w:lastRenderedPageBreak/>
        <w:t>Actualización de Credenciales de la Tesorería de la Seguridad Social Dominicana</w:t>
      </w:r>
      <w:bookmarkEnd w:id="273"/>
      <w:bookmarkEnd w:id="274"/>
      <w:bookmarkEnd w:id="275"/>
      <w:bookmarkEnd w:id="276"/>
      <w:bookmarkEnd w:id="277"/>
      <w:r w:rsidRPr="00232EBB">
        <w:rPr>
          <w:rFonts w:cs="Times New Roman"/>
          <w:spacing w:val="0"/>
          <w:sz w:val="24"/>
          <w:szCs w:val="24"/>
          <w:lang w:val="es-DO"/>
        </w:rPr>
        <w:t xml:space="preserve"> </w:t>
      </w:r>
    </w:p>
    <w:p w14:paraId="13E3B8D9"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 xml:space="preserve">La solicitud de nuevos representantes implica la inscripción de nuevas personas autorizadas para gestionar trámites en nombre de una entidad o individuo ante la Tesorería de la Seguridad Social. </w:t>
      </w:r>
    </w:p>
    <w:p w14:paraId="22371435"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Este proceso incluye la verificación de la documentación, la validación de la identidad del representante y la actualización de los registros en el sistema. </w:t>
      </w:r>
    </w:p>
    <w:p w14:paraId="360EF1A6" w14:textId="77777777" w:rsidR="008016B9" w:rsidRPr="00232EBB" w:rsidRDefault="008016B9" w:rsidP="004E5D6E">
      <w:pPr>
        <w:spacing w:line="360" w:lineRule="auto"/>
        <w:jc w:val="both"/>
        <w:rPr>
          <w:rStyle w:val="eop"/>
          <w:noProof/>
          <w:sz w:val="22"/>
          <w:szCs w:val="22"/>
          <w:lang w:val="es-ES"/>
        </w:rPr>
      </w:pPr>
      <w:r w:rsidRPr="00232EBB">
        <w:rPr>
          <w:rFonts w:eastAsia="Calibri"/>
          <w:noProof/>
          <w:lang w:val="es-DO"/>
        </w:rPr>
        <w:t>En el año 2025, la Tesorería ha gestionado un total de 5,608 solicitudes relacionadas con la</w:t>
      </w:r>
      <w:r w:rsidRPr="00232EBB">
        <w:rPr>
          <w:lang w:val="es-DO"/>
        </w:rPr>
        <w:t xml:space="preserve"> </w:t>
      </w:r>
      <w:r w:rsidRPr="00232EBB">
        <w:rPr>
          <w:rFonts w:eastAsia="Calibri"/>
          <w:noProof/>
          <w:lang w:val="es-DO"/>
        </w:rPr>
        <w:t>actualización de credenciales que se conforman por los siguientes tipos de solicitudes como son:</w:t>
      </w:r>
    </w:p>
    <w:p w14:paraId="76593036" w14:textId="77777777" w:rsidR="008016B9" w:rsidRPr="00232EBB" w:rsidRDefault="008016B9" w:rsidP="004E5D6E">
      <w:pPr>
        <w:spacing w:line="360" w:lineRule="auto"/>
        <w:jc w:val="center"/>
        <w:rPr>
          <w:lang w:val="es-ES"/>
        </w:rPr>
      </w:pPr>
      <w:r w:rsidRPr="00232EBB">
        <w:rPr>
          <w:noProof/>
          <w:lang w:val="es-ES"/>
        </w:rPr>
        <w:drawing>
          <wp:inline distT="0" distB="0" distL="0" distR="0" wp14:anchorId="20B9E255" wp14:editId="2DA04229">
            <wp:extent cx="5036429" cy="2304288"/>
            <wp:effectExtent l="0" t="0" r="0" b="1270"/>
            <wp:docPr id="169361784" name="Picture 1" descr="A graph of blue and white ba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1784" name="Picture 1" descr="A graph of blue and white bars with numbers&#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78128" cy="2323366"/>
                    </a:xfrm>
                    <a:prstGeom prst="rect">
                      <a:avLst/>
                    </a:prstGeom>
                    <a:noFill/>
                  </pic:spPr>
                </pic:pic>
              </a:graphicData>
            </a:graphic>
          </wp:inline>
        </w:drawing>
      </w:r>
    </w:p>
    <w:p w14:paraId="569B8FB0" w14:textId="259CEAB9" w:rsidR="008016B9" w:rsidRPr="00232EBB" w:rsidRDefault="008016B9" w:rsidP="004E5D6E">
      <w:pPr>
        <w:spacing w:line="240" w:lineRule="auto"/>
        <w:jc w:val="both"/>
        <w:rPr>
          <w:rFonts w:eastAsia="Calibri"/>
          <w:noProof/>
          <w:sz w:val="18"/>
          <w:szCs w:val="18"/>
          <w:lang w:val="es-DO"/>
        </w:rPr>
      </w:pPr>
      <w:r w:rsidRPr="00232EBB">
        <w:rPr>
          <w:rFonts w:eastAsia="Calibri"/>
          <w:b/>
          <w:bCs/>
          <w:noProof/>
          <w:sz w:val="18"/>
          <w:szCs w:val="18"/>
          <w:lang w:val="es-DO"/>
        </w:rPr>
        <w:t xml:space="preserve">Gráfico </w:t>
      </w:r>
      <w:r w:rsidR="00A0068D" w:rsidRPr="00232EBB">
        <w:rPr>
          <w:rFonts w:eastAsia="Calibri"/>
          <w:b/>
          <w:bCs/>
          <w:noProof/>
          <w:sz w:val="18"/>
          <w:szCs w:val="18"/>
          <w:lang w:val="es-DO"/>
        </w:rPr>
        <w:t>2</w:t>
      </w:r>
      <w:r w:rsidR="000743EE" w:rsidRPr="00232EBB">
        <w:rPr>
          <w:rFonts w:eastAsia="Calibri"/>
          <w:b/>
          <w:bCs/>
          <w:noProof/>
          <w:sz w:val="18"/>
          <w:szCs w:val="18"/>
          <w:lang w:val="es-DO"/>
        </w:rPr>
        <w:t>8</w:t>
      </w:r>
      <w:r w:rsidRPr="00232EBB">
        <w:rPr>
          <w:rFonts w:eastAsia="Calibri"/>
          <w:noProof/>
          <w:sz w:val="18"/>
          <w:szCs w:val="18"/>
          <w:lang w:val="es-DO"/>
        </w:rPr>
        <w:t>: Actualización de credenciales SUIR Plus</w:t>
      </w:r>
    </w:p>
    <w:p w14:paraId="28E42762" w14:textId="3B027D51" w:rsidR="008016B9" w:rsidRPr="00232EBB" w:rsidRDefault="008016B9" w:rsidP="004E5D6E">
      <w:pPr>
        <w:spacing w:line="360" w:lineRule="auto"/>
        <w:jc w:val="both"/>
        <w:rPr>
          <w:rFonts w:eastAsia="Calibri"/>
          <w:noProof/>
          <w:lang w:val="es-DO"/>
        </w:rPr>
      </w:pPr>
      <w:r w:rsidRPr="00232EBB">
        <w:rPr>
          <w:rFonts w:eastAsia="Calibri"/>
          <w:b/>
          <w:bCs/>
          <w:noProof/>
          <w:lang w:val="es-DO"/>
        </w:rPr>
        <w:t>Creación de nuevo representante:</w:t>
      </w:r>
      <w:r w:rsidRPr="00232EBB">
        <w:rPr>
          <w:rFonts w:eastAsia="Calibri"/>
          <w:noProof/>
          <w:lang w:val="es-DO"/>
        </w:rPr>
        <w:t xml:space="preserve"> Solo aplica cuando el representante ha fallecido, el propietario pierde relación con el representante registrado o se ha determinado robo de identidad por terceros no reconocidos por el empleador.  </w:t>
      </w:r>
    </w:p>
    <w:p w14:paraId="53C7A946" w14:textId="77777777" w:rsidR="008016B9" w:rsidRPr="00232EBB" w:rsidRDefault="008016B9" w:rsidP="004E5D6E">
      <w:pPr>
        <w:spacing w:line="360" w:lineRule="auto"/>
        <w:jc w:val="both"/>
        <w:rPr>
          <w:rFonts w:eastAsia="Calibri"/>
          <w:noProof/>
          <w:lang w:val="es-DO"/>
        </w:rPr>
      </w:pPr>
      <w:r w:rsidRPr="00232EBB">
        <w:rPr>
          <w:rFonts w:eastAsia="Calibri"/>
          <w:b/>
          <w:bCs/>
          <w:noProof/>
          <w:lang w:val="es-DO"/>
        </w:rPr>
        <w:t>Modificación de correo de representante activo:</w:t>
      </w:r>
      <w:r w:rsidRPr="00232EBB">
        <w:rPr>
          <w:rFonts w:eastAsia="Calibri"/>
          <w:noProof/>
          <w:lang w:val="es-DO"/>
        </w:rPr>
        <w:t xml:space="preserve"> Consiste en actualizar la dirección de correo electrónico asociada al representante en los registros de la TSS cuando se ha determinado error en las actualizaciones propias del representante o recuperación de credenciales por inhabilitación o baja de la </w:t>
      </w:r>
      <w:r w:rsidRPr="00232EBB">
        <w:rPr>
          <w:rFonts w:eastAsia="Calibri"/>
          <w:noProof/>
          <w:lang w:val="es-DO"/>
        </w:rPr>
        <w:lastRenderedPageBreak/>
        <w:t>empresa. Esto es crucial para asegurar que las novedades el personal sean realizadas correctamente en el SUIR. </w:t>
      </w:r>
    </w:p>
    <w:p w14:paraId="2DB5D7FE" w14:textId="77777777" w:rsidR="008016B9" w:rsidRPr="00232EBB" w:rsidRDefault="008016B9" w:rsidP="004E5D6E">
      <w:pPr>
        <w:spacing w:line="360" w:lineRule="auto"/>
        <w:jc w:val="both"/>
        <w:rPr>
          <w:rFonts w:eastAsia="Calibri"/>
          <w:noProof/>
          <w:lang w:val="es-DO"/>
        </w:rPr>
      </w:pPr>
    </w:p>
    <w:p w14:paraId="342C04E4" w14:textId="77777777" w:rsidR="008016B9" w:rsidRPr="00232EBB" w:rsidRDefault="008016B9" w:rsidP="004E5D6E">
      <w:pPr>
        <w:spacing w:line="360" w:lineRule="auto"/>
        <w:jc w:val="center"/>
        <w:rPr>
          <w:rFonts w:eastAsia="Calibri"/>
          <w:noProof/>
          <w:lang w:val="es-DO"/>
        </w:rPr>
      </w:pPr>
      <w:r w:rsidRPr="00232EBB">
        <w:rPr>
          <w:rFonts w:eastAsia="Calibri"/>
          <w:noProof/>
          <w:lang w:val="es-DO"/>
        </w:rPr>
        <w:drawing>
          <wp:inline distT="0" distB="0" distL="0" distR="0" wp14:anchorId="45FB3446" wp14:editId="47B80CFA">
            <wp:extent cx="4802000" cy="2846070"/>
            <wp:effectExtent l="19050" t="19050" r="17780" b="11430"/>
            <wp:docPr id="1331849579" name="Picture 2" descr="A blue pie chart with a triang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49579" name="Picture 2" descr="A blue pie chart with a triangle in the middle&#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19222" cy="2856277"/>
                    </a:xfrm>
                    <a:prstGeom prst="rect">
                      <a:avLst/>
                    </a:prstGeom>
                    <a:noFill/>
                    <a:ln>
                      <a:solidFill>
                        <a:schemeClr val="bg1"/>
                      </a:solidFill>
                    </a:ln>
                  </pic:spPr>
                </pic:pic>
              </a:graphicData>
            </a:graphic>
          </wp:inline>
        </w:drawing>
      </w:r>
    </w:p>
    <w:p w14:paraId="17C45B99" w14:textId="73A55546" w:rsidR="008016B9" w:rsidRPr="00232EBB" w:rsidRDefault="008016B9" w:rsidP="004E5D6E">
      <w:pPr>
        <w:spacing w:line="360" w:lineRule="auto"/>
        <w:rPr>
          <w:rFonts w:eastAsia="Calibri"/>
          <w:noProof/>
          <w:sz w:val="18"/>
          <w:szCs w:val="18"/>
          <w:lang w:val="es-DO"/>
        </w:rPr>
      </w:pPr>
      <w:r w:rsidRPr="00232EBB">
        <w:rPr>
          <w:rFonts w:eastAsia="Calibri"/>
          <w:b/>
          <w:bCs/>
          <w:noProof/>
          <w:sz w:val="18"/>
          <w:szCs w:val="18"/>
          <w:lang w:val="es-DO"/>
        </w:rPr>
        <w:t xml:space="preserve">Gráfico </w:t>
      </w:r>
      <w:r w:rsidR="00C547FF" w:rsidRPr="00232EBB">
        <w:rPr>
          <w:rFonts w:eastAsia="Calibri"/>
          <w:b/>
          <w:bCs/>
          <w:noProof/>
          <w:sz w:val="18"/>
          <w:szCs w:val="18"/>
          <w:lang w:val="es-DO"/>
        </w:rPr>
        <w:t>2</w:t>
      </w:r>
      <w:r w:rsidR="000743EE" w:rsidRPr="00232EBB">
        <w:rPr>
          <w:rFonts w:eastAsia="Calibri"/>
          <w:b/>
          <w:bCs/>
          <w:noProof/>
          <w:sz w:val="18"/>
          <w:szCs w:val="18"/>
          <w:lang w:val="es-DO"/>
        </w:rPr>
        <w:t>9</w:t>
      </w:r>
      <w:r w:rsidRPr="00232EBB">
        <w:rPr>
          <w:rFonts w:eastAsia="Calibri"/>
          <w:noProof/>
          <w:sz w:val="18"/>
          <w:szCs w:val="18"/>
          <w:lang w:val="es-DO"/>
        </w:rPr>
        <w:t>: Actualización de credenciales SUIR Plus</w:t>
      </w:r>
    </w:p>
    <w:p w14:paraId="62FABBF8"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La gestión de solicitudes de actualización de credenciales se ha llevado a cabo de manera efectiva, permitiendo que los representantes mantengan sus datos actualizados y vigentes con un tiempo de procesamiento que varía dependiendo de la complejidad del caso por constituirse en un recurso alterno al servicio en línea existente donde, el propio empleador o representante vigente, puede autogestionar los cambios en el Sistema Único de Información y Recaudo cuando lo considere pertinente.</w:t>
      </w:r>
    </w:p>
    <w:p w14:paraId="480A0C8F"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El alto volumen de solicitudes requiere una capacidad de respuesta eficiente para evitar retrasos realizando una evaluación en base a la documentación adecuada, la identidad del solicitante y la seguridad de datos. </w:t>
      </w:r>
    </w:p>
    <w:p w14:paraId="4490A044" w14:textId="77777777" w:rsidR="008016B9" w:rsidRPr="00232EBB" w:rsidRDefault="008016B9" w:rsidP="004E5D6E">
      <w:pPr>
        <w:pStyle w:val="Heading1"/>
        <w:spacing w:before="0" w:after="160"/>
        <w:jc w:val="both"/>
        <w:rPr>
          <w:rFonts w:cs="Times New Roman"/>
          <w:spacing w:val="0"/>
          <w:sz w:val="24"/>
          <w:szCs w:val="24"/>
          <w:lang w:val="es-DO"/>
        </w:rPr>
      </w:pPr>
      <w:bookmarkStart w:id="278" w:name="_Toc171677894"/>
      <w:bookmarkStart w:id="279" w:name="_Toc172119892"/>
      <w:bookmarkStart w:id="280" w:name="_Toc172120225"/>
      <w:bookmarkStart w:id="281" w:name="_Toc172121443"/>
      <w:bookmarkStart w:id="282" w:name="_Toc216952271"/>
      <w:r w:rsidRPr="00232EBB">
        <w:rPr>
          <w:rFonts w:cs="Times New Roman"/>
          <w:spacing w:val="0"/>
          <w:sz w:val="24"/>
          <w:szCs w:val="24"/>
          <w:lang w:val="es-DO"/>
        </w:rPr>
        <w:lastRenderedPageBreak/>
        <w:t>Centro de Asistencia al Usuario.</w:t>
      </w:r>
      <w:bookmarkEnd w:id="278"/>
      <w:bookmarkEnd w:id="279"/>
      <w:bookmarkEnd w:id="280"/>
      <w:bookmarkEnd w:id="281"/>
      <w:bookmarkEnd w:id="282"/>
    </w:p>
    <w:p w14:paraId="7B613421" w14:textId="77777777" w:rsidR="008016B9" w:rsidRPr="00232EBB" w:rsidRDefault="008016B9" w:rsidP="004E5D6E">
      <w:pPr>
        <w:spacing w:line="360" w:lineRule="auto"/>
        <w:jc w:val="both"/>
        <w:rPr>
          <w:lang w:val="es-ES"/>
        </w:rPr>
      </w:pPr>
      <w:r w:rsidRPr="00232EBB">
        <w:rPr>
          <w:lang w:val="es-ES"/>
        </w:rPr>
        <w:t>El Centro de Asistencia al Usuario se encarga de brindar asistencias vía telefónica, chat, correo electrónico a las empresas en los diferentes procesos que se realizan dentro de nuestro Sistema Único de Información y Recaudo (</w:t>
      </w:r>
      <w:proofErr w:type="spellStart"/>
      <w:r w:rsidRPr="00232EBB">
        <w:rPr>
          <w:lang w:val="es-ES"/>
        </w:rPr>
        <w:t>SuirPlus</w:t>
      </w:r>
      <w:proofErr w:type="spellEnd"/>
      <w:r w:rsidRPr="00232EBB">
        <w:rPr>
          <w:lang w:val="es-ES"/>
        </w:rPr>
        <w:t xml:space="preserve">), la ley 87-01, su marco normativo y resoluciones que inciden sobre el Seguro Familiar de Salud, Fondo de Pensiones y Seguro de Riesgo Laboral, entre otros. Manteniendo en las asistencias brindadas la disponibilidad de la información, confidencialidad y calidad en el servicio. </w:t>
      </w:r>
    </w:p>
    <w:p w14:paraId="5B19D79D" w14:textId="77777777" w:rsidR="008016B9" w:rsidRPr="00232EBB" w:rsidRDefault="008016B9" w:rsidP="004E5D6E">
      <w:pPr>
        <w:pStyle w:val="NormalWeb"/>
        <w:spacing w:before="0" w:beforeAutospacing="0" w:after="160" w:afterAutospacing="0" w:line="360" w:lineRule="auto"/>
        <w:jc w:val="both"/>
        <w:rPr>
          <w:rFonts w:eastAsiaTheme="majorEastAsia"/>
          <w:b/>
          <w:color w:val="767171" w:themeColor="background2" w:themeShade="80"/>
        </w:rPr>
      </w:pPr>
      <w:r w:rsidRPr="00232EBB">
        <w:rPr>
          <w:rFonts w:eastAsiaTheme="majorEastAsia"/>
          <w:b/>
          <w:color w:val="767171" w:themeColor="background2" w:themeShade="80"/>
        </w:rPr>
        <w:t>Objetivos e Indicadores de Servicios</w:t>
      </w:r>
    </w:p>
    <w:p w14:paraId="0971852B"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 xml:space="preserve">Como parte de nuestros objetivos hemos mejorado el tiempo de respuesta de nuestras asistencias, resultado de las implementaciones de nuevas medidas y aumento del personal, esto ha permitido elevar los niveles de satisfacción y calidad. Siendo nuestra finalidad alcanzar la implementación plena de una Cultura de Excelencia en el Servicio como principio de nuestro Sistema de Gestión de la Calidad Integrado. </w:t>
      </w:r>
    </w:p>
    <w:p w14:paraId="630E8202"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En la actualidad contamos con 22 colaboradores que asisten las llamadas entrantes, salientes, correos, TSS-Chat y otros, brindando respuestas efectivas con un conocimiento fortalecido a través de continuas capacitaciones, monitoreos de calidad y retroalimentaciones ante cualquier cambio.</w:t>
      </w:r>
    </w:p>
    <w:p w14:paraId="3E9E7A31"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Hemos alcanzado un alto porcentaje de llamadas exitosas en un mínimo de tiempo, en el periodo enero - diciembre del año 2025, recibiendo un total de ciento cincuenta y nueve mil ochocientas catorce (159,814) llamadas y   chats   para gestionar o tramitar los servicios de nuestra institución con una tasa de abandonado promedio de solo un 2%.</w:t>
      </w:r>
    </w:p>
    <w:p w14:paraId="60C2801E" w14:textId="77777777" w:rsidR="008016B9" w:rsidRPr="00232EBB" w:rsidRDefault="008016B9" w:rsidP="004E5D6E">
      <w:pPr>
        <w:spacing w:line="360" w:lineRule="auto"/>
        <w:jc w:val="both"/>
        <w:rPr>
          <w:rFonts w:eastAsia="Calibri"/>
          <w:noProof/>
          <w:lang w:val="es-DO"/>
        </w:rPr>
      </w:pPr>
      <w:r w:rsidRPr="00232EBB">
        <w:rPr>
          <w:rFonts w:eastAsia="Calibri"/>
          <w:noProof/>
          <w:lang w:val="es-DO"/>
        </w:rPr>
        <w:t xml:space="preserve">De los indicadores de gestión con un porcentaje esperado de 95 puntos, en este periodo hemos superado la meta logrando una tasa </w:t>
      </w:r>
      <w:r w:rsidRPr="00232EBB">
        <w:rPr>
          <w:rFonts w:eastAsia="Calibri"/>
          <w:noProof/>
          <w:lang w:val="es-DO"/>
        </w:rPr>
        <w:lastRenderedPageBreak/>
        <w:t xml:space="preserve">de éxito histórica del 98% de las asistencias entradas asistidas de forma exitosa. Continuamos superando nuestras propias proyecciones y estadísticas esperadas para así contribuir en nuestra política del Sistema de Gestión Integrado con la disponibilidad de los activos de la información y la satisfacción de las partes interesadas. </w:t>
      </w:r>
    </w:p>
    <w:p w14:paraId="7A4CA170" w14:textId="07CB01CE" w:rsidR="00A8614C" w:rsidRPr="00232EBB" w:rsidRDefault="00A8614C" w:rsidP="004E5D6E">
      <w:pPr>
        <w:pStyle w:val="Heading1"/>
        <w:spacing w:before="0" w:after="160" w:line="259" w:lineRule="auto"/>
        <w:jc w:val="both"/>
        <w:rPr>
          <w:rFonts w:cs="Times New Roman"/>
          <w:spacing w:val="0"/>
          <w:lang w:val="es-DO"/>
        </w:rPr>
      </w:pPr>
      <w:bookmarkStart w:id="283" w:name="_Toc216952272"/>
      <w:r w:rsidRPr="00232EBB">
        <w:rPr>
          <w:rFonts w:cs="Times New Roman"/>
          <w:spacing w:val="0"/>
          <w:lang w:val="es-DO"/>
        </w:rPr>
        <w:t>5.2 Nivel de Cumplimiento Acceso a la Información</w:t>
      </w:r>
      <w:bookmarkEnd w:id="267"/>
      <w:bookmarkEnd w:id="283"/>
    </w:p>
    <w:p w14:paraId="38C25AE5" w14:textId="77777777" w:rsidR="005609F5" w:rsidRPr="00232EBB" w:rsidRDefault="005609F5" w:rsidP="004E5D6E">
      <w:pPr>
        <w:spacing w:line="360" w:lineRule="auto"/>
        <w:jc w:val="both"/>
        <w:rPr>
          <w:rFonts w:eastAsia="Calibri"/>
          <w:noProof/>
          <w:lang w:val="es-DO"/>
        </w:rPr>
      </w:pPr>
      <w:r w:rsidRPr="00232EBB">
        <w:rPr>
          <w:rFonts w:eastAsia="Calibri"/>
          <w:noProof/>
          <w:lang w:val="es-DO"/>
        </w:rPr>
        <w:t>En el Depto. Acceso a la Información Pública estamos comprometidos a cumplir los mandatos establecidos en la Ley General de Libre Acceso a la Información Pública Ley No. 200-04, el Decreto No. 130-05 que crea el reglamento de dicha ley, la resolución No. DIGEIG-R-02-2017 y la Resolución DIGEIG No. 002-2021, con el objetivo de apoyar a entidades y personas tanto públicas como privadas otorgándoles las informaciones solicitadas, promoviendo así el buen hacer en el estado y una cultura de transparencia.</w:t>
      </w:r>
    </w:p>
    <w:p w14:paraId="1325E846" w14:textId="77777777" w:rsidR="005609F5" w:rsidRPr="00232EBB" w:rsidRDefault="005609F5" w:rsidP="004E5D6E">
      <w:pPr>
        <w:spacing w:line="360" w:lineRule="auto"/>
        <w:jc w:val="both"/>
        <w:rPr>
          <w:rFonts w:eastAsia="Calibri"/>
          <w:noProof/>
          <w:lang w:val="es-DO"/>
        </w:rPr>
      </w:pPr>
      <w:r w:rsidRPr="00232EBB">
        <w:rPr>
          <w:rFonts w:eastAsia="Calibri"/>
          <w:noProof/>
          <w:lang w:val="es-DO"/>
        </w:rPr>
        <w:t xml:space="preserve">Fundamentamos nuestro trabajo en la eficiencia, de manera que nuestras actuaciones se realizan optimizando el uso del tiempo, resolviendo los procedimientos en el plazo establecido por la Ley. </w:t>
      </w:r>
    </w:p>
    <w:p w14:paraId="63B27BCB" w14:textId="0F211925" w:rsidR="00581697" w:rsidRPr="00232EBB" w:rsidRDefault="00581697" w:rsidP="004E5D6E">
      <w:pPr>
        <w:spacing w:line="360" w:lineRule="auto"/>
        <w:rPr>
          <w:b/>
          <w:bCs/>
          <w:lang w:val="es-DO"/>
        </w:rPr>
      </w:pPr>
      <w:bookmarkStart w:id="284" w:name="_Toc171677896"/>
      <w:bookmarkStart w:id="285" w:name="_Toc172119894"/>
      <w:bookmarkStart w:id="286" w:name="_Toc172120227"/>
      <w:bookmarkStart w:id="287" w:name="_Toc172121445"/>
      <w:bookmarkStart w:id="288" w:name="_Toc154736751"/>
      <w:r w:rsidRPr="00232EBB">
        <w:rPr>
          <w:b/>
          <w:bCs/>
          <w:lang w:val="es-DO"/>
        </w:rPr>
        <w:t>Acciones para el Fortalecimiento Institucional</w:t>
      </w:r>
      <w:bookmarkEnd w:id="284"/>
      <w:bookmarkEnd w:id="285"/>
      <w:bookmarkEnd w:id="286"/>
      <w:bookmarkEnd w:id="287"/>
      <w:r w:rsidRPr="00232EBB">
        <w:rPr>
          <w:b/>
          <w:bCs/>
          <w:lang w:val="es-DO"/>
        </w:rPr>
        <w:t xml:space="preserve"> </w:t>
      </w:r>
    </w:p>
    <w:p w14:paraId="6977E696" w14:textId="77777777" w:rsidR="003F33A0" w:rsidRPr="00232EBB" w:rsidRDefault="00581697" w:rsidP="004E5D6E">
      <w:pPr>
        <w:spacing w:line="360" w:lineRule="auto"/>
        <w:jc w:val="both"/>
        <w:rPr>
          <w:b/>
          <w:bCs/>
          <w:lang w:val="es-DO"/>
        </w:rPr>
      </w:pPr>
      <w:bookmarkStart w:id="289" w:name="_Toc70427597"/>
      <w:bookmarkStart w:id="290" w:name="_Toc171677897"/>
      <w:bookmarkStart w:id="291" w:name="_Toc172119895"/>
      <w:bookmarkStart w:id="292" w:name="_Toc172120228"/>
      <w:bookmarkStart w:id="293" w:name="_Toc172121446"/>
      <w:r w:rsidRPr="00232EBB">
        <w:rPr>
          <w:b/>
          <w:bCs/>
          <w:lang w:val="es-DO"/>
        </w:rPr>
        <w:t>Formación servidores públicos</w:t>
      </w:r>
      <w:bookmarkEnd w:id="289"/>
      <w:bookmarkEnd w:id="290"/>
      <w:bookmarkEnd w:id="291"/>
      <w:bookmarkEnd w:id="292"/>
      <w:bookmarkEnd w:id="293"/>
      <w:r w:rsidRPr="00232EBB">
        <w:rPr>
          <w:b/>
          <w:bCs/>
          <w:lang w:val="es-DO"/>
        </w:rPr>
        <w:t xml:space="preserve"> </w:t>
      </w:r>
    </w:p>
    <w:p w14:paraId="3BD658F1" w14:textId="036F8CC4" w:rsidR="00581697" w:rsidRPr="00232EBB" w:rsidRDefault="00581697" w:rsidP="004E5D6E">
      <w:pPr>
        <w:spacing w:line="360" w:lineRule="auto"/>
        <w:jc w:val="both"/>
        <w:rPr>
          <w:rFonts w:eastAsia="Calibri"/>
          <w:noProof/>
          <w:lang w:val="es-DO"/>
        </w:rPr>
      </w:pPr>
      <w:r w:rsidRPr="00232EBB">
        <w:rPr>
          <w:rFonts w:eastAsia="Calibri"/>
          <w:noProof/>
          <w:lang w:val="es-DO"/>
        </w:rPr>
        <w:t>Como meta propuesta en nuestro POA 202</w:t>
      </w:r>
      <w:r w:rsidR="00830CF3" w:rsidRPr="00232EBB">
        <w:rPr>
          <w:rFonts w:eastAsia="Calibri"/>
          <w:noProof/>
          <w:lang w:val="es-DO"/>
        </w:rPr>
        <w:t>5</w:t>
      </w:r>
      <w:r w:rsidRPr="00232EBB">
        <w:rPr>
          <w:rFonts w:eastAsia="Calibri"/>
          <w:noProof/>
          <w:lang w:val="es-DO"/>
        </w:rPr>
        <w:t>, nos comprometimos en sensibilizar al 100% del personal de nuevo ingreso, labor que hasta al momento hemos estado realizando.</w:t>
      </w:r>
    </w:p>
    <w:p w14:paraId="291EF3F6" w14:textId="77777777" w:rsidR="00581697" w:rsidRPr="00232EBB" w:rsidRDefault="00581697" w:rsidP="004E5D6E">
      <w:pPr>
        <w:spacing w:line="360" w:lineRule="auto"/>
        <w:jc w:val="both"/>
        <w:rPr>
          <w:rFonts w:eastAsia="Calibri"/>
          <w:noProof/>
          <w:lang w:val="es-DO"/>
        </w:rPr>
      </w:pPr>
      <w:r w:rsidRPr="00232EBB">
        <w:rPr>
          <w:rFonts w:eastAsia="Calibri"/>
          <w:noProof/>
          <w:lang w:val="es-DO"/>
        </w:rPr>
        <w:t xml:space="preserve">Como parte de la promoción de una Cultura de Transparencia institucional, hemos realizado las sensibilizaciones siguientes: </w:t>
      </w:r>
    </w:p>
    <w:p w14:paraId="2381F91D" w14:textId="71A51283" w:rsidR="00581697" w:rsidRPr="00232EBB" w:rsidRDefault="00581697" w:rsidP="004F330B">
      <w:pPr>
        <w:numPr>
          <w:ilvl w:val="0"/>
          <w:numId w:val="20"/>
        </w:numPr>
        <w:spacing w:after="0" w:line="360" w:lineRule="auto"/>
        <w:contextualSpacing/>
        <w:jc w:val="both"/>
        <w:rPr>
          <w:rFonts w:eastAsia="Calibri"/>
          <w:noProof/>
          <w:lang w:val="es-DO"/>
        </w:rPr>
      </w:pPr>
      <w:r w:rsidRPr="00232EBB">
        <w:rPr>
          <w:rFonts w:eastAsia="Calibri"/>
          <w:noProof/>
          <w:lang w:val="es-DO"/>
        </w:rPr>
        <w:t xml:space="preserve">Sensibilización sobre la Ley General de Libre Acceso a la Información Pública, No. 200-04, y su reglamento no.130-05, </w:t>
      </w:r>
      <w:r w:rsidRPr="00232EBB">
        <w:rPr>
          <w:rFonts w:eastAsia="Calibri"/>
          <w:noProof/>
          <w:lang w:val="es-DO"/>
        </w:rPr>
        <w:lastRenderedPageBreak/>
        <w:t xml:space="preserve">a un total de 28 colaboradores que conforman el 100% del personal de nuevo ingreso para el periodo enero - </w:t>
      </w:r>
      <w:r w:rsidR="00110808" w:rsidRPr="00232EBB">
        <w:rPr>
          <w:rFonts w:eastAsia="Calibri"/>
          <w:noProof/>
          <w:lang w:val="es-DO"/>
        </w:rPr>
        <w:t>dic</w:t>
      </w:r>
      <w:r w:rsidRPr="00232EBB">
        <w:rPr>
          <w:rFonts w:eastAsia="Calibri"/>
          <w:noProof/>
          <w:lang w:val="es-DO"/>
        </w:rPr>
        <w:t xml:space="preserve">iembre.   </w:t>
      </w:r>
    </w:p>
    <w:p w14:paraId="176924ED" w14:textId="5266D839" w:rsidR="00581697" w:rsidRPr="00232EBB" w:rsidRDefault="00581697" w:rsidP="004F330B">
      <w:pPr>
        <w:numPr>
          <w:ilvl w:val="0"/>
          <w:numId w:val="5"/>
        </w:numPr>
        <w:spacing w:after="0" w:line="360" w:lineRule="auto"/>
        <w:contextualSpacing/>
        <w:jc w:val="both"/>
        <w:rPr>
          <w:rFonts w:eastAsia="Calibri"/>
          <w:noProof/>
          <w:lang w:val="es-DO"/>
        </w:rPr>
      </w:pPr>
      <w:r w:rsidRPr="00232EBB">
        <w:rPr>
          <w:rFonts w:eastAsia="Calibri"/>
          <w:noProof/>
          <w:lang w:val="es-DO"/>
        </w:rPr>
        <w:t>Se realizó una jornada masiva de capacitaci</w:t>
      </w:r>
      <w:r w:rsidR="00110808" w:rsidRPr="00232EBB">
        <w:rPr>
          <w:rFonts w:eastAsia="Calibri"/>
          <w:noProof/>
          <w:lang w:val="es-DO"/>
        </w:rPr>
        <w:t>ó</w:t>
      </w:r>
      <w:r w:rsidRPr="00232EBB">
        <w:rPr>
          <w:rFonts w:eastAsia="Calibri"/>
          <w:noProof/>
          <w:lang w:val="es-DO"/>
        </w:rPr>
        <w:t>n a todos los colaboradores sobre la usabilidad de la plataforma FirmaGob, como parte del proyecto de implementación de Firma Digital-TSS.</w:t>
      </w:r>
    </w:p>
    <w:p w14:paraId="0122F5E1" w14:textId="677252F8" w:rsidR="00581697" w:rsidRPr="00232EBB" w:rsidRDefault="00581697" w:rsidP="004F330B">
      <w:pPr>
        <w:numPr>
          <w:ilvl w:val="0"/>
          <w:numId w:val="5"/>
        </w:numPr>
        <w:spacing w:after="0" w:line="360" w:lineRule="auto"/>
        <w:contextualSpacing/>
        <w:jc w:val="both"/>
        <w:rPr>
          <w:rFonts w:eastAsia="Calibri"/>
          <w:noProof/>
          <w:lang w:val="es-DO"/>
        </w:rPr>
      </w:pPr>
      <w:r w:rsidRPr="00232EBB">
        <w:rPr>
          <w:rFonts w:eastAsia="Calibri"/>
          <w:noProof/>
          <w:lang w:val="es-DO"/>
        </w:rPr>
        <w:t>Se ejecutó una campaña de Programa de promoción de la cultura de transparencia institucional, Difusión de cápsulas informativas sobre la Ley General de Libre Acceso a la Información Pública No. 200-04, Datos Abiertos y L</w:t>
      </w:r>
      <w:r w:rsidR="00110808" w:rsidRPr="00232EBB">
        <w:rPr>
          <w:rFonts w:eastAsia="Calibri"/>
          <w:noProof/>
          <w:lang w:val="es-DO"/>
        </w:rPr>
        <w:t>í</w:t>
      </w:r>
      <w:r w:rsidRPr="00232EBB">
        <w:rPr>
          <w:rFonts w:eastAsia="Calibri"/>
          <w:noProof/>
          <w:lang w:val="es-DO"/>
        </w:rPr>
        <w:t>nea 311.</w:t>
      </w:r>
    </w:p>
    <w:p w14:paraId="5E15E0EB" w14:textId="77777777" w:rsidR="00581697" w:rsidRPr="00232EBB" w:rsidRDefault="00581697" w:rsidP="004F330B">
      <w:pPr>
        <w:numPr>
          <w:ilvl w:val="0"/>
          <w:numId w:val="5"/>
        </w:numPr>
        <w:spacing w:after="0" w:line="360" w:lineRule="auto"/>
        <w:contextualSpacing/>
        <w:jc w:val="both"/>
        <w:rPr>
          <w:rFonts w:eastAsia="Calibri"/>
          <w:noProof/>
          <w:lang w:val="es-DO"/>
        </w:rPr>
      </w:pPr>
      <w:r w:rsidRPr="00232EBB">
        <w:rPr>
          <w:rFonts w:eastAsia="Calibri"/>
          <w:noProof/>
          <w:lang w:val="es-DO"/>
        </w:rPr>
        <w:t>Se ejecutó una campaña de la difusión de cápsulas informativas sobre usabilidad y características de la firma digital.</w:t>
      </w:r>
    </w:p>
    <w:p w14:paraId="1309917B" w14:textId="7B0BA21A" w:rsidR="00581697" w:rsidRPr="00232EBB" w:rsidRDefault="00581697" w:rsidP="00581697">
      <w:pPr>
        <w:rPr>
          <w:b/>
          <w:bCs/>
          <w:lang w:val="es-DO"/>
        </w:rPr>
      </w:pPr>
      <w:r w:rsidRPr="00232EBB">
        <w:rPr>
          <w:b/>
          <w:bCs/>
          <w:lang w:val="es-DO"/>
        </w:rPr>
        <w:t>Participación en actividades externas</w:t>
      </w:r>
    </w:p>
    <w:p w14:paraId="711EC9FD" w14:textId="454A88D2" w:rsidR="00581697" w:rsidRPr="00232EBB" w:rsidRDefault="00581697" w:rsidP="00C13C0C">
      <w:pPr>
        <w:spacing w:after="0" w:line="360" w:lineRule="auto"/>
        <w:jc w:val="both"/>
        <w:rPr>
          <w:rFonts w:eastAsia="Calibri"/>
          <w:noProof/>
          <w:lang w:val="es-DO"/>
        </w:rPr>
      </w:pPr>
      <w:r w:rsidRPr="00232EBB">
        <w:rPr>
          <w:rFonts w:eastAsia="Calibri"/>
          <w:noProof/>
          <w:lang w:val="es-DO"/>
        </w:rPr>
        <w:t>Participamos en las actividades programas por la Dirección General de Ética a Integridad Gubernamental (DIGEIG), para enero-</w:t>
      </w:r>
      <w:r w:rsidR="00C13C0C" w:rsidRPr="00232EBB">
        <w:rPr>
          <w:rFonts w:eastAsia="Calibri"/>
          <w:noProof/>
          <w:lang w:val="es-DO"/>
        </w:rPr>
        <w:t>diciembre</w:t>
      </w:r>
      <w:r w:rsidRPr="00232EBB">
        <w:rPr>
          <w:rFonts w:eastAsia="Calibri"/>
          <w:noProof/>
          <w:lang w:val="es-DO"/>
        </w:rPr>
        <w:t xml:space="preserve"> 202</w:t>
      </w:r>
      <w:r w:rsidR="00C13C0C" w:rsidRPr="00232EBB">
        <w:rPr>
          <w:rFonts w:eastAsia="Calibri"/>
          <w:noProof/>
          <w:lang w:val="es-DO"/>
        </w:rPr>
        <w:t>5</w:t>
      </w:r>
      <w:r w:rsidRPr="00232EBB">
        <w:rPr>
          <w:rFonts w:eastAsia="Calibri"/>
          <w:noProof/>
          <w:lang w:val="es-DO"/>
        </w:rPr>
        <w:t>.</w:t>
      </w:r>
    </w:p>
    <w:p w14:paraId="4537D27D" w14:textId="77777777" w:rsidR="00581697" w:rsidRPr="00232EBB" w:rsidRDefault="00581697" w:rsidP="00581697">
      <w:pPr>
        <w:spacing w:after="0" w:line="360" w:lineRule="auto"/>
        <w:jc w:val="both"/>
        <w:rPr>
          <w:rFonts w:eastAsia="Calibri"/>
          <w:noProof/>
          <w:lang w:val="es-DO"/>
        </w:rPr>
      </w:pPr>
    </w:p>
    <w:p w14:paraId="0992EEB0" w14:textId="2B488496"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t>Participaci</w:t>
      </w:r>
      <w:r w:rsidR="00110808" w:rsidRPr="00232EBB">
        <w:rPr>
          <w:rFonts w:eastAsia="Calibri"/>
          <w:noProof/>
          <w:lang w:val="es-DO"/>
        </w:rPr>
        <w:t>ó</w:t>
      </w:r>
      <w:r w:rsidRPr="00232EBB">
        <w:rPr>
          <w:rFonts w:eastAsia="Calibri"/>
          <w:noProof/>
          <w:lang w:val="es-DO"/>
        </w:rPr>
        <w:t>n en  panel impartido por la Dra. Milagros Ortiz Bosch “El Perfil Ético del funcionario Público en un Contexto de Cambio Institucional”</w:t>
      </w:r>
      <w:r w:rsidR="00110808" w:rsidRPr="00232EBB">
        <w:rPr>
          <w:rFonts w:eastAsia="Calibri"/>
          <w:noProof/>
          <w:lang w:val="es-DO"/>
        </w:rPr>
        <w:t>.</w:t>
      </w:r>
    </w:p>
    <w:p w14:paraId="56614B99" w14:textId="2AEB9890"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t>Participaci</w:t>
      </w:r>
      <w:r w:rsidR="00110808" w:rsidRPr="00232EBB">
        <w:rPr>
          <w:rFonts w:eastAsia="Calibri"/>
          <w:noProof/>
          <w:lang w:val="es-DO"/>
        </w:rPr>
        <w:t>ó</w:t>
      </w:r>
      <w:r w:rsidRPr="00232EBB">
        <w:rPr>
          <w:rFonts w:eastAsia="Calibri"/>
          <w:noProof/>
          <w:lang w:val="es-DO"/>
        </w:rPr>
        <w:t>n en la actividad TusDatos; realizada en dentro del trimestre, en el Auditorio de la Policía Nacional</w:t>
      </w:r>
      <w:r w:rsidR="00110808" w:rsidRPr="00232EBB">
        <w:rPr>
          <w:rFonts w:eastAsia="Calibri"/>
          <w:noProof/>
          <w:lang w:val="es-DO"/>
        </w:rPr>
        <w:t>.</w:t>
      </w:r>
    </w:p>
    <w:p w14:paraId="667C9FF5" w14:textId="6EE08CBA"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t>Asistimos a la capacitaci</w:t>
      </w:r>
      <w:r w:rsidR="00110808" w:rsidRPr="00232EBB">
        <w:rPr>
          <w:rFonts w:eastAsia="Calibri"/>
          <w:noProof/>
          <w:lang w:val="es-DO"/>
        </w:rPr>
        <w:t>ó</w:t>
      </w:r>
      <w:r w:rsidRPr="00232EBB">
        <w:rPr>
          <w:rFonts w:eastAsia="Calibri"/>
          <w:noProof/>
          <w:lang w:val="es-DO"/>
        </w:rPr>
        <w:t xml:space="preserve">n/taller, para el manejo del Portal SAIP. Impartido en el Infotep. </w:t>
      </w:r>
    </w:p>
    <w:p w14:paraId="7784552E" w14:textId="1864C03B"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t>Participaci</w:t>
      </w:r>
      <w:r w:rsidR="00110808" w:rsidRPr="00232EBB">
        <w:rPr>
          <w:rFonts w:eastAsia="Calibri"/>
          <w:noProof/>
          <w:lang w:val="es-DO"/>
        </w:rPr>
        <w:t>ó</w:t>
      </w:r>
      <w:r w:rsidRPr="00232EBB">
        <w:rPr>
          <w:rFonts w:eastAsia="Calibri"/>
          <w:noProof/>
          <w:lang w:val="es-DO"/>
        </w:rPr>
        <w:t xml:space="preserve">n actividades de la Semana del Derecho a Saber.  </w:t>
      </w:r>
    </w:p>
    <w:p w14:paraId="33697D7B" w14:textId="77777777" w:rsidR="00110808" w:rsidRPr="00232EBB" w:rsidRDefault="00110808" w:rsidP="004E5D6E">
      <w:pPr>
        <w:rPr>
          <w:b/>
          <w:bCs/>
          <w:lang w:val="es-DO"/>
        </w:rPr>
      </w:pPr>
    </w:p>
    <w:p w14:paraId="5B14664E" w14:textId="181331C8" w:rsidR="00581697" w:rsidRPr="00232EBB" w:rsidRDefault="00581697" w:rsidP="004E5D6E">
      <w:pPr>
        <w:rPr>
          <w:b/>
          <w:bCs/>
          <w:lang w:val="es-DO"/>
        </w:rPr>
      </w:pPr>
      <w:r w:rsidRPr="00232EBB">
        <w:rPr>
          <w:b/>
          <w:bCs/>
          <w:lang w:val="es-DO"/>
        </w:rPr>
        <w:t>Publicación Datos Abiertos.</w:t>
      </w:r>
    </w:p>
    <w:p w14:paraId="38A5981A" w14:textId="77777777" w:rsidR="00581697" w:rsidRPr="00232EBB" w:rsidRDefault="00581697" w:rsidP="004E5D6E">
      <w:pPr>
        <w:spacing w:line="360" w:lineRule="auto"/>
        <w:jc w:val="both"/>
        <w:rPr>
          <w:noProof/>
          <w:lang w:val="es-DO"/>
        </w:rPr>
      </w:pPr>
      <w:r w:rsidRPr="00232EBB">
        <w:rPr>
          <w:noProof/>
          <w:lang w:val="es-DO"/>
        </w:rPr>
        <w:t>Se ha coordinado la solicitud y carga de las informaciones liberadas en el Portal Datos.gob.do, contando con los siguientes conjuntos de datos:</w:t>
      </w:r>
    </w:p>
    <w:p w14:paraId="43C8E826" w14:textId="77777777"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lastRenderedPageBreak/>
        <w:t>Nóminas de Empleados, TSS, 2017 – 2025.</w:t>
      </w:r>
    </w:p>
    <w:p w14:paraId="0D7ED752" w14:textId="77777777"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t>Estadísticas Oficina Acceso a la Información (OAI), TSS, 2017- 2025.</w:t>
      </w:r>
    </w:p>
    <w:p w14:paraId="56170C46" w14:textId="77777777"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t>Recaudaciones y Notificaciones TSS, 2014 – 2025.</w:t>
      </w:r>
    </w:p>
    <w:p w14:paraId="4D3ECF11" w14:textId="77777777"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t>Empleadores Activos en TSS, 2003 – 2025.</w:t>
      </w:r>
    </w:p>
    <w:p w14:paraId="7D9A9FC1" w14:textId="77777777" w:rsidR="00581697" w:rsidRPr="00232EBB" w:rsidRDefault="00581697" w:rsidP="004E5D6E">
      <w:pPr>
        <w:numPr>
          <w:ilvl w:val="0"/>
          <w:numId w:val="5"/>
        </w:numPr>
        <w:spacing w:line="360" w:lineRule="auto"/>
        <w:contextualSpacing/>
        <w:jc w:val="both"/>
        <w:rPr>
          <w:rFonts w:eastAsia="Calibri"/>
          <w:noProof/>
          <w:lang w:val="es-DO"/>
        </w:rPr>
      </w:pPr>
      <w:r w:rsidRPr="00232EBB">
        <w:rPr>
          <w:rFonts w:eastAsia="Calibri"/>
          <w:noProof/>
          <w:lang w:val="es-DO"/>
        </w:rPr>
        <w:t>Trabajadores Activos en TSS, 2003 – 2025.</w:t>
      </w:r>
    </w:p>
    <w:p w14:paraId="3EB80049" w14:textId="77777777" w:rsidR="00110808" w:rsidRPr="00232EBB" w:rsidRDefault="00110808" w:rsidP="004E5D6E">
      <w:pPr>
        <w:rPr>
          <w:b/>
          <w:bCs/>
          <w:lang w:val="es-DO"/>
        </w:rPr>
      </w:pPr>
    </w:p>
    <w:p w14:paraId="2FEFB47D" w14:textId="05B653C3" w:rsidR="00581697" w:rsidRPr="00232EBB" w:rsidRDefault="00581697" w:rsidP="004E5D6E">
      <w:pPr>
        <w:rPr>
          <w:b/>
          <w:bCs/>
          <w:lang w:val="es-DO"/>
        </w:rPr>
      </w:pPr>
      <w:r w:rsidRPr="00232EBB">
        <w:rPr>
          <w:b/>
          <w:bCs/>
          <w:lang w:val="es-DO"/>
        </w:rPr>
        <w:t xml:space="preserve">Logros </w:t>
      </w:r>
    </w:p>
    <w:p w14:paraId="19EBDF2D" w14:textId="77777777" w:rsidR="00581697" w:rsidRPr="00232EBB" w:rsidRDefault="00581697" w:rsidP="004E5D6E">
      <w:pPr>
        <w:spacing w:line="360" w:lineRule="auto"/>
        <w:rPr>
          <w:b/>
          <w:bCs/>
          <w:lang w:val="es-DO"/>
        </w:rPr>
      </w:pPr>
      <w:r w:rsidRPr="00232EBB">
        <w:rPr>
          <w:b/>
          <w:bCs/>
          <w:lang w:val="es-DO"/>
        </w:rPr>
        <w:t xml:space="preserve">Reconocimiento Rankin de Transparencia </w:t>
      </w:r>
    </w:p>
    <w:p w14:paraId="08DD8AEE" w14:textId="4425393E" w:rsidR="00581697" w:rsidRPr="00232EBB" w:rsidRDefault="00581697" w:rsidP="004E5D6E">
      <w:pPr>
        <w:spacing w:line="360" w:lineRule="auto"/>
        <w:jc w:val="both"/>
        <w:rPr>
          <w:rFonts w:eastAsia="Calibri"/>
          <w:noProof/>
          <w:lang w:val="es-DO"/>
        </w:rPr>
      </w:pPr>
      <w:r w:rsidRPr="00232EBB">
        <w:rPr>
          <w:rFonts w:eastAsia="Calibri"/>
          <w:noProof/>
          <w:lang w:val="es-DO"/>
        </w:rPr>
        <w:t>En el marco de las actividades conmemorativas de la  Semana   del Derecho a Saber 2025, organizada por la Dirección General de Ética e Integridad Gubernamental (DIGEIG), nuestra institución fue reconocida tras obtener una calificación promedio de 99.01% en las evaluaciones del ranking de transparencia institucional en los meses comprendidos entre mayo 2024 a junio 2025.</w:t>
      </w:r>
    </w:p>
    <w:p w14:paraId="2686134A" w14:textId="4E64B59B" w:rsidR="00581697" w:rsidRPr="00232EBB" w:rsidRDefault="00640D33" w:rsidP="004E5D6E">
      <w:pPr>
        <w:spacing w:line="360" w:lineRule="auto"/>
        <w:rPr>
          <w:b/>
          <w:bCs/>
          <w:lang w:val="es-DO"/>
        </w:rPr>
      </w:pPr>
      <w:r w:rsidRPr="00232EBB">
        <w:rPr>
          <w:b/>
          <w:bCs/>
          <w:lang w:val="es-DO"/>
        </w:rPr>
        <w:t>Implementación</w:t>
      </w:r>
      <w:r w:rsidR="00581697" w:rsidRPr="00232EBB">
        <w:rPr>
          <w:b/>
          <w:bCs/>
          <w:lang w:val="es-DO"/>
        </w:rPr>
        <w:t xml:space="preserve"> </w:t>
      </w:r>
      <w:r w:rsidRPr="00232EBB">
        <w:rPr>
          <w:b/>
          <w:bCs/>
          <w:lang w:val="es-DO"/>
        </w:rPr>
        <w:t xml:space="preserve">Firma </w:t>
      </w:r>
      <w:proofErr w:type="spellStart"/>
      <w:r w:rsidRPr="00232EBB">
        <w:rPr>
          <w:b/>
          <w:bCs/>
          <w:lang w:val="es-DO"/>
        </w:rPr>
        <w:t>Gob</w:t>
      </w:r>
      <w:proofErr w:type="spellEnd"/>
    </w:p>
    <w:p w14:paraId="009EC78B" w14:textId="77777777" w:rsidR="00581697" w:rsidRPr="00232EBB" w:rsidRDefault="00581697" w:rsidP="004E5D6E">
      <w:pPr>
        <w:autoSpaceDE w:val="0"/>
        <w:autoSpaceDN w:val="0"/>
        <w:adjustRightInd w:val="0"/>
        <w:spacing w:line="360" w:lineRule="auto"/>
        <w:jc w:val="both"/>
        <w:rPr>
          <w:rFonts w:eastAsia="Calibri"/>
          <w:noProof/>
          <w:lang w:val="es-DO"/>
        </w:rPr>
      </w:pPr>
      <w:r w:rsidRPr="00232EBB">
        <w:rPr>
          <w:rFonts w:eastAsia="Calibri"/>
          <w:noProof/>
          <w:lang w:val="es-DO"/>
        </w:rPr>
        <w:t xml:space="preserve">Nuestra institución se ha integrado al proyecto de “Expansión del uso de la Firma Digital en el Estado Dominicano”, mediante la implementación del buzón gubernamental FIRMAGOB, una iniciativa priorizada por la Agenda Digital 2030. Este proyecto busca, a través de las tecnologías digitales, mejorar la calidad de vida de nuestra gente, acelerar la reactivación económica y social, y elevar los niveles de productividad y competitividad nacional. </w:t>
      </w:r>
    </w:p>
    <w:p w14:paraId="1C6D29C0" w14:textId="77777777" w:rsidR="00581697" w:rsidRPr="00232EBB" w:rsidRDefault="00581697" w:rsidP="004E5D6E">
      <w:pPr>
        <w:autoSpaceDE w:val="0"/>
        <w:autoSpaceDN w:val="0"/>
        <w:adjustRightInd w:val="0"/>
        <w:spacing w:line="360" w:lineRule="auto"/>
        <w:jc w:val="both"/>
        <w:rPr>
          <w:rFonts w:eastAsia="Calibri"/>
          <w:noProof/>
          <w:lang w:val="es-DO"/>
        </w:rPr>
      </w:pPr>
      <w:r w:rsidRPr="00232EBB">
        <w:rPr>
          <w:rFonts w:eastAsia="Calibri"/>
          <w:noProof/>
          <w:lang w:val="es-DO"/>
        </w:rPr>
        <w:t>En coordinación con el Depto. de gestión documental para la renovación de los certificados digital.</w:t>
      </w:r>
    </w:p>
    <w:p w14:paraId="206FF03F" w14:textId="77777777" w:rsidR="00581697" w:rsidRPr="00232EBB" w:rsidRDefault="00581697" w:rsidP="004E5D6E">
      <w:pPr>
        <w:autoSpaceDE w:val="0"/>
        <w:autoSpaceDN w:val="0"/>
        <w:adjustRightInd w:val="0"/>
        <w:spacing w:line="360" w:lineRule="auto"/>
        <w:jc w:val="both"/>
        <w:rPr>
          <w:noProof/>
        </w:rPr>
      </w:pPr>
      <w:r w:rsidRPr="00232EBB">
        <w:rPr>
          <w:noProof/>
        </w:rPr>
        <w:t>A la fecha tenemos:</w:t>
      </w:r>
    </w:p>
    <w:p w14:paraId="01605CC2" w14:textId="0F30743F" w:rsidR="00581697" w:rsidRPr="00232EBB" w:rsidRDefault="00581697" w:rsidP="004E5D6E">
      <w:pPr>
        <w:pStyle w:val="ListParagraph"/>
        <w:numPr>
          <w:ilvl w:val="0"/>
          <w:numId w:val="21"/>
        </w:numPr>
        <w:autoSpaceDE w:val="0"/>
        <w:autoSpaceDN w:val="0"/>
        <w:adjustRightInd w:val="0"/>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Registrados en Buz</w:t>
      </w:r>
      <w:r w:rsidR="00110808" w:rsidRPr="00232EBB">
        <w:rPr>
          <w:rFonts w:ascii="Times New Roman" w:hAnsi="Times New Roman"/>
          <w:noProof/>
          <w:color w:val="767171"/>
          <w:spacing w:val="20"/>
          <w:sz w:val="24"/>
          <w:szCs w:val="24"/>
        </w:rPr>
        <w:t>ó</w:t>
      </w:r>
      <w:r w:rsidRPr="00232EBB">
        <w:rPr>
          <w:rFonts w:ascii="Times New Roman" w:hAnsi="Times New Roman"/>
          <w:noProof/>
          <w:color w:val="767171"/>
          <w:spacing w:val="20"/>
          <w:sz w:val="24"/>
          <w:szCs w:val="24"/>
        </w:rPr>
        <w:t>n de firma: 324</w:t>
      </w:r>
    </w:p>
    <w:p w14:paraId="68D336F8" w14:textId="77777777" w:rsidR="00581697" w:rsidRPr="00232EBB" w:rsidRDefault="00581697" w:rsidP="004E5D6E">
      <w:pPr>
        <w:pStyle w:val="ListParagraph"/>
        <w:numPr>
          <w:ilvl w:val="0"/>
          <w:numId w:val="21"/>
        </w:numPr>
        <w:autoSpaceDE w:val="0"/>
        <w:autoSpaceDN w:val="0"/>
        <w:adjustRightInd w:val="0"/>
        <w:spacing w:line="360" w:lineRule="auto"/>
        <w:rPr>
          <w:rFonts w:ascii="Times New Roman" w:hAnsi="Times New Roman"/>
          <w:noProof/>
          <w:color w:val="767171"/>
          <w:spacing w:val="20"/>
          <w:sz w:val="24"/>
          <w:szCs w:val="24"/>
        </w:rPr>
      </w:pPr>
      <w:r w:rsidRPr="00232EBB">
        <w:rPr>
          <w:rFonts w:ascii="Times New Roman" w:hAnsi="Times New Roman"/>
          <w:noProof/>
          <w:color w:val="767171"/>
          <w:spacing w:val="20"/>
          <w:sz w:val="24"/>
          <w:szCs w:val="24"/>
        </w:rPr>
        <w:t>Registrados en Fortress: 339</w:t>
      </w:r>
    </w:p>
    <w:p w14:paraId="5C5B5B5B" w14:textId="3E33BBD0" w:rsidR="00AA7F19" w:rsidRPr="00232EBB" w:rsidRDefault="00AA7F19" w:rsidP="004E5D6E">
      <w:pPr>
        <w:autoSpaceDE w:val="0"/>
        <w:autoSpaceDN w:val="0"/>
        <w:adjustRightInd w:val="0"/>
        <w:spacing w:line="360" w:lineRule="auto"/>
        <w:jc w:val="both"/>
        <w:rPr>
          <w:noProof/>
          <w:lang w:val="es-MX"/>
        </w:rPr>
      </w:pPr>
      <w:r w:rsidRPr="00232EBB">
        <w:rPr>
          <w:noProof/>
          <w:lang w:val="es-MX"/>
        </w:rPr>
        <w:lastRenderedPageBreak/>
        <w:t>Cierre proyecto Implementación de las Normas Internacionales ISO 37301:2021 Cumplimiento Normativo - ISO 37001:2016 Antisoborno Implementadas.</w:t>
      </w:r>
    </w:p>
    <w:p w14:paraId="30C0CAA8" w14:textId="37598836" w:rsidR="00AA7F19" w:rsidRPr="00232EBB" w:rsidRDefault="00AA7F19" w:rsidP="004E5D6E">
      <w:pPr>
        <w:autoSpaceDE w:val="0"/>
        <w:autoSpaceDN w:val="0"/>
        <w:adjustRightInd w:val="0"/>
        <w:spacing w:line="360" w:lineRule="auto"/>
        <w:jc w:val="both"/>
        <w:rPr>
          <w:noProof/>
          <w:lang w:val="es-MX"/>
        </w:rPr>
      </w:pPr>
      <w:r w:rsidRPr="00232EBB">
        <w:rPr>
          <w:noProof/>
          <w:lang w:val="es-MX"/>
        </w:rPr>
        <w:t>Desde la oficina de Libre Acceso a la Información Pública, se concluyó con la coordinación de proyecto  conjunto al comité en el Proyecto de Implementación de Normas Internacionales ISO 37001 y 37301, mediante su cierre, con el cumplimiento del 100% de las actividades.</w:t>
      </w:r>
    </w:p>
    <w:tbl>
      <w:tblPr>
        <w:tblW w:w="8059" w:type="dxa"/>
        <w:jc w:val="center"/>
        <w:tblLayout w:type="fixed"/>
        <w:tblLook w:val="04A0" w:firstRow="1" w:lastRow="0" w:firstColumn="1" w:lastColumn="0" w:noHBand="0" w:noVBand="1"/>
      </w:tblPr>
      <w:tblGrid>
        <w:gridCol w:w="1359"/>
        <w:gridCol w:w="1414"/>
        <w:gridCol w:w="879"/>
        <w:gridCol w:w="933"/>
        <w:gridCol w:w="1143"/>
        <w:gridCol w:w="1455"/>
        <w:gridCol w:w="876"/>
      </w:tblGrid>
      <w:tr w:rsidR="00F70C7D" w:rsidRPr="00232EBB" w14:paraId="747C4945" w14:textId="77777777" w:rsidTr="004F330B">
        <w:trPr>
          <w:trHeight w:val="496"/>
          <w:tblHeader/>
          <w:jc w:val="center"/>
        </w:trPr>
        <w:tc>
          <w:tcPr>
            <w:tcW w:w="1359"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E81C32B" w14:textId="77777777" w:rsidR="00AA7F19" w:rsidRPr="00232EBB" w:rsidRDefault="00AA7F19" w:rsidP="0055368C">
            <w:pPr>
              <w:spacing w:after="0" w:line="240" w:lineRule="auto"/>
              <w:jc w:val="center"/>
              <w:rPr>
                <w:noProof/>
                <w:color w:val="FFFFFF" w:themeColor="background1"/>
                <w:sz w:val="22"/>
                <w:szCs w:val="22"/>
                <w:lang w:val="es-MX"/>
              </w:rPr>
            </w:pPr>
            <w:r w:rsidRPr="00232EBB">
              <w:rPr>
                <w:noProof/>
                <w:color w:val="FFFFFF" w:themeColor="background1"/>
                <w:sz w:val="22"/>
                <w:szCs w:val="22"/>
                <w:lang w:val="es-MX"/>
              </w:rPr>
              <w:t>Mes</w:t>
            </w:r>
          </w:p>
        </w:tc>
        <w:tc>
          <w:tcPr>
            <w:tcW w:w="1414" w:type="dxa"/>
            <w:tcBorders>
              <w:top w:val="single" w:sz="4" w:space="0" w:color="auto"/>
              <w:left w:val="nil"/>
              <w:bottom w:val="single" w:sz="4" w:space="0" w:color="auto"/>
              <w:right w:val="single" w:sz="4" w:space="0" w:color="auto"/>
            </w:tcBorders>
            <w:shd w:val="clear" w:color="000000" w:fill="1F3864"/>
            <w:vAlign w:val="center"/>
            <w:hideMark/>
          </w:tcPr>
          <w:p w14:paraId="032929E2" w14:textId="77777777" w:rsidR="00AA7F19" w:rsidRPr="00232EBB" w:rsidRDefault="00AA7F19" w:rsidP="0055368C">
            <w:pPr>
              <w:spacing w:after="0" w:line="240" w:lineRule="auto"/>
              <w:jc w:val="center"/>
              <w:rPr>
                <w:noProof/>
                <w:color w:val="FFFFFF" w:themeColor="background1"/>
                <w:sz w:val="22"/>
                <w:szCs w:val="22"/>
                <w:lang w:val="es-MX"/>
              </w:rPr>
            </w:pPr>
            <w:r w:rsidRPr="00232EBB">
              <w:rPr>
                <w:noProof/>
                <w:color w:val="FFFFFF" w:themeColor="background1"/>
                <w:sz w:val="22"/>
                <w:szCs w:val="22"/>
                <w:lang w:val="es-MX"/>
              </w:rPr>
              <w:t>Solicitudes Recibidas</w:t>
            </w:r>
          </w:p>
        </w:tc>
        <w:tc>
          <w:tcPr>
            <w:tcW w:w="879" w:type="dxa"/>
            <w:tcBorders>
              <w:top w:val="single" w:sz="4" w:space="0" w:color="auto"/>
              <w:left w:val="nil"/>
              <w:bottom w:val="single" w:sz="4" w:space="0" w:color="auto"/>
              <w:right w:val="single" w:sz="4" w:space="0" w:color="auto"/>
            </w:tcBorders>
            <w:shd w:val="clear" w:color="000000" w:fill="1F3864"/>
            <w:vAlign w:val="center"/>
            <w:hideMark/>
          </w:tcPr>
          <w:p w14:paraId="5D386DE2" w14:textId="77777777" w:rsidR="00AA7F19" w:rsidRPr="00232EBB" w:rsidRDefault="00AA7F19" w:rsidP="0055368C">
            <w:pPr>
              <w:spacing w:after="0" w:line="240" w:lineRule="auto"/>
              <w:jc w:val="center"/>
              <w:rPr>
                <w:noProof/>
                <w:color w:val="FFFFFF" w:themeColor="background1"/>
                <w:sz w:val="22"/>
                <w:szCs w:val="22"/>
                <w:lang w:val="es-MX"/>
              </w:rPr>
            </w:pPr>
            <w:r w:rsidRPr="00232EBB">
              <w:rPr>
                <w:noProof/>
                <w:color w:val="FFFFFF" w:themeColor="background1"/>
                <w:sz w:val="22"/>
                <w:szCs w:val="22"/>
                <w:lang w:val="es-MX"/>
              </w:rPr>
              <w:t>Antes de 10 dias</w:t>
            </w:r>
          </w:p>
        </w:tc>
        <w:tc>
          <w:tcPr>
            <w:tcW w:w="933" w:type="dxa"/>
            <w:tcBorders>
              <w:top w:val="single" w:sz="4" w:space="0" w:color="auto"/>
              <w:left w:val="nil"/>
              <w:bottom w:val="single" w:sz="4" w:space="0" w:color="auto"/>
              <w:right w:val="single" w:sz="4" w:space="0" w:color="auto"/>
            </w:tcBorders>
            <w:shd w:val="clear" w:color="000000" w:fill="1F3864"/>
            <w:vAlign w:val="center"/>
            <w:hideMark/>
          </w:tcPr>
          <w:p w14:paraId="58DC6C71" w14:textId="77777777" w:rsidR="00AA7F19" w:rsidRPr="00232EBB" w:rsidRDefault="00AA7F19" w:rsidP="0055368C">
            <w:pPr>
              <w:spacing w:after="0" w:line="240" w:lineRule="auto"/>
              <w:jc w:val="center"/>
              <w:rPr>
                <w:noProof/>
                <w:color w:val="FFFFFF" w:themeColor="background1"/>
                <w:sz w:val="22"/>
                <w:szCs w:val="22"/>
                <w:lang w:val="es-MX"/>
              </w:rPr>
            </w:pPr>
            <w:r w:rsidRPr="00232EBB">
              <w:rPr>
                <w:noProof/>
                <w:color w:val="FFFFFF" w:themeColor="background1"/>
                <w:sz w:val="22"/>
                <w:szCs w:val="22"/>
                <w:lang w:val="es-MX"/>
              </w:rPr>
              <w:t>De  10 a 15 días</w:t>
            </w:r>
          </w:p>
        </w:tc>
        <w:tc>
          <w:tcPr>
            <w:tcW w:w="1143" w:type="dxa"/>
            <w:tcBorders>
              <w:top w:val="single" w:sz="4" w:space="0" w:color="auto"/>
              <w:left w:val="nil"/>
              <w:bottom w:val="single" w:sz="4" w:space="0" w:color="auto"/>
              <w:right w:val="single" w:sz="4" w:space="0" w:color="auto"/>
            </w:tcBorders>
            <w:shd w:val="clear" w:color="000000" w:fill="1F3864"/>
            <w:vAlign w:val="center"/>
            <w:hideMark/>
          </w:tcPr>
          <w:p w14:paraId="1B3906C4" w14:textId="77777777" w:rsidR="00AA7F19" w:rsidRPr="00232EBB" w:rsidRDefault="00AA7F19" w:rsidP="0055368C">
            <w:pPr>
              <w:spacing w:after="0" w:line="240" w:lineRule="auto"/>
              <w:jc w:val="center"/>
              <w:rPr>
                <w:noProof/>
                <w:color w:val="FFFFFF" w:themeColor="background1"/>
                <w:sz w:val="22"/>
                <w:szCs w:val="22"/>
                <w:lang w:val="es-MX"/>
              </w:rPr>
            </w:pPr>
            <w:r w:rsidRPr="00232EBB">
              <w:rPr>
                <w:noProof/>
                <w:color w:val="FFFFFF" w:themeColor="background1"/>
                <w:sz w:val="22"/>
                <w:szCs w:val="22"/>
                <w:lang w:val="es-MX"/>
              </w:rPr>
              <w:t>Referidas</w:t>
            </w:r>
          </w:p>
        </w:tc>
        <w:tc>
          <w:tcPr>
            <w:tcW w:w="1455" w:type="dxa"/>
            <w:tcBorders>
              <w:top w:val="single" w:sz="4" w:space="0" w:color="auto"/>
              <w:left w:val="nil"/>
              <w:bottom w:val="single" w:sz="4" w:space="0" w:color="auto"/>
              <w:right w:val="single" w:sz="4" w:space="0" w:color="auto"/>
            </w:tcBorders>
            <w:shd w:val="clear" w:color="000000" w:fill="1F3864"/>
            <w:vAlign w:val="center"/>
            <w:hideMark/>
          </w:tcPr>
          <w:p w14:paraId="75C54D44" w14:textId="77777777" w:rsidR="00AA7F19" w:rsidRPr="00232EBB" w:rsidRDefault="00AA7F19" w:rsidP="0055368C">
            <w:pPr>
              <w:spacing w:after="0" w:line="240" w:lineRule="auto"/>
              <w:jc w:val="center"/>
              <w:rPr>
                <w:noProof/>
                <w:color w:val="FFFFFF" w:themeColor="background1"/>
                <w:sz w:val="22"/>
                <w:szCs w:val="22"/>
                <w:lang w:val="es-MX"/>
              </w:rPr>
            </w:pPr>
            <w:r w:rsidRPr="00232EBB">
              <w:rPr>
                <w:noProof/>
                <w:color w:val="FFFFFF" w:themeColor="background1"/>
                <w:sz w:val="22"/>
                <w:szCs w:val="22"/>
                <w:lang w:val="es-MX"/>
              </w:rPr>
              <w:t>Rechazadas</w:t>
            </w:r>
          </w:p>
        </w:tc>
        <w:tc>
          <w:tcPr>
            <w:tcW w:w="876" w:type="dxa"/>
            <w:tcBorders>
              <w:top w:val="single" w:sz="4" w:space="0" w:color="auto"/>
              <w:left w:val="nil"/>
              <w:bottom w:val="single" w:sz="4" w:space="0" w:color="auto"/>
              <w:right w:val="single" w:sz="4" w:space="0" w:color="auto"/>
            </w:tcBorders>
            <w:shd w:val="clear" w:color="000000" w:fill="1F3864"/>
            <w:vAlign w:val="center"/>
            <w:hideMark/>
          </w:tcPr>
          <w:p w14:paraId="2D320F28" w14:textId="77777777" w:rsidR="00AA7F19" w:rsidRPr="00232EBB" w:rsidRDefault="00AA7F19" w:rsidP="0055368C">
            <w:pPr>
              <w:spacing w:after="0" w:line="240" w:lineRule="auto"/>
              <w:jc w:val="center"/>
              <w:rPr>
                <w:noProof/>
                <w:color w:val="FFFFFF" w:themeColor="background1"/>
                <w:sz w:val="22"/>
                <w:szCs w:val="22"/>
                <w:lang w:val="es-MX"/>
              </w:rPr>
            </w:pPr>
            <w:r w:rsidRPr="00232EBB">
              <w:rPr>
                <w:noProof/>
                <w:color w:val="FFFFFF" w:themeColor="background1"/>
                <w:sz w:val="22"/>
                <w:szCs w:val="22"/>
                <w:lang w:val="es-MX"/>
              </w:rPr>
              <w:t>Fuera de Plazo</w:t>
            </w:r>
          </w:p>
        </w:tc>
      </w:tr>
      <w:tr w:rsidR="00F70C7D" w:rsidRPr="00232EBB" w14:paraId="1422016C" w14:textId="77777777" w:rsidTr="00231D31">
        <w:trPr>
          <w:trHeight w:val="302"/>
          <w:jc w:val="center"/>
        </w:trPr>
        <w:tc>
          <w:tcPr>
            <w:tcW w:w="1359" w:type="dxa"/>
            <w:tcBorders>
              <w:top w:val="nil"/>
              <w:left w:val="single" w:sz="4" w:space="0" w:color="auto"/>
              <w:bottom w:val="single" w:sz="4" w:space="0" w:color="auto"/>
              <w:right w:val="single" w:sz="4" w:space="0" w:color="auto"/>
            </w:tcBorders>
            <w:vAlign w:val="bottom"/>
          </w:tcPr>
          <w:p w14:paraId="5F13D0CE"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Enero  2025</w:t>
            </w:r>
          </w:p>
        </w:tc>
        <w:tc>
          <w:tcPr>
            <w:tcW w:w="1414" w:type="dxa"/>
            <w:tcBorders>
              <w:top w:val="nil"/>
              <w:left w:val="nil"/>
              <w:bottom w:val="single" w:sz="4" w:space="0" w:color="auto"/>
              <w:right w:val="single" w:sz="4" w:space="0" w:color="auto"/>
            </w:tcBorders>
            <w:vAlign w:val="center"/>
          </w:tcPr>
          <w:p w14:paraId="163E48AE"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7</w:t>
            </w:r>
          </w:p>
        </w:tc>
        <w:tc>
          <w:tcPr>
            <w:tcW w:w="879" w:type="dxa"/>
            <w:tcBorders>
              <w:top w:val="nil"/>
              <w:left w:val="nil"/>
              <w:bottom w:val="single" w:sz="4" w:space="0" w:color="auto"/>
              <w:right w:val="single" w:sz="4" w:space="0" w:color="auto"/>
            </w:tcBorders>
            <w:vAlign w:val="center"/>
          </w:tcPr>
          <w:p w14:paraId="6E76E684"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933" w:type="dxa"/>
            <w:tcBorders>
              <w:top w:val="nil"/>
              <w:left w:val="nil"/>
              <w:bottom w:val="single" w:sz="4" w:space="0" w:color="auto"/>
              <w:right w:val="single" w:sz="4" w:space="0" w:color="auto"/>
            </w:tcBorders>
            <w:vAlign w:val="center"/>
          </w:tcPr>
          <w:p w14:paraId="627655B4"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3</w:t>
            </w:r>
          </w:p>
        </w:tc>
        <w:tc>
          <w:tcPr>
            <w:tcW w:w="1143" w:type="dxa"/>
            <w:tcBorders>
              <w:top w:val="nil"/>
              <w:left w:val="nil"/>
              <w:bottom w:val="single" w:sz="4" w:space="0" w:color="auto"/>
              <w:right w:val="single" w:sz="4" w:space="0" w:color="auto"/>
            </w:tcBorders>
            <w:vAlign w:val="center"/>
          </w:tcPr>
          <w:p w14:paraId="70C2CF0D"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1455" w:type="dxa"/>
            <w:tcBorders>
              <w:top w:val="nil"/>
              <w:left w:val="nil"/>
              <w:bottom w:val="single" w:sz="4" w:space="0" w:color="auto"/>
              <w:right w:val="single" w:sz="4" w:space="0" w:color="auto"/>
            </w:tcBorders>
            <w:vAlign w:val="bottom"/>
          </w:tcPr>
          <w:p w14:paraId="7C8E1ECE"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3</w:t>
            </w:r>
          </w:p>
        </w:tc>
        <w:tc>
          <w:tcPr>
            <w:tcW w:w="876" w:type="dxa"/>
            <w:tcBorders>
              <w:top w:val="nil"/>
              <w:left w:val="nil"/>
              <w:bottom w:val="single" w:sz="4" w:space="0" w:color="auto"/>
              <w:right w:val="single" w:sz="4" w:space="0" w:color="auto"/>
            </w:tcBorders>
            <w:vAlign w:val="center"/>
          </w:tcPr>
          <w:p w14:paraId="7340B30D"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38D3E0FF" w14:textId="77777777" w:rsidTr="00231D31">
        <w:trPr>
          <w:trHeight w:val="241"/>
          <w:jc w:val="center"/>
        </w:trPr>
        <w:tc>
          <w:tcPr>
            <w:tcW w:w="1359" w:type="dxa"/>
            <w:tcBorders>
              <w:top w:val="nil"/>
              <w:left w:val="single" w:sz="4" w:space="0" w:color="auto"/>
              <w:bottom w:val="single" w:sz="4" w:space="0" w:color="auto"/>
              <w:right w:val="single" w:sz="4" w:space="0" w:color="auto"/>
            </w:tcBorders>
            <w:vAlign w:val="bottom"/>
          </w:tcPr>
          <w:p w14:paraId="779D3DE9"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Febrero 2025</w:t>
            </w:r>
          </w:p>
        </w:tc>
        <w:tc>
          <w:tcPr>
            <w:tcW w:w="1414" w:type="dxa"/>
            <w:tcBorders>
              <w:top w:val="nil"/>
              <w:left w:val="nil"/>
              <w:bottom w:val="single" w:sz="4" w:space="0" w:color="auto"/>
              <w:right w:val="single" w:sz="4" w:space="0" w:color="auto"/>
            </w:tcBorders>
            <w:vAlign w:val="center"/>
          </w:tcPr>
          <w:p w14:paraId="665CFDE4"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5</w:t>
            </w:r>
          </w:p>
        </w:tc>
        <w:tc>
          <w:tcPr>
            <w:tcW w:w="879" w:type="dxa"/>
            <w:tcBorders>
              <w:top w:val="nil"/>
              <w:left w:val="nil"/>
              <w:bottom w:val="single" w:sz="4" w:space="0" w:color="auto"/>
              <w:right w:val="single" w:sz="4" w:space="0" w:color="auto"/>
            </w:tcBorders>
            <w:vAlign w:val="center"/>
          </w:tcPr>
          <w:p w14:paraId="1885038D"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933" w:type="dxa"/>
            <w:tcBorders>
              <w:top w:val="nil"/>
              <w:left w:val="nil"/>
              <w:bottom w:val="single" w:sz="4" w:space="0" w:color="auto"/>
              <w:right w:val="single" w:sz="4" w:space="0" w:color="auto"/>
            </w:tcBorders>
            <w:vAlign w:val="center"/>
          </w:tcPr>
          <w:p w14:paraId="41E5E508"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1143" w:type="dxa"/>
            <w:tcBorders>
              <w:top w:val="nil"/>
              <w:left w:val="nil"/>
              <w:bottom w:val="single" w:sz="4" w:space="0" w:color="auto"/>
              <w:right w:val="single" w:sz="4" w:space="0" w:color="auto"/>
            </w:tcBorders>
            <w:vAlign w:val="center"/>
          </w:tcPr>
          <w:p w14:paraId="2B902F36"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1455" w:type="dxa"/>
            <w:tcBorders>
              <w:top w:val="nil"/>
              <w:left w:val="nil"/>
              <w:bottom w:val="single" w:sz="4" w:space="0" w:color="auto"/>
              <w:right w:val="single" w:sz="4" w:space="0" w:color="auto"/>
            </w:tcBorders>
            <w:vAlign w:val="bottom"/>
          </w:tcPr>
          <w:p w14:paraId="556FF326"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876" w:type="dxa"/>
            <w:tcBorders>
              <w:top w:val="nil"/>
              <w:left w:val="nil"/>
              <w:bottom w:val="single" w:sz="4" w:space="0" w:color="auto"/>
              <w:right w:val="single" w:sz="4" w:space="0" w:color="auto"/>
            </w:tcBorders>
            <w:vAlign w:val="center"/>
          </w:tcPr>
          <w:p w14:paraId="42CFCC0D"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24F2DD68" w14:textId="77777777" w:rsidTr="00231D31">
        <w:trPr>
          <w:trHeight w:val="323"/>
          <w:jc w:val="center"/>
        </w:trPr>
        <w:tc>
          <w:tcPr>
            <w:tcW w:w="1359" w:type="dxa"/>
            <w:tcBorders>
              <w:top w:val="nil"/>
              <w:left w:val="single" w:sz="4" w:space="0" w:color="auto"/>
              <w:bottom w:val="single" w:sz="4" w:space="0" w:color="auto"/>
              <w:right w:val="single" w:sz="4" w:space="0" w:color="auto"/>
            </w:tcBorders>
            <w:vAlign w:val="bottom"/>
          </w:tcPr>
          <w:p w14:paraId="336B5B0C"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Marzo 2025</w:t>
            </w:r>
          </w:p>
        </w:tc>
        <w:tc>
          <w:tcPr>
            <w:tcW w:w="1414" w:type="dxa"/>
            <w:tcBorders>
              <w:top w:val="nil"/>
              <w:left w:val="nil"/>
              <w:bottom w:val="single" w:sz="4" w:space="0" w:color="auto"/>
              <w:right w:val="single" w:sz="4" w:space="0" w:color="auto"/>
            </w:tcBorders>
            <w:vAlign w:val="center"/>
          </w:tcPr>
          <w:p w14:paraId="3890AEFB"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10</w:t>
            </w:r>
          </w:p>
        </w:tc>
        <w:tc>
          <w:tcPr>
            <w:tcW w:w="879" w:type="dxa"/>
            <w:tcBorders>
              <w:top w:val="nil"/>
              <w:left w:val="nil"/>
              <w:bottom w:val="single" w:sz="4" w:space="0" w:color="auto"/>
              <w:right w:val="single" w:sz="4" w:space="0" w:color="auto"/>
            </w:tcBorders>
            <w:vAlign w:val="center"/>
          </w:tcPr>
          <w:p w14:paraId="2195A1EF"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933" w:type="dxa"/>
            <w:tcBorders>
              <w:top w:val="nil"/>
              <w:left w:val="nil"/>
              <w:bottom w:val="single" w:sz="4" w:space="0" w:color="auto"/>
              <w:right w:val="single" w:sz="4" w:space="0" w:color="auto"/>
            </w:tcBorders>
            <w:vAlign w:val="center"/>
          </w:tcPr>
          <w:p w14:paraId="047223FF"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6</w:t>
            </w:r>
          </w:p>
        </w:tc>
        <w:tc>
          <w:tcPr>
            <w:tcW w:w="1143" w:type="dxa"/>
            <w:tcBorders>
              <w:top w:val="nil"/>
              <w:left w:val="nil"/>
              <w:bottom w:val="single" w:sz="4" w:space="0" w:color="auto"/>
              <w:right w:val="single" w:sz="4" w:space="0" w:color="auto"/>
            </w:tcBorders>
            <w:vAlign w:val="center"/>
          </w:tcPr>
          <w:p w14:paraId="29DB9CC5"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1455" w:type="dxa"/>
            <w:tcBorders>
              <w:top w:val="nil"/>
              <w:left w:val="nil"/>
              <w:bottom w:val="single" w:sz="4" w:space="0" w:color="auto"/>
              <w:right w:val="single" w:sz="4" w:space="0" w:color="auto"/>
            </w:tcBorders>
            <w:vAlign w:val="bottom"/>
          </w:tcPr>
          <w:p w14:paraId="6919EEB5"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876" w:type="dxa"/>
            <w:tcBorders>
              <w:top w:val="nil"/>
              <w:left w:val="nil"/>
              <w:bottom w:val="single" w:sz="4" w:space="0" w:color="auto"/>
              <w:right w:val="single" w:sz="4" w:space="0" w:color="auto"/>
            </w:tcBorders>
            <w:vAlign w:val="center"/>
          </w:tcPr>
          <w:p w14:paraId="22E777FD"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29138724" w14:textId="77777777" w:rsidTr="00231D31">
        <w:trPr>
          <w:trHeight w:val="211"/>
          <w:jc w:val="center"/>
        </w:trPr>
        <w:tc>
          <w:tcPr>
            <w:tcW w:w="1359" w:type="dxa"/>
            <w:tcBorders>
              <w:top w:val="nil"/>
              <w:left w:val="single" w:sz="4" w:space="0" w:color="auto"/>
              <w:bottom w:val="single" w:sz="4" w:space="0" w:color="auto"/>
              <w:right w:val="single" w:sz="4" w:space="0" w:color="auto"/>
            </w:tcBorders>
            <w:vAlign w:val="bottom"/>
          </w:tcPr>
          <w:p w14:paraId="1424B6FA"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Abril 2025</w:t>
            </w:r>
          </w:p>
        </w:tc>
        <w:tc>
          <w:tcPr>
            <w:tcW w:w="1414" w:type="dxa"/>
            <w:tcBorders>
              <w:top w:val="nil"/>
              <w:left w:val="nil"/>
              <w:bottom w:val="single" w:sz="4" w:space="0" w:color="auto"/>
              <w:right w:val="single" w:sz="4" w:space="0" w:color="auto"/>
            </w:tcBorders>
            <w:vAlign w:val="center"/>
          </w:tcPr>
          <w:p w14:paraId="5F8C4047"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7</w:t>
            </w:r>
          </w:p>
        </w:tc>
        <w:tc>
          <w:tcPr>
            <w:tcW w:w="879" w:type="dxa"/>
            <w:tcBorders>
              <w:top w:val="nil"/>
              <w:left w:val="nil"/>
              <w:bottom w:val="single" w:sz="4" w:space="0" w:color="auto"/>
              <w:right w:val="single" w:sz="4" w:space="0" w:color="auto"/>
            </w:tcBorders>
            <w:vAlign w:val="center"/>
          </w:tcPr>
          <w:p w14:paraId="228ACB1F"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5</w:t>
            </w:r>
          </w:p>
        </w:tc>
        <w:tc>
          <w:tcPr>
            <w:tcW w:w="933" w:type="dxa"/>
            <w:tcBorders>
              <w:top w:val="nil"/>
              <w:left w:val="nil"/>
              <w:bottom w:val="single" w:sz="4" w:space="0" w:color="auto"/>
              <w:right w:val="single" w:sz="4" w:space="0" w:color="auto"/>
            </w:tcBorders>
            <w:vAlign w:val="center"/>
          </w:tcPr>
          <w:p w14:paraId="419F2A3F"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1143" w:type="dxa"/>
            <w:tcBorders>
              <w:top w:val="nil"/>
              <w:left w:val="nil"/>
              <w:bottom w:val="single" w:sz="4" w:space="0" w:color="auto"/>
              <w:right w:val="single" w:sz="4" w:space="0" w:color="auto"/>
            </w:tcBorders>
            <w:vAlign w:val="center"/>
          </w:tcPr>
          <w:p w14:paraId="12247F64"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1455" w:type="dxa"/>
            <w:tcBorders>
              <w:top w:val="nil"/>
              <w:left w:val="nil"/>
              <w:bottom w:val="single" w:sz="4" w:space="0" w:color="auto"/>
              <w:right w:val="single" w:sz="4" w:space="0" w:color="auto"/>
            </w:tcBorders>
            <w:vAlign w:val="bottom"/>
          </w:tcPr>
          <w:p w14:paraId="1D37E444"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876" w:type="dxa"/>
            <w:tcBorders>
              <w:top w:val="nil"/>
              <w:left w:val="nil"/>
              <w:bottom w:val="single" w:sz="4" w:space="0" w:color="auto"/>
              <w:right w:val="single" w:sz="4" w:space="0" w:color="auto"/>
            </w:tcBorders>
            <w:vAlign w:val="center"/>
          </w:tcPr>
          <w:p w14:paraId="043CBC61"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6FAE4DC2" w14:textId="77777777" w:rsidTr="00231D31">
        <w:trPr>
          <w:trHeight w:val="211"/>
          <w:jc w:val="center"/>
        </w:trPr>
        <w:tc>
          <w:tcPr>
            <w:tcW w:w="1359" w:type="dxa"/>
            <w:tcBorders>
              <w:top w:val="nil"/>
              <w:left w:val="single" w:sz="4" w:space="0" w:color="auto"/>
              <w:bottom w:val="single" w:sz="4" w:space="0" w:color="auto"/>
              <w:right w:val="single" w:sz="4" w:space="0" w:color="auto"/>
            </w:tcBorders>
            <w:vAlign w:val="bottom"/>
          </w:tcPr>
          <w:p w14:paraId="6D3448DE"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Mayo 2025</w:t>
            </w:r>
          </w:p>
        </w:tc>
        <w:tc>
          <w:tcPr>
            <w:tcW w:w="1414" w:type="dxa"/>
            <w:tcBorders>
              <w:top w:val="nil"/>
              <w:left w:val="nil"/>
              <w:bottom w:val="single" w:sz="4" w:space="0" w:color="auto"/>
              <w:right w:val="single" w:sz="4" w:space="0" w:color="auto"/>
            </w:tcBorders>
            <w:vAlign w:val="center"/>
          </w:tcPr>
          <w:p w14:paraId="09DC4FDB"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3</w:t>
            </w:r>
          </w:p>
        </w:tc>
        <w:tc>
          <w:tcPr>
            <w:tcW w:w="879" w:type="dxa"/>
            <w:tcBorders>
              <w:top w:val="nil"/>
              <w:left w:val="nil"/>
              <w:bottom w:val="single" w:sz="4" w:space="0" w:color="auto"/>
              <w:right w:val="single" w:sz="4" w:space="0" w:color="auto"/>
            </w:tcBorders>
            <w:vAlign w:val="center"/>
          </w:tcPr>
          <w:p w14:paraId="63F04AEA"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933" w:type="dxa"/>
            <w:tcBorders>
              <w:top w:val="nil"/>
              <w:left w:val="nil"/>
              <w:bottom w:val="single" w:sz="4" w:space="0" w:color="auto"/>
              <w:right w:val="single" w:sz="4" w:space="0" w:color="auto"/>
            </w:tcBorders>
            <w:vAlign w:val="center"/>
          </w:tcPr>
          <w:p w14:paraId="1476E25B"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1143" w:type="dxa"/>
            <w:tcBorders>
              <w:top w:val="nil"/>
              <w:left w:val="nil"/>
              <w:bottom w:val="single" w:sz="4" w:space="0" w:color="auto"/>
              <w:right w:val="single" w:sz="4" w:space="0" w:color="auto"/>
            </w:tcBorders>
            <w:vAlign w:val="center"/>
          </w:tcPr>
          <w:p w14:paraId="2FD66D63"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1455" w:type="dxa"/>
            <w:tcBorders>
              <w:top w:val="nil"/>
              <w:left w:val="nil"/>
              <w:bottom w:val="single" w:sz="4" w:space="0" w:color="auto"/>
              <w:right w:val="single" w:sz="4" w:space="0" w:color="auto"/>
            </w:tcBorders>
            <w:vAlign w:val="bottom"/>
          </w:tcPr>
          <w:p w14:paraId="502F4EDF"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876" w:type="dxa"/>
            <w:tcBorders>
              <w:top w:val="nil"/>
              <w:left w:val="nil"/>
              <w:bottom w:val="single" w:sz="4" w:space="0" w:color="auto"/>
              <w:right w:val="single" w:sz="4" w:space="0" w:color="auto"/>
            </w:tcBorders>
            <w:vAlign w:val="center"/>
          </w:tcPr>
          <w:p w14:paraId="41F1AE08"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00C79AFC" w14:textId="77777777" w:rsidTr="00231D31">
        <w:trPr>
          <w:trHeight w:val="211"/>
          <w:jc w:val="center"/>
        </w:trPr>
        <w:tc>
          <w:tcPr>
            <w:tcW w:w="1359" w:type="dxa"/>
            <w:tcBorders>
              <w:top w:val="nil"/>
              <w:left w:val="single" w:sz="4" w:space="0" w:color="auto"/>
              <w:bottom w:val="single" w:sz="4" w:space="0" w:color="auto"/>
              <w:right w:val="single" w:sz="4" w:space="0" w:color="auto"/>
            </w:tcBorders>
            <w:vAlign w:val="bottom"/>
          </w:tcPr>
          <w:p w14:paraId="0CE9F80D"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Junio 2025</w:t>
            </w:r>
          </w:p>
        </w:tc>
        <w:tc>
          <w:tcPr>
            <w:tcW w:w="1414" w:type="dxa"/>
            <w:tcBorders>
              <w:top w:val="nil"/>
              <w:left w:val="nil"/>
              <w:bottom w:val="single" w:sz="4" w:space="0" w:color="auto"/>
              <w:right w:val="single" w:sz="4" w:space="0" w:color="auto"/>
            </w:tcBorders>
            <w:vAlign w:val="center"/>
          </w:tcPr>
          <w:p w14:paraId="06DDC5D8"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4</w:t>
            </w:r>
          </w:p>
        </w:tc>
        <w:tc>
          <w:tcPr>
            <w:tcW w:w="879" w:type="dxa"/>
            <w:tcBorders>
              <w:top w:val="nil"/>
              <w:left w:val="nil"/>
              <w:bottom w:val="single" w:sz="4" w:space="0" w:color="auto"/>
              <w:right w:val="single" w:sz="4" w:space="0" w:color="auto"/>
            </w:tcBorders>
            <w:vAlign w:val="center"/>
          </w:tcPr>
          <w:p w14:paraId="04FBAF03"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933" w:type="dxa"/>
            <w:tcBorders>
              <w:top w:val="nil"/>
              <w:left w:val="nil"/>
              <w:bottom w:val="single" w:sz="4" w:space="0" w:color="auto"/>
              <w:right w:val="single" w:sz="4" w:space="0" w:color="auto"/>
            </w:tcBorders>
            <w:vAlign w:val="center"/>
          </w:tcPr>
          <w:p w14:paraId="4675BAC4"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4</w:t>
            </w:r>
          </w:p>
        </w:tc>
        <w:tc>
          <w:tcPr>
            <w:tcW w:w="1143" w:type="dxa"/>
            <w:tcBorders>
              <w:top w:val="nil"/>
              <w:left w:val="nil"/>
              <w:bottom w:val="single" w:sz="4" w:space="0" w:color="auto"/>
              <w:right w:val="single" w:sz="4" w:space="0" w:color="auto"/>
            </w:tcBorders>
            <w:vAlign w:val="center"/>
          </w:tcPr>
          <w:p w14:paraId="2D8ABF48"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1455" w:type="dxa"/>
            <w:tcBorders>
              <w:top w:val="nil"/>
              <w:left w:val="nil"/>
              <w:bottom w:val="single" w:sz="4" w:space="0" w:color="auto"/>
              <w:right w:val="single" w:sz="4" w:space="0" w:color="auto"/>
            </w:tcBorders>
            <w:vAlign w:val="bottom"/>
          </w:tcPr>
          <w:p w14:paraId="3ED8EAF9"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876" w:type="dxa"/>
            <w:tcBorders>
              <w:top w:val="nil"/>
              <w:left w:val="nil"/>
              <w:bottom w:val="single" w:sz="4" w:space="0" w:color="auto"/>
              <w:right w:val="single" w:sz="4" w:space="0" w:color="auto"/>
            </w:tcBorders>
            <w:vAlign w:val="center"/>
          </w:tcPr>
          <w:p w14:paraId="22BB26AE"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578C2B63" w14:textId="77777777" w:rsidTr="00231D31">
        <w:trPr>
          <w:trHeight w:val="211"/>
          <w:jc w:val="center"/>
        </w:trPr>
        <w:tc>
          <w:tcPr>
            <w:tcW w:w="1359" w:type="dxa"/>
            <w:tcBorders>
              <w:top w:val="nil"/>
              <w:left w:val="single" w:sz="4" w:space="0" w:color="auto"/>
              <w:bottom w:val="single" w:sz="4" w:space="0" w:color="auto"/>
              <w:right w:val="single" w:sz="4" w:space="0" w:color="auto"/>
            </w:tcBorders>
            <w:vAlign w:val="bottom"/>
          </w:tcPr>
          <w:p w14:paraId="04916AC0"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Julio 2025</w:t>
            </w:r>
          </w:p>
        </w:tc>
        <w:tc>
          <w:tcPr>
            <w:tcW w:w="1414" w:type="dxa"/>
            <w:tcBorders>
              <w:top w:val="nil"/>
              <w:left w:val="nil"/>
              <w:bottom w:val="single" w:sz="4" w:space="0" w:color="auto"/>
              <w:right w:val="single" w:sz="4" w:space="0" w:color="auto"/>
            </w:tcBorders>
            <w:vAlign w:val="center"/>
          </w:tcPr>
          <w:p w14:paraId="59B8F9E1"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879" w:type="dxa"/>
            <w:tcBorders>
              <w:top w:val="nil"/>
              <w:left w:val="nil"/>
              <w:bottom w:val="single" w:sz="4" w:space="0" w:color="auto"/>
              <w:right w:val="single" w:sz="4" w:space="0" w:color="auto"/>
            </w:tcBorders>
            <w:vAlign w:val="center"/>
          </w:tcPr>
          <w:p w14:paraId="2856FF92"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933" w:type="dxa"/>
            <w:tcBorders>
              <w:top w:val="nil"/>
              <w:left w:val="nil"/>
              <w:bottom w:val="single" w:sz="4" w:space="0" w:color="auto"/>
              <w:right w:val="single" w:sz="4" w:space="0" w:color="auto"/>
            </w:tcBorders>
            <w:vAlign w:val="center"/>
          </w:tcPr>
          <w:p w14:paraId="2C973B90"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1143" w:type="dxa"/>
            <w:tcBorders>
              <w:top w:val="nil"/>
              <w:left w:val="nil"/>
              <w:bottom w:val="single" w:sz="4" w:space="0" w:color="auto"/>
              <w:right w:val="single" w:sz="4" w:space="0" w:color="auto"/>
            </w:tcBorders>
            <w:vAlign w:val="center"/>
          </w:tcPr>
          <w:p w14:paraId="40D4CDA4"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1455" w:type="dxa"/>
            <w:tcBorders>
              <w:top w:val="nil"/>
              <w:left w:val="nil"/>
              <w:bottom w:val="single" w:sz="4" w:space="0" w:color="auto"/>
              <w:right w:val="single" w:sz="4" w:space="0" w:color="auto"/>
            </w:tcBorders>
            <w:vAlign w:val="bottom"/>
          </w:tcPr>
          <w:p w14:paraId="3EE1ED9C"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876" w:type="dxa"/>
            <w:tcBorders>
              <w:top w:val="nil"/>
              <w:left w:val="nil"/>
              <w:bottom w:val="single" w:sz="4" w:space="0" w:color="auto"/>
              <w:right w:val="single" w:sz="4" w:space="0" w:color="auto"/>
            </w:tcBorders>
            <w:vAlign w:val="center"/>
          </w:tcPr>
          <w:p w14:paraId="7C655C20"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4E21D520" w14:textId="77777777" w:rsidTr="00231D31">
        <w:trPr>
          <w:trHeight w:val="211"/>
          <w:jc w:val="center"/>
        </w:trPr>
        <w:tc>
          <w:tcPr>
            <w:tcW w:w="1359" w:type="dxa"/>
            <w:tcBorders>
              <w:top w:val="nil"/>
              <w:left w:val="single" w:sz="4" w:space="0" w:color="auto"/>
              <w:bottom w:val="single" w:sz="4" w:space="0" w:color="auto"/>
              <w:right w:val="single" w:sz="4" w:space="0" w:color="auto"/>
            </w:tcBorders>
            <w:vAlign w:val="bottom"/>
          </w:tcPr>
          <w:p w14:paraId="3769673B"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Agosto 2025</w:t>
            </w:r>
          </w:p>
        </w:tc>
        <w:tc>
          <w:tcPr>
            <w:tcW w:w="1414" w:type="dxa"/>
            <w:tcBorders>
              <w:top w:val="nil"/>
              <w:left w:val="nil"/>
              <w:bottom w:val="single" w:sz="4" w:space="0" w:color="auto"/>
              <w:right w:val="single" w:sz="4" w:space="0" w:color="auto"/>
            </w:tcBorders>
            <w:vAlign w:val="center"/>
          </w:tcPr>
          <w:p w14:paraId="61AA1C59"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4</w:t>
            </w:r>
          </w:p>
        </w:tc>
        <w:tc>
          <w:tcPr>
            <w:tcW w:w="879" w:type="dxa"/>
            <w:tcBorders>
              <w:top w:val="nil"/>
              <w:left w:val="nil"/>
              <w:bottom w:val="single" w:sz="4" w:space="0" w:color="auto"/>
              <w:right w:val="single" w:sz="4" w:space="0" w:color="auto"/>
            </w:tcBorders>
            <w:vAlign w:val="center"/>
          </w:tcPr>
          <w:p w14:paraId="560E5AF9"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933" w:type="dxa"/>
            <w:tcBorders>
              <w:top w:val="nil"/>
              <w:left w:val="nil"/>
              <w:bottom w:val="single" w:sz="4" w:space="0" w:color="auto"/>
              <w:right w:val="single" w:sz="4" w:space="0" w:color="auto"/>
            </w:tcBorders>
            <w:vAlign w:val="center"/>
          </w:tcPr>
          <w:p w14:paraId="7FC4D7B9"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1143" w:type="dxa"/>
            <w:tcBorders>
              <w:top w:val="nil"/>
              <w:left w:val="nil"/>
              <w:bottom w:val="single" w:sz="4" w:space="0" w:color="auto"/>
              <w:right w:val="single" w:sz="4" w:space="0" w:color="auto"/>
            </w:tcBorders>
            <w:vAlign w:val="center"/>
          </w:tcPr>
          <w:p w14:paraId="3D94C92C"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1455" w:type="dxa"/>
            <w:tcBorders>
              <w:top w:val="nil"/>
              <w:left w:val="nil"/>
              <w:bottom w:val="single" w:sz="4" w:space="0" w:color="auto"/>
              <w:right w:val="single" w:sz="4" w:space="0" w:color="auto"/>
            </w:tcBorders>
            <w:vAlign w:val="bottom"/>
          </w:tcPr>
          <w:p w14:paraId="0FF6654B"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876" w:type="dxa"/>
            <w:tcBorders>
              <w:top w:val="nil"/>
              <w:left w:val="nil"/>
              <w:bottom w:val="single" w:sz="4" w:space="0" w:color="auto"/>
              <w:right w:val="single" w:sz="4" w:space="0" w:color="auto"/>
            </w:tcBorders>
            <w:vAlign w:val="center"/>
          </w:tcPr>
          <w:p w14:paraId="7A98AC95"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26CEE826" w14:textId="77777777" w:rsidTr="00231D31">
        <w:trPr>
          <w:trHeight w:val="211"/>
          <w:jc w:val="center"/>
        </w:trPr>
        <w:tc>
          <w:tcPr>
            <w:tcW w:w="1359" w:type="dxa"/>
            <w:tcBorders>
              <w:top w:val="nil"/>
              <w:left w:val="single" w:sz="4" w:space="0" w:color="auto"/>
              <w:bottom w:val="single" w:sz="4" w:space="0" w:color="auto"/>
              <w:right w:val="single" w:sz="4" w:space="0" w:color="auto"/>
            </w:tcBorders>
            <w:vAlign w:val="bottom"/>
          </w:tcPr>
          <w:p w14:paraId="02FA165A"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Septiembre 2025</w:t>
            </w:r>
          </w:p>
        </w:tc>
        <w:tc>
          <w:tcPr>
            <w:tcW w:w="1414" w:type="dxa"/>
            <w:tcBorders>
              <w:top w:val="nil"/>
              <w:left w:val="nil"/>
              <w:bottom w:val="single" w:sz="4" w:space="0" w:color="auto"/>
              <w:right w:val="single" w:sz="4" w:space="0" w:color="auto"/>
            </w:tcBorders>
            <w:vAlign w:val="center"/>
          </w:tcPr>
          <w:p w14:paraId="4F38397C"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7</w:t>
            </w:r>
          </w:p>
        </w:tc>
        <w:tc>
          <w:tcPr>
            <w:tcW w:w="879" w:type="dxa"/>
            <w:tcBorders>
              <w:top w:val="nil"/>
              <w:left w:val="nil"/>
              <w:bottom w:val="single" w:sz="4" w:space="0" w:color="auto"/>
              <w:right w:val="single" w:sz="4" w:space="0" w:color="auto"/>
            </w:tcBorders>
            <w:vAlign w:val="center"/>
          </w:tcPr>
          <w:p w14:paraId="3B022C22"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933" w:type="dxa"/>
            <w:tcBorders>
              <w:top w:val="nil"/>
              <w:left w:val="nil"/>
              <w:bottom w:val="single" w:sz="4" w:space="0" w:color="auto"/>
              <w:right w:val="single" w:sz="4" w:space="0" w:color="auto"/>
            </w:tcBorders>
            <w:vAlign w:val="center"/>
          </w:tcPr>
          <w:p w14:paraId="5D63D5EA"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1143" w:type="dxa"/>
            <w:tcBorders>
              <w:top w:val="nil"/>
              <w:left w:val="nil"/>
              <w:bottom w:val="single" w:sz="4" w:space="0" w:color="auto"/>
              <w:right w:val="single" w:sz="4" w:space="0" w:color="auto"/>
            </w:tcBorders>
            <w:vAlign w:val="center"/>
          </w:tcPr>
          <w:p w14:paraId="5A12495F"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1455" w:type="dxa"/>
            <w:tcBorders>
              <w:top w:val="nil"/>
              <w:left w:val="nil"/>
              <w:bottom w:val="single" w:sz="4" w:space="0" w:color="auto"/>
              <w:right w:val="single" w:sz="4" w:space="0" w:color="auto"/>
            </w:tcBorders>
            <w:vAlign w:val="bottom"/>
          </w:tcPr>
          <w:p w14:paraId="0A95B9C6"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3</w:t>
            </w:r>
          </w:p>
        </w:tc>
        <w:tc>
          <w:tcPr>
            <w:tcW w:w="876" w:type="dxa"/>
            <w:tcBorders>
              <w:top w:val="nil"/>
              <w:left w:val="nil"/>
              <w:bottom w:val="single" w:sz="4" w:space="0" w:color="auto"/>
              <w:right w:val="single" w:sz="4" w:space="0" w:color="auto"/>
            </w:tcBorders>
            <w:vAlign w:val="center"/>
          </w:tcPr>
          <w:p w14:paraId="2D04A8DD"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6DF18844" w14:textId="77777777" w:rsidTr="00231D31">
        <w:trPr>
          <w:trHeight w:val="211"/>
          <w:jc w:val="center"/>
        </w:trPr>
        <w:tc>
          <w:tcPr>
            <w:tcW w:w="1359" w:type="dxa"/>
            <w:tcBorders>
              <w:top w:val="nil"/>
              <w:left w:val="single" w:sz="4" w:space="0" w:color="auto"/>
              <w:bottom w:val="single" w:sz="4" w:space="0" w:color="auto"/>
              <w:right w:val="single" w:sz="4" w:space="0" w:color="auto"/>
            </w:tcBorders>
            <w:vAlign w:val="bottom"/>
          </w:tcPr>
          <w:p w14:paraId="6AACC6AE"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Octubre 2025</w:t>
            </w:r>
          </w:p>
        </w:tc>
        <w:tc>
          <w:tcPr>
            <w:tcW w:w="1414" w:type="dxa"/>
            <w:tcBorders>
              <w:top w:val="nil"/>
              <w:left w:val="nil"/>
              <w:bottom w:val="single" w:sz="4" w:space="0" w:color="auto"/>
              <w:right w:val="single" w:sz="4" w:space="0" w:color="auto"/>
            </w:tcBorders>
            <w:vAlign w:val="center"/>
          </w:tcPr>
          <w:p w14:paraId="014EE8FE"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6</w:t>
            </w:r>
          </w:p>
        </w:tc>
        <w:tc>
          <w:tcPr>
            <w:tcW w:w="879" w:type="dxa"/>
            <w:tcBorders>
              <w:top w:val="nil"/>
              <w:left w:val="nil"/>
              <w:bottom w:val="single" w:sz="4" w:space="0" w:color="auto"/>
              <w:right w:val="single" w:sz="4" w:space="0" w:color="auto"/>
            </w:tcBorders>
            <w:vAlign w:val="center"/>
          </w:tcPr>
          <w:p w14:paraId="4B4CFB57"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4</w:t>
            </w:r>
          </w:p>
        </w:tc>
        <w:tc>
          <w:tcPr>
            <w:tcW w:w="933" w:type="dxa"/>
            <w:tcBorders>
              <w:top w:val="nil"/>
              <w:left w:val="nil"/>
              <w:bottom w:val="single" w:sz="4" w:space="0" w:color="auto"/>
              <w:right w:val="single" w:sz="4" w:space="0" w:color="auto"/>
            </w:tcBorders>
            <w:vAlign w:val="center"/>
          </w:tcPr>
          <w:p w14:paraId="635312BE"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1143" w:type="dxa"/>
            <w:tcBorders>
              <w:top w:val="nil"/>
              <w:left w:val="nil"/>
              <w:bottom w:val="single" w:sz="4" w:space="0" w:color="auto"/>
              <w:right w:val="single" w:sz="4" w:space="0" w:color="auto"/>
            </w:tcBorders>
            <w:vAlign w:val="center"/>
          </w:tcPr>
          <w:p w14:paraId="0502FC09"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1455" w:type="dxa"/>
            <w:tcBorders>
              <w:top w:val="nil"/>
              <w:left w:val="nil"/>
              <w:bottom w:val="single" w:sz="4" w:space="0" w:color="auto"/>
              <w:right w:val="single" w:sz="4" w:space="0" w:color="auto"/>
            </w:tcBorders>
            <w:vAlign w:val="bottom"/>
          </w:tcPr>
          <w:p w14:paraId="5E8BA628"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876" w:type="dxa"/>
            <w:tcBorders>
              <w:top w:val="nil"/>
              <w:left w:val="nil"/>
              <w:bottom w:val="single" w:sz="4" w:space="0" w:color="auto"/>
              <w:right w:val="single" w:sz="4" w:space="0" w:color="auto"/>
            </w:tcBorders>
            <w:vAlign w:val="center"/>
          </w:tcPr>
          <w:p w14:paraId="2E7231E9"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5187E92B" w14:textId="77777777" w:rsidTr="00231D31">
        <w:trPr>
          <w:trHeight w:val="211"/>
          <w:jc w:val="center"/>
        </w:trPr>
        <w:tc>
          <w:tcPr>
            <w:tcW w:w="1359" w:type="dxa"/>
            <w:tcBorders>
              <w:top w:val="nil"/>
              <w:left w:val="single" w:sz="4" w:space="0" w:color="auto"/>
              <w:bottom w:val="single" w:sz="4" w:space="0" w:color="auto"/>
              <w:right w:val="single" w:sz="4" w:space="0" w:color="auto"/>
            </w:tcBorders>
            <w:vAlign w:val="bottom"/>
          </w:tcPr>
          <w:p w14:paraId="660583A0"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Noviembre 2025</w:t>
            </w:r>
          </w:p>
        </w:tc>
        <w:tc>
          <w:tcPr>
            <w:tcW w:w="1414" w:type="dxa"/>
            <w:tcBorders>
              <w:top w:val="nil"/>
              <w:left w:val="nil"/>
              <w:bottom w:val="single" w:sz="4" w:space="0" w:color="auto"/>
              <w:right w:val="single" w:sz="4" w:space="0" w:color="auto"/>
            </w:tcBorders>
            <w:vAlign w:val="center"/>
          </w:tcPr>
          <w:p w14:paraId="7C9772C1"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6</w:t>
            </w:r>
          </w:p>
        </w:tc>
        <w:tc>
          <w:tcPr>
            <w:tcW w:w="879" w:type="dxa"/>
            <w:tcBorders>
              <w:top w:val="nil"/>
              <w:left w:val="nil"/>
              <w:bottom w:val="single" w:sz="4" w:space="0" w:color="auto"/>
              <w:right w:val="single" w:sz="4" w:space="0" w:color="auto"/>
            </w:tcBorders>
            <w:vAlign w:val="center"/>
          </w:tcPr>
          <w:p w14:paraId="591A49F4"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933" w:type="dxa"/>
            <w:tcBorders>
              <w:top w:val="nil"/>
              <w:left w:val="nil"/>
              <w:bottom w:val="single" w:sz="4" w:space="0" w:color="auto"/>
              <w:right w:val="single" w:sz="4" w:space="0" w:color="auto"/>
            </w:tcBorders>
            <w:vAlign w:val="center"/>
          </w:tcPr>
          <w:p w14:paraId="6093E896"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c>
          <w:tcPr>
            <w:tcW w:w="1143" w:type="dxa"/>
            <w:tcBorders>
              <w:top w:val="nil"/>
              <w:left w:val="nil"/>
              <w:bottom w:val="single" w:sz="4" w:space="0" w:color="auto"/>
              <w:right w:val="single" w:sz="4" w:space="0" w:color="auto"/>
            </w:tcBorders>
            <w:vAlign w:val="center"/>
          </w:tcPr>
          <w:p w14:paraId="254E9F41"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2</w:t>
            </w:r>
          </w:p>
        </w:tc>
        <w:tc>
          <w:tcPr>
            <w:tcW w:w="1455" w:type="dxa"/>
            <w:tcBorders>
              <w:top w:val="nil"/>
              <w:left w:val="nil"/>
              <w:bottom w:val="single" w:sz="4" w:space="0" w:color="auto"/>
              <w:right w:val="single" w:sz="4" w:space="0" w:color="auto"/>
            </w:tcBorders>
            <w:vAlign w:val="bottom"/>
          </w:tcPr>
          <w:p w14:paraId="54405582"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1</w:t>
            </w:r>
          </w:p>
        </w:tc>
        <w:tc>
          <w:tcPr>
            <w:tcW w:w="876" w:type="dxa"/>
            <w:tcBorders>
              <w:top w:val="nil"/>
              <w:left w:val="nil"/>
              <w:bottom w:val="single" w:sz="4" w:space="0" w:color="auto"/>
              <w:right w:val="single" w:sz="4" w:space="0" w:color="auto"/>
            </w:tcBorders>
            <w:vAlign w:val="center"/>
          </w:tcPr>
          <w:p w14:paraId="431D2E59" w14:textId="77777777" w:rsidR="00AA7F19" w:rsidRPr="00232EBB" w:rsidRDefault="00AA7F19" w:rsidP="0055368C">
            <w:pPr>
              <w:spacing w:after="0" w:line="240" w:lineRule="auto"/>
              <w:jc w:val="center"/>
              <w:rPr>
                <w:noProof/>
                <w:sz w:val="20"/>
                <w:szCs w:val="20"/>
                <w:lang w:val="es-MX"/>
              </w:rPr>
            </w:pPr>
            <w:r w:rsidRPr="00232EBB">
              <w:rPr>
                <w:noProof/>
                <w:sz w:val="20"/>
                <w:szCs w:val="20"/>
                <w:lang w:val="es-MX"/>
              </w:rPr>
              <w:t>0</w:t>
            </w:r>
          </w:p>
        </w:tc>
      </w:tr>
      <w:tr w:rsidR="00F70C7D" w:rsidRPr="00232EBB" w14:paraId="7FC3B4F0" w14:textId="77777777" w:rsidTr="004F330B">
        <w:trPr>
          <w:trHeight w:val="431"/>
          <w:jc w:val="center"/>
        </w:trPr>
        <w:tc>
          <w:tcPr>
            <w:tcW w:w="1359" w:type="dxa"/>
            <w:tcBorders>
              <w:top w:val="nil"/>
              <w:left w:val="single" w:sz="4" w:space="0" w:color="auto"/>
              <w:bottom w:val="single" w:sz="4" w:space="0" w:color="auto"/>
              <w:right w:val="single" w:sz="4" w:space="0" w:color="auto"/>
            </w:tcBorders>
            <w:vAlign w:val="bottom"/>
          </w:tcPr>
          <w:p w14:paraId="6608F27B" w14:textId="77777777" w:rsidR="00AA7F19" w:rsidRPr="00232EBB" w:rsidRDefault="00AA7F19" w:rsidP="0055368C">
            <w:pPr>
              <w:spacing w:after="0" w:line="240" w:lineRule="auto"/>
              <w:jc w:val="center"/>
              <w:rPr>
                <w:b/>
                <w:bCs/>
                <w:noProof/>
                <w:sz w:val="20"/>
                <w:szCs w:val="20"/>
                <w:lang w:val="es-MX"/>
              </w:rPr>
            </w:pPr>
            <w:r w:rsidRPr="00232EBB">
              <w:rPr>
                <w:b/>
                <w:bCs/>
                <w:noProof/>
                <w:sz w:val="20"/>
                <w:szCs w:val="20"/>
                <w:lang w:val="es-MX"/>
              </w:rPr>
              <w:t>TOTAL</w:t>
            </w:r>
          </w:p>
        </w:tc>
        <w:tc>
          <w:tcPr>
            <w:tcW w:w="1414" w:type="dxa"/>
            <w:tcBorders>
              <w:top w:val="nil"/>
              <w:left w:val="nil"/>
              <w:bottom w:val="single" w:sz="4" w:space="0" w:color="auto"/>
              <w:right w:val="single" w:sz="4" w:space="0" w:color="auto"/>
            </w:tcBorders>
            <w:vAlign w:val="center"/>
          </w:tcPr>
          <w:p w14:paraId="004B4D0D" w14:textId="77777777" w:rsidR="00AA7F19" w:rsidRPr="00232EBB" w:rsidRDefault="00AA7F19" w:rsidP="0055368C">
            <w:pPr>
              <w:spacing w:after="0" w:line="240" w:lineRule="auto"/>
              <w:jc w:val="center"/>
              <w:rPr>
                <w:b/>
                <w:bCs/>
                <w:noProof/>
                <w:sz w:val="20"/>
                <w:szCs w:val="20"/>
                <w:lang w:val="es-MX"/>
              </w:rPr>
            </w:pPr>
            <w:r w:rsidRPr="00232EBB">
              <w:rPr>
                <w:b/>
                <w:bCs/>
                <w:noProof/>
                <w:sz w:val="20"/>
                <w:szCs w:val="20"/>
                <w:lang w:val="es-MX"/>
              </w:rPr>
              <w:t>61</w:t>
            </w:r>
          </w:p>
        </w:tc>
        <w:tc>
          <w:tcPr>
            <w:tcW w:w="879" w:type="dxa"/>
            <w:tcBorders>
              <w:top w:val="nil"/>
              <w:left w:val="nil"/>
              <w:bottom w:val="single" w:sz="4" w:space="0" w:color="auto"/>
              <w:right w:val="single" w:sz="4" w:space="0" w:color="auto"/>
            </w:tcBorders>
            <w:vAlign w:val="center"/>
          </w:tcPr>
          <w:p w14:paraId="63D7A291" w14:textId="77777777" w:rsidR="00AA7F19" w:rsidRPr="00232EBB" w:rsidRDefault="00AA7F19" w:rsidP="0055368C">
            <w:pPr>
              <w:spacing w:after="0" w:line="240" w:lineRule="auto"/>
              <w:jc w:val="center"/>
              <w:rPr>
                <w:b/>
                <w:bCs/>
                <w:noProof/>
                <w:sz w:val="20"/>
                <w:szCs w:val="20"/>
                <w:lang w:val="es-MX"/>
              </w:rPr>
            </w:pPr>
            <w:r w:rsidRPr="00232EBB">
              <w:rPr>
                <w:b/>
                <w:bCs/>
                <w:noProof/>
                <w:sz w:val="20"/>
                <w:szCs w:val="20"/>
                <w:lang w:val="es-MX"/>
              </w:rPr>
              <w:t>18</w:t>
            </w:r>
          </w:p>
        </w:tc>
        <w:tc>
          <w:tcPr>
            <w:tcW w:w="933" w:type="dxa"/>
            <w:tcBorders>
              <w:top w:val="nil"/>
              <w:left w:val="nil"/>
              <w:bottom w:val="single" w:sz="4" w:space="0" w:color="auto"/>
              <w:right w:val="single" w:sz="4" w:space="0" w:color="auto"/>
            </w:tcBorders>
            <w:vAlign w:val="center"/>
          </w:tcPr>
          <w:p w14:paraId="62849361" w14:textId="77777777" w:rsidR="00AA7F19" w:rsidRPr="00232EBB" w:rsidRDefault="00AA7F19" w:rsidP="0055368C">
            <w:pPr>
              <w:spacing w:after="0" w:line="240" w:lineRule="auto"/>
              <w:jc w:val="center"/>
              <w:rPr>
                <w:b/>
                <w:bCs/>
                <w:noProof/>
                <w:sz w:val="20"/>
                <w:szCs w:val="20"/>
                <w:lang w:val="es-MX"/>
              </w:rPr>
            </w:pPr>
            <w:r w:rsidRPr="00232EBB">
              <w:rPr>
                <w:b/>
                <w:bCs/>
                <w:noProof/>
                <w:sz w:val="20"/>
                <w:szCs w:val="20"/>
                <w:lang w:val="es-MX"/>
              </w:rPr>
              <w:t>22</w:t>
            </w:r>
          </w:p>
        </w:tc>
        <w:tc>
          <w:tcPr>
            <w:tcW w:w="1143" w:type="dxa"/>
            <w:tcBorders>
              <w:top w:val="nil"/>
              <w:left w:val="nil"/>
              <w:bottom w:val="single" w:sz="4" w:space="0" w:color="auto"/>
              <w:right w:val="single" w:sz="4" w:space="0" w:color="auto"/>
            </w:tcBorders>
            <w:vAlign w:val="center"/>
          </w:tcPr>
          <w:p w14:paraId="1316DE63" w14:textId="77777777" w:rsidR="00AA7F19" w:rsidRPr="00232EBB" w:rsidRDefault="00AA7F19" w:rsidP="0055368C">
            <w:pPr>
              <w:spacing w:after="0" w:line="240" w:lineRule="auto"/>
              <w:jc w:val="center"/>
              <w:rPr>
                <w:b/>
                <w:bCs/>
                <w:noProof/>
                <w:sz w:val="20"/>
                <w:szCs w:val="20"/>
                <w:lang w:val="es-MX"/>
              </w:rPr>
            </w:pPr>
            <w:r w:rsidRPr="00232EBB">
              <w:rPr>
                <w:b/>
                <w:bCs/>
                <w:noProof/>
                <w:sz w:val="20"/>
                <w:szCs w:val="20"/>
                <w:lang w:val="es-MX"/>
              </w:rPr>
              <w:t>09</w:t>
            </w:r>
          </w:p>
        </w:tc>
        <w:tc>
          <w:tcPr>
            <w:tcW w:w="1455" w:type="dxa"/>
            <w:tcBorders>
              <w:top w:val="nil"/>
              <w:left w:val="nil"/>
              <w:bottom w:val="single" w:sz="4" w:space="0" w:color="auto"/>
              <w:right w:val="single" w:sz="4" w:space="0" w:color="auto"/>
            </w:tcBorders>
            <w:vAlign w:val="center"/>
          </w:tcPr>
          <w:p w14:paraId="6F5E2FE3" w14:textId="77777777" w:rsidR="00AA7F19" w:rsidRPr="00232EBB" w:rsidRDefault="00AA7F19" w:rsidP="0055368C">
            <w:pPr>
              <w:spacing w:after="0" w:line="240" w:lineRule="auto"/>
              <w:jc w:val="center"/>
              <w:rPr>
                <w:b/>
                <w:bCs/>
                <w:noProof/>
                <w:sz w:val="20"/>
                <w:szCs w:val="20"/>
                <w:lang w:val="es-MX"/>
              </w:rPr>
            </w:pPr>
            <w:r w:rsidRPr="00232EBB">
              <w:rPr>
                <w:b/>
                <w:bCs/>
                <w:noProof/>
                <w:sz w:val="20"/>
                <w:szCs w:val="20"/>
                <w:lang w:val="es-MX"/>
              </w:rPr>
              <w:t>11</w:t>
            </w:r>
          </w:p>
        </w:tc>
        <w:tc>
          <w:tcPr>
            <w:tcW w:w="876" w:type="dxa"/>
            <w:tcBorders>
              <w:top w:val="nil"/>
              <w:left w:val="nil"/>
              <w:bottom w:val="single" w:sz="4" w:space="0" w:color="auto"/>
              <w:right w:val="single" w:sz="4" w:space="0" w:color="auto"/>
            </w:tcBorders>
            <w:vAlign w:val="center"/>
          </w:tcPr>
          <w:p w14:paraId="0B6012F3" w14:textId="77777777" w:rsidR="00AA7F19" w:rsidRPr="00232EBB" w:rsidRDefault="00AA7F19" w:rsidP="00F70C7D">
            <w:pPr>
              <w:spacing w:after="0" w:line="240" w:lineRule="auto"/>
              <w:jc w:val="center"/>
              <w:rPr>
                <w:b/>
                <w:bCs/>
                <w:noProof/>
                <w:sz w:val="20"/>
                <w:szCs w:val="20"/>
                <w:lang w:val="es-MX"/>
              </w:rPr>
            </w:pPr>
            <w:r w:rsidRPr="00232EBB">
              <w:rPr>
                <w:b/>
                <w:bCs/>
                <w:noProof/>
                <w:sz w:val="20"/>
                <w:szCs w:val="20"/>
                <w:lang w:val="es-MX"/>
              </w:rPr>
              <w:t>0</w:t>
            </w:r>
          </w:p>
        </w:tc>
      </w:tr>
    </w:tbl>
    <w:p w14:paraId="26258F3C" w14:textId="77777777" w:rsidR="00E57A65" w:rsidRPr="00232EBB" w:rsidRDefault="00E57A65" w:rsidP="00AA7F19">
      <w:pPr>
        <w:autoSpaceDE w:val="0"/>
        <w:autoSpaceDN w:val="0"/>
        <w:adjustRightInd w:val="0"/>
        <w:spacing w:after="0" w:line="360" w:lineRule="auto"/>
        <w:rPr>
          <w:b/>
          <w:bCs/>
          <w:noProof/>
          <w:sz w:val="18"/>
          <w:szCs w:val="18"/>
          <w:lang w:val="es-MX"/>
        </w:rPr>
      </w:pPr>
    </w:p>
    <w:p w14:paraId="63354CBF" w14:textId="0A7DBB6B" w:rsidR="00AA7F19" w:rsidRPr="00232EBB" w:rsidRDefault="00E57A65" w:rsidP="00AA7F19">
      <w:pPr>
        <w:autoSpaceDE w:val="0"/>
        <w:autoSpaceDN w:val="0"/>
        <w:adjustRightInd w:val="0"/>
        <w:spacing w:after="0" w:line="360" w:lineRule="auto"/>
        <w:rPr>
          <w:noProof/>
          <w:sz w:val="18"/>
          <w:szCs w:val="18"/>
          <w:lang w:val="es-MX"/>
        </w:rPr>
      </w:pPr>
      <w:r w:rsidRPr="00232EBB">
        <w:rPr>
          <w:b/>
          <w:bCs/>
          <w:noProof/>
          <w:sz w:val="18"/>
          <w:szCs w:val="18"/>
          <w:lang w:val="es-MX"/>
        </w:rPr>
        <w:t>Tabla 2</w:t>
      </w:r>
      <w:r w:rsidR="00C547FF" w:rsidRPr="00232EBB">
        <w:rPr>
          <w:b/>
          <w:bCs/>
          <w:noProof/>
          <w:sz w:val="18"/>
          <w:szCs w:val="18"/>
          <w:lang w:val="es-MX"/>
        </w:rPr>
        <w:t>4</w:t>
      </w:r>
      <w:r w:rsidRPr="00232EBB">
        <w:rPr>
          <w:b/>
          <w:bCs/>
          <w:noProof/>
          <w:sz w:val="18"/>
          <w:szCs w:val="18"/>
          <w:lang w:val="es-MX"/>
        </w:rPr>
        <w:t xml:space="preserve">: </w:t>
      </w:r>
      <w:r w:rsidRPr="00232EBB">
        <w:rPr>
          <w:noProof/>
          <w:sz w:val="18"/>
          <w:szCs w:val="18"/>
          <w:lang w:val="es-MX"/>
        </w:rPr>
        <w:t>Solicitudes respondidas OAI</w:t>
      </w:r>
    </w:p>
    <w:p w14:paraId="06B426C0" w14:textId="77777777" w:rsidR="00141AA5" w:rsidRPr="00232EBB" w:rsidRDefault="00141AA5" w:rsidP="00141AA5">
      <w:pPr>
        <w:spacing w:before="240" w:line="360" w:lineRule="auto"/>
        <w:jc w:val="both"/>
        <w:rPr>
          <w:rFonts w:eastAsia="Calibri"/>
          <w:lang w:val="es-DO"/>
        </w:rPr>
      </w:pPr>
      <w:r w:rsidRPr="00232EBB">
        <w:rPr>
          <w:rFonts w:eastAsia="Calibri"/>
          <w:lang w:val="es-DO"/>
        </w:rPr>
        <w:t>Al cierre del 2025, hemos recibido un total 66 solicitudes, las cuales fueron respondidas en los plazos siguientes, de estas diez (10) fueron remitidas a otras instituciones, once (11) rechazadas, veintidós (22) respondidas de 10-15 días, veintidós (22) antes de los 10 días.</w:t>
      </w:r>
    </w:p>
    <w:p w14:paraId="1A732C62" w14:textId="5FA7907E" w:rsidR="00A83076" w:rsidRPr="00232EBB" w:rsidRDefault="00A83076" w:rsidP="000D0686">
      <w:pPr>
        <w:pStyle w:val="Heading1"/>
        <w:spacing w:after="240" w:line="259" w:lineRule="auto"/>
        <w:jc w:val="left"/>
        <w:rPr>
          <w:rFonts w:cs="Times New Roman"/>
          <w:spacing w:val="0"/>
          <w:lang w:val="es-DO"/>
        </w:rPr>
      </w:pPr>
      <w:bookmarkStart w:id="294" w:name="_Toc216952273"/>
      <w:r w:rsidRPr="00232EBB">
        <w:rPr>
          <w:rFonts w:cs="Times New Roman"/>
          <w:spacing w:val="0"/>
          <w:lang w:val="es-DO"/>
        </w:rPr>
        <w:lastRenderedPageBreak/>
        <w:t>5.3 Resultados Sistema de Quejas, Reclamos y Sugerencias</w:t>
      </w:r>
      <w:bookmarkEnd w:id="288"/>
      <w:bookmarkEnd w:id="294"/>
    </w:p>
    <w:p w14:paraId="52A64EFF" w14:textId="42AED291" w:rsidR="00B0637A" w:rsidRPr="00232EBB" w:rsidRDefault="00B0637A" w:rsidP="009F0AC3">
      <w:pPr>
        <w:spacing w:line="360" w:lineRule="auto"/>
        <w:jc w:val="both"/>
        <w:rPr>
          <w:rFonts w:eastAsia="Calibri"/>
          <w:noProof/>
          <w:lang w:val="es-DO"/>
        </w:rPr>
      </w:pPr>
      <w:r w:rsidRPr="00232EBB">
        <w:rPr>
          <w:rFonts w:eastAsia="Calibri"/>
          <w:noProof/>
          <w:lang w:val="es-DO"/>
        </w:rPr>
        <w:t xml:space="preserve">La Tesorería de la Seguridad Social, como parte fundamental de su cultura organizacional, y reconociendo la importancia de las percepciones de sus partes interesadas, se compromete a escuchar activamente sus opiniones y evaluar la satisfacción de los servicios brindados. Para ello, se apoya en encuestas y en el seguimiento de los comentarios de los usuarios a través de los distintos canales de comunicación disponibles. </w:t>
      </w:r>
    </w:p>
    <w:p w14:paraId="1D9DC7FB" w14:textId="77777777" w:rsidR="00141AA5" w:rsidRPr="00232EBB" w:rsidRDefault="00141AA5" w:rsidP="00141AA5">
      <w:pPr>
        <w:spacing w:after="240" w:line="360" w:lineRule="auto"/>
        <w:jc w:val="both"/>
        <w:rPr>
          <w:rFonts w:eastAsia="Calibri"/>
          <w:lang w:val="es-DO"/>
        </w:rPr>
      </w:pPr>
      <w:bookmarkStart w:id="295" w:name="_Hlk170978229"/>
      <w:r w:rsidRPr="00232EBB">
        <w:rPr>
          <w:rFonts w:eastAsia="Calibri"/>
          <w:lang w:val="es-DO"/>
        </w:rPr>
        <w:t>Al cierre del 2025, fueron gestionadas 11 atenciones por el sistema de quejas, reclamos y sugerencias (Línea 3-1-1).</w:t>
      </w:r>
    </w:p>
    <w:p w14:paraId="7134BB5B" w14:textId="77777777" w:rsidR="00141AA5" w:rsidRPr="00232EBB" w:rsidRDefault="00E57A65" w:rsidP="00E57A65">
      <w:pPr>
        <w:spacing w:before="240" w:after="240" w:line="360" w:lineRule="auto"/>
        <w:jc w:val="both"/>
        <w:rPr>
          <w:rFonts w:eastAsia="Calibri"/>
          <w:noProof/>
          <w:lang w:val="es-DO"/>
        </w:rPr>
      </w:pPr>
      <w:r w:rsidRPr="00232EBB">
        <w:rPr>
          <w:rFonts w:eastAsia="Calibri"/>
          <w:noProof/>
          <w:lang w:val="es-DO"/>
        </w:rPr>
        <w:t xml:space="preserve">Todos los casos registrados corresponden a quejas, la scuales fueron gestionadas en los plazos correspondientes. </w:t>
      </w:r>
    </w:p>
    <w:tbl>
      <w:tblPr>
        <w:tblW w:w="4684" w:type="dxa"/>
        <w:jc w:val="center"/>
        <w:tblLook w:val="04A0" w:firstRow="1" w:lastRow="0" w:firstColumn="1" w:lastColumn="0" w:noHBand="0" w:noVBand="1"/>
      </w:tblPr>
      <w:tblGrid>
        <w:gridCol w:w="2553"/>
        <w:gridCol w:w="2131"/>
      </w:tblGrid>
      <w:tr w:rsidR="00E57A65" w:rsidRPr="00232EBB" w14:paraId="337BB89F" w14:textId="77777777" w:rsidTr="005F0C09">
        <w:trPr>
          <w:trHeight w:val="422"/>
          <w:jc w:val="center"/>
        </w:trPr>
        <w:tc>
          <w:tcPr>
            <w:tcW w:w="2553"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1AF6468D" w14:textId="51F30E11" w:rsidR="00E57A65" w:rsidRPr="00232EBB" w:rsidRDefault="00E57A65" w:rsidP="0055368C">
            <w:pPr>
              <w:spacing w:before="240" w:after="0" w:line="240" w:lineRule="auto"/>
              <w:jc w:val="center"/>
              <w:rPr>
                <w:rFonts w:eastAsia="Calibri"/>
                <w:noProof/>
                <w:color w:val="FFFFFF" w:themeColor="background1"/>
                <w:lang w:val="es-DO"/>
              </w:rPr>
            </w:pPr>
            <w:r w:rsidRPr="00232EBB">
              <w:rPr>
                <w:rFonts w:eastAsia="Calibri"/>
                <w:noProof/>
                <w:lang w:val="es-DO"/>
              </w:rPr>
              <w:t xml:space="preserve"> </w:t>
            </w:r>
            <w:r w:rsidR="00690EA0" w:rsidRPr="00232EBB">
              <w:rPr>
                <w:rFonts w:eastAsia="Calibri"/>
                <w:b/>
                <w:bCs/>
                <w:noProof/>
                <w:sz w:val="18"/>
                <w:szCs w:val="18"/>
                <w:lang w:val="es-DO"/>
              </w:rPr>
              <w:t xml:space="preserve"> </w:t>
            </w:r>
            <w:r w:rsidRPr="00232EBB">
              <w:rPr>
                <w:rFonts w:eastAsia="Calibri"/>
                <w:noProof/>
                <w:color w:val="FFFFFF" w:themeColor="background1"/>
                <w:lang w:val="es-DO"/>
              </w:rPr>
              <w:t>Motivos</w:t>
            </w:r>
          </w:p>
        </w:tc>
        <w:tc>
          <w:tcPr>
            <w:tcW w:w="2131" w:type="dxa"/>
            <w:tcBorders>
              <w:top w:val="single" w:sz="4" w:space="0" w:color="auto"/>
              <w:left w:val="nil"/>
              <w:bottom w:val="single" w:sz="4" w:space="0" w:color="auto"/>
              <w:right w:val="single" w:sz="4" w:space="0" w:color="auto"/>
            </w:tcBorders>
            <w:shd w:val="clear" w:color="000000" w:fill="1F3864"/>
            <w:vAlign w:val="center"/>
            <w:hideMark/>
          </w:tcPr>
          <w:p w14:paraId="74FD4638" w14:textId="77777777" w:rsidR="00E57A65" w:rsidRPr="00232EBB" w:rsidRDefault="00E57A65" w:rsidP="0055368C">
            <w:pPr>
              <w:spacing w:before="240" w:after="0" w:line="240" w:lineRule="auto"/>
              <w:jc w:val="center"/>
              <w:rPr>
                <w:rFonts w:eastAsia="Calibri"/>
                <w:noProof/>
                <w:color w:val="FFFFFF" w:themeColor="background1"/>
                <w:lang w:val="es-DO"/>
              </w:rPr>
            </w:pPr>
            <w:r w:rsidRPr="00232EBB">
              <w:rPr>
                <w:rFonts w:eastAsia="Calibri"/>
                <w:noProof/>
                <w:color w:val="FFFFFF" w:themeColor="background1"/>
                <w:lang w:val="es-DO"/>
              </w:rPr>
              <w:t>Cantidad</w:t>
            </w:r>
          </w:p>
        </w:tc>
      </w:tr>
      <w:tr w:rsidR="00E57A65" w:rsidRPr="00232EBB" w14:paraId="269BBC12" w14:textId="77777777" w:rsidTr="005F0C09">
        <w:trPr>
          <w:trHeight w:val="322"/>
          <w:jc w:val="center"/>
        </w:trPr>
        <w:tc>
          <w:tcPr>
            <w:tcW w:w="2553" w:type="dxa"/>
            <w:tcBorders>
              <w:top w:val="single" w:sz="8" w:space="0" w:color="auto"/>
              <w:left w:val="single" w:sz="8" w:space="0" w:color="auto"/>
              <w:bottom w:val="single" w:sz="8" w:space="0" w:color="auto"/>
              <w:right w:val="single" w:sz="8" w:space="0" w:color="auto"/>
            </w:tcBorders>
            <w:vAlign w:val="center"/>
            <w:hideMark/>
          </w:tcPr>
          <w:p w14:paraId="2C66835B" w14:textId="77777777" w:rsidR="00E57A65" w:rsidRPr="00232EBB" w:rsidRDefault="00E57A65" w:rsidP="0055368C">
            <w:pPr>
              <w:spacing w:before="240" w:after="0" w:line="240" w:lineRule="auto"/>
              <w:jc w:val="center"/>
              <w:rPr>
                <w:rFonts w:eastAsia="Calibri"/>
                <w:noProof/>
                <w:lang w:val="es-DO"/>
              </w:rPr>
            </w:pPr>
            <w:r w:rsidRPr="00232EBB">
              <w:rPr>
                <w:rFonts w:eastAsia="Calibri"/>
                <w:noProof/>
                <w:lang w:val="es-DO"/>
              </w:rPr>
              <w:t xml:space="preserve">Sugerencias </w:t>
            </w:r>
          </w:p>
        </w:tc>
        <w:tc>
          <w:tcPr>
            <w:tcW w:w="2131" w:type="dxa"/>
            <w:tcBorders>
              <w:top w:val="single" w:sz="8" w:space="0" w:color="auto"/>
              <w:left w:val="nil"/>
              <w:bottom w:val="single" w:sz="8" w:space="0" w:color="auto"/>
              <w:right w:val="single" w:sz="8" w:space="0" w:color="auto"/>
            </w:tcBorders>
            <w:vAlign w:val="center"/>
            <w:hideMark/>
          </w:tcPr>
          <w:p w14:paraId="73C9FA7E" w14:textId="77777777" w:rsidR="00E57A65" w:rsidRPr="00232EBB" w:rsidRDefault="00E57A65" w:rsidP="0055368C">
            <w:pPr>
              <w:spacing w:before="240" w:after="0" w:line="240" w:lineRule="auto"/>
              <w:jc w:val="center"/>
              <w:rPr>
                <w:rFonts w:eastAsia="Calibri"/>
                <w:noProof/>
                <w:lang w:val="es-DO"/>
              </w:rPr>
            </w:pPr>
            <w:r w:rsidRPr="00232EBB">
              <w:rPr>
                <w:rFonts w:eastAsia="Calibri"/>
                <w:noProof/>
                <w:lang w:val="es-DO"/>
              </w:rPr>
              <w:t>0</w:t>
            </w:r>
          </w:p>
        </w:tc>
      </w:tr>
      <w:tr w:rsidR="00E57A65" w:rsidRPr="00232EBB" w14:paraId="1D594F46" w14:textId="77777777" w:rsidTr="005F0C09">
        <w:trPr>
          <w:trHeight w:val="475"/>
          <w:jc w:val="center"/>
        </w:trPr>
        <w:tc>
          <w:tcPr>
            <w:tcW w:w="2553" w:type="dxa"/>
            <w:tcBorders>
              <w:top w:val="nil"/>
              <w:left w:val="single" w:sz="8" w:space="0" w:color="auto"/>
              <w:bottom w:val="single" w:sz="8" w:space="0" w:color="auto"/>
              <w:right w:val="single" w:sz="8" w:space="0" w:color="auto"/>
            </w:tcBorders>
            <w:vAlign w:val="center"/>
            <w:hideMark/>
          </w:tcPr>
          <w:p w14:paraId="3F8AC19A" w14:textId="77777777" w:rsidR="00E57A65" w:rsidRPr="00232EBB" w:rsidRDefault="00E57A65" w:rsidP="0055368C">
            <w:pPr>
              <w:spacing w:before="240" w:after="0" w:line="240" w:lineRule="auto"/>
              <w:jc w:val="center"/>
              <w:rPr>
                <w:rFonts w:eastAsia="Calibri"/>
                <w:noProof/>
                <w:lang w:val="es-DO"/>
              </w:rPr>
            </w:pPr>
            <w:r w:rsidRPr="00232EBB">
              <w:rPr>
                <w:rFonts w:eastAsia="Calibri"/>
                <w:noProof/>
                <w:lang w:val="es-DO"/>
              </w:rPr>
              <w:t xml:space="preserve">Quejas </w:t>
            </w:r>
          </w:p>
        </w:tc>
        <w:tc>
          <w:tcPr>
            <w:tcW w:w="2131" w:type="dxa"/>
            <w:tcBorders>
              <w:top w:val="nil"/>
              <w:left w:val="nil"/>
              <w:bottom w:val="single" w:sz="8" w:space="0" w:color="auto"/>
              <w:right w:val="single" w:sz="8" w:space="0" w:color="auto"/>
            </w:tcBorders>
            <w:vAlign w:val="center"/>
            <w:hideMark/>
          </w:tcPr>
          <w:p w14:paraId="4931FA3A" w14:textId="27DE7EEF" w:rsidR="00E57A65" w:rsidRPr="00232EBB" w:rsidRDefault="00830CF3" w:rsidP="0055368C">
            <w:pPr>
              <w:spacing w:before="240" w:after="0" w:line="240" w:lineRule="auto"/>
              <w:jc w:val="center"/>
              <w:rPr>
                <w:rFonts w:eastAsia="Calibri"/>
                <w:noProof/>
                <w:lang w:val="es-DO"/>
              </w:rPr>
            </w:pPr>
            <w:r w:rsidRPr="00232EBB">
              <w:rPr>
                <w:rFonts w:eastAsia="Calibri"/>
                <w:noProof/>
                <w:lang w:val="es-DO"/>
              </w:rPr>
              <w:t>9</w:t>
            </w:r>
          </w:p>
        </w:tc>
      </w:tr>
      <w:tr w:rsidR="00E57A65" w:rsidRPr="00232EBB" w14:paraId="614C0F3F" w14:textId="77777777" w:rsidTr="005F0C09">
        <w:trPr>
          <w:trHeight w:val="322"/>
          <w:jc w:val="center"/>
        </w:trPr>
        <w:tc>
          <w:tcPr>
            <w:tcW w:w="2553" w:type="dxa"/>
            <w:tcBorders>
              <w:top w:val="nil"/>
              <w:left w:val="single" w:sz="8" w:space="0" w:color="auto"/>
              <w:bottom w:val="single" w:sz="8" w:space="0" w:color="auto"/>
              <w:right w:val="single" w:sz="8" w:space="0" w:color="auto"/>
            </w:tcBorders>
            <w:vAlign w:val="center"/>
            <w:hideMark/>
          </w:tcPr>
          <w:p w14:paraId="0642FFDC" w14:textId="77777777" w:rsidR="00E57A65" w:rsidRPr="00232EBB" w:rsidRDefault="00E57A65" w:rsidP="0055368C">
            <w:pPr>
              <w:spacing w:before="240" w:after="0" w:line="240" w:lineRule="auto"/>
              <w:jc w:val="center"/>
              <w:rPr>
                <w:rFonts w:eastAsia="Calibri"/>
                <w:noProof/>
                <w:lang w:val="es-DO"/>
              </w:rPr>
            </w:pPr>
            <w:r w:rsidRPr="00232EBB">
              <w:rPr>
                <w:rFonts w:eastAsia="Calibri"/>
                <w:noProof/>
                <w:lang w:val="es-DO"/>
              </w:rPr>
              <w:t>Reclamos</w:t>
            </w:r>
          </w:p>
        </w:tc>
        <w:tc>
          <w:tcPr>
            <w:tcW w:w="2131" w:type="dxa"/>
            <w:tcBorders>
              <w:top w:val="nil"/>
              <w:left w:val="nil"/>
              <w:bottom w:val="single" w:sz="8" w:space="0" w:color="auto"/>
              <w:right w:val="single" w:sz="8" w:space="0" w:color="auto"/>
            </w:tcBorders>
            <w:vAlign w:val="center"/>
            <w:hideMark/>
          </w:tcPr>
          <w:p w14:paraId="535E3CB7" w14:textId="77777777" w:rsidR="00E57A65" w:rsidRPr="00232EBB" w:rsidRDefault="00E57A65" w:rsidP="0055368C">
            <w:pPr>
              <w:spacing w:before="240" w:after="0" w:line="240" w:lineRule="auto"/>
              <w:jc w:val="center"/>
              <w:rPr>
                <w:rFonts w:eastAsia="Calibri"/>
                <w:noProof/>
                <w:lang w:val="es-DO"/>
              </w:rPr>
            </w:pPr>
            <w:r w:rsidRPr="00232EBB">
              <w:rPr>
                <w:rFonts w:eastAsia="Calibri"/>
                <w:noProof/>
                <w:lang w:val="es-DO"/>
              </w:rPr>
              <w:t>0</w:t>
            </w:r>
          </w:p>
        </w:tc>
      </w:tr>
    </w:tbl>
    <w:p w14:paraId="1E844066" w14:textId="77777777" w:rsidR="00E57A65" w:rsidRPr="00232EBB" w:rsidRDefault="00E57A65" w:rsidP="009F0AC3">
      <w:pPr>
        <w:spacing w:line="360" w:lineRule="auto"/>
        <w:jc w:val="both"/>
        <w:rPr>
          <w:rFonts w:eastAsia="Calibri"/>
          <w:b/>
          <w:bCs/>
          <w:noProof/>
          <w:sz w:val="18"/>
          <w:szCs w:val="18"/>
          <w:lang w:val="es-DO"/>
        </w:rPr>
      </w:pPr>
    </w:p>
    <w:p w14:paraId="6AE074B2" w14:textId="4D41E69E" w:rsidR="009F0AC3" w:rsidRPr="00232EBB" w:rsidRDefault="00E57A65" w:rsidP="009F0AC3">
      <w:pPr>
        <w:spacing w:line="360" w:lineRule="auto"/>
        <w:jc w:val="both"/>
        <w:rPr>
          <w:rFonts w:eastAsia="Calibri"/>
          <w:noProof/>
          <w:sz w:val="18"/>
          <w:szCs w:val="18"/>
          <w:lang w:val="es-DO"/>
        </w:rPr>
      </w:pPr>
      <w:r w:rsidRPr="00232EBB">
        <w:rPr>
          <w:rFonts w:eastAsia="Calibri"/>
          <w:b/>
          <w:bCs/>
          <w:noProof/>
          <w:sz w:val="18"/>
          <w:szCs w:val="18"/>
          <w:lang w:val="es-DO"/>
        </w:rPr>
        <w:t xml:space="preserve">      Tabla </w:t>
      </w:r>
      <w:r w:rsidR="000400ED" w:rsidRPr="00232EBB">
        <w:rPr>
          <w:rFonts w:eastAsia="Calibri"/>
          <w:b/>
          <w:bCs/>
          <w:noProof/>
          <w:sz w:val="18"/>
          <w:szCs w:val="18"/>
          <w:lang w:val="es-DO"/>
        </w:rPr>
        <w:t>2</w:t>
      </w:r>
      <w:r w:rsidR="00C547FF" w:rsidRPr="00232EBB">
        <w:rPr>
          <w:rFonts w:eastAsia="Calibri"/>
          <w:b/>
          <w:bCs/>
          <w:noProof/>
          <w:sz w:val="18"/>
          <w:szCs w:val="18"/>
          <w:lang w:val="es-DO"/>
        </w:rPr>
        <w:t>5</w:t>
      </w:r>
      <w:r w:rsidRPr="00232EBB">
        <w:rPr>
          <w:rFonts w:eastAsia="Calibri"/>
          <w:b/>
          <w:bCs/>
          <w:noProof/>
          <w:sz w:val="18"/>
          <w:szCs w:val="18"/>
          <w:lang w:val="es-DO"/>
        </w:rPr>
        <w:t>:</w:t>
      </w:r>
      <w:r w:rsidRPr="00232EBB">
        <w:rPr>
          <w:rFonts w:eastAsia="Calibri"/>
          <w:noProof/>
          <w:sz w:val="18"/>
          <w:szCs w:val="18"/>
          <w:lang w:val="es-DO"/>
        </w:rPr>
        <w:t xml:space="preserve"> Cantidad de casos registrados</w:t>
      </w:r>
    </w:p>
    <w:p w14:paraId="6E777086" w14:textId="64BBBC8B" w:rsidR="00B0637A" w:rsidRPr="00232EBB" w:rsidRDefault="00E57A65" w:rsidP="009F0AC3">
      <w:pPr>
        <w:jc w:val="center"/>
        <w:rPr>
          <w:szCs w:val="36"/>
          <w:lang w:val="es-ES"/>
        </w:rPr>
      </w:pPr>
      <w:r w:rsidRPr="00232EBB">
        <w:rPr>
          <w:noProof/>
          <w:sz w:val="20"/>
          <w:szCs w:val="20"/>
          <w:lang w:val="es-DO"/>
        </w:rPr>
        <w:drawing>
          <wp:anchor distT="0" distB="0" distL="114300" distR="114300" simplePos="0" relativeHeight="251684900" behindDoc="0" locked="0" layoutInCell="1" allowOverlap="1" wp14:anchorId="5ACE367F" wp14:editId="3279FE92">
            <wp:simplePos x="0" y="0"/>
            <wp:positionH relativeFrom="margin">
              <wp:posOffset>334370</wp:posOffset>
            </wp:positionH>
            <wp:positionV relativeFrom="paragraph">
              <wp:posOffset>13648</wp:posOffset>
            </wp:positionV>
            <wp:extent cx="3864610" cy="2415653"/>
            <wp:effectExtent l="0" t="0" r="2540" b="3810"/>
            <wp:wrapSquare wrapText="bothSides"/>
            <wp:docPr id="198501973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14:paraId="16C91CC1" w14:textId="2F2976B5" w:rsidR="00E57A65" w:rsidRPr="00232EBB" w:rsidRDefault="00E57A65" w:rsidP="00B0637A">
      <w:pPr>
        <w:spacing w:line="360" w:lineRule="auto"/>
        <w:jc w:val="both"/>
        <w:rPr>
          <w:rFonts w:eastAsia="Calibri"/>
          <w:noProof/>
          <w:lang w:val="es-DO"/>
        </w:rPr>
      </w:pPr>
    </w:p>
    <w:p w14:paraId="6C49252B" w14:textId="77777777" w:rsidR="00E57A65" w:rsidRPr="00232EBB" w:rsidRDefault="00E57A65" w:rsidP="00B0637A">
      <w:pPr>
        <w:spacing w:line="360" w:lineRule="auto"/>
        <w:jc w:val="both"/>
        <w:rPr>
          <w:rFonts w:eastAsia="Calibri"/>
          <w:noProof/>
          <w:lang w:val="es-DO"/>
        </w:rPr>
      </w:pPr>
    </w:p>
    <w:p w14:paraId="6FD3A318" w14:textId="77777777" w:rsidR="00E57A65" w:rsidRPr="00232EBB" w:rsidRDefault="00E57A65" w:rsidP="00B0637A">
      <w:pPr>
        <w:spacing w:line="360" w:lineRule="auto"/>
        <w:jc w:val="both"/>
        <w:rPr>
          <w:rFonts w:eastAsia="Calibri"/>
          <w:noProof/>
          <w:lang w:val="es-DO"/>
        </w:rPr>
      </w:pPr>
    </w:p>
    <w:p w14:paraId="1120F8DC" w14:textId="77777777" w:rsidR="00E57A65" w:rsidRPr="00232EBB" w:rsidRDefault="00E57A65" w:rsidP="00B0637A">
      <w:pPr>
        <w:spacing w:line="360" w:lineRule="auto"/>
        <w:jc w:val="both"/>
        <w:rPr>
          <w:rFonts w:eastAsia="Calibri"/>
          <w:noProof/>
          <w:lang w:val="es-DO"/>
        </w:rPr>
      </w:pPr>
    </w:p>
    <w:p w14:paraId="17A3A604" w14:textId="77777777" w:rsidR="00E57A65" w:rsidRPr="00232EBB" w:rsidRDefault="00E57A65" w:rsidP="00B0637A">
      <w:pPr>
        <w:spacing w:line="360" w:lineRule="auto"/>
        <w:jc w:val="both"/>
        <w:rPr>
          <w:rFonts w:eastAsia="Calibri"/>
          <w:b/>
          <w:bCs/>
          <w:noProof/>
          <w:sz w:val="18"/>
          <w:szCs w:val="18"/>
          <w:lang w:val="es-DO"/>
        </w:rPr>
      </w:pPr>
    </w:p>
    <w:p w14:paraId="2421A515" w14:textId="77777777" w:rsidR="00E57A65" w:rsidRPr="00232EBB" w:rsidRDefault="00E57A65" w:rsidP="00B0637A">
      <w:pPr>
        <w:spacing w:line="360" w:lineRule="auto"/>
        <w:jc w:val="both"/>
        <w:rPr>
          <w:rFonts w:eastAsia="Calibri"/>
          <w:b/>
          <w:bCs/>
          <w:noProof/>
          <w:sz w:val="18"/>
          <w:szCs w:val="18"/>
          <w:lang w:val="es-DO"/>
        </w:rPr>
      </w:pPr>
    </w:p>
    <w:p w14:paraId="75EEE0C4" w14:textId="77777777" w:rsidR="00D50627" w:rsidRPr="00232EBB" w:rsidRDefault="00D50627" w:rsidP="00B0637A">
      <w:pPr>
        <w:spacing w:line="360" w:lineRule="auto"/>
        <w:jc w:val="both"/>
        <w:rPr>
          <w:rFonts w:eastAsia="Calibri"/>
          <w:b/>
          <w:bCs/>
          <w:noProof/>
          <w:sz w:val="18"/>
          <w:szCs w:val="18"/>
          <w:lang w:val="es-DO"/>
        </w:rPr>
      </w:pPr>
    </w:p>
    <w:p w14:paraId="15C1FE34" w14:textId="52153719" w:rsidR="00E57A65" w:rsidRPr="00232EBB" w:rsidRDefault="00E57A65" w:rsidP="00B0637A">
      <w:pPr>
        <w:spacing w:line="360" w:lineRule="auto"/>
        <w:jc w:val="both"/>
        <w:rPr>
          <w:rFonts w:eastAsia="Calibri"/>
          <w:noProof/>
          <w:lang w:val="es-DO"/>
        </w:rPr>
      </w:pPr>
      <w:r w:rsidRPr="00232EBB">
        <w:rPr>
          <w:rFonts w:eastAsia="Calibri"/>
          <w:b/>
          <w:bCs/>
          <w:noProof/>
          <w:sz w:val="18"/>
          <w:szCs w:val="18"/>
          <w:lang w:val="es-DO"/>
        </w:rPr>
        <w:t xml:space="preserve">Gráfico </w:t>
      </w:r>
      <w:r w:rsidR="000743EE" w:rsidRPr="00232EBB">
        <w:rPr>
          <w:rFonts w:eastAsia="Calibri"/>
          <w:b/>
          <w:bCs/>
          <w:noProof/>
          <w:sz w:val="18"/>
          <w:szCs w:val="18"/>
          <w:lang w:val="es-DO"/>
        </w:rPr>
        <w:t>30</w:t>
      </w:r>
      <w:r w:rsidRPr="00232EBB">
        <w:rPr>
          <w:rFonts w:eastAsia="Calibri"/>
          <w:b/>
          <w:bCs/>
          <w:noProof/>
          <w:sz w:val="18"/>
          <w:szCs w:val="18"/>
          <w:lang w:val="es-DO"/>
        </w:rPr>
        <w:t>:</w:t>
      </w:r>
      <w:r w:rsidRPr="00232EBB">
        <w:rPr>
          <w:rFonts w:eastAsia="Calibri"/>
          <w:noProof/>
          <w:sz w:val="18"/>
          <w:szCs w:val="18"/>
          <w:lang w:val="es-DO"/>
        </w:rPr>
        <w:t xml:space="preserve"> Total Solicitudes respondidas</w:t>
      </w:r>
    </w:p>
    <w:p w14:paraId="0EEC3278" w14:textId="695298D7" w:rsidR="00A83076" w:rsidRPr="00232EBB" w:rsidRDefault="00A8614C" w:rsidP="004E34C4">
      <w:pPr>
        <w:pStyle w:val="Heading1"/>
        <w:spacing w:after="240" w:line="259" w:lineRule="auto"/>
        <w:jc w:val="both"/>
        <w:rPr>
          <w:rFonts w:cs="Times New Roman"/>
          <w:spacing w:val="0"/>
          <w:lang w:val="es-DO"/>
        </w:rPr>
      </w:pPr>
      <w:bookmarkStart w:id="296" w:name="_Toc154736752"/>
      <w:bookmarkStart w:id="297" w:name="_Toc216952274"/>
      <w:bookmarkEnd w:id="295"/>
      <w:r w:rsidRPr="00232EBB">
        <w:rPr>
          <w:rFonts w:cs="Times New Roman"/>
          <w:spacing w:val="0"/>
          <w:lang w:val="es-DO"/>
        </w:rPr>
        <w:lastRenderedPageBreak/>
        <w:t xml:space="preserve">5.4 </w:t>
      </w:r>
      <w:r w:rsidR="00A83076" w:rsidRPr="00232EBB">
        <w:rPr>
          <w:rFonts w:cs="Times New Roman"/>
          <w:spacing w:val="0"/>
          <w:lang w:val="es-DO"/>
        </w:rPr>
        <w:t>Resultados, Mediciones del Portal de Transparencia</w:t>
      </w:r>
      <w:bookmarkEnd w:id="296"/>
      <w:bookmarkEnd w:id="297"/>
    </w:p>
    <w:p w14:paraId="1FE2D709" w14:textId="77777777" w:rsidR="00E77853" w:rsidRPr="00232EBB" w:rsidRDefault="00E77853" w:rsidP="00640D33">
      <w:pPr>
        <w:spacing w:line="360" w:lineRule="auto"/>
        <w:jc w:val="both"/>
        <w:rPr>
          <w:rFonts w:eastAsia="Calibri"/>
          <w:noProof/>
          <w:lang w:val="es-DO"/>
        </w:rPr>
      </w:pPr>
      <w:r w:rsidRPr="00232EBB">
        <w:rPr>
          <w:rFonts w:eastAsia="Calibri"/>
          <w:noProof/>
          <w:lang w:val="es-DO"/>
        </w:rPr>
        <w:t>En cumplimiento a la Ley General de Libre Acceso a la Información Pública No. 200-04 de fecha 28 de julio de 2004, y al Decreto No. 130-05, que aprueba su Reglamento de Aplicación, la Tesorería de la Seguridad Social (TSS) ha puesto a disposición de la ciudadanía los contenidos que, según los artículos 3 y 5 de la referida ley, establecen deben publicarse en las páginas Web de los organismos del Estado.</w:t>
      </w:r>
    </w:p>
    <w:p w14:paraId="5C602532" w14:textId="77777777" w:rsidR="00E77853" w:rsidRPr="00232EBB" w:rsidRDefault="00E77853" w:rsidP="00640D33">
      <w:pPr>
        <w:spacing w:line="360" w:lineRule="auto"/>
        <w:jc w:val="both"/>
        <w:rPr>
          <w:rFonts w:eastAsia="Calibri"/>
          <w:noProof/>
          <w:lang w:val="es-DO"/>
        </w:rPr>
      </w:pPr>
      <w:r w:rsidRPr="00232EBB">
        <w:rPr>
          <w:rFonts w:eastAsia="Calibri"/>
          <w:noProof/>
          <w:lang w:val="es-DO"/>
        </w:rPr>
        <w:t>En consonancia con lo establecido en la Resolución DIGEIG no. 002-2021, hemos coordinado la solicitud y carga de las informaciones publicadas en el Portal, obteniendo en las evaluaciones realizadas por la Dirección de Ética e Integridad Gubernamental (DIGEIG), presentando la calificación siguiente.</w:t>
      </w:r>
    </w:p>
    <w:tbl>
      <w:tblPr>
        <w:tblW w:w="7737" w:type="dxa"/>
        <w:jc w:val="center"/>
        <w:tblLook w:val="04A0" w:firstRow="1" w:lastRow="0" w:firstColumn="1" w:lastColumn="0" w:noHBand="0" w:noVBand="1"/>
      </w:tblPr>
      <w:tblGrid>
        <w:gridCol w:w="3332"/>
        <w:gridCol w:w="4405"/>
      </w:tblGrid>
      <w:tr w:rsidR="00E77853" w:rsidRPr="00232EBB" w14:paraId="6983A05E" w14:textId="77777777" w:rsidTr="00E57A65">
        <w:trPr>
          <w:trHeight w:val="376"/>
          <w:tblHeader/>
          <w:jc w:val="center"/>
        </w:trPr>
        <w:tc>
          <w:tcPr>
            <w:tcW w:w="333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F04789C" w14:textId="57FDAF57" w:rsidR="00E77853" w:rsidRPr="00232EBB" w:rsidRDefault="00E77853" w:rsidP="00E77853">
            <w:pPr>
              <w:spacing w:after="0" w:line="240" w:lineRule="auto"/>
              <w:jc w:val="center"/>
              <w:rPr>
                <w:rFonts w:eastAsia="Times New Roman"/>
                <w:b/>
                <w:bCs/>
                <w:color w:val="FFFFFF"/>
                <w:spacing w:val="0"/>
              </w:rPr>
            </w:pPr>
            <w:r w:rsidRPr="00232EBB">
              <w:rPr>
                <w:rFonts w:eastAsia="Calibri"/>
                <w:b/>
                <w:bCs/>
                <w:noProof/>
                <w:color w:val="FFFFFF"/>
                <w:spacing w:val="0"/>
                <w:lang w:val="es-DO"/>
              </w:rPr>
              <w:t xml:space="preserve">Meses </w:t>
            </w:r>
          </w:p>
        </w:tc>
        <w:tc>
          <w:tcPr>
            <w:tcW w:w="4405" w:type="dxa"/>
            <w:tcBorders>
              <w:top w:val="single" w:sz="4" w:space="0" w:color="auto"/>
              <w:left w:val="nil"/>
              <w:bottom w:val="single" w:sz="4" w:space="0" w:color="auto"/>
              <w:right w:val="single" w:sz="4" w:space="0" w:color="auto"/>
            </w:tcBorders>
            <w:shd w:val="clear" w:color="000000" w:fill="002060"/>
            <w:vAlign w:val="center"/>
            <w:hideMark/>
          </w:tcPr>
          <w:p w14:paraId="6993E34B" w14:textId="77777777" w:rsidR="00E77853" w:rsidRPr="00232EBB" w:rsidRDefault="00E77853" w:rsidP="00E77853">
            <w:pPr>
              <w:spacing w:after="0" w:line="240" w:lineRule="auto"/>
              <w:jc w:val="center"/>
              <w:rPr>
                <w:rFonts w:eastAsia="Times New Roman"/>
                <w:b/>
                <w:bCs/>
                <w:color w:val="FFFFFF"/>
                <w:spacing w:val="0"/>
              </w:rPr>
            </w:pPr>
            <w:r w:rsidRPr="00232EBB">
              <w:rPr>
                <w:rFonts w:eastAsia="Calibri"/>
                <w:b/>
                <w:bCs/>
                <w:noProof/>
                <w:color w:val="FFFFFF"/>
                <w:spacing w:val="0"/>
                <w:lang w:val="es-DO"/>
              </w:rPr>
              <w:t xml:space="preserve">Calificación </w:t>
            </w:r>
          </w:p>
        </w:tc>
      </w:tr>
      <w:tr w:rsidR="00E77853" w:rsidRPr="00232EBB" w14:paraId="759EA394"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79AC141B"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Enero</w:t>
            </w:r>
          </w:p>
        </w:tc>
        <w:tc>
          <w:tcPr>
            <w:tcW w:w="4405" w:type="dxa"/>
            <w:tcBorders>
              <w:top w:val="nil"/>
              <w:left w:val="nil"/>
              <w:bottom w:val="single" w:sz="8" w:space="0" w:color="auto"/>
              <w:right w:val="single" w:sz="8" w:space="0" w:color="auto"/>
            </w:tcBorders>
            <w:noWrap/>
            <w:vAlign w:val="center"/>
          </w:tcPr>
          <w:p w14:paraId="598C4778" w14:textId="4DC0A36D" w:rsidR="00E77853" w:rsidRPr="00232EBB" w:rsidRDefault="00E57A65" w:rsidP="00E77853">
            <w:pPr>
              <w:spacing w:after="0" w:line="240" w:lineRule="auto"/>
              <w:jc w:val="center"/>
              <w:rPr>
                <w:rFonts w:eastAsia="Times New Roman"/>
                <w:spacing w:val="0"/>
              </w:rPr>
            </w:pPr>
            <w:r w:rsidRPr="00232EBB">
              <w:rPr>
                <w:rFonts w:eastAsia="Times New Roman"/>
                <w:spacing w:val="0"/>
              </w:rPr>
              <w:t>99.29</w:t>
            </w:r>
          </w:p>
        </w:tc>
      </w:tr>
      <w:tr w:rsidR="00E77853" w:rsidRPr="00232EBB" w14:paraId="099F3E4A"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61F64E90"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Febrero</w:t>
            </w:r>
          </w:p>
        </w:tc>
        <w:tc>
          <w:tcPr>
            <w:tcW w:w="4405" w:type="dxa"/>
            <w:tcBorders>
              <w:top w:val="nil"/>
              <w:left w:val="nil"/>
              <w:bottom w:val="single" w:sz="8" w:space="0" w:color="auto"/>
              <w:right w:val="single" w:sz="8" w:space="0" w:color="auto"/>
            </w:tcBorders>
            <w:noWrap/>
            <w:vAlign w:val="center"/>
          </w:tcPr>
          <w:p w14:paraId="4130D66F" w14:textId="5B593164" w:rsidR="00E77853" w:rsidRPr="00232EBB" w:rsidRDefault="00E57A65" w:rsidP="00E77853">
            <w:pPr>
              <w:spacing w:after="0" w:line="240" w:lineRule="auto"/>
              <w:jc w:val="center"/>
              <w:rPr>
                <w:rFonts w:eastAsia="Times New Roman"/>
                <w:spacing w:val="0"/>
              </w:rPr>
            </w:pPr>
            <w:r w:rsidRPr="00232EBB">
              <w:rPr>
                <w:rFonts w:eastAsia="Times New Roman"/>
                <w:spacing w:val="0"/>
              </w:rPr>
              <w:t>98.85</w:t>
            </w:r>
          </w:p>
        </w:tc>
      </w:tr>
      <w:tr w:rsidR="00E77853" w:rsidRPr="00232EBB" w14:paraId="09BD6994"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3D2547D1"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Marzo</w:t>
            </w:r>
          </w:p>
        </w:tc>
        <w:tc>
          <w:tcPr>
            <w:tcW w:w="4405" w:type="dxa"/>
            <w:tcBorders>
              <w:top w:val="nil"/>
              <w:left w:val="nil"/>
              <w:bottom w:val="single" w:sz="8" w:space="0" w:color="auto"/>
              <w:right w:val="single" w:sz="8" w:space="0" w:color="auto"/>
            </w:tcBorders>
            <w:noWrap/>
            <w:vAlign w:val="center"/>
          </w:tcPr>
          <w:p w14:paraId="5A40F9D6" w14:textId="00443C7D" w:rsidR="00E77853" w:rsidRPr="00232EBB" w:rsidRDefault="00E57A65" w:rsidP="00E77853">
            <w:pPr>
              <w:spacing w:after="0" w:line="240" w:lineRule="auto"/>
              <w:jc w:val="center"/>
              <w:rPr>
                <w:rFonts w:eastAsia="Times New Roman"/>
                <w:spacing w:val="0"/>
              </w:rPr>
            </w:pPr>
            <w:r w:rsidRPr="00232EBB">
              <w:rPr>
                <w:rFonts w:eastAsia="Times New Roman"/>
                <w:spacing w:val="0"/>
              </w:rPr>
              <w:t>96.87</w:t>
            </w:r>
          </w:p>
        </w:tc>
      </w:tr>
      <w:tr w:rsidR="00E77853" w:rsidRPr="00232EBB" w14:paraId="1CE91ED8"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4287F648"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Abril</w:t>
            </w:r>
          </w:p>
        </w:tc>
        <w:tc>
          <w:tcPr>
            <w:tcW w:w="4405" w:type="dxa"/>
            <w:tcBorders>
              <w:top w:val="nil"/>
              <w:left w:val="nil"/>
              <w:bottom w:val="single" w:sz="8" w:space="0" w:color="auto"/>
              <w:right w:val="single" w:sz="8" w:space="0" w:color="auto"/>
            </w:tcBorders>
            <w:noWrap/>
            <w:vAlign w:val="center"/>
          </w:tcPr>
          <w:p w14:paraId="750005BD" w14:textId="6CB85E76" w:rsidR="00E77853" w:rsidRPr="00232EBB" w:rsidRDefault="00E57A65" w:rsidP="00E77853">
            <w:pPr>
              <w:spacing w:after="0" w:line="240" w:lineRule="auto"/>
              <w:jc w:val="center"/>
              <w:rPr>
                <w:rFonts w:eastAsia="Times New Roman"/>
                <w:spacing w:val="0"/>
              </w:rPr>
            </w:pPr>
            <w:r w:rsidRPr="00232EBB">
              <w:rPr>
                <w:rFonts w:eastAsia="Times New Roman"/>
                <w:spacing w:val="0"/>
              </w:rPr>
              <w:t>96.47</w:t>
            </w:r>
          </w:p>
        </w:tc>
      </w:tr>
      <w:tr w:rsidR="00E77853" w:rsidRPr="00232EBB" w14:paraId="18ED9955"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36510F9F"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Mayo</w:t>
            </w:r>
          </w:p>
        </w:tc>
        <w:tc>
          <w:tcPr>
            <w:tcW w:w="4405" w:type="dxa"/>
            <w:tcBorders>
              <w:top w:val="nil"/>
              <w:left w:val="nil"/>
              <w:bottom w:val="single" w:sz="8" w:space="0" w:color="auto"/>
              <w:right w:val="single" w:sz="8" w:space="0" w:color="auto"/>
            </w:tcBorders>
            <w:vAlign w:val="center"/>
          </w:tcPr>
          <w:p w14:paraId="5ED127B8" w14:textId="3B698938" w:rsidR="00E77853" w:rsidRPr="00232EBB" w:rsidRDefault="00E57A65" w:rsidP="00E77853">
            <w:pPr>
              <w:spacing w:after="0" w:line="240" w:lineRule="auto"/>
              <w:jc w:val="center"/>
              <w:rPr>
                <w:rFonts w:eastAsia="Times New Roman"/>
                <w:spacing w:val="0"/>
              </w:rPr>
            </w:pPr>
            <w:r w:rsidRPr="00232EBB">
              <w:rPr>
                <w:rFonts w:eastAsia="Times New Roman"/>
                <w:spacing w:val="0"/>
              </w:rPr>
              <w:t>98.9</w:t>
            </w:r>
          </w:p>
        </w:tc>
      </w:tr>
      <w:tr w:rsidR="00E77853" w:rsidRPr="00232EBB" w14:paraId="731DCE8D"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6E202366"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Junio</w:t>
            </w:r>
          </w:p>
        </w:tc>
        <w:tc>
          <w:tcPr>
            <w:tcW w:w="4405" w:type="dxa"/>
            <w:tcBorders>
              <w:top w:val="nil"/>
              <w:left w:val="nil"/>
              <w:bottom w:val="single" w:sz="8" w:space="0" w:color="auto"/>
              <w:right w:val="single" w:sz="8" w:space="0" w:color="auto"/>
            </w:tcBorders>
            <w:vAlign w:val="center"/>
          </w:tcPr>
          <w:p w14:paraId="61FAF1DE" w14:textId="32D33B41" w:rsidR="00E77853" w:rsidRPr="00232EBB" w:rsidRDefault="00E57A65" w:rsidP="00E77853">
            <w:pPr>
              <w:spacing w:after="0" w:line="240" w:lineRule="auto"/>
              <w:jc w:val="center"/>
              <w:rPr>
                <w:rFonts w:eastAsia="Times New Roman"/>
                <w:spacing w:val="0"/>
              </w:rPr>
            </w:pPr>
            <w:r w:rsidRPr="00232EBB">
              <w:rPr>
                <w:rFonts w:eastAsia="Times New Roman"/>
                <w:spacing w:val="0"/>
              </w:rPr>
              <w:t>97.63</w:t>
            </w:r>
          </w:p>
        </w:tc>
      </w:tr>
      <w:tr w:rsidR="00E77853" w:rsidRPr="00232EBB" w14:paraId="7F4A9BAD"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5989EF8E"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Julio</w:t>
            </w:r>
          </w:p>
        </w:tc>
        <w:tc>
          <w:tcPr>
            <w:tcW w:w="4405" w:type="dxa"/>
            <w:tcBorders>
              <w:top w:val="nil"/>
              <w:left w:val="nil"/>
              <w:bottom w:val="single" w:sz="8" w:space="0" w:color="auto"/>
              <w:right w:val="single" w:sz="8" w:space="0" w:color="auto"/>
            </w:tcBorders>
            <w:vAlign w:val="center"/>
          </w:tcPr>
          <w:p w14:paraId="1BB81000" w14:textId="290DD52C" w:rsidR="00E77853" w:rsidRPr="00232EBB" w:rsidRDefault="00E57A65" w:rsidP="00E77853">
            <w:pPr>
              <w:spacing w:after="0" w:line="240" w:lineRule="auto"/>
              <w:jc w:val="center"/>
              <w:rPr>
                <w:rFonts w:eastAsia="Times New Roman"/>
                <w:spacing w:val="0"/>
              </w:rPr>
            </w:pPr>
            <w:r w:rsidRPr="00232EBB">
              <w:rPr>
                <w:rFonts w:eastAsia="Times New Roman"/>
                <w:spacing w:val="0"/>
              </w:rPr>
              <w:t>98.12</w:t>
            </w:r>
          </w:p>
        </w:tc>
      </w:tr>
      <w:tr w:rsidR="00E77853" w:rsidRPr="00232EBB" w14:paraId="48332E6C"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6C432738"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Agosto</w:t>
            </w:r>
          </w:p>
        </w:tc>
        <w:tc>
          <w:tcPr>
            <w:tcW w:w="4405" w:type="dxa"/>
            <w:tcBorders>
              <w:top w:val="nil"/>
              <w:left w:val="nil"/>
              <w:bottom w:val="single" w:sz="8" w:space="0" w:color="auto"/>
              <w:right w:val="single" w:sz="8" w:space="0" w:color="auto"/>
            </w:tcBorders>
            <w:vAlign w:val="center"/>
          </w:tcPr>
          <w:p w14:paraId="6744746C" w14:textId="2BF1F040" w:rsidR="00E77853" w:rsidRPr="00232EBB" w:rsidRDefault="00E57A65" w:rsidP="00E77853">
            <w:pPr>
              <w:spacing w:after="0" w:line="240" w:lineRule="auto"/>
              <w:jc w:val="center"/>
              <w:rPr>
                <w:rFonts w:eastAsia="Times New Roman"/>
                <w:spacing w:val="0"/>
              </w:rPr>
            </w:pPr>
            <w:r w:rsidRPr="00232EBB">
              <w:rPr>
                <w:rFonts w:eastAsia="Times New Roman"/>
                <w:spacing w:val="0"/>
              </w:rPr>
              <w:t>97.35</w:t>
            </w:r>
          </w:p>
        </w:tc>
      </w:tr>
      <w:tr w:rsidR="00E77853" w:rsidRPr="00232EBB" w14:paraId="006A98B3" w14:textId="77777777" w:rsidTr="00E57A65">
        <w:trPr>
          <w:trHeight w:val="394"/>
          <w:jc w:val="center"/>
        </w:trPr>
        <w:tc>
          <w:tcPr>
            <w:tcW w:w="3332" w:type="dxa"/>
            <w:tcBorders>
              <w:top w:val="nil"/>
              <w:left w:val="single" w:sz="8" w:space="0" w:color="auto"/>
              <w:bottom w:val="single" w:sz="8" w:space="0" w:color="auto"/>
              <w:right w:val="single" w:sz="8" w:space="0" w:color="auto"/>
            </w:tcBorders>
            <w:noWrap/>
            <w:vAlign w:val="center"/>
            <w:hideMark/>
          </w:tcPr>
          <w:p w14:paraId="6E88C13E"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Septiembre</w:t>
            </w:r>
          </w:p>
        </w:tc>
        <w:tc>
          <w:tcPr>
            <w:tcW w:w="4405" w:type="dxa"/>
            <w:tcBorders>
              <w:top w:val="nil"/>
              <w:left w:val="nil"/>
              <w:bottom w:val="single" w:sz="8" w:space="0" w:color="auto"/>
              <w:right w:val="single" w:sz="8" w:space="0" w:color="auto"/>
            </w:tcBorders>
            <w:vAlign w:val="center"/>
          </w:tcPr>
          <w:p w14:paraId="0F6A69D4" w14:textId="547180A5" w:rsidR="00E77853" w:rsidRPr="00232EBB" w:rsidRDefault="00E57A65" w:rsidP="00E77853">
            <w:pPr>
              <w:spacing w:after="0" w:line="240" w:lineRule="auto"/>
              <w:jc w:val="center"/>
              <w:rPr>
                <w:rFonts w:eastAsia="Times New Roman"/>
                <w:spacing w:val="0"/>
              </w:rPr>
            </w:pPr>
            <w:r w:rsidRPr="00232EBB">
              <w:rPr>
                <w:rFonts w:eastAsia="Times New Roman"/>
                <w:spacing w:val="0"/>
              </w:rPr>
              <w:t>97.74</w:t>
            </w:r>
          </w:p>
        </w:tc>
      </w:tr>
      <w:tr w:rsidR="00E77853" w:rsidRPr="00232EBB" w14:paraId="0712BD97" w14:textId="77777777" w:rsidTr="00E57A65">
        <w:trPr>
          <w:trHeight w:val="460"/>
          <w:jc w:val="center"/>
        </w:trPr>
        <w:tc>
          <w:tcPr>
            <w:tcW w:w="3332" w:type="dxa"/>
            <w:tcBorders>
              <w:top w:val="nil"/>
              <w:left w:val="single" w:sz="8" w:space="0" w:color="auto"/>
              <w:bottom w:val="single" w:sz="8" w:space="0" w:color="auto"/>
              <w:right w:val="single" w:sz="8" w:space="0" w:color="auto"/>
            </w:tcBorders>
            <w:noWrap/>
            <w:vAlign w:val="center"/>
            <w:hideMark/>
          </w:tcPr>
          <w:p w14:paraId="1470C4BA" w14:textId="77777777" w:rsidR="00E77853" w:rsidRPr="00232EBB" w:rsidRDefault="00E77853" w:rsidP="00E77853">
            <w:pPr>
              <w:spacing w:after="0" w:line="240" w:lineRule="auto"/>
              <w:jc w:val="center"/>
              <w:rPr>
                <w:rFonts w:eastAsia="Times New Roman"/>
                <w:spacing w:val="0"/>
              </w:rPr>
            </w:pPr>
            <w:r w:rsidRPr="00232EBB">
              <w:rPr>
                <w:rFonts w:eastAsia="Calibri"/>
                <w:noProof/>
                <w:spacing w:val="0"/>
                <w:lang w:val="es-DO"/>
              </w:rPr>
              <w:t>Octubre</w:t>
            </w:r>
          </w:p>
        </w:tc>
        <w:tc>
          <w:tcPr>
            <w:tcW w:w="4405" w:type="dxa"/>
            <w:tcBorders>
              <w:top w:val="nil"/>
              <w:left w:val="nil"/>
              <w:bottom w:val="single" w:sz="8" w:space="0" w:color="auto"/>
              <w:right w:val="single" w:sz="8" w:space="0" w:color="auto"/>
            </w:tcBorders>
            <w:vAlign w:val="center"/>
          </w:tcPr>
          <w:p w14:paraId="4537C1CD" w14:textId="118E6A1E" w:rsidR="00E77853" w:rsidRPr="00232EBB" w:rsidRDefault="00830CF3" w:rsidP="00E77853">
            <w:pPr>
              <w:spacing w:after="0" w:line="240" w:lineRule="auto"/>
              <w:jc w:val="center"/>
              <w:rPr>
                <w:rFonts w:eastAsia="Times New Roman"/>
                <w:spacing w:val="0"/>
                <w:lang w:val="es-ES"/>
              </w:rPr>
            </w:pPr>
            <w:r w:rsidRPr="00232EBB">
              <w:rPr>
                <w:rFonts w:eastAsia="Calibri"/>
                <w:noProof/>
                <w:spacing w:val="0"/>
                <w:lang w:val="es-DO"/>
              </w:rPr>
              <w:t>100</w:t>
            </w:r>
          </w:p>
        </w:tc>
      </w:tr>
      <w:tr w:rsidR="00E77853" w:rsidRPr="00232EBB" w14:paraId="4E97A1EB" w14:textId="77777777" w:rsidTr="00E57A65">
        <w:trPr>
          <w:trHeight w:val="297"/>
          <w:jc w:val="center"/>
        </w:trPr>
        <w:tc>
          <w:tcPr>
            <w:tcW w:w="3332" w:type="dxa"/>
            <w:tcBorders>
              <w:top w:val="nil"/>
              <w:left w:val="single" w:sz="8" w:space="0" w:color="auto"/>
              <w:bottom w:val="single" w:sz="4" w:space="0" w:color="auto"/>
              <w:right w:val="single" w:sz="8" w:space="0" w:color="auto"/>
            </w:tcBorders>
            <w:noWrap/>
            <w:vAlign w:val="center"/>
            <w:hideMark/>
          </w:tcPr>
          <w:p w14:paraId="74FFF90F" w14:textId="77777777" w:rsidR="00E77853" w:rsidRPr="00232EBB" w:rsidRDefault="00E77853" w:rsidP="00E77853">
            <w:pPr>
              <w:spacing w:after="0" w:line="240" w:lineRule="auto"/>
              <w:jc w:val="center"/>
              <w:rPr>
                <w:rFonts w:eastAsia="Calibri"/>
                <w:noProof/>
                <w:spacing w:val="0"/>
                <w:lang w:val="es-DO"/>
              </w:rPr>
            </w:pPr>
            <w:r w:rsidRPr="00232EBB">
              <w:rPr>
                <w:rFonts w:eastAsia="Calibri"/>
                <w:noProof/>
                <w:spacing w:val="0"/>
                <w:lang w:val="es-DO"/>
              </w:rPr>
              <w:t>Noviembre</w:t>
            </w:r>
          </w:p>
        </w:tc>
        <w:tc>
          <w:tcPr>
            <w:tcW w:w="4405" w:type="dxa"/>
            <w:tcBorders>
              <w:top w:val="nil"/>
              <w:left w:val="nil"/>
              <w:bottom w:val="single" w:sz="4" w:space="0" w:color="auto"/>
              <w:right w:val="single" w:sz="8" w:space="0" w:color="auto"/>
            </w:tcBorders>
            <w:vAlign w:val="center"/>
            <w:hideMark/>
          </w:tcPr>
          <w:p w14:paraId="1B029EED" w14:textId="3D50C891" w:rsidR="00E77853" w:rsidRPr="00232EBB" w:rsidRDefault="00E77853" w:rsidP="00E77853">
            <w:pPr>
              <w:spacing w:after="0" w:line="240" w:lineRule="auto"/>
              <w:jc w:val="center"/>
              <w:rPr>
                <w:rFonts w:eastAsia="Times New Roman"/>
                <w:spacing w:val="0"/>
                <w:lang w:val="es-ES"/>
              </w:rPr>
            </w:pPr>
            <w:r w:rsidRPr="00232EBB">
              <w:rPr>
                <w:rFonts w:eastAsia="Calibri"/>
                <w:noProof/>
                <w:spacing w:val="0"/>
                <w:lang w:val="es-DO"/>
              </w:rPr>
              <w:t>Pendiente de calificar por la DIGE</w:t>
            </w:r>
            <w:r w:rsidR="00E327EE" w:rsidRPr="00232EBB">
              <w:rPr>
                <w:rFonts w:eastAsia="Calibri"/>
                <w:noProof/>
                <w:spacing w:val="0"/>
                <w:lang w:val="es-DO"/>
              </w:rPr>
              <w:t>I</w:t>
            </w:r>
            <w:r w:rsidRPr="00232EBB">
              <w:rPr>
                <w:rFonts w:eastAsia="Calibri"/>
                <w:noProof/>
                <w:spacing w:val="0"/>
                <w:lang w:val="es-DO"/>
              </w:rPr>
              <w:t>G</w:t>
            </w:r>
          </w:p>
        </w:tc>
      </w:tr>
      <w:tr w:rsidR="00F973CE" w:rsidRPr="00232EBB" w14:paraId="2F032593" w14:textId="77777777" w:rsidTr="00E57A65">
        <w:trPr>
          <w:trHeight w:val="297"/>
          <w:jc w:val="center"/>
        </w:trPr>
        <w:tc>
          <w:tcPr>
            <w:tcW w:w="3332" w:type="dxa"/>
            <w:tcBorders>
              <w:top w:val="single" w:sz="4" w:space="0" w:color="auto"/>
              <w:left w:val="single" w:sz="4" w:space="0" w:color="auto"/>
              <w:bottom w:val="single" w:sz="4" w:space="0" w:color="auto"/>
              <w:right w:val="single" w:sz="4" w:space="0" w:color="auto"/>
            </w:tcBorders>
            <w:noWrap/>
            <w:vAlign w:val="center"/>
          </w:tcPr>
          <w:p w14:paraId="3AEBB387" w14:textId="2B4EE447" w:rsidR="00F973CE" w:rsidRPr="00232EBB" w:rsidRDefault="00F973CE" w:rsidP="00F973CE">
            <w:pPr>
              <w:spacing w:after="0" w:line="240" w:lineRule="auto"/>
              <w:jc w:val="center"/>
              <w:rPr>
                <w:rFonts w:eastAsia="Calibri"/>
                <w:noProof/>
                <w:spacing w:val="0"/>
                <w:lang w:val="es-DO"/>
              </w:rPr>
            </w:pPr>
            <w:r w:rsidRPr="00232EBB">
              <w:rPr>
                <w:rFonts w:eastAsia="Calibri"/>
                <w:noProof/>
                <w:spacing w:val="0"/>
                <w:lang w:val="es-DO"/>
              </w:rPr>
              <w:t>Diciembre</w:t>
            </w:r>
          </w:p>
        </w:tc>
        <w:tc>
          <w:tcPr>
            <w:tcW w:w="4405" w:type="dxa"/>
            <w:tcBorders>
              <w:top w:val="single" w:sz="4" w:space="0" w:color="auto"/>
              <w:left w:val="single" w:sz="4" w:space="0" w:color="auto"/>
              <w:bottom w:val="single" w:sz="4" w:space="0" w:color="auto"/>
              <w:right w:val="single" w:sz="4" w:space="0" w:color="auto"/>
            </w:tcBorders>
            <w:vAlign w:val="center"/>
          </w:tcPr>
          <w:p w14:paraId="7F530566" w14:textId="7FBF2431" w:rsidR="00F973CE" w:rsidRPr="00232EBB" w:rsidRDefault="00F973CE" w:rsidP="00F973CE">
            <w:pPr>
              <w:spacing w:after="0" w:line="240" w:lineRule="auto"/>
              <w:jc w:val="center"/>
              <w:rPr>
                <w:rFonts w:eastAsia="Calibri"/>
                <w:noProof/>
                <w:spacing w:val="0"/>
                <w:lang w:val="es-DO"/>
              </w:rPr>
            </w:pPr>
            <w:r w:rsidRPr="00232EBB">
              <w:rPr>
                <w:rFonts w:eastAsia="Calibri"/>
                <w:noProof/>
                <w:spacing w:val="0"/>
                <w:lang w:val="es-DO"/>
              </w:rPr>
              <w:t>Pendiente de calificar por la DIGEIG</w:t>
            </w:r>
          </w:p>
        </w:tc>
      </w:tr>
    </w:tbl>
    <w:p w14:paraId="557E3B88" w14:textId="5B1D2828" w:rsidR="00F973CE" w:rsidRPr="00232EBB" w:rsidRDefault="00F973CE" w:rsidP="00F973CE">
      <w:pPr>
        <w:spacing w:before="240" w:after="0" w:line="360" w:lineRule="auto"/>
        <w:rPr>
          <w:sz w:val="18"/>
          <w:lang w:val="es-ES"/>
        </w:rPr>
      </w:pPr>
      <w:r w:rsidRPr="00232EBB">
        <w:rPr>
          <w:b/>
          <w:bCs/>
          <w:sz w:val="18"/>
          <w:lang w:val="es-ES"/>
        </w:rPr>
        <w:t xml:space="preserve">Tabla </w:t>
      </w:r>
      <w:r w:rsidR="000400ED" w:rsidRPr="00232EBB">
        <w:rPr>
          <w:b/>
          <w:bCs/>
          <w:sz w:val="18"/>
          <w:lang w:val="es-ES"/>
        </w:rPr>
        <w:t>2</w:t>
      </w:r>
      <w:r w:rsidR="00C547FF" w:rsidRPr="00232EBB">
        <w:rPr>
          <w:b/>
          <w:bCs/>
          <w:sz w:val="18"/>
          <w:lang w:val="es-ES"/>
        </w:rPr>
        <w:t>6</w:t>
      </w:r>
      <w:r w:rsidRPr="00232EBB">
        <w:rPr>
          <w:b/>
          <w:bCs/>
          <w:sz w:val="18"/>
          <w:lang w:val="es-ES"/>
        </w:rPr>
        <w:t>:</w:t>
      </w:r>
      <w:r w:rsidRPr="00232EBB">
        <w:rPr>
          <w:sz w:val="18"/>
          <w:lang w:val="es-ES"/>
        </w:rPr>
        <w:t xml:space="preserve"> Calificación portal de transparencia 202</w:t>
      </w:r>
      <w:r w:rsidR="00E57A65" w:rsidRPr="00232EBB">
        <w:rPr>
          <w:sz w:val="18"/>
          <w:lang w:val="es-ES"/>
        </w:rPr>
        <w:t>5</w:t>
      </w:r>
    </w:p>
    <w:p w14:paraId="11B2F5C8" w14:textId="77777777" w:rsidR="004C1458" w:rsidRPr="00232EBB" w:rsidRDefault="004C1458" w:rsidP="00E57A65">
      <w:pPr>
        <w:jc w:val="both"/>
        <w:rPr>
          <w:b/>
          <w:bCs/>
          <w:lang w:val="es-DO"/>
        </w:rPr>
      </w:pPr>
    </w:p>
    <w:p w14:paraId="4F358E89" w14:textId="30F17CFB" w:rsidR="00E57A65" w:rsidRPr="00232EBB" w:rsidRDefault="00E57A65" w:rsidP="004F330B">
      <w:pPr>
        <w:spacing w:after="240" w:line="360" w:lineRule="auto"/>
        <w:jc w:val="both"/>
        <w:rPr>
          <w:sz w:val="18"/>
          <w:lang w:val="es-DO"/>
        </w:rPr>
      </w:pPr>
      <w:r w:rsidRPr="00232EBB">
        <w:rPr>
          <w:rFonts w:eastAsia="Calibri"/>
          <w:lang w:val="es-DO"/>
        </w:rPr>
        <w:t xml:space="preserve">Finalización exitosa de la Campaña Dominicana Sin Corrupción mediante capacitaciones y campañas de sensibilización interna de </w:t>
      </w:r>
      <w:r w:rsidRPr="00232EBB">
        <w:rPr>
          <w:rFonts w:eastAsia="Calibri"/>
          <w:lang w:val="es-DO"/>
        </w:rPr>
        <w:lastRenderedPageBreak/>
        <w:t xml:space="preserve">la </w:t>
      </w:r>
      <w:r w:rsidR="00640D33" w:rsidRPr="00232EBB">
        <w:rPr>
          <w:rFonts w:eastAsia="Calibri"/>
          <w:lang w:val="es-DO"/>
        </w:rPr>
        <w:t>Comisión</w:t>
      </w:r>
      <w:r w:rsidRPr="00232EBB">
        <w:rPr>
          <w:rFonts w:eastAsia="Calibri"/>
          <w:lang w:val="es-DO"/>
        </w:rPr>
        <w:t xml:space="preserve"> de Integridad Gubernamental y Cumplimiento </w:t>
      </w:r>
      <w:r w:rsidR="0076561C" w:rsidRPr="00232EBB">
        <w:rPr>
          <w:rFonts w:eastAsia="Calibri"/>
          <w:lang w:val="es-DO"/>
        </w:rPr>
        <w:t>Normativo:</w:t>
      </w:r>
    </w:p>
    <w:tbl>
      <w:tblPr>
        <w:tblW w:w="7478" w:type="dxa"/>
        <w:jc w:val="center"/>
        <w:tblLayout w:type="fixed"/>
        <w:tblLook w:val="04A0" w:firstRow="1" w:lastRow="0" w:firstColumn="1" w:lastColumn="0" w:noHBand="0" w:noVBand="1"/>
      </w:tblPr>
      <w:tblGrid>
        <w:gridCol w:w="2324"/>
        <w:gridCol w:w="2105"/>
        <w:gridCol w:w="3049"/>
      </w:tblGrid>
      <w:tr w:rsidR="00E57A65" w:rsidRPr="00232EBB" w14:paraId="2BFBD32A" w14:textId="77777777" w:rsidTr="00C16573">
        <w:trPr>
          <w:trHeight w:val="549"/>
          <w:jc w:val="center"/>
        </w:trPr>
        <w:tc>
          <w:tcPr>
            <w:tcW w:w="2324"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4AE6A3C4" w14:textId="5D01C0B7" w:rsidR="00E57A65" w:rsidRPr="00232EBB" w:rsidRDefault="00E57A65" w:rsidP="0055368C">
            <w:pPr>
              <w:spacing w:after="0" w:line="240" w:lineRule="auto"/>
              <w:jc w:val="center"/>
              <w:rPr>
                <w:b/>
                <w:bCs/>
                <w:noProof/>
                <w:color w:val="FFFFFF" w:themeColor="background1"/>
                <w:sz w:val="22"/>
                <w:szCs w:val="22"/>
                <w:lang w:val="es-MX"/>
              </w:rPr>
            </w:pPr>
            <w:r w:rsidRPr="00232EBB">
              <w:rPr>
                <w:b/>
                <w:bCs/>
                <w:noProof/>
                <w:color w:val="FFFFFF" w:themeColor="background1"/>
                <w:sz w:val="22"/>
                <w:szCs w:val="22"/>
                <w:lang w:val="es-MX"/>
              </w:rPr>
              <w:t>Temas</w:t>
            </w:r>
          </w:p>
        </w:tc>
        <w:tc>
          <w:tcPr>
            <w:tcW w:w="2105" w:type="dxa"/>
            <w:tcBorders>
              <w:top w:val="single" w:sz="4" w:space="0" w:color="auto"/>
              <w:left w:val="nil"/>
              <w:bottom w:val="single" w:sz="4" w:space="0" w:color="auto"/>
              <w:right w:val="single" w:sz="4" w:space="0" w:color="auto"/>
            </w:tcBorders>
            <w:shd w:val="clear" w:color="000000" w:fill="1F3864"/>
            <w:vAlign w:val="center"/>
            <w:hideMark/>
          </w:tcPr>
          <w:p w14:paraId="0D257C7C" w14:textId="35FF0FF4" w:rsidR="00E57A65" w:rsidRPr="00232EBB" w:rsidRDefault="00E57A65" w:rsidP="0055368C">
            <w:pPr>
              <w:spacing w:after="0" w:line="240" w:lineRule="auto"/>
              <w:jc w:val="center"/>
              <w:rPr>
                <w:b/>
                <w:bCs/>
                <w:noProof/>
                <w:color w:val="FFFFFF" w:themeColor="background1"/>
                <w:sz w:val="22"/>
                <w:szCs w:val="22"/>
                <w:lang w:val="es-MX"/>
              </w:rPr>
            </w:pPr>
            <w:r w:rsidRPr="00232EBB">
              <w:rPr>
                <w:b/>
                <w:bCs/>
                <w:noProof/>
                <w:color w:val="FFFFFF" w:themeColor="background1"/>
                <w:sz w:val="22"/>
                <w:szCs w:val="22"/>
                <w:lang w:val="es-MX"/>
              </w:rPr>
              <w:t>Invitados</w:t>
            </w:r>
          </w:p>
        </w:tc>
        <w:tc>
          <w:tcPr>
            <w:tcW w:w="3049" w:type="dxa"/>
            <w:tcBorders>
              <w:top w:val="single" w:sz="4" w:space="0" w:color="auto"/>
              <w:left w:val="nil"/>
              <w:bottom w:val="single" w:sz="4" w:space="0" w:color="auto"/>
              <w:right w:val="single" w:sz="4" w:space="0" w:color="auto"/>
            </w:tcBorders>
            <w:shd w:val="clear" w:color="000000" w:fill="1F3864"/>
            <w:vAlign w:val="center"/>
            <w:hideMark/>
          </w:tcPr>
          <w:p w14:paraId="72255232" w14:textId="7953A8B8" w:rsidR="00E57A65" w:rsidRPr="00232EBB" w:rsidRDefault="00E57A65" w:rsidP="0055368C">
            <w:pPr>
              <w:spacing w:after="0" w:line="240" w:lineRule="auto"/>
              <w:jc w:val="center"/>
              <w:rPr>
                <w:b/>
                <w:bCs/>
                <w:noProof/>
                <w:color w:val="FFFFFF" w:themeColor="background1"/>
                <w:sz w:val="22"/>
                <w:szCs w:val="22"/>
                <w:lang w:val="es-MX"/>
              </w:rPr>
            </w:pPr>
            <w:r w:rsidRPr="00232EBB">
              <w:rPr>
                <w:b/>
                <w:bCs/>
                <w:noProof/>
                <w:color w:val="FFFFFF" w:themeColor="background1"/>
                <w:sz w:val="22"/>
                <w:szCs w:val="22"/>
                <w:lang w:val="es-MX"/>
              </w:rPr>
              <w:t>Colaboradores Impactados directamente en las capacitaciones</w:t>
            </w:r>
          </w:p>
        </w:tc>
      </w:tr>
      <w:tr w:rsidR="00E57A65" w:rsidRPr="00232EBB" w14:paraId="426F40E1" w14:textId="77777777" w:rsidTr="004F330B">
        <w:trPr>
          <w:trHeight w:val="334"/>
          <w:jc w:val="center"/>
        </w:trPr>
        <w:tc>
          <w:tcPr>
            <w:tcW w:w="2324" w:type="dxa"/>
            <w:tcBorders>
              <w:top w:val="nil"/>
              <w:left w:val="single" w:sz="4" w:space="0" w:color="auto"/>
              <w:bottom w:val="single" w:sz="4" w:space="0" w:color="auto"/>
              <w:right w:val="single" w:sz="4" w:space="0" w:color="auto"/>
            </w:tcBorders>
            <w:vAlign w:val="center"/>
          </w:tcPr>
          <w:p w14:paraId="76E0BBE9" w14:textId="49B20FA4" w:rsidR="00E57A65" w:rsidRPr="00232EBB" w:rsidRDefault="00BB66FB" w:rsidP="004F330B">
            <w:pPr>
              <w:spacing w:after="0" w:line="240" w:lineRule="auto"/>
              <w:jc w:val="center"/>
              <w:rPr>
                <w:noProof/>
                <w:sz w:val="20"/>
                <w:szCs w:val="20"/>
                <w:lang w:val="es-MX"/>
              </w:rPr>
            </w:pPr>
            <w:r w:rsidRPr="00232EBB">
              <w:rPr>
                <w:noProof/>
                <w:sz w:val="20"/>
                <w:szCs w:val="20"/>
                <w:lang w:val="es-MX"/>
              </w:rPr>
              <w:t>Integridad y prevención de la corrupción</w:t>
            </w:r>
          </w:p>
        </w:tc>
        <w:tc>
          <w:tcPr>
            <w:tcW w:w="2105" w:type="dxa"/>
            <w:tcBorders>
              <w:top w:val="nil"/>
              <w:left w:val="nil"/>
              <w:bottom w:val="single" w:sz="4" w:space="0" w:color="auto"/>
              <w:right w:val="single" w:sz="4" w:space="0" w:color="auto"/>
            </w:tcBorders>
            <w:vAlign w:val="center"/>
          </w:tcPr>
          <w:p w14:paraId="2695C8B1" w14:textId="55E64A81" w:rsidR="00E57A65" w:rsidRPr="00232EBB" w:rsidRDefault="00BB66FB" w:rsidP="004F330B">
            <w:pPr>
              <w:spacing w:after="0" w:line="240" w:lineRule="auto"/>
              <w:jc w:val="center"/>
              <w:rPr>
                <w:noProof/>
                <w:sz w:val="20"/>
                <w:szCs w:val="20"/>
                <w:lang w:val="es-MX"/>
              </w:rPr>
            </w:pPr>
            <w:r w:rsidRPr="00232EBB">
              <w:rPr>
                <w:noProof/>
                <w:sz w:val="20"/>
                <w:szCs w:val="20"/>
                <w:lang w:val="es-MX"/>
              </w:rPr>
              <w:t>Rony Pérez</w:t>
            </w:r>
          </w:p>
        </w:tc>
        <w:tc>
          <w:tcPr>
            <w:tcW w:w="3049" w:type="dxa"/>
            <w:tcBorders>
              <w:top w:val="nil"/>
              <w:left w:val="nil"/>
              <w:bottom w:val="single" w:sz="4" w:space="0" w:color="auto"/>
              <w:right w:val="single" w:sz="4" w:space="0" w:color="auto"/>
            </w:tcBorders>
            <w:vAlign w:val="center"/>
          </w:tcPr>
          <w:p w14:paraId="5B40E945" w14:textId="360DB5AF" w:rsidR="00E57A65" w:rsidRPr="00232EBB" w:rsidRDefault="00BB66FB" w:rsidP="004F330B">
            <w:pPr>
              <w:spacing w:after="0" w:line="240" w:lineRule="auto"/>
              <w:jc w:val="center"/>
              <w:rPr>
                <w:noProof/>
                <w:sz w:val="20"/>
                <w:szCs w:val="20"/>
                <w:lang w:val="es-MX"/>
              </w:rPr>
            </w:pPr>
            <w:r w:rsidRPr="00232EBB">
              <w:rPr>
                <w:noProof/>
                <w:sz w:val="20"/>
                <w:szCs w:val="20"/>
                <w:lang w:val="es-MX"/>
              </w:rPr>
              <w:t>36</w:t>
            </w:r>
          </w:p>
        </w:tc>
      </w:tr>
      <w:tr w:rsidR="00E57A65" w:rsidRPr="00232EBB" w14:paraId="565EB93F" w14:textId="77777777" w:rsidTr="004F330B">
        <w:trPr>
          <w:trHeight w:val="266"/>
          <w:jc w:val="center"/>
        </w:trPr>
        <w:tc>
          <w:tcPr>
            <w:tcW w:w="2324" w:type="dxa"/>
            <w:tcBorders>
              <w:top w:val="nil"/>
              <w:left w:val="single" w:sz="4" w:space="0" w:color="auto"/>
              <w:bottom w:val="single" w:sz="4" w:space="0" w:color="auto"/>
              <w:right w:val="single" w:sz="4" w:space="0" w:color="auto"/>
            </w:tcBorders>
            <w:vAlign w:val="center"/>
          </w:tcPr>
          <w:p w14:paraId="4118D420" w14:textId="02BF3CD5" w:rsidR="00E57A65" w:rsidRPr="00232EBB" w:rsidRDefault="00BB66FB" w:rsidP="004F330B">
            <w:pPr>
              <w:spacing w:after="0" w:line="240" w:lineRule="auto"/>
              <w:jc w:val="center"/>
              <w:rPr>
                <w:noProof/>
                <w:sz w:val="20"/>
                <w:szCs w:val="20"/>
                <w:lang w:val="es-MX"/>
              </w:rPr>
            </w:pPr>
            <w:r w:rsidRPr="00232EBB">
              <w:rPr>
                <w:noProof/>
                <w:sz w:val="20"/>
                <w:szCs w:val="20"/>
                <w:lang w:val="es-MX"/>
              </w:rPr>
              <w:t>Discreción</w:t>
            </w:r>
          </w:p>
        </w:tc>
        <w:tc>
          <w:tcPr>
            <w:tcW w:w="2105" w:type="dxa"/>
            <w:tcBorders>
              <w:top w:val="nil"/>
              <w:left w:val="nil"/>
              <w:bottom w:val="single" w:sz="4" w:space="0" w:color="auto"/>
              <w:right w:val="single" w:sz="4" w:space="0" w:color="auto"/>
            </w:tcBorders>
            <w:vAlign w:val="center"/>
          </w:tcPr>
          <w:p w14:paraId="708EA80A" w14:textId="598D3B11" w:rsidR="00E57A65" w:rsidRPr="00232EBB" w:rsidRDefault="00BB66FB" w:rsidP="004F330B">
            <w:pPr>
              <w:spacing w:after="0" w:line="240" w:lineRule="auto"/>
              <w:jc w:val="center"/>
              <w:rPr>
                <w:noProof/>
                <w:sz w:val="20"/>
                <w:szCs w:val="20"/>
                <w:lang w:val="es-MX"/>
              </w:rPr>
            </w:pPr>
            <w:r w:rsidRPr="00232EBB">
              <w:rPr>
                <w:noProof/>
                <w:sz w:val="20"/>
                <w:szCs w:val="20"/>
                <w:lang w:val="es-MX"/>
              </w:rPr>
              <w:t>Yovanny Díaz Méndoza</w:t>
            </w:r>
          </w:p>
        </w:tc>
        <w:tc>
          <w:tcPr>
            <w:tcW w:w="3049" w:type="dxa"/>
            <w:tcBorders>
              <w:top w:val="nil"/>
              <w:left w:val="nil"/>
              <w:bottom w:val="single" w:sz="4" w:space="0" w:color="auto"/>
              <w:right w:val="single" w:sz="4" w:space="0" w:color="auto"/>
            </w:tcBorders>
            <w:vAlign w:val="center"/>
          </w:tcPr>
          <w:p w14:paraId="2BD16E5C" w14:textId="357A7685" w:rsidR="00E57A65" w:rsidRPr="00232EBB" w:rsidRDefault="00BB66FB" w:rsidP="004F330B">
            <w:pPr>
              <w:spacing w:after="0" w:line="240" w:lineRule="auto"/>
              <w:jc w:val="center"/>
              <w:rPr>
                <w:noProof/>
                <w:sz w:val="20"/>
                <w:szCs w:val="20"/>
                <w:lang w:val="es-MX"/>
              </w:rPr>
            </w:pPr>
            <w:r w:rsidRPr="00232EBB">
              <w:rPr>
                <w:noProof/>
                <w:sz w:val="20"/>
                <w:szCs w:val="20"/>
                <w:lang w:val="es-MX"/>
              </w:rPr>
              <w:t>59</w:t>
            </w:r>
          </w:p>
        </w:tc>
      </w:tr>
      <w:tr w:rsidR="00E57A65" w:rsidRPr="00232EBB" w14:paraId="0C3A41FA" w14:textId="77777777" w:rsidTr="004F330B">
        <w:trPr>
          <w:trHeight w:val="357"/>
          <w:jc w:val="center"/>
        </w:trPr>
        <w:tc>
          <w:tcPr>
            <w:tcW w:w="2324" w:type="dxa"/>
            <w:tcBorders>
              <w:top w:val="nil"/>
              <w:left w:val="single" w:sz="4" w:space="0" w:color="auto"/>
              <w:bottom w:val="single" w:sz="4" w:space="0" w:color="auto"/>
              <w:right w:val="single" w:sz="4" w:space="0" w:color="auto"/>
            </w:tcBorders>
            <w:vAlign w:val="center"/>
          </w:tcPr>
          <w:p w14:paraId="0AF5844D" w14:textId="4F6E8851" w:rsidR="00E57A65" w:rsidRPr="00232EBB" w:rsidRDefault="00BB66FB" w:rsidP="004F330B">
            <w:pPr>
              <w:spacing w:after="0" w:line="240" w:lineRule="auto"/>
              <w:jc w:val="center"/>
              <w:rPr>
                <w:noProof/>
                <w:sz w:val="20"/>
                <w:szCs w:val="20"/>
                <w:lang w:val="es-MX"/>
              </w:rPr>
            </w:pPr>
            <w:r w:rsidRPr="00232EBB">
              <w:rPr>
                <w:noProof/>
                <w:sz w:val="20"/>
                <w:szCs w:val="20"/>
                <w:lang w:val="es-MX"/>
              </w:rPr>
              <w:t>Meritocracía</w:t>
            </w:r>
          </w:p>
        </w:tc>
        <w:tc>
          <w:tcPr>
            <w:tcW w:w="2105" w:type="dxa"/>
            <w:tcBorders>
              <w:top w:val="nil"/>
              <w:left w:val="nil"/>
              <w:bottom w:val="single" w:sz="4" w:space="0" w:color="auto"/>
              <w:right w:val="single" w:sz="4" w:space="0" w:color="auto"/>
            </w:tcBorders>
            <w:vAlign w:val="center"/>
          </w:tcPr>
          <w:p w14:paraId="07E12C5B" w14:textId="4F16EA42" w:rsidR="00E57A65" w:rsidRPr="00232EBB" w:rsidRDefault="00BB66FB" w:rsidP="004F330B">
            <w:pPr>
              <w:spacing w:after="0" w:line="240" w:lineRule="auto"/>
              <w:jc w:val="center"/>
              <w:rPr>
                <w:noProof/>
                <w:sz w:val="20"/>
                <w:szCs w:val="20"/>
                <w:lang w:val="es-MX"/>
              </w:rPr>
            </w:pPr>
            <w:r w:rsidRPr="00232EBB">
              <w:rPr>
                <w:noProof/>
                <w:sz w:val="20"/>
                <w:szCs w:val="20"/>
                <w:lang w:val="es-MX"/>
              </w:rPr>
              <w:t>Gregorio Montero</w:t>
            </w:r>
          </w:p>
        </w:tc>
        <w:tc>
          <w:tcPr>
            <w:tcW w:w="3049" w:type="dxa"/>
            <w:tcBorders>
              <w:top w:val="nil"/>
              <w:left w:val="nil"/>
              <w:bottom w:val="single" w:sz="4" w:space="0" w:color="auto"/>
              <w:right w:val="single" w:sz="4" w:space="0" w:color="auto"/>
            </w:tcBorders>
            <w:vAlign w:val="center"/>
          </w:tcPr>
          <w:p w14:paraId="646F633E" w14:textId="3399786E" w:rsidR="00E57A65" w:rsidRPr="00232EBB" w:rsidRDefault="00BB66FB" w:rsidP="004F330B">
            <w:pPr>
              <w:spacing w:after="0" w:line="240" w:lineRule="auto"/>
              <w:jc w:val="center"/>
              <w:rPr>
                <w:noProof/>
                <w:sz w:val="20"/>
                <w:szCs w:val="20"/>
                <w:lang w:val="es-MX"/>
              </w:rPr>
            </w:pPr>
            <w:r w:rsidRPr="00232EBB">
              <w:rPr>
                <w:noProof/>
                <w:sz w:val="20"/>
                <w:szCs w:val="20"/>
                <w:lang w:val="es-MX"/>
              </w:rPr>
              <w:t>26</w:t>
            </w:r>
          </w:p>
        </w:tc>
      </w:tr>
      <w:tr w:rsidR="00E57A65" w:rsidRPr="00232EBB" w14:paraId="2D91C502" w14:textId="77777777" w:rsidTr="004F330B">
        <w:trPr>
          <w:trHeight w:val="233"/>
          <w:jc w:val="center"/>
        </w:trPr>
        <w:tc>
          <w:tcPr>
            <w:tcW w:w="2324" w:type="dxa"/>
            <w:tcBorders>
              <w:top w:val="nil"/>
              <w:left w:val="single" w:sz="4" w:space="0" w:color="auto"/>
              <w:bottom w:val="single" w:sz="4" w:space="0" w:color="auto"/>
              <w:right w:val="single" w:sz="4" w:space="0" w:color="auto"/>
            </w:tcBorders>
            <w:vAlign w:val="center"/>
          </w:tcPr>
          <w:p w14:paraId="3201CA12" w14:textId="7E816ABA" w:rsidR="00E57A65" w:rsidRPr="00232EBB" w:rsidRDefault="00BB66FB" w:rsidP="004F330B">
            <w:pPr>
              <w:spacing w:after="0" w:line="240" w:lineRule="auto"/>
              <w:jc w:val="center"/>
              <w:rPr>
                <w:noProof/>
                <w:sz w:val="20"/>
                <w:szCs w:val="20"/>
                <w:lang w:val="es-MX"/>
              </w:rPr>
            </w:pPr>
            <w:r w:rsidRPr="00232EBB">
              <w:rPr>
                <w:noProof/>
                <w:sz w:val="20"/>
                <w:szCs w:val="20"/>
                <w:lang w:val="es-MX"/>
              </w:rPr>
              <w:t>Responsabilidad</w:t>
            </w:r>
          </w:p>
        </w:tc>
        <w:tc>
          <w:tcPr>
            <w:tcW w:w="2105" w:type="dxa"/>
            <w:tcBorders>
              <w:top w:val="nil"/>
              <w:left w:val="nil"/>
              <w:bottom w:val="single" w:sz="4" w:space="0" w:color="auto"/>
              <w:right w:val="single" w:sz="4" w:space="0" w:color="auto"/>
            </w:tcBorders>
            <w:vAlign w:val="center"/>
          </w:tcPr>
          <w:p w14:paraId="09B1DB80" w14:textId="51C69C23" w:rsidR="00E57A65" w:rsidRPr="00232EBB" w:rsidRDefault="00BB66FB" w:rsidP="004F330B">
            <w:pPr>
              <w:spacing w:after="0" w:line="240" w:lineRule="auto"/>
              <w:jc w:val="center"/>
              <w:rPr>
                <w:noProof/>
                <w:sz w:val="20"/>
                <w:szCs w:val="20"/>
                <w:lang w:val="es-MX"/>
              </w:rPr>
            </w:pPr>
            <w:r w:rsidRPr="00232EBB">
              <w:rPr>
                <w:noProof/>
                <w:sz w:val="20"/>
                <w:szCs w:val="20"/>
                <w:lang w:val="es-MX"/>
              </w:rPr>
              <w:t>Magistrado Argenis García del Rosario</w:t>
            </w:r>
          </w:p>
        </w:tc>
        <w:tc>
          <w:tcPr>
            <w:tcW w:w="3049" w:type="dxa"/>
            <w:tcBorders>
              <w:top w:val="nil"/>
              <w:left w:val="nil"/>
              <w:bottom w:val="single" w:sz="4" w:space="0" w:color="auto"/>
              <w:right w:val="single" w:sz="4" w:space="0" w:color="auto"/>
            </w:tcBorders>
            <w:vAlign w:val="center"/>
          </w:tcPr>
          <w:p w14:paraId="073E7181" w14:textId="6DE2A048" w:rsidR="00E57A65" w:rsidRPr="00232EBB" w:rsidRDefault="00BB66FB" w:rsidP="004F330B">
            <w:pPr>
              <w:spacing w:after="0" w:line="240" w:lineRule="auto"/>
              <w:jc w:val="center"/>
              <w:rPr>
                <w:noProof/>
                <w:sz w:val="20"/>
                <w:szCs w:val="20"/>
                <w:lang w:val="es-MX"/>
              </w:rPr>
            </w:pPr>
            <w:r w:rsidRPr="00232EBB">
              <w:rPr>
                <w:noProof/>
                <w:sz w:val="20"/>
                <w:szCs w:val="20"/>
                <w:lang w:val="es-MX"/>
              </w:rPr>
              <w:t>37</w:t>
            </w:r>
          </w:p>
        </w:tc>
      </w:tr>
      <w:tr w:rsidR="00E57A65" w:rsidRPr="00232EBB" w14:paraId="622099E6" w14:textId="77777777" w:rsidTr="004F330B">
        <w:trPr>
          <w:trHeight w:val="440"/>
          <w:jc w:val="center"/>
        </w:trPr>
        <w:tc>
          <w:tcPr>
            <w:tcW w:w="2324" w:type="dxa"/>
            <w:tcBorders>
              <w:top w:val="nil"/>
              <w:left w:val="single" w:sz="4" w:space="0" w:color="auto"/>
              <w:bottom w:val="single" w:sz="4" w:space="0" w:color="auto"/>
              <w:right w:val="single" w:sz="4" w:space="0" w:color="auto"/>
            </w:tcBorders>
            <w:vAlign w:val="center"/>
          </w:tcPr>
          <w:p w14:paraId="2CD4AFF2" w14:textId="77777777" w:rsidR="00E57A65" w:rsidRPr="00232EBB" w:rsidRDefault="00E57A65" w:rsidP="004F330B">
            <w:pPr>
              <w:spacing w:after="0" w:line="240" w:lineRule="auto"/>
              <w:jc w:val="center"/>
              <w:rPr>
                <w:b/>
                <w:bCs/>
                <w:noProof/>
                <w:sz w:val="20"/>
                <w:szCs w:val="20"/>
                <w:lang w:val="es-MX"/>
              </w:rPr>
            </w:pPr>
            <w:r w:rsidRPr="00232EBB">
              <w:rPr>
                <w:b/>
                <w:bCs/>
                <w:noProof/>
                <w:sz w:val="20"/>
                <w:szCs w:val="20"/>
                <w:lang w:val="es-MX"/>
              </w:rPr>
              <w:t>TOTAL</w:t>
            </w:r>
          </w:p>
        </w:tc>
        <w:tc>
          <w:tcPr>
            <w:tcW w:w="2105" w:type="dxa"/>
            <w:tcBorders>
              <w:top w:val="nil"/>
              <w:left w:val="nil"/>
              <w:bottom w:val="single" w:sz="4" w:space="0" w:color="auto"/>
              <w:right w:val="single" w:sz="4" w:space="0" w:color="auto"/>
            </w:tcBorders>
            <w:vAlign w:val="center"/>
          </w:tcPr>
          <w:p w14:paraId="766EB46C" w14:textId="75933F40" w:rsidR="00E57A65" w:rsidRPr="00232EBB" w:rsidRDefault="004F330B" w:rsidP="004F330B">
            <w:pPr>
              <w:spacing w:after="0" w:line="240" w:lineRule="auto"/>
              <w:jc w:val="center"/>
              <w:rPr>
                <w:b/>
                <w:bCs/>
                <w:noProof/>
                <w:sz w:val="20"/>
                <w:szCs w:val="20"/>
                <w:lang w:val="es-MX"/>
              </w:rPr>
            </w:pPr>
            <w:r w:rsidRPr="00232EBB">
              <w:rPr>
                <w:b/>
                <w:bCs/>
                <w:noProof/>
                <w:sz w:val="20"/>
                <w:szCs w:val="20"/>
                <w:lang w:val="es-MX"/>
              </w:rPr>
              <w:t>-</w:t>
            </w:r>
          </w:p>
        </w:tc>
        <w:tc>
          <w:tcPr>
            <w:tcW w:w="3049" w:type="dxa"/>
            <w:tcBorders>
              <w:top w:val="nil"/>
              <w:left w:val="nil"/>
              <w:bottom w:val="single" w:sz="4" w:space="0" w:color="auto"/>
              <w:right w:val="single" w:sz="4" w:space="0" w:color="auto"/>
            </w:tcBorders>
            <w:vAlign w:val="center"/>
          </w:tcPr>
          <w:p w14:paraId="100C8774" w14:textId="1FB0F9C4" w:rsidR="00E57A65" w:rsidRPr="00232EBB" w:rsidRDefault="00BB66FB" w:rsidP="004F330B">
            <w:pPr>
              <w:spacing w:after="0" w:line="240" w:lineRule="auto"/>
              <w:jc w:val="center"/>
              <w:rPr>
                <w:b/>
                <w:bCs/>
                <w:noProof/>
                <w:sz w:val="20"/>
                <w:szCs w:val="20"/>
                <w:lang w:val="es-MX"/>
              </w:rPr>
            </w:pPr>
            <w:r w:rsidRPr="00232EBB">
              <w:rPr>
                <w:b/>
                <w:bCs/>
                <w:noProof/>
                <w:sz w:val="20"/>
                <w:szCs w:val="20"/>
                <w:lang w:val="es-MX"/>
              </w:rPr>
              <w:t>158</w:t>
            </w:r>
          </w:p>
        </w:tc>
      </w:tr>
    </w:tbl>
    <w:p w14:paraId="136EAF2F" w14:textId="2A1BB863" w:rsidR="00BB66FB" w:rsidRPr="00232EBB" w:rsidRDefault="00DC4778" w:rsidP="00DC4778">
      <w:pPr>
        <w:pStyle w:val="Heading1"/>
        <w:spacing w:after="240" w:line="259" w:lineRule="auto"/>
        <w:ind w:left="270" w:hanging="375"/>
        <w:jc w:val="left"/>
        <w:rPr>
          <w:rFonts w:cs="Times New Roman"/>
          <w:spacing w:val="0"/>
          <w:sz w:val="24"/>
          <w:szCs w:val="24"/>
          <w:lang w:val="es-DO"/>
        </w:rPr>
      </w:pPr>
      <w:bookmarkStart w:id="298" w:name="_Toc216952275"/>
      <w:r w:rsidRPr="00232EBB">
        <w:rPr>
          <w:rFonts w:cs="Times New Roman"/>
          <w:bCs/>
          <w:sz w:val="18"/>
          <w:lang w:val="es-ES"/>
        </w:rPr>
        <w:t xml:space="preserve">Tabla </w:t>
      </w:r>
      <w:r w:rsidR="000400ED" w:rsidRPr="00232EBB">
        <w:rPr>
          <w:rFonts w:cs="Times New Roman"/>
          <w:bCs/>
          <w:sz w:val="18"/>
          <w:lang w:val="es-ES"/>
        </w:rPr>
        <w:t>2</w:t>
      </w:r>
      <w:r w:rsidR="00C547FF" w:rsidRPr="00232EBB">
        <w:rPr>
          <w:rFonts w:cs="Times New Roman"/>
          <w:bCs/>
          <w:sz w:val="18"/>
          <w:lang w:val="es-ES"/>
        </w:rPr>
        <w:t>7</w:t>
      </w:r>
      <w:r w:rsidRPr="00232EBB">
        <w:rPr>
          <w:rFonts w:cs="Times New Roman"/>
          <w:bCs/>
          <w:sz w:val="18"/>
          <w:lang w:val="es-ES"/>
        </w:rPr>
        <w:t xml:space="preserve">: </w:t>
      </w:r>
      <w:r w:rsidRPr="00232EBB">
        <w:rPr>
          <w:rFonts w:cs="Times New Roman"/>
          <w:b w:val="0"/>
          <w:sz w:val="18"/>
          <w:lang w:val="es-ES"/>
        </w:rPr>
        <w:t>Capacitaciones impartidas</w:t>
      </w:r>
      <w:bookmarkEnd w:id="298"/>
    </w:p>
    <w:p w14:paraId="1E1C076C" w14:textId="77777777" w:rsidR="004C1458" w:rsidRPr="00232EBB" w:rsidRDefault="004C1458" w:rsidP="004C1458">
      <w:pPr>
        <w:rPr>
          <w:lang w:val="es-DO"/>
        </w:rPr>
      </w:pPr>
    </w:p>
    <w:p w14:paraId="6BE8F27A" w14:textId="77777777" w:rsidR="004C1458" w:rsidRPr="00232EBB" w:rsidRDefault="004C1458" w:rsidP="004C1458">
      <w:pPr>
        <w:rPr>
          <w:lang w:val="es-DO"/>
        </w:rPr>
      </w:pPr>
    </w:p>
    <w:p w14:paraId="588B00CB" w14:textId="77777777" w:rsidR="004C1458" w:rsidRPr="00232EBB" w:rsidRDefault="004C1458" w:rsidP="004C1458">
      <w:pPr>
        <w:rPr>
          <w:lang w:val="es-DO"/>
        </w:rPr>
      </w:pPr>
    </w:p>
    <w:p w14:paraId="3158B8BA" w14:textId="13123E81" w:rsidR="00513752" w:rsidRPr="00232EBB" w:rsidRDefault="00513752">
      <w:pPr>
        <w:rPr>
          <w:lang w:val="es-DO"/>
        </w:rPr>
      </w:pPr>
      <w:r w:rsidRPr="00232EBB">
        <w:rPr>
          <w:lang w:val="es-DO"/>
        </w:rPr>
        <w:br w:type="page"/>
      </w:r>
    </w:p>
    <w:p w14:paraId="30FF63ED" w14:textId="32CD9234" w:rsidR="00DD7615" w:rsidRPr="00232EBB" w:rsidRDefault="000F57D8" w:rsidP="008B1084">
      <w:pPr>
        <w:pStyle w:val="Heading1"/>
        <w:spacing w:after="240" w:line="259" w:lineRule="auto"/>
        <w:ind w:left="270" w:hanging="375"/>
        <w:rPr>
          <w:rFonts w:cs="Times New Roman"/>
          <w:spacing w:val="0"/>
          <w:lang w:val="es-DO"/>
        </w:rPr>
      </w:pPr>
      <w:bookmarkStart w:id="299" w:name="_Toc216952276"/>
      <w:r w:rsidRPr="00232EBB">
        <w:rPr>
          <w:rFonts w:cs="Times New Roman"/>
          <w:spacing w:val="0"/>
          <w:lang w:val="es-DO"/>
        </w:rPr>
        <w:lastRenderedPageBreak/>
        <w:t xml:space="preserve">VI. </w:t>
      </w:r>
      <w:r w:rsidR="00DD7615" w:rsidRPr="00232EBB">
        <w:rPr>
          <w:rFonts w:cs="Times New Roman"/>
          <w:spacing w:val="0"/>
          <w:lang w:val="es-DO"/>
        </w:rPr>
        <w:t>PROYECCIONES AL PRÓXIMO AÑO</w:t>
      </w:r>
      <w:bookmarkEnd w:id="299"/>
    </w:p>
    <w:p w14:paraId="50A93A1D" w14:textId="77777777" w:rsidR="00DD7615" w:rsidRPr="00232EBB" w:rsidRDefault="00DD7615" w:rsidP="00DD7615">
      <w:pPr>
        <w:jc w:val="both"/>
        <w:rPr>
          <w:rFonts w:eastAsia="Calibri"/>
          <w:color w:val="4C4747"/>
          <w:sz w:val="18"/>
          <w:lang w:val="es-DO"/>
        </w:rPr>
      </w:pPr>
      <w:r w:rsidRPr="00232EBB">
        <w:rPr>
          <w:rFonts w:eastAsia="Calibri"/>
          <w:noProof/>
          <w:color w:val="4C4747"/>
          <w:sz w:val="18"/>
        </w:rPr>
        <mc:AlternateContent>
          <mc:Choice Requires="wps">
            <w:drawing>
              <wp:anchor distT="0" distB="0" distL="114300" distR="114300" simplePos="0" relativeHeight="251658257" behindDoc="0" locked="0" layoutInCell="1" allowOverlap="1" wp14:anchorId="456CF742" wp14:editId="7F07B1C2">
                <wp:simplePos x="0" y="0"/>
                <wp:positionH relativeFrom="margin">
                  <wp:align>center</wp:align>
                </wp:positionH>
                <wp:positionV relativeFrom="paragraph">
                  <wp:posOffset>19863</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475EE50C">
              <v:line id="Straight Connector 11" style="position:absolute;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1.55pt" to="36.5pt,1.55pt" w14:anchorId="16BDE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GzeKr2AAAAAMBAAAP&#10;AAAAZHJzL2Rvd25yZXYueG1sTI/LTsMwEEX3SPyDNUjsqFOKWghxKoSExAYopYsup/HkAfE4it0k&#10;/D1DN7A8uqN7z2TrybVqoD40ng3MZwko4sLbhisDu4+nq1tQISJbbD2TgW8KsM7PzzJMrR/5nYZt&#10;rJSUcEjRQB1jl2odipochpnviCUrfe8wCvaVtj2OUu5afZ0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xs3iq9gAAAADAQAADwAAAAAAAAAAAAAA&#10;AAAgBAAAZHJzL2Rvd25yZXYueG1sUEsFBgAAAAAEAAQA8wAAACUFAAAAAA==&#10;">
                <v:stroke joinstyle="miter"/>
                <w10:wrap anchorx="margin"/>
              </v:line>
            </w:pict>
          </mc:Fallback>
        </mc:AlternateContent>
      </w:r>
    </w:p>
    <w:p w14:paraId="07273B29" w14:textId="68E7480A" w:rsidR="00DD7615" w:rsidRPr="00232EBB" w:rsidRDefault="00DD7615" w:rsidP="003303DE">
      <w:pPr>
        <w:pStyle w:val="Heading1"/>
        <w:spacing w:after="240" w:line="259" w:lineRule="auto"/>
        <w:ind w:left="270" w:hanging="375"/>
        <w:rPr>
          <w:rFonts w:cs="Times New Roman"/>
          <w:b w:val="0"/>
          <w:bCs/>
          <w:spacing w:val="0"/>
          <w:sz w:val="24"/>
          <w:szCs w:val="28"/>
          <w:lang w:val="es-DO"/>
        </w:rPr>
      </w:pPr>
      <w:bookmarkStart w:id="300" w:name="_Toc184981220"/>
      <w:bookmarkStart w:id="301" w:name="_Toc216952277"/>
      <w:r w:rsidRPr="00232EBB">
        <w:rPr>
          <w:rFonts w:cs="Times New Roman"/>
          <w:b w:val="0"/>
          <w:bCs/>
          <w:spacing w:val="0"/>
          <w:sz w:val="24"/>
          <w:szCs w:val="28"/>
          <w:lang w:val="es-DO"/>
        </w:rPr>
        <w:t xml:space="preserve">Memoria </w:t>
      </w:r>
      <w:r w:rsidR="00F05DF4" w:rsidRPr="00232EBB">
        <w:rPr>
          <w:rFonts w:cs="Times New Roman"/>
          <w:b w:val="0"/>
          <w:bCs/>
          <w:spacing w:val="0"/>
          <w:sz w:val="24"/>
          <w:szCs w:val="28"/>
          <w:lang w:val="es-DO"/>
        </w:rPr>
        <w:t>I</w:t>
      </w:r>
      <w:r w:rsidRPr="00232EBB">
        <w:rPr>
          <w:rFonts w:cs="Times New Roman"/>
          <w:b w:val="0"/>
          <w:bCs/>
          <w:spacing w:val="0"/>
          <w:sz w:val="24"/>
          <w:szCs w:val="28"/>
          <w:lang w:val="es-DO"/>
        </w:rPr>
        <w:t xml:space="preserve">nstitucional </w:t>
      </w:r>
      <w:r w:rsidR="000025D4" w:rsidRPr="00232EBB">
        <w:rPr>
          <w:rFonts w:cs="Times New Roman"/>
          <w:b w:val="0"/>
          <w:bCs/>
          <w:spacing w:val="0"/>
          <w:sz w:val="24"/>
          <w:szCs w:val="28"/>
          <w:lang w:val="es-DO"/>
        </w:rPr>
        <w:t>202</w:t>
      </w:r>
      <w:bookmarkEnd w:id="300"/>
      <w:r w:rsidR="00BB66FB" w:rsidRPr="00232EBB">
        <w:rPr>
          <w:rFonts w:cs="Times New Roman"/>
          <w:b w:val="0"/>
          <w:bCs/>
          <w:spacing w:val="0"/>
          <w:sz w:val="24"/>
          <w:szCs w:val="28"/>
          <w:lang w:val="es-DO"/>
        </w:rPr>
        <w:t>5</w:t>
      </w:r>
      <w:bookmarkEnd w:id="301"/>
    </w:p>
    <w:p w14:paraId="1997FC59" w14:textId="70A5FF09" w:rsidR="00D34AE1" w:rsidRPr="00232EBB" w:rsidRDefault="00D34AE1" w:rsidP="00E47554">
      <w:pPr>
        <w:spacing w:line="360" w:lineRule="auto"/>
        <w:jc w:val="both"/>
        <w:rPr>
          <w:rFonts w:eastAsia="Calibri"/>
          <w:noProof/>
          <w:lang w:val="es-DO"/>
        </w:rPr>
      </w:pPr>
      <w:r w:rsidRPr="00232EBB">
        <w:rPr>
          <w:rFonts w:eastAsia="Calibri"/>
          <w:noProof/>
          <w:lang w:val="es-DO"/>
        </w:rPr>
        <w:t>Proyectamos un total de recaudación para el año 202</w:t>
      </w:r>
      <w:r w:rsidR="00F879C3" w:rsidRPr="00232EBB">
        <w:rPr>
          <w:rFonts w:eastAsia="Calibri"/>
          <w:noProof/>
          <w:lang w:val="es-DO"/>
        </w:rPr>
        <w:t>6</w:t>
      </w:r>
      <w:r w:rsidRPr="00232EBB">
        <w:rPr>
          <w:rFonts w:eastAsia="Calibri"/>
          <w:noProof/>
          <w:lang w:val="es-DO"/>
        </w:rPr>
        <w:t xml:space="preserve"> superior a los $2</w:t>
      </w:r>
      <w:r w:rsidR="00F879C3" w:rsidRPr="00232EBB">
        <w:rPr>
          <w:rFonts w:eastAsia="Calibri"/>
          <w:noProof/>
          <w:lang w:val="es-DO"/>
        </w:rPr>
        <w:t>51</w:t>
      </w:r>
      <w:r w:rsidRPr="00232EBB">
        <w:rPr>
          <w:rFonts w:eastAsia="Calibri"/>
          <w:noProof/>
          <w:lang w:val="es-DO"/>
        </w:rPr>
        <w:t>MM,</w:t>
      </w:r>
      <w:r w:rsidR="0076561C" w:rsidRPr="00232EBB">
        <w:rPr>
          <w:rFonts w:eastAsia="Calibri"/>
          <w:noProof/>
          <w:lang w:val="es-DO"/>
        </w:rPr>
        <w:t xml:space="preserve"> e</w:t>
      </w:r>
      <w:r w:rsidRPr="00232EBB">
        <w:rPr>
          <w:rFonts w:eastAsia="Calibri"/>
          <w:noProof/>
          <w:lang w:val="es-DO"/>
        </w:rPr>
        <w:t>ste cierre anual se espera con la participación de más de 100,000</w:t>
      </w:r>
      <w:r w:rsidR="00924CEF" w:rsidRPr="00232EBB">
        <w:rPr>
          <w:rFonts w:eastAsia="Calibri"/>
          <w:noProof/>
          <w:lang w:val="es-DO"/>
        </w:rPr>
        <w:t xml:space="preserve"> </w:t>
      </w:r>
      <w:r w:rsidRPr="00232EBB">
        <w:rPr>
          <w:rFonts w:eastAsia="Calibri"/>
          <w:noProof/>
          <w:lang w:val="es-DO"/>
        </w:rPr>
        <w:t xml:space="preserve"> empleadores.</w:t>
      </w:r>
    </w:p>
    <w:p w14:paraId="65E59180" w14:textId="327303AB" w:rsidR="001243CC" w:rsidRPr="00232EBB" w:rsidRDefault="001243CC" w:rsidP="00E47554">
      <w:pPr>
        <w:spacing w:line="360" w:lineRule="auto"/>
        <w:jc w:val="both"/>
        <w:rPr>
          <w:rFonts w:eastAsia="Calibri"/>
          <w:noProof/>
          <w:lang w:val="es-DO"/>
        </w:rPr>
      </w:pPr>
      <w:r w:rsidRPr="00232EBB">
        <w:rPr>
          <w:rFonts w:eastAsia="Calibri"/>
          <w:noProof/>
          <w:lang w:val="es-DO"/>
        </w:rPr>
        <w:t>Para el  año 202</w:t>
      </w:r>
      <w:r w:rsidR="00F879C3" w:rsidRPr="00232EBB">
        <w:rPr>
          <w:rFonts w:eastAsia="Calibri"/>
          <w:noProof/>
          <w:lang w:val="es-DO"/>
        </w:rPr>
        <w:t>6</w:t>
      </w:r>
      <w:r w:rsidRPr="00232EBB">
        <w:rPr>
          <w:rFonts w:eastAsia="Calibri"/>
          <w:noProof/>
          <w:lang w:val="es-DO"/>
        </w:rPr>
        <w:t xml:space="preserve">, </w:t>
      </w:r>
      <w:r w:rsidR="00F879C3" w:rsidRPr="00232EBB">
        <w:rPr>
          <w:rFonts w:eastAsia="Calibri"/>
          <w:noProof/>
          <w:lang w:val="es-DO"/>
        </w:rPr>
        <w:t xml:space="preserve">alineados a la política transversal  de Sostenibilidad Ambiental de la Estrategia Nacional de Desarrollo, </w:t>
      </w:r>
      <w:r w:rsidRPr="00232EBB">
        <w:rPr>
          <w:rFonts w:eastAsia="Calibri"/>
          <w:noProof/>
          <w:lang w:val="es-DO"/>
        </w:rPr>
        <w:t>continuaremos con la implementación de las políticas de compras verdes, buscando minimizar nuestro impacto sobre el medioambiente y maximixar el costo/beneficio en todo el ciclo de vida de lo contratado.</w:t>
      </w:r>
    </w:p>
    <w:p w14:paraId="2EB7FAAF" w14:textId="618B1AED" w:rsidR="001243CC" w:rsidRPr="00232EBB" w:rsidRDefault="001243CC" w:rsidP="00E47554">
      <w:pPr>
        <w:spacing w:line="360" w:lineRule="auto"/>
        <w:jc w:val="both"/>
        <w:rPr>
          <w:rFonts w:eastAsia="Calibri"/>
          <w:noProof/>
          <w:lang w:val="es-DO"/>
        </w:rPr>
      </w:pPr>
      <w:r w:rsidRPr="00232EBB">
        <w:rPr>
          <w:rFonts w:eastAsia="Calibri"/>
          <w:noProof/>
          <w:lang w:val="es-DO"/>
        </w:rPr>
        <w:t xml:space="preserve">Alineados con nuestros objetivos de tranformación digital y optimización de procesos, continuaremos </w:t>
      </w:r>
      <w:r w:rsidR="00CC2620" w:rsidRPr="00232EBB">
        <w:rPr>
          <w:rFonts w:eastAsia="Calibri"/>
          <w:noProof/>
          <w:lang w:val="es-DO"/>
        </w:rPr>
        <w:t>con la automatización de los procesos misionales que actualmente se realizan manual.</w:t>
      </w:r>
    </w:p>
    <w:p w14:paraId="46B116DC" w14:textId="11B7A69E" w:rsidR="00CC2620" w:rsidRPr="00232EBB" w:rsidRDefault="00CC2620" w:rsidP="00E47554">
      <w:pPr>
        <w:spacing w:line="360" w:lineRule="auto"/>
        <w:jc w:val="both"/>
        <w:rPr>
          <w:rFonts w:eastAsia="Calibri"/>
          <w:noProof/>
          <w:lang w:val="es-DO"/>
        </w:rPr>
      </w:pPr>
      <w:r w:rsidRPr="00232EBB">
        <w:rPr>
          <w:rFonts w:eastAsia="Calibri"/>
          <w:noProof/>
          <w:lang w:val="es-DO"/>
        </w:rPr>
        <w:t>Para promover una cultura que fomente y promueva la creatividad y la experimentación, estaremos implementando el programa de innovación que busca revitalizar la capacidad de la organización para adaptarse y prosperar en un entorno en constante cambio.</w:t>
      </w:r>
    </w:p>
    <w:p w14:paraId="2AE95A1E" w14:textId="6E144714" w:rsidR="00B778CF" w:rsidRPr="00232EBB" w:rsidRDefault="00B778CF" w:rsidP="00E47554">
      <w:pPr>
        <w:spacing w:line="360" w:lineRule="auto"/>
        <w:jc w:val="both"/>
        <w:rPr>
          <w:rFonts w:eastAsia="Calibri"/>
          <w:noProof/>
          <w:lang w:val="es-DO"/>
        </w:rPr>
      </w:pPr>
      <w:r w:rsidRPr="00232EBB">
        <w:rPr>
          <w:rFonts w:eastAsia="Calibri"/>
          <w:noProof/>
          <w:lang w:val="es-DO"/>
        </w:rPr>
        <w:t xml:space="preserve">Fortalecimiento y entrenamiento especializado </w:t>
      </w:r>
      <w:r w:rsidR="0068026C" w:rsidRPr="00232EBB">
        <w:rPr>
          <w:rFonts w:eastAsia="Calibri"/>
          <w:noProof/>
          <w:lang w:val="es-DO"/>
        </w:rPr>
        <w:t xml:space="preserve">de 17000 h/h </w:t>
      </w:r>
      <w:r w:rsidRPr="00232EBB">
        <w:rPr>
          <w:rFonts w:eastAsia="Calibri"/>
          <w:noProof/>
          <w:lang w:val="es-DO"/>
        </w:rPr>
        <w:t>en Seguridad Social para entidades relacionadas para mejorar las capacidades y conocimientos de las entidades vinculadas a la Seguridad Social mediante programas de formación especializado</w:t>
      </w:r>
      <w:r w:rsidR="0068026C" w:rsidRPr="00232EBB">
        <w:rPr>
          <w:rFonts w:eastAsia="Calibri"/>
          <w:noProof/>
          <w:lang w:val="es-DO"/>
        </w:rPr>
        <w:t>s</w:t>
      </w:r>
      <w:r w:rsidRPr="00232EBB">
        <w:rPr>
          <w:rFonts w:eastAsia="Calibri"/>
          <w:noProof/>
          <w:lang w:val="es-DO"/>
        </w:rPr>
        <w:t>.</w:t>
      </w:r>
    </w:p>
    <w:p w14:paraId="4FE5AB1D" w14:textId="119B2BFC" w:rsidR="004D5382" w:rsidRPr="00232EBB" w:rsidRDefault="00B778CF" w:rsidP="00E47554">
      <w:pPr>
        <w:spacing w:line="360" w:lineRule="auto"/>
        <w:jc w:val="both"/>
        <w:rPr>
          <w:rFonts w:eastAsia="Calibri"/>
          <w:noProof/>
          <w:lang w:val="es-DO"/>
        </w:rPr>
      </w:pPr>
      <w:r w:rsidRPr="00232EBB">
        <w:rPr>
          <w:rFonts w:eastAsia="Calibri"/>
          <w:noProof/>
          <w:lang w:val="es-DO"/>
        </w:rPr>
        <w:t>Sistema de monitoreo de base de datos, análisis predictivo y de riesgo basado en inteligencia artificial, es un sistema avanzado de monitoreo y análisis de riesgos en la protección de la información sensible para la detección de patrones de comportamientos inusuales en el acceso y uso de datos, permitiendo identificar de manera temprana los posibles riesgos de fuga de información.</w:t>
      </w:r>
    </w:p>
    <w:p w14:paraId="31051B30" w14:textId="4A863F36" w:rsidR="00924F77" w:rsidRPr="00232EBB" w:rsidRDefault="00924F77" w:rsidP="001243CC">
      <w:pPr>
        <w:spacing w:after="0" w:line="360" w:lineRule="auto"/>
        <w:jc w:val="both"/>
        <w:rPr>
          <w:rFonts w:eastAsia="Calibri"/>
          <w:noProof/>
          <w:lang w:val="es-DO"/>
        </w:rPr>
        <w:sectPr w:rsidR="00924F77" w:rsidRPr="00232EBB" w:rsidSect="007D6A4B">
          <w:footerReference w:type="default" r:id="rId59"/>
          <w:pgSz w:w="11906" w:h="16838"/>
          <w:pgMar w:top="1440" w:right="2006" w:bottom="1440" w:left="2160" w:header="720" w:footer="720" w:gutter="0"/>
          <w:cols w:space="708"/>
          <w:docGrid w:linePitch="360"/>
        </w:sectPr>
      </w:pPr>
    </w:p>
    <w:p w14:paraId="6B1B56FE" w14:textId="6D2CC7EE" w:rsidR="00B47C98" w:rsidRPr="00232EBB" w:rsidRDefault="00B47C98" w:rsidP="000F57D8">
      <w:pPr>
        <w:pStyle w:val="Heading1"/>
        <w:spacing w:after="240" w:line="259" w:lineRule="auto"/>
        <w:ind w:left="360"/>
        <w:rPr>
          <w:rFonts w:cs="Times New Roman"/>
          <w:spacing w:val="0"/>
          <w:lang w:val="es-DO"/>
        </w:rPr>
      </w:pPr>
      <w:bookmarkStart w:id="302" w:name="_Toc154736755"/>
      <w:bookmarkStart w:id="303" w:name="_Toc216952278"/>
      <w:r w:rsidRPr="00232EBB">
        <w:rPr>
          <w:rFonts w:cs="Times New Roman"/>
          <w:noProof/>
          <w:spacing w:val="0"/>
          <w:lang w:val="es-DO"/>
        </w:rPr>
        <w:lastRenderedPageBreak/>
        <mc:AlternateContent>
          <mc:Choice Requires="wps">
            <w:drawing>
              <wp:anchor distT="4294967295" distB="4294967295" distL="114300" distR="114300" simplePos="0" relativeHeight="251666468" behindDoc="0" locked="0" layoutInCell="1" allowOverlap="1" wp14:anchorId="0F57597C" wp14:editId="55BBA139">
                <wp:simplePos x="0" y="0"/>
                <wp:positionH relativeFrom="margin">
                  <wp:posOffset>3524413</wp:posOffset>
                </wp:positionH>
                <wp:positionV relativeFrom="paragraph">
                  <wp:posOffset>431165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1E1E2" id="Straight Connector 26" o:spid="_x0000_s1026" style="position:absolute;z-index:2516664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77.5pt,33.95pt" to="314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" strokecolor="#ee2a24" strokeweight="2.25pt">
                <v:stroke joinstyle="miter"/>
                <w10:wrap anchorx="margin"/>
              </v:line>
            </w:pict>
          </mc:Fallback>
        </mc:AlternateContent>
      </w:r>
      <w:r w:rsidR="009A7266" w:rsidRPr="00232EBB">
        <w:rPr>
          <w:rFonts w:cs="Times New Roman"/>
          <w:spacing w:val="0"/>
          <w:lang w:val="es-DO"/>
        </w:rPr>
        <w:t xml:space="preserve">VII. </w:t>
      </w:r>
      <w:r w:rsidRPr="00232EBB">
        <w:rPr>
          <w:rFonts w:cs="Times New Roman"/>
          <w:spacing w:val="0"/>
          <w:lang w:val="es-DO"/>
        </w:rPr>
        <w:t>ANEXOS</w:t>
      </w:r>
      <w:bookmarkEnd w:id="302"/>
      <w:bookmarkEnd w:id="303"/>
    </w:p>
    <w:p w14:paraId="12E54723" w14:textId="1923F160" w:rsidR="00B47C98" w:rsidRPr="00232EBB" w:rsidRDefault="00B47C98" w:rsidP="00B47C98">
      <w:pPr>
        <w:spacing w:before="240" w:after="240"/>
        <w:jc w:val="center"/>
        <w:rPr>
          <w:sz w:val="22"/>
          <w:szCs w:val="36"/>
          <w:lang w:val="es-DO"/>
        </w:rPr>
      </w:pPr>
      <w:r w:rsidRPr="00232EBB">
        <w:rPr>
          <w:sz w:val="22"/>
          <w:szCs w:val="36"/>
          <w:lang w:val="es-DO"/>
        </w:rPr>
        <w:t>Memoria Institucional 202</w:t>
      </w:r>
      <w:r w:rsidR="00C16573" w:rsidRPr="00232EBB">
        <w:rPr>
          <w:sz w:val="22"/>
          <w:szCs w:val="36"/>
          <w:lang w:val="es-DO"/>
        </w:rPr>
        <w:t>5</w:t>
      </w:r>
    </w:p>
    <w:p w14:paraId="00E6BCBF" w14:textId="1DEA0926" w:rsidR="00B47C98" w:rsidRPr="00232EBB" w:rsidRDefault="009A7266" w:rsidP="00E47554">
      <w:pPr>
        <w:keepNext/>
        <w:keepLines/>
        <w:spacing w:before="240" w:after="240"/>
        <w:ind w:left="-2160"/>
        <w:jc w:val="center"/>
        <w:outlineLvl w:val="0"/>
        <w:rPr>
          <w:rFonts w:eastAsiaTheme="majorEastAsia"/>
          <w:b/>
          <w:color w:val="767171" w:themeColor="background2" w:themeShade="80"/>
          <w:spacing w:val="0"/>
          <w:sz w:val="28"/>
          <w:szCs w:val="32"/>
          <w:lang w:val="es-DO"/>
        </w:rPr>
      </w:pPr>
      <w:bookmarkStart w:id="304" w:name="_Toc154736756"/>
      <w:bookmarkStart w:id="305" w:name="_Toc216952279"/>
      <w:r w:rsidRPr="00232EBB">
        <w:rPr>
          <w:rFonts w:eastAsiaTheme="majorEastAsia"/>
          <w:b/>
          <w:color w:val="767171" w:themeColor="background2" w:themeShade="80"/>
          <w:spacing w:val="0"/>
          <w:sz w:val="28"/>
          <w:szCs w:val="32"/>
          <w:lang w:val="es-DO"/>
        </w:rPr>
        <w:t>7.1 Anexo</w:t>
      </w:r>
      <w:r w:rsidR="00B47C98" w:rsidRPr="00232EBB">
        <w:rPr>
          <w:rFonts w:eastAsiaTheme="majorEastAsia"/>
          <w:b/>
          <w:color w:val="767171" w:themeColor="background2" w:themeShade="80"/>
          <w:spacing w:val="0"/>
          <w:sz w:val="28"/>
          <w:szCs w:val="32"/>
          <w:lang w:val="es-DO"/>
        </w:rPr>
        <w:t xml:space="preserve"> 1: Matriz Logros Relevantes – Datos Cuantitativos (RD$)</w:t>
      </w:r>
      <w:bookmarkEnd w:id="304"/>
      <w:bookmarkEnd w:id="305"/>
    </w:p>
    <w:tbl>
      <w:tblPr>
        <w:tblW w:w="11160" w:type="dxa"/>
        <w:tblInd w:w="-190" w:type="dxa"/>
        <w:tblLayout w:type="fixed"/>
        <w:tblCellMar>
          <w:top w:w="15" w:type="dxa"/>
        </w:tblCellMar>
        <w:tblLook w:val="04A0" w:firstRow="1" w:lastRow="0" w:firstColumn="1" w:lastColumn="0" w:noHBand="0" w:noVBand="1"/>
      </w:tblPr>
      <w:tblGrid>
        <w:gridCol w:w="2001"/>
        <w:gridCol w:w="1059"/>
        <w:gridCol w:w="1260"/>
        <w:gridCol w:w="1260"/>
        <w:gridCol w:w="1170"/>
        <w:gridCol w:w="1440"/>
        <w:gridCol w:w="1350"/>
        <w:gridCol w:w="1620"/>
      </w:tblGrid>
      <w:tr w:rsidR="006E49B1" w:rsidRPr="00232EBB" w14:paraId="06AD7729" w14:textId="268EFD24" w:rsidTr="006E49B1">
        <w:trPr>
          <w:trHeight w:val="568"/>
        </w:trPr>
        <w:tc>
          <w:tcPr>
            <w:tcW w:w="306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33E683F" w14:textId="77777777" w:rsidR="006E49B1" w:rsidRPr="00232EBB" w:rsidRDefault="006E49B1"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PRODUCTO / SERVICIO</w:t>
            </w:r>
          </w:p>
        </w:tc>
        <w:tc>
          <w:tcPr>
            <w:tcW w:w="1260" w:type="dxa"/>
            <w:tcBorders>
              <w:top w:val="single" w:sz="8" w:space="0" w:color="auto"/>
              <w:left w:val="nil"/>
              <w:bottom w:val="single" w:sz="8" w:space="0" w:color="auto"/>
              <w:right w:val="single" w:sz="8" w:space="0" w:color="auto"/>
            </w:tcBorders>
            <w:shd w:val="clear" w:color="000000" w:fill="002060"/>
            <w:noWrap/>
            <w:vAlign w:val="center"/>
            <w:hideMark/>
          </w:tcPr>
          <w:p w14:paraId="6C321FC3" w14:textId="77777777" w:rsidR="006E49B1" w:rsidRPr="00232EBB" w:rsidRDefault="006E49B1"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ENERO</w:t>
            </w:r>
          </w:p>
        </w:tc>
        <w:tc>
          <w:tcPr>
            <w:tcW w:w="1260" w:type="dxa"/>
            <w:tcBorders>
              <w:top w:val="single" w:sz="8" w:space="0" w:color="auto"/>
              <w:left w:val="nil"/>
              <w:bottom w:val="single" w:sz="8" w:space="0" w:color="auto"/>
              <w:right w:val="single" w:sz="8" w:space="0" w:color="auto"/>
            </w:tcBorders>
            <w:shd w:val="clear" w:color="000000" w:fill="002060"/>
            <w:noWrap/>
            <w:vAlign w:val="center"/>
            <w:hideMark/>
          </w:tcPr>
          <w:p w14:paraId="59F964BD" w14:textId="77777777" w:rsidR="006E49B1" w:rsidRPr="00232EBB" w:rsidRDefault="006E49B1"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FEBRERO</w:t>
            </w:r>
          </w:p>
        </w:tc>
        <w:tc>
          <w:tcPr>
            <w:tcW w:w="1170" w:type="dxa"/>
            <w:tcBorders>
              <w:top w:val="single" w:sz="8" w:space="0" w:color="auto"/>
              <w:left w:val="nil"/>
              <w:bottom w:val="single" w:sz="8" w:space="0" w:color="auto"/>
              <w:right w:val="single" w:sz="8" w:space="0" w:color="auto"/>
            </w:tcBorders>
            <w:shd w:val="clear" w:color="000000" w:fill="002060"/>
            <w:noWrap/>
            <w:vAlign w:val="center"/>
            <w:hideMark/>
          </w:tcPr>
          <w:p w14:paraId="4F9A8BE3" w14:textId="77777777" w:rsidR="006E49B1" w:rsidRPr="00232EBB" w:rsidRDefault="006E49B1"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MARZO</w:t>
            </w:r>
          </w:p>
        </w:tc>
        <w:tc>
          <w:tcPr>
            <w:tcW w:w="1440" w:type="dxa"/>
            <w:tcBorders>
              <w:top w:val="single" w:sz="8" w:space="0" w:color="auto"/>
              <w:left w:val="nil"/>
              <w:bottom w:val="single" w:sz="8" w:space="0" w:color="auto"/>
              <w:right w:val="single" w:sz="8" w:space="0" w:color="auto"/>
            </w:tcBorders>
            <w:shd w:val="clear" w:color="000000" w:fill="002060"/>
            <w:noWrap/>
            <w:vAlign w:val="center"/>
            <w:hideMark/>
          </w:tcPr>
          <w:p w14:paraId="76F56C83" w14:textId="77777777" w:rsidR="006E49B1" w:rsidRPr="00232EBB" w:rsidRDefault="006E49B1"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ABRIL</w:t>
            </w:r>
          </w:p>
        </w:tc>
        <w:tc>
          <w:tcPr>
            <w:tcW w:w="1350" w:type="dxa"/>
            <w:tcBorders>
              <w:top w:val="single" w:sz="8" w:space="0" w:color="auto"/>
              <w:left w:val="nil"/>
              <w:bottom w:val="single" w:sz="8" w:space="0" w:color="auto"/>
              <w:right w:val="single" w:sz="8" w:space="0" w:color="auto"/>
            </w:tcBorders>
            <w:shd w:val="clear" w:color="000000" w:fill="002060"/>
            <w:noWrap/>
            <w:vAlign w:val="center"/>
            <w:hideMark/>
          </w:tcPr>
          <w:p w14:paraId="4050D0C1" w14:textId="77777777" w:rsidR="006E49B1" w:rsidRPr="00232EBB" w:rsidRDefault="006E49B1"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MAYO</w:t>
            </w:r>
          </w:p>
        </w:tc>
        <w:tc>
          <w:tcPr>
            <w:tcW w:w="1620" w:type="dxa"/>
            <w:tcBorders>
              <w:top w:val="single" w:sz="8" w:space="0" w:color="auto"/>
              <w:left w:val="nil"/>
              <w:bottom w:val="single" w:sz="8" w:space="0" w:color="auto"/>
              <w:right w:val="single" w:sz="8" w:space="0" w:color="auto"/>
            </w:tcBorders>
            <w:shd w:val="clear" w:color="000000" w:fill="002060"/>
            <w:noWrap/>
            <w:vAlign w:val="center"/>
            <w:hideMark/>
          </w:tcPr>
          <w:p w14:paraId="77655CFE" w14:textId="77777777" w:rsidR="006E49B1" w:rsidRPr="00232EBB" w:rsidRDefault="006E49B1"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JUNIO</w:t>
            </w:r>
          </w:p>
        </w:tc>
      </w:tr>
      <w:tr w:rsidR="006E49B1" w:rsidRPr="00232EBB" w14:paraId="73F13B97" w14:textId="3B4F6AE1" w:rsidTr="006E49B1">
        <w:trPr>
          <w:trHeight w:val="568"/>
        </w:trPr>
        <w:tc>
          <w:tcPr>
            <w:tcW w:w="20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C10F2D" w14:textId="77777777" w:rsidR="006E49B1" w:rsidRPr="00232EBB" w:rsidRDefault="006E49B1" w:rsidP="00E2462C">
            <w:pPr>
              <w:spacing w:after="0" w:line="240" w:lineRule="auto"/>
              <w:jc w:val="both"/>
              <w:rPr>
                <w:rFonts w:eastAsia="Times New Roman"/>
                <w:b/>
                <w:bCs/>
                <w:spacing w:val="0"/>
                <w:sz w:val="18"/>
                <w:szCs w:val="18"/>
                <w:lang w:val="es-ES"/>
              </w:rPr>
            </w:pPr>
            <w:r w:rsidRPr="00232EBB">
              <w:rPr>
                <w:rFonts w:eastAsia="Calibri"/>
                <w:b/>
                <w:bCs/>
                <w:spacing w:val="0"/>
                <w:sz w:val="18"/>
                <w:szCs w:val="18"/>
                <w:lang w:val="es-DO"/>
              </w:rPr>
              <w:t>Producto 7333:</w:t>
            </w:r>
            <w:r w:rsidRPr="00232EBB">
              <w:rPr>
                <w:rFonts w:eastAsia="Calibri"/>
                <w:spacing w:val="0"/>
                <w:sz w:val="18"/>
                <w:szCs w:val="18"/>
                <w:lang w:val="es-DO"/>
              </w:rPr>
              <w:t xml:space="preserve"> Fiscalización de Registro del Sistema Único de Información y Recaudo</w:t>
            </w:r>
          </w:p>
        </w:tc>
        <w:tc>
          <w:tcPr>
            <w:tcW w:w="1059" w:type="dxa"/>
            <w:tcBorders>
              <w:top w:val="nil"/>
              <w:left w:val="nil"/>
              <w:bottom w:val="single" w:sz="8" w:space="0" w:color="auto"/>
              <w:right w:val="single" w:sz="8" w:space="0" w:color="auto"/>
            </w:tcBorders>
            <w:shd w:val="clear" w:color="000000" w:fill="FFFFFF"/>
            <w:vAlign w:val="center"/>
            <w:hideMark/>
          </w:tcPr>
          <w:p w14:paraId="546FFC6D" w14:textId="77777777" w:rsidR="006E49B1" w:rsidRPr="00232EBB" w:rsidRDefault="006E49B1" w:rsidP="00E2462C">
            <w:pPr>
              <w:spacing w:after="0" w:line="240" w:lineRule="auto"/>
              <w:jc w:val="center"/>
              <w:rPr>
                <w:rFonts w:eastAsia="Times New Roman"/>
                <w:spacing w:val="0"/>
                <w:sz w:val="18"/>
                <w:szCs w:val="18"/>
              </w:rPr>
            </w:pPr>
            <w:proofErr w:type="spellStart"/>
            <w:r w:rsidRPr="00232EBB">
              <w:rPr>
                <w:rFonts w:eastAsia="Calibri"/>
                <w:spacing w:val="0"/>
                <w:sz w:val="18"/>
                <w:szCs w:val="18"/>
              </w:rPr>
              <w:t>Logro</w:t>
            </w:r>
            <w:proofErr w:type="spellEnd"/>
          </w:p>
        </w:tc>
        <w:tc>
          <w:tcPr>
            <w:tcW w:w="369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6733BB96" w14:textId="7C7D91F2"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392</w:t>
            </w:r>
          </w:p>
        </w:tc>
        <w:tc>
          <w:tcPr>
            <w:tcW w:w="441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6B0491A" w14:textId="6A735A6B"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320</w:t>
            </w:r>
          </w:p>
        </w:tc>
      </w:tr>
      <w:tr w:rsidR="006E49B1" w:rsidRPr="00232EBB" w14:paraId="48E776C3" w14:textId="2A83C538" w:rsidTr="006E49B1">
        <w:trPr>
          <w:trHeight w:val="731"/>
        </w:trPr>
        <w:tc>
          <w:tcPr>
            <w:tcW w:w="2001" w:type="dxa"/>
            <w:vMerge/>
            <w:tcBorders>
              <w:top w:val="nil"/>
              <w:left w:val="single" w:sz="8" w:space="0" w:color="auto"/>
              <w:bottom w:val="single" w:sz="8" w:space="0" w:color="000000"/>
              <w:right w:val="single" w:sz="8" w:space="0" w:color="auto"/>
            </w:tcBorders>
            <w:vAlign w:val="center"/>
            <w:hideMark/>
          </w:tcPr>
          <w:p w14:paraId="08880532" w14:textId="77777777" w:rsidR="006E49B1" w:rsidRPr="00232EBB" w:rsidRDefault="006E49B1" w:rsidP="00E2462C">
            <w:pPr>
              <w:spacing w:after="0" w:line="240" w:lineRule="auto"/>
              <w:rPr>
                <w:rFonts w:eastAsia="Times New Roman"/>
                <w:b/>
                <w:bCs/>
                <w:spacing w:val="0"/>
                <w:sz w:val="18"/>
                <w:szCs w:val="18"/>
              </w:rPr>
            </w:pPr>
          </w:p>
        </w:tc>
        <w:tc>
          <w:tcPr>
            <w:tcW w:w="1059" w:type="dxa"/>
            <w:tcBorders>
              <w:top w:val="nil"/>
              <w:left w:val="nil"/>
              <w:bottom w:val="single" w:sz="8" w:space="0" w:color="auto"/>
              <w:right w:val="single" w:sz="8" w:space="0" w:color="auto"/>
            </w:tcBorders>
            <w:shd w:val="clear" w:color="000000" w:fill="FFFFFF"/>
            <w:vAlign w:val="center"/>
            <w:hideMark/>
          </w:tcPr>
          <w:p w14:paraId="653C1405" w14:textId="7C849155" w:rsidR="006E49B1" w:rsidRPr="00232EBB" w:rsidRDefault="006E49B1" w:rsidP="00E2462C">
            <w:pPr>
              <w:spacing w:after="0" w:line="240" w:lineRule="auto"/>
              <w:jc w:val="center"/>
              <w:rPr>
                <w:rFonts w:eastAsia="Times New Roman"/>
                <w:spacing w:val="0"/>
                <w:sz w:val="18"/>
                <w:szCs w:val="18"/>
              </w:rPr>
            </w:pPr>
            <w:proofErr w:type="spellStart"/>
            <w:r w:rsidRPr="00232EBB">
              <w:rPr>
                <w:rFonts w:eastAsia="Calibri"/>
                <w:spacing w:val="0"/>
                <w:sz w:val="18"/>
                <w:szCs w:val="18"/>
              </w:rPr>
              <w:t>Inversión</w:t>
            </w:r>
            <w:proofErr w:type="spellEnd"/>
          </w:p>
        </w:tc>
        <w:tc>
          <w:tcPr>
            <w:tcW w:w="1260" w:type="dxa"/>
            <w:tcBorders>
              <w:top w:val="nil"/>
              <w:left w:val="nil"/>
              <w:bottom w:val="single" w:sz="8" w:space="0" w:color="auto"/>
              <w:right w:val="single" w:sz="8" w:space="0" w:color="auto"/>
            </w:tcBorders>
            <w:shd w:val="clear" w:color="000000" w:fill="FFFFFF"/>
            <w:noWrap/>
            <w:vAlign w:val="center"/>
            <w:hideMark/>
          </w:tcPr>
          <w:p w14:paraId="4CD9013F" w14:textId="51673231" w:rsidR="006E49B1" w:rsidRPr="00232EBB" w:rsidRDefault="006E49B1" w:rsidP="00E2462C">
            <w:pPr>
              <w:spacing w:after="0" w:line="240" w:lineRule="auto"/>
              <w:jc w:val="center"/>
              <w:rPr>
                <w:rFonts w:eastAsia="Times New Roman"/>
                <w:spacing w:val="0"/>
                <w:sz w:val="18"/>
                <w:szCs w:val="18"/>
              </w:rPr>
            </w:pPr>
            <w:r w:rsidRPr="00232EBB">
              <w:rPr>
                <w:rFonts w:eastAsia="Calibri"/>
                <w:spacing w:val="0"/>
                <w:sz w:val="18"/>
                <w:szCs w:val="18"/>
              </w:rPr>
              <w:t>6,705,879.05</w:t>
            </w:r>
          </w:p>
        </w:tc>
        <w:tc>
          <w:tcPr>
            <w:tcW w:w="1260" w:type="dxa"/>
            <w:tcBorders>
              <w:top w:val="nil"/>
              <w:left w:val="nil"/>
              <w:bottom w:val="single" w:sz="8" w:space="0" w:color="auto"/>
              <w:right w:val="single" w:sz="8" w:space="0" w:color="auto"/>
            </w:tcBorders>
            <w:shd w:val="clear" w:color="000000" w:fill="FFFFFF"/>
            <w:noWrap/>
            <w:vAlign w:val="center"/>
            <w:hideMark/>
          </w:tcPr>
          <w:p w14:paraId="3C11AA46" w14:textId="26DD9EE6"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6,767,527.56</w:t>
            </w:r>
          </w:p>
        </w:tc>
        <w:tc>
          <w:tcPr>
            <w:tcW w:w="1170" w:type="dxa"/>
            <w:tcBorders>
              <w:top w:val="nil"/>
              <w:left w:val="nil"/>
              <w:bottom w:val="single" w:sz="8" w:space="0" w:color="auto"/>
              <w:right w:val="single" w:sz="8" w:space="0" w:color="auto"/>
            </w:tcBorders>
            <w:shd w:val="clear" w:color="000000" w:fill="FFFFFF"/>
            <w:noWrap/>
            <w:vAlign w:val="center"/>
            <w:hideMark/>
          </w:tcPr>
          <w:p w14:paraId="0CBE17D9" w14:textId="7D1AE542"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6,886,326.26</w:t>
            </w:r>
          </w:p>
        </w:tc>
        <w:tc>
          <w:tcPr>
            <w:tcW w:w="1440" w:type="dxa"/>
            <w:tcBorders>
              <w:top w:val="nil"/>
              <w:left w:val="nil"/>
              <w:bottom w:val="single" w:sz="8" w:space="0" w:color="auto"/>
              <w:right w:val="single" w:sz="8" w:space="0" w:color="auto"/>
            </w:tcBorders>
            <w:shd w:val="clear" w:color="000000" w:fill="FFFFFF"/>
            <w:noWrap/>
            <w:vAlign w:val="center"/>
            <w:hideMark/>
          </w:tcPr>
          <w:p w14:paraId="73A5A031" w14:textId="48262887"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12,565,920.68</w:t>
            </w:r>
          </w:p>
        </w:tc>
        <w:tc>
          <w:tcPr>
            <w:tcW w:w="1350" w:type="dxa"/>
            <w:tcBorders>
              <w:top w:val="nil"/>
              <w:left w:val="nil"/>
              <w:bottom w:val="single" w:sz="8" w:space="0" w:color="auto"/>
              <w:right w:val="single" w:sz="8" w:space="0" w:color="auto"/>
            </w:tcBorders>
            <w:shd w:val="clear" w:color="000000" w:fill="FFFFFF"/>
            <w:noWrap/>
            <w:vAlign w:val="center"/>
            <w:hideMark/>
          </w:tcPr>
          <w:p w14:paraId="33FF7921" w14:textId="75E6F811"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6,793,302.06</w:t>
            </w:r>
          </w:p>
        </w:tc>
        <w:tc>
          <w:tcPr>
            <w:tcW w:w="1620" w:type="dxa"/>
            <w:tcBorders>
              <w:top w:val="nil"/>
              <w:left w:val="nil"/>
              <w:bottom w:val="single" w:sz="8" w:space="0" w:color="auto"/>
              <w:right w:val="single" w:sz="8" w:space="0" w:color="auto"/>
            </w:tcBorders>
            <w:shd w:val="clear" w:color="000000" w:fill="FFFFFF"/>
            <w:noWrap/>
            <w:vAlign w:val="center"/>
            <w:hideMark/>
          </w:tcPr>
          <w:p w14:paraId="6AD6AE3E" w14:textId="790BEB2B"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9,329,362.06</w:t>
            </w:r>
          </w:p>
        </w:tc>
      </w:tr>
      <w:tr w:rsidR="006E49B1" w:rsidRPr="00232EBB" w14:paraId="63507929" w14:textId="3B56AD3C" w:rsidTr="006E49B1">
        <w:trPr>
          <w:trHeight w:val="577"/>
        </w:trPr>
        <w:tc>
          <w:tcPr>
            <w:tcW w:w="20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C3E297" w14:textId="77777777" w:rsidR="006E49B1" w:rsidRPr="00232EBB" w:rsidRDefault="006E49B1" w:rsidP="00E2462C">
            <w:pPr>
              <w:spacing w:after="0" w:line="240" w:lineRule="auto"/>
              <w:jc w:val="both"/>
              <w:rPr>
                <w:rFonts w:eastAsia="Times New Roman"/>
                <w:b/>
                <w:bCs/>
                <w:spacing w:val="0"/>
                <w:sz w:val="18"/>
                <w:szCs w:val="18"/>
                <w:lang w:val="es-ES"/>
              </w:rPr>
            </w:pPr>
            <w:r w:rsidRPr="00232EBB">
              <w:rPr>
                <w:rFonts w:eastAsia="Calibri"/>
                <w:b/>
                <w:bCs/>
                <w:spacing w:val="0"/>
                <w:sz w:val="18"/>
                <w:szCs w:val="18"/>
                <w:lang w:val="es-DO"/>
              </w:rPr>
              <w:t>Producto 7334:</w:t>
            </w:r>
            <w:r w:rsidRPr="00232EBB">
              <w:rPr>
                <w:rFonts w:eastAsia="Calibri"/>
                <w:spacing w:val="0"/>
                <w:sz w:val="18"/>
                <w:szCs w:val="18"/>
                <w:lang w:val="es-DO"/>
              </w:rPr>
              <w:t xml:space="preserve"> Sistema Único de Información y Recaudo con disponibilidad 24/7</w:t>
            </w:r>
          </w:p>
        </w:tc>
        <w:tc>
          <w:tcPr>
            <w:tcW w:w="1059" w:type="dxa"/>
            <w:tcBorders>
              <w:top w:val="nil"/>
              <w:left w:val="nil"/>
              <w:bottom w:val="single" w:sz="8" w:space="0" w:color="auto"/>
              <w:right w:val="single" w:sz="8" w:space="0" w:color="auto"/>
            </w:tcBorders>
            <w:shd w:val="clear" w:color="000000" w:fill="FFFFFF"/>
            <w:vAlign w:val="center"/>
            <w:hideMark/>
          </w:tcPr>
          <w:p w14:paraId="5FD8AD32" w14:textId="77777777" w:rsidR="006E49B1" w:rsidRPr="00232EBB" w:rsidRDefault="006E49B1" w:rsidP="00E2462C">
            <w:pPr>
              <w:spacing w:after="0" w:line="240" w:lineRule="auto"/>
              <w:jc w:val="center"/>
              <w:rPr>
                <w:rFonts w:eastAsia="Times New Roman"/>
                <w:spacing w:val="0"/>
                <w:sz w:val="18"/>
                <w:szCs w:val="18"/>
              </w:rPr>
            </w:pPr>
            <w:proofErr w:type="spellStart"/>
            <w:r w:rsidRPr="00232EBB">
              <w:rPr>
                <w:rFonts w:eastAsia="Calibri"/>
                <w:spacing w:val="0"/>
                <w:sz w:val="18"/>
                <w:szCs w:val="18"/>
              </w:rPr>
              <w:t>Logro</w:t>
            </w:r>
            <w:proofErr w:type="spellEnd"/>
          </w:p>
        </w:tc>
        <w:tc>
          <w:tcPr>
            <w:tcW w:w="369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16793833" w14:textId="5646753C"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99%</w:t>
            </w:r>
          </w:p>
        </w:tc>
        <w:tc>
          <w:tcPr>
            <w:tcW w:w="441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36DB89F" w14:textId="4E72CC3A"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98.51%</w:t>
            </w:r>
          </w:p>
        </w:tc>
      </w:tr>
      <w:tr w:rsidR="006E49B1" w:rsidRPr="00232EBB" w14:paraId="0726EFC5" w14:textId="54C89149" w:rsidTr="006E49B1">
        <w:trPr>
          <w:trHeight w:val="975"/>
        </w:trPr>
        <w:tc>
          <w:tcPr>
            <w:tcW w:w="2001" w:type="dxa"/>
            <w:vMerge/>
            <w:tcBorders>
              <w:top w:val="nil"/>
              <w:left w:val="single" w:sz="8" w:space="0" w:color="auto"/>
              <w:bottom w:val="single" w:sz="8" w:space="0" w:color="000000"/>
              <w:right w:val="single" w:sz="8" w:space="0" w:color="auto"/>
            </w:tcBorders>
            <w:vAlign w:val="center"/>
            <w:hideMark/>
          </w:tcPr>
          <w:p w14:paraId="21450C16" w14:textId="77777777" w:rsidR="006E49B1" w:rsidRPr="00232EBB" w:rsidRDefault="006E49B1" w:rsidP="00E2462C">
            <w:pPr>
              <w:spacing w:after="0" w:line="240" w:lineRule="auto"/>
              <w:rPr>
                <w:rFonts w:eastAsia="Times New Roman"/>
                <w:b/>
                <w:bCs/>
                <w:spacing w:val="0"/>
                <w:sz w:val="18"/>
                <w:szCs w:val="18"/>
              </w:rPr>
            </w:pPr>
          </w:p>
        </w:tc>
        <w:tc>
          <w:tcPr>
            <w:tcW w:w="1059" w:type="dxa"/>
            <w:tcBorders>
              <w:top w:val="nil"/>
              <w:left w:val="nil"/>
              <w:bottom w:val="single" w:sz="8" w:space="0" w:color="auto"/>
              <w:right w:val="single" w:sz="8" w:space="0" w:color="auto"/>
            </w:tcBorders>
            <w:shd w:val="clear" w:color="000000" w:fill="FFFFFF"/>
            <w:vAlign w:val="center"/>
            <w:hideMark/>
          </w:tcPr>
          <w:p w14:paraId="70ED7AEF" w14:textId="04C86092" w:rsidR="006E49B1" w:rsidRPr="00232EBB" w:rsidRDefault="006E49B1" w:rsidP="00E2462C">
            <w:pPr>
              <w:spacing w:after="0" w:line="240" w:lineRule="auto"/>
              <w:jc w:val="center"/>
              <w:rPr>
                <w:rFonts w:eastAsia="Times New Roman"/>
                <w:spacing w:val="0"/>
                <w:sz w:val="18"/>
                <w:szCs w:val="18"/>
              </w:rPr>
            </w:pPr>
            <w:proofErr w:type="spellStart"/>
            <w:r w:rsidRPr="00232EBB">
              <w:rPr>
                <w:rFonts w:eastAsia="Calibri"/>
                <w:spacing w:val="0"/>
                <w:sz w:val="18"/>
                <w:szCs w:val="18"/>
              </w:rPr>
              <w:t>Inversión</w:t>
            </w:r>
            <w:proofErr w:type="spellEnd"/>
          </w:p>
        </w:tc>
        <w:tc>
          <w:tcPr>
            <w:tcW w:w="1260" w:type="dxa"/>
            <w:tcBorders>
              <w:top w:val="nil"/>
              <w:left w:val="nil"/>
              <w:bottom w:val="single" w:sz="8" w:space="0" w:color="auto"/>
              <w:right w:val="single" w:sz="8" w:space="0" w:color="auto"/>
            </w:tcBorders>
            <w:shd w:val="clear" w:color="000000" w:fill="FFFFFF"/>
            <w:noWrap/>
            <w:vAlign w:val="center"/>
            <w:hideMark/>
          </w:tcPr>
          <w:p w14:paraId="619225F2" w14:textId="3D16B8A0"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6,947,241,.87</w:t>
            </w:r>
          </w:p>
        </w:tc>
        <w:tc>
          <w:tcPr>
            <w:tcW w:w="1260" w:type="dxa"/>
            <w:tcBorders>
              <w:top w:val="nil"/>
              <w:left w:val="nil"/>
              <w:bottom w:val="single" w:sz="8" w:space="0" w:color="auto"/>
              <w:right w:val="single" w:sz="8" w:space="0" w:color="auto"/>
            </w:tcBorders>
            <w:shd w:val="clear" w:color="000000" w:fill="FFFFFF"/>
            <w:noWrap/>
            <w:vAlign w:val="center"/>
            <w:hideMark/>
          </w:tcPr>
          <w:p w14:paraId="3EC6B052" w14:textId="2C8EB91C"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7,062,283.38</w:t>
            </w:r>
          </w:p>
        </w:tc>
        <w:tc>
          <w:tcPr>
            <w:tcW w:w="1170" w:type="dxa"/>
            <w:tcBorders>
              <w:top w:val="nil"/>
              <w:left w:val="nil"/>
              <w:bottom w:val="single" w:sz="8" w:space="0" w:color="auto"/>
              <w:right w:val="single" w:sz="8" w:space="0" w:color="auto"/>
            </w:tcBorders>
            <w:shd w:val="clear" w:color="000000" w:fill="FFFFFF"/>
            <w:noWrap/>
            <w:vAlign w:val="center"/>
            <w:hideMark/>
          </w:tcPr>
          <w:p w14:paraId="676719D8" w14:textId="20DB1F83"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7,107,959.38</w:t>
            </w:r>
          </w:p>
        </w:tc>
        <w:tc>
          <w:tcPr>
            <w:tcW w:w="1440" w:type="dxa"/>
            <w:tcBorders>
              <w:top w:val="nil"/>
              <w:left w:val="nil"/>
              <w:bottom w:val="single" w:sz="8" w:space="0" w:color="auto"/>
              <w:right w:val="single" w:sz="8" w:space="0" w:color="auto"/>
            </w:tcBorders>
            <w:shd w:val="clear" w:color="000000" w:fill="FFFFFF"/>
            <w:noWrap/>
            <w:vAlign w:val="center"/>
            <w:hideMark/>
          </w:tcPr>
          <w:p w14:paraId="79576E6C" w14:textId="3E3C3FAF"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13,162,136.51</w:t>
            </w:r>
          </w:p>
        </w:tc>
        <w:tc>
          <w:tcPr>
            <w:tcW w:w="1350" w:type="dxa"/>
            <w:tcBorders>
              <w:top w:val="nil"/>
              <w:left w:val="nil"/>
              <w:bottom w:val="single" w:sz="8" w:space="0" w:color="auto"/>
              <w:right w:val="single" w:sz="8" w:space="0" w:color="auto"/>
            </w:tcBorders>
            <w:shd w:val="clear" w:color="000000" w:fill="FFFFFF"/>
            <w:noWrap/>
            <w:vAlign w:val="center"/>
            <w:hideMark/>
          </w:tcPr>
          <w:p w14:paraId="2A342836" w14:textId="7FE110FB"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7,007,103.20</w:t>
            </w:r>
          </w:p>
        </w:tc>
        <w:tc>
          <w:tcPr>
            <w:tcW w:w="1620" w:type="dxa"/>
            <w:tcBorders>
              <w:top w:val="nil"/>
              <w:left w:val="nil"/>
              <w:bottom w:val="single" w:sz="8" w:space="0" w:color="auto"/>
              <w:right w:val="single" w:sz="8" w:space="0" w:color="auto"/>
            </w:tcBorders>
            <w:shd w:val="clear" w:color="000000" w:fill="FFFFFF"/>
            <w:noWrap/>
            <w:vAlign w:val="center"/>
            <w:hideMark/>
          </w:tcPr>
          <w:p w14:paraId="2DF76693" w14:textId="61FF9C98"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9,004,405.69</w:t>
            </w:r>
          </w:p>
        </w:tc>
      </w:tr>
      <w:tr w:rsidR="006E49B1" w:rsidRPr="00232EBB" w14:paraId="690BAD9E" w14:textId="517DB0D9" w:rsidTr="006E49B1">
        <w:trPr>
          <w:trHeight w:val="397"/>
        </w:trPr>
        <w:tc>
          <w:tcPr>
            <w:tcW w:w="20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C90E49" w14:textId="77777777" w:rsidR="006E49B1" w:rsidRPr="00232EBB" w:rsidRDefault="006E49B1" w:rsidP="00E2462C">
            <w:pPr>
              <w:spacing w:after="0" w:line="240" w:lineRule="auto"/>
              <w:jc w:val="both"/>
              <w:rPr>
                <w:rFonts w:eastAsia="Times New Roman"/>
                <w:b/>
                <w:bCs/>
                <w:spacing w:val="0"/>
                <w:sz w:val="18"/>
                <w:szCs w:val="18"/>
                <w:lang w:val="es-ES"/>
              </w:rPr>
            </w:pPr>
            <w:r w:rsidRPr="00232EBB">
              <w:rPr>
                <w:rFonts w:eastAsia="Calibri"/>
                <w:b/>
                <w:bCs/>
                <w:spacing w:val="0"/>
                <w:sz w:val="18"/>
                <w:szCs w:val="18"/>
                <w:lang w:val="es-DO"/>
              </w:rPr>
              <w:t>Producto 7335:</w:t>
            </w:r>
            <w:r w:rsidRPr="00232EBB">
              <w:rPr>
                <w:rFonts w:eastAsia="Calibri"/>
                <w:spacing w:val="0"/>
                <w:sz w:val="18"/>
                <w:szCs w:val="18"/>
                <w:lang w:val="es-DO"/>
              </w:rPr>
              <w:t xml:space="preserve"> Estado Dominicano con Gestión Oportuna de los Aportes a la Seguridad Social</w:t>
            </w:r>
          </w:p>
        </w:tc>
        <w:tc>
          <w:tcPr>
            <w:tcW w:w="1059" w:type="dxa"/>
            <w:tcBorders>
              <w:top w:val="nil"/>
              <w:left w:val="nil"/>
              <w:bottom w:val="single" w:sz="8" w:space="0" w:color="auto"/>
              <w:right w:val="single" w:sz="8" w:space="0" w:color="auto"/>
            </w:tcBorders>
            <w:shd w:val="clear" w:color="000000" w:fill="FFFFFF"/>
            <w:vAlign w:val="center"/>
            <w:hideMark/>
          </w:tcPr>
          <w:p w14:paraId="6B360FC9" w14:textId="77777777" w:rsidR="006E49B1" w:rsidRPr="00232EBB" w:rsidRDefault="006E49B1" w:rsidP="00E2462C">
            <w:pPr>
              <w:spacing w:after="0" w:line="240" w:lineRule="auto"/>
              <w:jc w:val="center"/>
              <w:rPr>
                <w:rFonts w:eastAsia="Times New Roman"/>
                <w:spacing w:val="0"/>
                <w:sz w:val="18"/>
                <w:szCs w:val="18"/>
              </w:rPr>
            </w:pPr>
            <w:proofErr w:type="spellStart"/>
            <w:r w:rsidRPr="00232EBB">
              <w:rPr>
                <w:rFonts w:eastAsia="Calibri"/>
                <w:spacing w:val="0"/>
                <w:sz w:val="18"/>
                <w:szCs w:val="18"/>
              </w:rPr>
              <w:t>Logro</w:t>
            </w:r>
            <w:proofErr w:type="spellEnd"/>
          </w:p>
        </w:tc>
        <w:tc>
          <w:tcPr>
            <w:tcW w:w="369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1408893C" w14:textId="00585A35"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98.78%</w:t>
            </w:r>
          </w:p>
        </w:tc>
        <w:tc>
          <w:tcPr>
            <w:tcW w:w="441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268575FA" w14:textId="6BD7FF56"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99%</w:t>
            </w:r>
          </w:p>
        </w:tc>
      </w:tr>
      <w:tr w:rsidR="006E49B1" w:rsidRPr="00232EBB" w14:paraId="088CC762" w14:textId="4D7FAACB" w:rsidTr="006E49B1">
        <w:trPr>
          <w:trHeight w:val="737"/>
        </w:trPr>
        <w:tc>
          <w:tcPr>
            <w:tcW w:w="2001" w:type="dxa"/>
            <w:vMerge/>
            <w:tcBorders>
              <w:top w:val="nil"/>
              <w:left w:val="single" w:sz="8" w:space="0" w:color="auto"/>
              <w:bottom w:val="single" w:sz="8" w:space="0" w:color="000000"/>
              <w:right w:val="single" w:sz="8" w:space="0" w:color="auto"/>
            </w:tcBorders>
            <w:vAlign w:val="center"/>
            <w:hideMark/>
          </w:tcPr>
          <w:p w14:paraId="00107047" w14:textId="77777777" w:rsidR="006E49B1" w:rsidRPr="00232EBB" w:rsidRDefault="006E49B1" w:rsidP="00E2462C">
            <w:pPr>
              <w:spacing w:after="0" w:line="240" w:lineRule="auto"/>
              <w:rPr>
                <w:rFonts w:eastAsia="Times New Roman"/>
                <w:b/>
                <w:bCs/>
                <w:spacing w:val="0"/>
                <w:sz w:val="18"/>
                <w:szCs w:val="18"/>
              </w:rPr>
            </w:pPr>
          </w:p>
        </w:tc>
        <w:tc>
          <w:tcPr>
            <w:tcW w:w="10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AFFA29" w14:textId="162D69BA" w:rsidR="006E49B1" w:rsidRPr="00232EBB" w:rsidRDefault="006E49B1" w:rsidP="00E2462C">
            <w:pPr>
              <w:spacing w:after="0" w:line="240" w:lineRule="auto"/>
              <w:jc w:val="center"/>
              <w:rPr>
                <w:rFonts w:eastAsia="Times New Roman"/>
                <w:spacing w:val="0"/>
                <w:sz w:val="18"/>
                <w:szCs w:val="18"/>
              </w:rPr>
            </w:pPr>
            <w:proofErr w:type="spellStart"/>
            <w:r w:rsidRPr="00232EBB">
              <w:rPr>
                <w:rFonts w:eastAsia="Calibri"/>
                <w:spacing w:val="0"/>
                <w:sz w:val="18"/>
                <w:szCs w:val="18"/>
              </w:rPr>
              <w:t>Inversión</w:t>
            </w:r>
            <w:proofErr w:type="spellEnd"/>
          </w:p>
        </w:tc>
        <w:tc>
          <w:tcPr>
            <w:tcW w:w="12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71CAA60" w14:textId="00F8D9E5" w:rsidR="006E49B1" w:rsidRPr="00232EBB" w:rsidRDefault="006E49B1" w:rsidP="00E2462C">
            <w:pPr>
              <w:spacing w:after="0" w:line="240" w:lineRule="auto"/>
              <w:jc w:val="center"/>
              <w:rPr>
                <w:rFonts w:eastAsia="Times New Roman"/>
                <w:spacing w:val="0"/>
                <w:sz w:val="18"/>
                <w:szCs w:val="18"/>
              </w:rPr>
            </w:pPr>
            <w:r w:rsidRPr="00232EBB">
              <w:rPr>
                <w:rFonts w:eastAsia="Calibri"/>
                <w:spacing w:val="0"/>
                <w:sz w:val="18"/>
                <w:szCs w:val="18"/>
              </w:rPr>
              <w:t>2,803,087.44</w:t>
            </w:r>
          </w:p>
        </w:tc>
        <w:tc>
          <w:tcPr>
            <w:tcW w:w="12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1C0DDD8" w14:textId="36A8DE32"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2,803,087.44</w:t>
            </w:r>
          </w:p>
        </w:tc>
        <w:tc>
          <w:tcPr>
            <w:tcW w:w="117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0B54E0" w14:textId="727DB926"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2,789,235.49</w:t>
            </w:r>
          </w:p>
        </w:tc>
        <w:tc>
          <w:tcPr>
            <w:tcW w:w="14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0C3F20F" w14:textId="56F363B4"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2,789,235.49</w:t>
            </w:r>
          </w:p>
        </w:tc>
        <w:tc>
          <w:tcPr>
            <w:tcW w:w="135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2A1DBD" w14:textId="49F608E7"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2,855,206.37</w:t>
            </w:r>
          </w:p>
        </w:tc>
        <w:tc>
          <w:tcPr>
            <w:tcW w:w="16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2C3B1E7" w14:textId="5BE4EA65" w:rsidR="006E49B1" w:rsidRPr="00232EBB" w:rsidRDefault="006E49B1" w:rsidP="00E2462C">
            <w:pPr>
              <w:spacing w:after="0" w:line="240" w:lineRule="auto"/>
              <w:jc w:val="center"/>
              <w:rPr>
                <w:rFonts w:eastAsia="Times New Roman"/>
                <w:spacing w:val="0"/>
                <w:sz w:val="18"/>
                <w:szCs w:val="18"/>
              </w:rPr>
            </w:pPr>
            <w:r w:rsidRPr="00232EBB">
              <w:rPr>
                <w:rFonts w:eastAsia="Times New Roman"/>
                <w:spacing w:val="0"/>
                <w:sz w:val="18"/>
                <w:szCs w:val="18"/>
              </w:rPr>
              <w:t>4,361,006.37</w:t>
            </w:r>
          </w:p>
        </w:tc>
      </w:tr>
      <w:tr w:rsidR="006E49B1" w:rsidRPr="00232EBB" w14:paraId="5A594F9F" w14:textId="77777777" w:rsidTr="006E49B1">
        <w:trPr>
          <w:trHeight w:val="568"/>
        </w:trPr>
        <w:tc>
          <w:tcPr>
            <w:tcW w:w="2001" w:type="dxa"/>
            <w:vMerge/>
            <w:tcBorders>
              <w:top w:val="nil"/>
              <w:left w:val="single" w:sz="8" w:space="0" w:color="auto"/>
              <w:bottom w:val="single" w:sz="8" w:space="0" w:color="000000"/>
              <w:right w:val="single" w:sz="8" w:space="0" w:color="auto"/>
            </w:tcBorders>
            <w:vAlign w:val="center"/>
            <w:hideMark/>
          </w:tcPr>
          <w:p w14:paraId="1BC9B3A0" w14:textId="77777777" w:rsidR="006E49B1" w:rsidRPr="00232EBB" w:rsidRDefault="006E49B1" w:rsidP="00E2462C">
            <w:pPr>
              <w:spacing w:after="0" w:line="240" w:lineRule="auto"/>
              <w:rPr>
                <w:rFonts w:eastAsia="Times New Roman"/>
                <w:b/>
                <w:bCs/>
                <w:spacing w:val="0"/>
                <w:sz w:val="14"/>
                <w:szCs w:val="14"/>
              </w:rPr>
            </w:pPr>
          </w:p>
        </w:tc>
        <w:tc>
          <w:tcPr>
            <w:tcW w:w="1059" w:type="dxa"/>
            <w:vMerge/>
            <w:tcBorders>
              <w:top w:val="nil"/>
              <w:left w:val="single" w:sz="8" w:space="0" w:color="auto"/>
              <w:bottom w:val="single" w:sz="8" w:space="0" w:color="000000"/>
              <w:right w:val="single" w:sz="8" w:space="0" w:color="auto"/>
            </w:tcBorders>
            <w:vAlign w:val="center"/>
            <w:hideMark/>
          </w:tcPr>
          <w:p w14:paraId="23FCBD5F" w14:textId="77777777" w:rsidR="006E49B1" w:rsidRPr="00232EBB" w:rsidRDefault="006E49B1" w:rsidP="00E2462C">
            <w:pPr>
              <w:spacing w:after="0" w:line="240" w:lineRule="auto"/>
              <w:rPr>
                <w:rFonts w:eastAsia="Times New Roman"/>
                <w:spacing w:val="0"/>
                <w:sz w:val="14"/>
                <w:szCs w:val="14"/>
              </w:rPr>
            </w:pPr>
          </w:p>
        </w:tc>
        <w:tc>
          <w:tcPr>
            <w:tcW w:w="1260" w:type="dxa"/>
            <w:vMerge/>
            <w:tcBorders>
              <w:top w:val="nil"/>
              <w:left w:val="single" w:sz="8" w:space="0" w:color="auto"/>
              <w:bottom w:val="single" w:sz="8" w:space="0" w:color="000000"/>
              <w:right w:val="single" w:sz="8" w:space="0" w:color="auto"/>
            </w:tcBorders>
            <w:vAlign w:val="center"/>
            <w:hideMark/>
          </w:tcPr>
          <w:p w14:paraId="31F99A7D" w14:textId="77777777" w:rsidR="006E49B1" w:rsidRPr="00232EBB" w:rsidRDefault="006E49B1" w:rsidP="00E2462C">
            <w:pPr>
              <w:spacing w:after="0" w:line="240" w:lineRule="auto"/>
              <w:rPr>
                <w:rFonts w:eastAsia="Times New Roman"/>
                <w:spacing w:val="0"/>
                <w:sz w:val="14"/>
                <w:szCs w:val="14"/>
              </w:rPr>
            </w:pPr>
          </w:p>
        </w:tc>
        <w:tc>
          <w:tcPr>
            <w:tcW w:w="1260" w:type="dxa"/>
            <w:vMerge/>
            <w:tcBorders>
              <w:top w:val="nil"/>
              <w:left w:val="single" w:sz="8" w:space="0" w:color="auto"/>
              <w:bottom w:val="single" w:sz="8" w:space="0" w:color="000000"/>
              <w:right w:val="single" w:sz="8" w:space="0" w:color="auto"/>
            </w:tcBorders>
            <w:vAlign w:val="center"/>
            <w:hideMark/>
          </w:tcPr>
          <w:p w14:paraId="4FA870FF" w14:textId="77777777" w:rsidR="006E49B1" w:rsidRPr="00232EBB" w:rsidRDefault="006E49B1" w:rsidP="00E2462C">
            <w:pPr>
              <w:spacing w:after="0" w:line="240" w:lineRule="auto"/>
              <w:rPr>
                <w:rFonts w:eastAsia="Times New Roman"/>
                <w:spacing w:val="0"/>
                <w:sz w:val="14"/>
                <w:szCs w:val="14"/>
              </w:rPr>
            </w:pPr>
          </w:p>
        </w:tc>
        <w:tc>
          <w:tcPr>
            <w:tcW w:w="1170" w:type="dxa"/>
            <w:vMerge/>
            <w:tcBorders>
              <w:top w:val="nil"/>
              <w:left w:val="single" w:sz="8" w:space="0" w:color="auto"/>
              <w:bottom w:val="single" w:sz="8" w:space="0" w:color="000000"/>
              <w:right w:val="single" w:sz="8" w:space="0" w:color="auto"/>
            </w:tcBorders>
            <w:vAlign w:val="center"/>
            <w:hideMark/>
          </w:tcPr>
          <w:p w14:paraId="0C03BA56" w14:textId="77777777" w:rsidR="006E49B1" w:rsidRPr="00232EBB" w:rsidRDefault="006E49B1" w:rsidP="00E2462C">
            <w:pPr>
              <w:spacing w:after="0" w:line="240" w:lineRule="auto"/>
              <w:rPr>
                <w:rFonts w:eastAsia="Times New Roman"/>
                <w:spacing w:val="0"/>
                <w:sz w:val="14"/>
                <w:szCs w:val="14"/>
              </w:rPr>
            </w:pPr>
          </w:p>
        </w:tc>
        <w:tc>
          <w:tcPr>
            <w:tcW w:w="1440" w:type="dxa"/>
            <w:vMerge/>
            <w:tcBorders>
              <w:top w:val="nil"/>
              <w:left w:val="single" w:sz="8" w:space="0" w:color="auto"/>
              <w:bottom w:val="single" w:sz="8" w:space="0" w:color="000000"/>
              <w:right w:val="single" w:sz="8" w:space="0" w:color="auto"/>
            </w:tcBorders>
            <w:vAlign w:val="center"/>
            <w:hideMark/>
          </w:tcPr>
          <w:p w14:paraId="0610249A" w14:textId="77777777" w:rsidR="006E49B1" w:rsidRPr="00232EBB" w:rsidRDefault="006E49B1" w:rsidP="00E2462C">
            <w:pPr>
              <w:spacing w:after="0" w:line="240" w:lineRule="auto"/>
              <w:rPr>
                <w:rFonts w:eastAsia="Times New Roman"/>
                <w:spacing w:val="0"/>
                <w:sz w:val="14"/>
                <w:szCs w:val="14"/>
              </w:rPr>
            </w:pPr>
          </w:p>
        </w:tc>
        <w:tc>
          <w:tcPr>
            <w:tcW w:w="1350" w:type="dxa"/>
            <w:vMerge/>
            <w:tcBorders>
              <w:top w:val="nil"/>
              <w:left w:val="single" w:sz="8" w:space="0" w:color="auto"/>
              <w:bottom w:val="single" w:sz="8" w:space="0" w:color="000000"/>
              <w:right w:val="single" w:sz="8" w:space="0" w:color="auto"/>
            </w:tcBorders>
            <w:vAlign w:val="center"/>
            <w:hideMark/>
          </w:tcPr>
          <w:p w14:paraId="3458D3A1" w14:textId="77777777" w:rsidR="006E49B1" w:rsidRPr="00232EBB" w:rsidRDefault="006E49B1" w:rsidP="00E2462C">
            <w:pPr>
              <w:spacing w:after="0" w:line="240" w:lineRule="auto"/>
              <w:rPr>
                <w:rFonts w:eastAsia="Times New Roman"/>
                <w:spacing w:val="0"/>
                <w:sz w:val="14"/>
                <w:szCs w:val="14"/>
              </w:rPr>
            </w:pPr>
          </w:p>
        </w:tc>
        <w:tc>
          <w:tcPr>
            <w:tcW w:w="1620" w:type="dxa"/>
            <w:vMerge/>
            <w:tcBorders>
              <w:top w:val="nil"/>
              <w:left w:val="single" w:sz="8" w:space="0" w:color="auto"/>
              <w:bottom w:val="single" w:sz="8" w:space="0" w:color="000000"/>
              <w:right w:val="single" w:sz="8" w:space="0" w:color="auto"/>
            </w:tcBorders>
            <w:vAlign w:val="center"/>
            <w:hideMark/>
          </w:tcPr>
          <w:p w14:paraId="4EBB9D5B" w14:textId="77777777" w:rsidR="006E49B1" w:rsidRPr="00232EBB" w:rsidRDefault="006E49B1" w:rsidP="00E2462C">
            <w:pPr>
              <w:spacing w:after="0" w:line="240" w:lineRule="auto"/>
              <w:rPr>
                <w:rFonts w:eastAsia="Times New Roman"/>
                <w:spacing w:val="0"/>
                <w:sz w:val="14"/>
                <w:szCs w:val="14"/>
              </w:rPr>
            </w:pPr>
          </w:p>
        </w:tc>
      </w:tr>
    </w:tbl>
    <w:p w14:paraId="54D4EB51" w14:textId="77777777" w:rsidR="00E2462C" w:rsidRPr="00232EBB" w:rsidRDefault="00E2462C" w:rsidP="00B47C98">
      <w:pPr>
        <w:ind w:left="-1710"/>
        <w:rPr>
          <w:rFonts w:eastAsia="Calibri"/>
          <w:b/>
          <w:bCs/>
          <w:sz w:val="18"/>
          <w:szCs w:val="18"/>
          <w:lang w:val="es-DO"/>
        </w:rPr>
      </w:pPr>
    </w:p>
    <w:p w14:paraId="21ABCD3A" w14:textId="77777777" w:rsidR="00E2462C" w:rsidRPr="00232EBB" w:rsidRDefault="00E2462C" w:rsidP="00B47C98">
      <w:pPr>
        <w:ind w:left="-1710"/>
        <w:rPr>
          <w:rFonts w:eastAsia="Calibri"/>
          <w:b/>
          <w:bCs/>
          <w:sz w:val="18"/>
          <w:szCs w:val="18"/>
          <w:lang w:val="es-DO"/>
        </w:rPr>
      </w:pPr>
    </w:p>
    <w:p w14:paraId="5D3A7922" w14:textId="77777777" w:rsidR="00E2462C" w:rsidRPr="00232EBB" w:rsidRDefault="00E2462C" w:rsidP="00B47C98">
      <w:pPr>
        <w:ind w:left="-1710"/>
        <w:rPr>
          <w:rFonts w:eastAsia="Calibri"/>
          <w:b/>
          <w:bCs/>
          <w:sz w:val="18"/>
          <w:szCs w:val="18"/>
          <w:lang w:val="es-DO"/>
        </w:rPr>
      </w:pPr>
    </w:p>
    <w:p w14:paraId="447D3E07" w14:textId="77777777" w:rsidR="00E2462C" w:rsidRPr="00232EBB" w:rsidRDefault="00E2462C" w:rsidP="00B47C98">
      <w:pPr>
        <w:ind w:left="-1710"/>
        <w:rPr>
          <w:rFonts w:eastAsia="Calibri"/>
          <w:b/>
          <w:bCs/>
          <w:sz w:val="18"/>
          <w:szCs w:val="18"/>
          <w:lang w:val="es-DO"/>
        </w:rPr>
      </w:pPr>
    </w:p>
    <w:p w14:paraId="44C56E4C" w14:textId="2EEF02A1" w:rsidR="00E2462C" w:rsidRPr="00232EBB" w:rsidRDefault="00E2462C" w:rsidP="00457D2E">
      <w:pPr>
        <w:keepNext/>
        <w:keepLines/>
        <w:spacing w:before="240" w:after="240"/>
        <w:ind w:left="-2160"/>
        <w:jc w:val="center"/>
        <w:outlineLvl w:val="0"/>
        <w:rPr>
          <w:rFonts w:eastAsiaTheme="majorEastAsia"/>
          <w:b/>
          <w:color w:val="767171" w:themeColor="background2" w:themeShade="80"/>
          <w:spacing w:val="0"/>
          <w:sz w:val="28"/>
          <w:szCs w:val="32"/>
          <w:lang w:val="es-DO"/>
        </w:rPr>
      </w:pPr>
      <w:bookmarkStart w:id="306" w:name="_Toc216952280"/>
      <w:r w:rsidRPr="00232EBB">
        <w:rPr>
          <w:rFonts w:eastAsiaTheme="majorEastAsia"/>
          <w:b/>
          <w:color w:val="767171" w:themeColor="background2" w:themeShade="80"/>
          <w:spacing w:val="0"/>
          <w:sz w:val="28"/>
          <w:szCs w:val="32"/>
          <w:lang w:val="es-DO"/>
        </w:rPr>
        <w:lastRenderedPageBreak/>
        <w:t>7.1 Anexo 1: Matriz Logros Relevantes – Datos Cuantitativos (RD$)</w:t>
      </w:r>
      <w:bookmarkEnd w:id="306"/>
    </w:p>
    <w:tbl>
      <w:tblPr>
        <w:tblW w:w="10447" w:type="dxa"/>
        <w:tblInd w:w="620" w:type="dxa"/>
        <w:tblLook w:val="04A0" w:firstRow="1" w:lastRow="0" w:firstColumn="1" w:lastColumn="0" w:noHBand="0" w:noVBand="1"/>
      </w:tblPr>
      <w:tblGrid>
        <w:gridCol w:w="1549"/>
        <w:gridCol w:w="1204"/>
        <w:gridCol w:w="1397"/>
        <w:gridCol w:w="1306"/>
        <w:gridCol w:w="1347"/>
        <w:gridCol w:w="1277"/>
        <w:gridCol w:w="2300"/>
        <w:gridCol w:w="246"/>
      </w:tblGrid>
      <w:tr w:rsidR="0024181E" w:rsidRPr="00232EBB" w14:paraId="15027737" w14:textId="77777777" w:rsidTr="0024181E">
        <w:trPr>
          <w:gridAfter w:val="1"/>
          <w:wAfter w:w="248" w:type="dxa"/>
          <w:trHeight w:val="870"/>
        </w:trPr>
        <w:tc>
          <w:tcPr>
            <w:tcW w:w="1549"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32C00071" w14:textId="77777777" w:rsidR="00E2462C" w:rsidRPr="00232EBB" w:rsidRDefault="00E2462C"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JULIO</w:t>
            </w:r>
          </w:p>
        </w:tc>
        <w:tc>
          <w:tcPr>
            <w:tcW w:w="1204"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0ADDB4D0" w14:textId="77777777" w:rsidR="00E2462C" w:rsidRPr="00232EBB" w:rsidRDefault="00E2462C"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 xml:space="preserve">AGOSTO </w:t>
            </w:r>
          </w:p>
        </w:tc>
        <w:tc>
          <w:tcPr>
            <w:tcW w:w="1334"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766E4728" w14:textId="77777777" w:rsidR="00E2462C" w:rsidRPr="00232EBB" w:rsidRDefault="00E2462C"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SEPTIEMBRE</w:t>
            </w:r>
          </w:p>
        </w:tc>
        <w:tc>
          <w:tcPr>
            <w:tcW w:w="1306"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7FACC130" w14:textId="77777777" w:rsidR="00E2462C" w:rsidRPr="00232EBB" w:rsidRDefault="00E2462C"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OCTUBRE</w:t>
            </w:r>
          </w:p>
        </w:tc>
        <w:tc>
          <w:tcPr>
            <w:tcW w:w="1286"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217C51CA" w14:textId="77777777" w:rsidR="00E2462C" w:rsidRPr="00232EBB" w:rsidRDefault="00E2462C"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NOVIEMBRE</w:t>
            </w:r>
          </w:p>
        </w:tc>
        <w:tc>
          <w:tcPr>
            <w:tcW w:w="122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395A75E5" w14:textId="77777777" w:rsidR="00E2462C" w:rsidRPr="00232EBB" w:rsidRDefault="00E2462C"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DICIEMBRE</w:t>
            </w:r>
          </w:p>
        </w:tc>
        <w:tc>
          <w:tcPr>
            <w:tcW w:w="230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E699EEB" w14:textId="2E00D6D0" w:rsidR="00E2462C" w:rsidRPr="00232EBB" w:rsidRDefault="00E2462C" w:rsidP="00E2462C">
            <w:pPr>
              <w:spacing w:after="0" w:line="240" w:lineRule="auto"/>
              <w:jc w:val="center"/>
              <w:rPr>
                <w:rFonts w:eastAsia="Times New Roman"/>
                <w:b/>
                <w:bCs/>
                <w:color w:val="FFFFFF"/>
                <w:spacing w:val="0"/>
                <w:sz w:val="18"/>
                <w:szCs w:val="18"/>
              </w:rPr>
            </w:pPr>
            <w:r w:rsidRPr="00232EBB">
              <w:rPr>
                <w:rFonts w:eastAsia="Calibri"/>
                <w:b/>
                <w:bCs/>
                <w:color w:val="FFFFFF" w:themeColor="background1"/>
                <w:spacing w:val="0"/>
                <w:sz w:val="18"/>
                <w:szCs w:val="18"/>
              </w:rPr>
              <w:t>TOTAL AÑO 202</w:t>
            </w:r>
            <w:r w:rsidR="00A667A3" w:rsidRPr="00232EBB">
              <w:rPr>
                <w:rFonts w:eastAsia="Calibri"/>
                <w:b/>
                <w:bCs/>
                <w:color w:val="FFFFFF" w:themeColor="background1"/>
                <w:spacing w:val="0"/>
                <w:sz w:val="18"/>
                <w:szCs w:val="18"/>
              </w:rPr>
              <w:t>5</w:t>
            </w:r>
          </w:p>
        </w:tc>
      </w:tr>
      <w:tr w:rsidR="0024181E" w:rsidRPr="00232EBB" w14:paraId="7B8D7169" w14:textId="77777777" w:rsidTr="00C8454E">
        <w:trPr>
          <w:trHeight w:val="77"/>
        </w:trPr>
        <w:tc>
          <w:tcPr>
            <w:tcW w:w="1549" w:type="dxa"/>
            <w:vMerge/>
            <w:tcBorders>
              <w:top w:val="single" w:sz="8" w:space="0" w:color="auto"/>
              <w:left w:val="single" w:sz="8" w:space="0" w:color="auto"/>
              <w:bottom w:val="single" w:sz="8" w:space="0" w:color="000000"/>
              <w:right w:val="single" w:sz="8" w:space="0" w:color="auto"/>
            </w:tcBorders>
            <w:vAlign w:val="center"/>
            <w:hideMark/>
          </w:tcPr>
          <w:p w14:paraId="1AA4244B" w14:textId="77777777" w:rsidR="00E2462C" w:rsidRPr="00232EBB" w:rsidRDefault="00E2462C" w:rsidP="00E2462C">
            <w:pPr>
              <w:spacing w:after="0" w:line="240" w:lineRule="auto"/>
              <w:rPr>
                <w:rFonts w:eastAsia="Times New Roman"/>
                <w:b/>
                <w:bCs/>
                <w:color w:val="FFFFFF"/>
                <w:spacing w:val="0"/>
                <w:sz w:val="18"/>
                <w:szCs w:val="18"/>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6110446" w14:textId="77777777" w:rsidR="00E2462C" w:rsidRPr="00232EBB" w:rsidRDefault="00E2462C" w:rsidP="00E2462C">
            <w:pPr>
              <w:spacing w:after="0" w:line="240" w:lineRule="auto"/>
              <w:rPr>
                <w:rFonts w:eastAsia="Times New Roman"/>
                <w:b/>
                <w:bCs/>
                <w:color w:val="FFFFFF"/>
                <w:spacing w:val="0"/>
                <w:sz w:val="18"/>
                <w:szCs w:val="18"/>
              </w:rPr>
            </w:pPr>
          </w:p>
        </w:tc>
        <w:tc>
          <w:tcPr>
            <w:tcW w:w="1334" w:type="dxa"/>
            <w:vMerge/>
            <w:tcBorders>
              <w:top w:val="single" w:sz="8" w:space="0" w:color="auto"/>
              <w:left w:val="single" w:sz="8" w:space="0" w:color="auto"/>
              <w:bottom w:val="single" w:sz="8" w:space="0" w:color="000000"/>
              <w:right w:val="single" w:sz="8" w:space="0" w:color="auto"/>
            </w:tcBorders>
            <w:vAlign w:val="center"/>
            <w:hideMark/>
          </w:tcPr>
          <w:p w14:paraId="75DDBFA7" w14:textId="77777777" w:rsidR="00E2462C" w:rsidRPr="00232EBB" w:rsidRDefault="00E2462C" w:rsidP="00E2462C">
            <w:pPr>
              <w:spacing w:after="0" w:line="240" w:lineRule="auto"/>
              <w:rPr>
                <w:rFonts w:eastAsia="Times New Roman"/>
                <w:b/>
                <w:bCs/>
                <w:color w:val="FFFFFF"/>
                <w:spacing w:val="0"/>
                <w:sz w:val="18"/>
                <w:szCs w:val="18"/>
              </w:rPr>
            </w:pPr>
          </w:p>
        </w:tc>
        <w:tc>
          <w:tcPr>
            <w:tcW w:w="1306" w:type="dxa"/>
            <w:vMerge/>
            <w:tcBorders>
              <w:top w:val="single" w:sz="8" w:space="0" w:color="auto"/>
              <w:left w:val="single" w:sz="8" w:space="0" w:color="auto"/>
              <w:bottom w:val="single" w:sz="8" w:space="0" w:color="000000"/>
              <w:right w:val="single" w:sz="8" w:space="0" w:color="auto"/>
            </w:tcBorders>
            <w:vAlign w:val="center"/>
            <w:hideMark/>
          </w:tcPr>
          <w:p w14:paraId="570E5BC8" w14:textId="77777777" w:rsidR="00E2462C" w:rsidRPr="00232EBB" w:rsidRDefault="00E2462C" w:rsidP="00E2462C">
            <w:pPr>
              <w:spacing w:after="0" w:line="240" w:lineRule="auto"/>
              <w:rPr>
                <w:rFonts w:eastAsia="Times New Roman"/>
                <w:b/>
                <w:bCs/>
                <w:color w:val="FFFFFF"/>
                <w:spacing w:val="0"/>
                <w:sz w:val="18"/>
                <w:szCs w:val="18"/>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5CE3FA12" w14:textId="77777777" w:rsidR="00E2462C" w:rsidRPr="00232EBB" w:rsidRDefault="00E2462C" w:rsidP="00E2462C">
            <w:pPr>
              <w:spacing w:after="0" w:line="240" w:lineRule="auto"/>
              <w:rPr>
                <w:rFonts w:eastAsia="Times New Roman"/>
                <w:b/>
                <w:bCs/>
                <w:color w:val="FFFFFF"/>
                <w:spacing w:val="0"/>
                <w:sz w:val="18"/>
                <w:szCs w:val="18"/>
              </w:rPr>
            </w:pPr>
          </w:p>
        </w:tc>
        <w:tc>
          <w:tcPr>
            <w:tcW w:w="1220" w:type="dxa"/>
            <w:vMerge/>
            <w:tcBorders>
              <w:top w:val="single" w:sz="8" w:space="0" w:color="auto"/>
              <w:left w:val="single" w:sz="8" w:space="0" w:color="auto"/>
              <w:bottom w:val="single" w:sz="8" w:space="0" w:color="000000"/>
              <w:right w:val="single" w:sz="8" w:space="0" w:color="auto"/>
            </w:tcBorders>
            <w:vAlign w:val="center"/>
            <w:hideMark/>
          </w:tcPr>
          <w:p w14:paraId="30FD6C64" w14:textId="77777777" w:rsidR="00E2462C" w:rsidRPr="00232EBB" w:rsidRDefault="00E2462C" w:rsidP="00E2462C">
            <w:pPr>
              <w:spacing w:after="0" w:line="240" w:lineRule="auto"/>
              <w:rPr>
                <w:rFonts w:eastAsia="Times New Roman"/>
                <w:b/>
                <w:bCs/>
                <w:color w:val="FFFFFF"/>
                <w:spacing w:val="0"/>
                <w:sz w:val="18"/>
                <w:szCs w:val="18"/>
              </w:rPr>
            </w:pPr>
          </w:p>
        </w:tc>
        <w:tc>
          <w:tcPr>
            <w:tcW w:w="2300" w:type="dxa"/>
            <w:vMerge/>
            <w:tcBorders>
              <w:top w:val="single" w:sz="8" w:space="0" w:color="auto"/>
              <w:left w:val="single" w:sz="8" w:space="0" w:color="auto"/>
              <w:bottom w:val="single" w:sz="8" w:space="0" w:color="000000"/>
              <w:right w:val="single" w:sz="8" w:space="0" w:color="auto"/>
            </w:tcBorders>
            <w:vAlign w:val="center"/>
            <w:hideMark/>
          </w:tcPr>
          <w:p w14:paraId="053408BB" w14:textId="77777777" w:rsidR="00E2462C" w:rsidRPr="00232EBB" w:rsidRDefault="00E2462C" w:rsidP="00E2462C">
            <w:pPr>
              <w:spacing w:after="0" w:line="240" w:lineRule="auto"/>
              <w:rPr>
                <w:rFonts w:eastAsia="Times New Roman"/>
                <w:b/>
                <w:bCs/>
                <w:color w:val="FFFFFF"/>
                <w:spacing w:val="0"/>
                <w:sz w:val="18"/>
                <w:szCs w:val="18"/>
              </w:rPr>
            </w:pPr>
          </w:p>
        </w:tc>
        <w:tc>
          <w:tcPr>
            <w:tcW w:w="246" w:type="dxa"/>
            <w:tcBorders>
              <w:top w:val="nil"/>
              <w:left w:val="nil"/>
              <w:bottom w:val="nil"/>
              <w:right w:val="nil"/>
            </w:tcBorders>
            <w:noWrap/>
            <w:vAlign w:val="bottom"/>
            <w:hideMark/>
          </w:tcPr>
          <w:p w14:paraId="383F9D97" w14:textId="77777777" w:rsidR="00E2462C" w:rsidRPr="00232EBB" w:rsidRDefault="00E2462C" w:rsidP="00E2462C">
            <w:pPr>
              <w:spacing w:after="0" w:line="240" w:lineRule="auto"/>
              <w:jc w:val="center"/>
              <w:rPr>
                <w:rFonts w:eastAsia="Times New Roman"/>
                <w:b/>
                <w:bCs/>
                <w:color w:val="FFFFFF"/>
                <w:spacing w:val="0"/>
                <w:sz w:val="12"/>
                <w:szCs w:val="12"/>
              </w:rPr>
            </w:pPr>
          </w:p>
        </w:tc>
      </w:tr>
      <w:tr w:rsidR="00E2462C" w:rsidRPr="00232EBB" w14:paraId="547BBDCA" w14:textId="77777777" w:rsidTr="0024181E">
        <w:trPr>
          <w:trHeight w:val="639"/>
        </w:trPr>
        <w:tc>
          <w:tcPr>
            <w:tcW w:w="4088"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C44B4E3" w14:textId="25BA5BC9"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226</w:t>
            </w:r>
          </w:p>
        </w:tc>
        <w:tc>
          <w:tcPr>
            <w:tcW w:w="3813"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72DC7075" w14:textId="795FF2E0"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w:t>
            </w:r>
          </w:p>
        </w:tc>
        <w:tc>
          <w:tcPr>
            <w:tcW w:w="2300" w:type="dxa"/>
            <w:tcBorders>
              <w:top w:val="nil"/>
              <w:left w:val="nil"/>
              <w:bottom w:val="single" w:sz="8" w:space="0" w:color="auto"/>
              <w:right w:val="single" w:sz="8" w:space="0" w:color="auto"/>
            </w:tcBorders>
            <w:shd w:val="clear" w:color="000000" w:fill="FFFFFF"/>
            <w:noWrap/>
            <w:vAlign w:val="center"/>
            <w:hideMark/>
          </w:tcPr>
          <w:p w14:paraId="0DD32C6C" w14:textId="6F028941"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938</w:t>
            </w:r>
          </w:p>
        </w:tc>
        <w:tc>
          <w:tcPr>
            <w:tcW w:w="246" w:type="dxa"/>
            <w:vAlign w:val="center"/>
            <w:hideMark/>
          </w:tcPr>
          <w:p w14:paraId="795BDEB5" w14:textId="77777777" w:rsidR="00E2462C" w:rsidRPr="00232EBB" w:rsidRDefault="00E2462C" w:rsidP="00E2462C">
            <w:pPr>
              <w:spacing w:after="0" w:line="240" w:lineRule="auto"/>
              <w:rPr>
                <w:rFonts w:eastAsia="Times New Roman"/>
                <w:color w:val="auto"/>
                <w:spacing w:val="0"/>
                <w:sz w:val="20"/>
                <w:szCs w:val="20"/>
              </w:rPr>
            </w:pPr>
          </w:p>
        </w:tc>
      </w:tr>
      <w:tr w:rsidR="0024181E" w:rsidRPr="00232EBB" w14:paraId="3B0F04DD" w14:textId="77777777" w:rsidTr="0024181E">
        <w:trPr>
          <w:trHeight w:val="870"/>
        </w:trPr>
        <w:tc>
          <w:tcPr>
            <w:tcW w:w="1549" w:type="dxa"/>
            <w:tcBorders>
              <w:top w:val="nil"/>
              <w:left w:val="single" w:sz="8" w:space="0" w:color="auto"/>
              <w:bottom w:val="single" w:sz="8" w:space="0" w:color="auto"/>
              <w:right w:val="single" w:sz="8" w:space="0" w:color="auto"/>
            </w:tcBorders>
            <w:shd w:val="clear" w:color="000000" w:fill="FFFFFF"/>
            <w:noWrap/>
            <w:vAlign w:val="center"/>
            <w:hideMark/>
          </w:tcPr>
          <w:p w14:paraId="2A2CC7EC" w14:textId="58F707D0" w:rsidR="00E2462C" w:rsidRPr="00232EBB" w:rsidRDefault="004C1458" w:rsidP="00E2462C">
            <w:pPr>
              <w:spacing w:after="0" w:line="240" w:lineRule="auto"/>
              <w:jc w:val="center"/>
              <w:rPr>
                <w:rFonts w:eastAsia="Times New Roman"/>
                <w:spacing w:val="0"/>
                <w:sz w:val="18"/>
                <w:szCs w:val="18"/>
              </w:rPr>
            </w:pPr>
            <w:r w:rsidRPr="00232EBB">
              <w:rPr>
                <w:rFonts w:eastAsia="Calibri"/>
                <w:spacing w:val="0"/>
                <w:sz w:val="18"/>
                <w:szCs w:val="18"/>
              </w:rPr>
              <w:t>6,898,182.86</w:t>
            </w:r>
          </w:p>
        </w:tc>
        <w:tc>
          <w:tcPr>
            <w:tcW w:w="1204" w:type="dxa"/>
            <w:tcBorders>
              <w:top w:val="nil"/>
              <w:left w:val="nil"/>
              <w:bottom w:val="single" w:sz="8" w:space="0" w:color="auto"/>
              <w:right w:val="single" w:sz="8" w:space="0" w:color="auto"/>
            </w:tcBorders>
            <w:shd w:val="clear" w:color="000000" w:fill="FFFFFF"/>
            <w:noWrap/>
            <w:vAlign w:val="center"/>
            <w:hideMark/>
          </w:tcPr>
          <w:p w14:paraId="12FE84E6" w14:textId="191810DD"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6,956,987.89</w:t>
            </w:r>
          </w:p>
        </w:tc>
        <w:tc>
          <w:tcPr>
            <w:tcW w:w="1334" w:type="dxa"/>
            <w:tcBorders>
              <w:top w:val="nil"/>
              <w:left w:val="nil"/>
              <w:bottom w:val="single" w:sz="8" w:space="0" w:color="auto"/>
              <w:right w:val="single" w:sz="8" w:space="0" w:color="auto"/>
            </w:tcBorders>
            <w:shd w:val="clear" w:color="000000" w:fill="FFFFFF"/>
            <w:noWrap/>
            <w:vAlign w:val="center"/>
            <w:hideMark/>
          </w:tcPr>
          <w:p w14:paraId="493D2F11" w14:textId="2CAB98EB"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7,373,587.40</w:t>
            </w:r>
          </w:p>
        </w:tc>
        <w:tc>
          <w:tcPr>
            <w:tcW w:w="1306" w:type="dxa"/>
            <w:tcBorders>
              <w:top w:val="nil"/>
              <w:left w:val="nil"/>
              <w:bottom w:val="single" w:sz="8" w:space="0" w:color="auto"/>
              <w:right w:val="single" w:sz="8" w:space="0" w:color="auto"/>
            </w:tcBorders>
            <w:shd w:val="clear" w:color="000000" w:fill="FFFFFF"/>
            <w:noWrap/>
            <w:vAlign w:val="center"/>
            <w:hideMark/>
          </w:tcPr>
          <w:p w14:paraId="4B436BE7" w14:textId="77F22086"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13,977,122.32</w:t>
            </w:r>
          </w:p>
        </w:tc>
        <w:tc>
          <w:tcPr>
            <w:tcW w:w="1286" w:type="dxa"/>
            <w:tcBorders>
              <w:top w:val="nil"/>
              <w:left w:val="nil"/>
              <w:bottom w:val="single" w:sz="8" w:space="0" w:color="auto"/>
              <w:right w:val="single" w:sz="8" w:space="0" w:color="auto"/>
            </w:tcBorders>
            <w:shd w:val="clear" w:color="000000" w:fill="FFFFFF"/>
            <w:noWrap/>
            <w:vAlign w:val="center"/>
            <w:hideMark/>
          </w:tcPr>
          <w:p w14:paraId="748F56C1" w14:textId="6C5F1435"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13,687,836.57</w:t>
            </w:r>
          </w:p>
        </w:tc>
        <w:tc>
          <w:tcPr>
            <w:tcW w:w="1220" w:type="dxa"/>
            <w:tcBorders>
              <w:top w:val="nil"/>
              <w:left w:val="nil"/>
              <w:bottom w:val="single" w:sz="8" w:space="0" w:color="auto"/>
              <w:right w:val="single" w:sz="8" w:space="0" w:color="auto"/>
            </w:tcBorders>
            <w:shd w:val="clear" w:color="000000" w:fill="FFFFFF"/>
            <w:vAlign w:val="center"/>
            <w:hideMark/>
          </w:tcPr>
          <w:p w14:paraId="3A002226" w14:textId="77777777" w:rsidR="00E2462C" w:rsidRPr="00232EBB" w:rsidRDefault="00E2462C" w:rsidP="00E2462C">
            <w:pPr>
              <w:spacing w:after="0" w:line="240" w:lineRule="auto"/>
              <w:jc w:val="center"/>
              <w:rPr>
                <w:rFonts w:eastAsia="Times New Roman"/>
                <w:spacing w:val="0"/>
                <w:sz w:val="18"/>
                <w:szCs w:val="18"/>
              </w:rPr>
            </w:pPr>
            <w:r w:rsidRPr="00232EBB">
              <w:rPr>
                <w:rFonts w:eastAsia="Calibri"/>
                <w:spacing w:val="0"/>
                <w:sz w:val="18"/>
                <w:szCs w:val="18"/>
              </w:rPr>
              <w:t>0</w:t>
            </w:r>
          </w:p>
        </w:tc>
        <w:tc>
          <w:tcPr>
            <w:tcW w:w="2300" w:type="dxa"/>
            <w:tcBorders>
              <w:top w:val="nil"/>
              <w:left w:val="nil"/>
              <w:bottom w:val="single" w:sz="8" w:space="0" w:color="auto"/>
              <w:right w:val="single" w:sz="8" w:space="0" w:color="auto"/>
            </w:tcBorders>
            <w:shd w:val="clear" w:color="000000" w:fill="FFFFFF"/>
            <w:noWrap/>
            <w:vAlign w:val="center"/>
            <w:hideMark/>
          </w:tcPr>
          <w:p w14:paraId="322AE558" w14:textId="2EC6632A" w:rsidR="00E2462C" w:rsidRPr="00232EBB" w:rsidRDefault="00704842" w:rsidP="00E2462C">
            <w:pPr>
              <w:spacing w:after="0" w:line="240" w:lineRule="auto"/>
              <w:jc w:val="center"/>
              <w:rPr>
                <w:rFonts w:eastAsia="Times New Roman"/>
                <w:spacing w:val="0"/>
                <w:sz w:val="18"/>
                <w:szCs w:val="18"/>
              </w:rPr>
            </w:pPr>
            <w:r w:rsidRPr="00232EBB">
              <w:rPr>
                <w:rFonts w:eastAsia="Calibri"/>
                <w:spacing w:val="0"/>
                <w:sz w:val="18"/>
                <w:szCs w:val="18"/>
              </w:rPr>
              <w:t>97,942,034.71</w:t>
            </w:r>
          </w:p>
        </w:tc>
        <w:tc>
          <w:tcPr>
            <w:tcW w:w="246" w:type="dxa"/>
            <w:vAlign w:val="center"/>
            <w:hideMark/>
          </w:tcPr>
          <w:p w14:paraId="32AD3D22" w14:textId="77777777" w:rsidR="00E2462C" w:rsidRPr="00232EBB" w:rsidRDefault="00E2462C" w:rsidP="00E2462C">
            <w:pPr>
              <w:spacing w:after="0" w:line="240" w:lineRule="auto"/>
              <w:rPr>
                <w:rFonts w:eastAsia="Times New Roman"/>
                <w:color w:val="auto"/>
                <w:spacing w:val="0"/>
                <w:sz w:val="20"/>
                <w:szCs w:val="20"/>
              </w:rPr>
            </w:pPr>
          </w:p>
        </w:tc>
      </w:tr>
      <w:tr w:rsidR="00E2462C" w:rsidRPr="00232EBB" w14:paraId="47943B40" w14:textId="77777777" w:rsidTr="0024181E">
        <w:trPr>
          <w:trHeight w:val="608"/>
        </w:trPr>
        <w:tc>
          <w:tcPr>
            <w:tcW w:w="4088"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4A3A5F03" w14:textId="29DC81FA"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98.90%</w:t>
            </w:r>
          </w:p>
        </w:tc>
        <w:tc>
          <w:tcPr>
            <w:tcW w:w="3813"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3C5BCFEE" w14:textId="70F578CD"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w:t>
            </w:r>
          </w:p>
        </w:tc>
        <w:tc>
          <w:tcPr>
            <w:tcW w:w="2300" w:type="dxa"/>
            <w:tcBorders>
              <w:top w:val="nil"/>
              <w:left w:val="nil"/>
              <w:bottom w:val="single" w:sz="8" w:space="0" w:color="auto"/>
              <w:right w:val="single" w:sz="8" w:space="0" w:color="auto"/>
            </w:tcBorders>
            <w:shd w:val="clear" w:color="000000" w:fill="FFFFFF"/>
            <w:noWrap/>
            <w:vAlign w:val="center"/>
            <w:hideMark/>
          </w:tcPr>
          <w:p w14:paraId="2944AF22" w14:textId="4EDC645D"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98.80%</w:t>
            </w:r>
          </w:p>
        </w:tc>
        <w:tc>
          <w:tcPr>
            <w:tcW w:w="246" w:type="dxa"/>
            <w:vAlign w:val="center"/>
            <w:hideMark/>
          </w:tcPr>
          <w:p w14:paraId="4AFF84BE" w14:textId="77777777" w:rsidR="00E2462C" w:rsidRPr="00232EBB" w:rsidRDefault="00E2462C" w:rsidP="00E2462C">
            <w:pPr>
              <w:spacing w:after="0" w:line="240" w:lineRule="auto"/>
              <w:rPr>
                <w:rFonts w:eastAsia="Times New Roman"/>
                <w:color w:val="auto"/>
                <w:spacing w:val="0"/>
                <w:sz w:val="20"/>
                <w:szCs w:val="20"/>
              </w:rPr>
            </w:pPr>
          </w:p>
        </w:tc>
      </w:tr>
      <w:tr w:rsidR="0024181E" w:rsidRPr="00232EBB" w14:paraId="1271E591" w14:textId="77777777" w:rsidTr="0024181E">
        <w:trPr>
          <w:trHeight w:val="870"/>
        </w:trPr>
        <w:tc>
          <w:tcPr>
            <w:tcW w:w="1549" w:type="dxa"/>
            <w:tcBorders>
              <w:top w:val="nil"/>
              <w:left w:val="single" w:sz="8" w:space="0" w:color="auto"/>
              <w:bottom w:val="single" w:sz="8" w:space="0" w:color="auto"/>
              <w:right w:val="single" w:sz="8" w:space="0" w:color="auto"/>
            </w:tcBorders>
            <w:shd w:val="clear" w:color="000000" w:fill="FFFFFF"/>
            <w:noWrap/>
            <w:vAlign w:val="center"/>
            <w:hideMark/>
          </w:tcPr>
          <w:p w14:paraId="1CB1D201" w14:textId="6F78397F" w:rsidR="00E2462C" w:rsidRPr="00232EBB" w:rsidRDefault="00704842" w:rsidP="00E2462C">
            <w:pPr>
              <w:spacing w:after="0" w:line="240" w:lineRule="auto"/>
              <w:jc w:val="center"/>
              <w:rPr>
                <w:rFonts w:eastAsia="Times New Roman"/>
                <w:spacing w:val="0"/>
                <w:sz w:val="18"/>
                <w:szCs w:val="18"/>
              </w:rPr>
            </w:pPr>
            <w:r w:rsidRPr="00232EBB">
              <w:rPr>
                <w:rFonts w:eastAsia="Calibri"/>
                <w:spacing w:val="0"/>
                <w:sz w:val="18"/>
                <w:szCs w:val="18"/>
              </w:rPr>
              <w:t>8,477,393.71</w:t>
            </w:r>
          </w:p>
        </w:tc>
        <w:tc>
          <w:tcPr>
            <w:tcW w:w="1204" w:type="dxa"/>
            <w:tcBorders>
              <w:top w:val="nil"/>
              <w:left w:val="nil"/>
              <w:bottom w:val="single" w:sz="8" w:space="0" w:color="auto"/>
              <w:right w:val="single" w:sz="8" w:space="0" w:color="auto"/>
            </w:tcBorders>
            <w:shd w:val="clear" w:color="000000" w:fill="FFFFFF"/>
            <w:noWrap/>
            <w:vAlign w:val="center"/>
            <w:hideMark/>
          </w:tcPr>
          <w:p w14:paraId="6CD23C57" w14:textId="7242F7A6"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9,476,744.27</w:t>
            </w:r>
          </w:p>
        </w:tc>
        <w:tc>
          <w:tcPr>
            <w:tcW w:w="1334" w:type="dxa"/>
            <w:tcBorders>
              <w:top w:val="nil"/>
              <w:left w:val="nil"/>
              <w:bottom w:val="single" w:sz="8" w:space="0" w:color="auto"/>
              <w:right w:val="single" w:sz="8" w:space="0" w:color="auto"/>
            </w:tcBorders>
            <w:shd w:val="clear" w:color="000000" w:fill="FFFFFF"/>
            <w:noWrap/>
            <w:vAlign w:val="center"/>
            <w:hideMark/>
          </w:tcPr>
          <w:p w14:paraId="5861B67D" w14:textId="6EA83749" w:rsidR="00E2462C" w:rsidRPr="00232EBB" w:rsidRDefault="00704842" w:rsidP="00E2462C">
            <w:pPr>
              <w:spacing w:after="0" w:line="240" w:lineRule="auto"/>
              <w:jc w:val="center"/>
              <w:rPr>
                <w:rFonts w:eastAsia="Times New Roman"/>
                <w:spacing w:val="0"/>
                <w:sz w:val="18"/>
                <w:szCs w:val="18"/>
              </w:rPr>
            </w:pPr>
            <w:r w:rsidRPr="00232EBB">
              <w:rPr>
                <w:rFonts w:eastAsia="Calibri"/>
                <w:spacing w:val="0"/>
                <w:sz w:val="18"/>
                <w:szCs w:val="18"/>
              </w:rPr>
              <w:t>8,936,314.89</w:t>
            </w:r>
          </w:p>
        </w:tc>
        <w:tc>
          <w:tcPr>
            <w:tcW w:w="1306" w:type="dxa"/>
            <w:tcBorders>
              <w:top w:val="nil"/>
              <w:left w:val="nil"/>
              <w:bottom w:val="single" w:sz="8" w:space="0" w:color="auto"/>
              <w:right w:val="single" w:sz="8" w:space="0" w:color="auto"/>
            </w:tcBorders>
            <w:shd w:val="clear" w:color="000000" w:fill="FFFFFF"/>
            <w:noWrap/>
            <w:vAlign w:val="center"/>
            <w:hideMark/>
          </w:tcPr>
          <w:p w14:paraId="37A2AE01" w14:textId="5DCD17FD"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16,643,239.62</w:t>
            </w:r>
          </w:p>
        </w:tc>
        <w:tc>
          <w:tcPr>
            <w:tcW w:w="1286" w:type="dxa"/>
            <w:tcBorders>
              <w:top w:val="nil"/>
              <w:left w:val="nil"/>
              <w:bottom w:val="single" w:sz="8" w:space="0" w:color="auto"/>
              <w:right w:val="single" w:sz="8" w:space="0" w:color="auto"/>
            </w:tcBorders>
            <w:shd w:val="clear" w:color="000000" w:fill="FFFFFF"/>
            <w:noWrap/>
            <w:vAlign w:val="center"/>
            <w:hideMark/>
          </w:tcPr>
          <w:p w14:paraId="76FA38F9" w14:textId="1E03CDF4"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16,425,715.24</w:t>
            </w:r>
          </w:p>
        </w:tc>
        <w:tc>
          <w:tcPr>
            <w:tcW w:w="1220" w:type="dxa"/>
            <w:tcBorders>
              <w:top w:val="nil"/>
              <w:left w:val="nil"/>
              <w:bottom w:val="single" w:sz="8" w:space="0" w:color="auto"/>
              <w:right w:val="single" w:sz="8" w:space="0" w:color="auto"/>
            </w:tcBorders>
            <w:shd w:val="clear" w:color="000000" w:fill="FFFFFF"/>
            <w:vAlign w:val="center"/>
            <w:hideMark/>
          </w:tcPr>
          <w:p w14:paraId="786895C6" w14:textId="77777777" w:rsidR="00E2462C" w:rsidRPr="00232EBB" w:rsidRDefault="00E2462C" w:rsidP="00E2462C">
            <w:pPr>
              <w:spacing w:after="0" w:line="240" w:lineRule="auto"/>
              <w:jc w:val="center"/>
              <w:rPr>
                <w:rFonts w:eastAsia="Times New Roman"/>
                <w:spacing w:val="0"/>
                <w:sz w:val="18"/>
                <w:szCs w:val="18"/>
              </w:rPr>
            </w:pPr>
            <w:r w:rsidRPr="00232EBB">
              <w:rPr>
                <w:rFonts w:eastAsia="Calibri"/>
                <w:spacing w:val="0"/>
                <w:sz w:val="18"/>
                <w:szCs w:val="18"/>
              </w:rPr>
              <w:t>0</w:t>
            </w:r>
          </w:p>
        </w:tc>
        <w:tc>
          <w:tcPr>
            <w:tcW w:w="2300" w:type="dxa"/>
            <w:tcBorders>
              <w:top w:val="nil"/>
              <w:left w:val="nil"/>
              <w:bottom w:val="single" w:sz="8" w:space="0" w:color="auto"/>
              <w:right w:val="single" w:sz="8" w:space="0" w:color="auto"/>
            </w:tcBorders>
            <w:shd w:val="clear" w:color="000000" w:fill="FFFFFF"/>
            <w:noWrap/>
            <w:vAlign w:val="center"/>
            <w:hideMark/>
          </w:tcPr>
          <w:p w14:paraId="5F46CDBB" w14:textId="1C4D000B"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110,250,537.76</w:t>
            </w:r>
          </w:p>
        </w:tc>
        <w:tc>
          <w:tcPr>
            <w:tcW w:w="246" w:type="dxa"/>
            <w:vAlign w:val="center"/>
            <w:hideMark/>
          </w:tcPr>
          <w:p w14:paraId="3A4F6210" w14:textId="77777777" w:rsidR="00E2462C" w:rsidRPr="00232EBB" w:rsidRDefault="00E2462C" w:rsidP="00E2462C">
            <w:pPr>
              <w:spacing w:after="0" w:line="240" w:lineRule="auto"/>
              <w:rPr>
                <w:rFonts w:eastAsia="Times New Roman"/>
                <w:color w:val="auto"/>
                <w:spacing w:val="0"/>
                <w:sz w:val="20"/>
                <w:szCs w:val="20"/>
              </w:rPr>
            </w:pPr>
          </w:p>
        </w:tc>
      </w:tr>
      <w:tr w:rsidR="00E2462C" w:rsidRPr="00232EBB" w14:paraId="5A9EBDBC" w14:textId="77777777" w:rsidTr="0024181E">
        <w:trPr>
          <w:trHeight w:val="710"/>
        </w:trPr>
        <w:tc>
          <w:tcPr>
            <w:tcW w:w="4088"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680B8C7" w14:textId="08E7A086"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99%</w:t>
            </w:r>
          </w:p>
        </w:tc>
        <w:tc>
          <w:tcPr>
            <w:tcW w:w="3813"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033D809D" w14:textId="14285360"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w:t>
            </w:r>
          </w:p>
        </w:tc>
        <w:tc>
          <w:tcPr>
            <w:tcW w:w="2300" w:type="dxa"/>
            <w:tcBorders>
              <w:top w:val="nil"/>
              <w:left w:val="nil"/>
              <w:bottom w:val="single" w:sz="8" w:space="0" w:color="auto"/>
              <w:right w:val="single" w:sz="8" w:space="0" w:color="auto"/>
            </w:tcBorders>
            <w:shd w:val="clear" w:color="000000" w:fill="FFFFFF"/>
            <w:noWrap/>
            <w:vAlign w:val="center"/>
            <w:hideMark/>
          </w:tcPr>
          <w:p w14:paraId="697BC419" w14:textId="6BD8F61E" w:rsidR="00E2462C" w:rsidRPr="00232EBB" w:rsidRDefault="00C16573" w:rsidP="00E2462C">
            <w:pPr>
              <w:spacing w:after="0" w:line="240" w:lineRule="auto"/>
              <w:jc w:val="center"/>
              <w:rPr>
                <w:rFonts w:eastAsia="Times New Roman"/>
                <w:spacing w:val="0"/>
                <w:sz w:val="18"/>
                <w:szCs w:val="18"/>
              </w:rPr>
            </w:pPr>
            <w:r w:rsidRPr="00232EBB">
              <w:rPr>
                <w:rFonts w:eastAsia="Times New Roman"/>
                <w:spacing w:val="0"/>
                <w:sz w:val="18"/>
                <w:szCs w:val="18"/>
              </w:rPr>
              <w:t>98.93%</w:t>
            </w:r>
          </w:p>
        </w:tc>
        <w:tc>
          <w:tcPr>
            <w:tcW w:w="246" w:type="dxa"/>
            <w:vAlign w:val="center"/>
            <w:hideMark/>
          </w:tcPr>
          <w:p w14:paraId="4C1EF4B6" w14:textId="77777777" w:rsidR="00E2462C" w:rsidRPr="00232EBB" w:rsidRDefault="00E2462C" w:rsidP="00E2462C">
            <w:pPr>
              <w:spacing w:after="0" w:line="240" w:lineRule="auto"/>
              <w:rPr>
                <w:rFonts w:eastAsia="Times New Roman"/>
                <w:color w:val="auto"/>
                <w:spacing w:val="0"/>
                <w:sz w:val="20"/>
                <w:szCs w:val="20"/>
              </w:rPr>
            </w:pPr>
          </w:p>
        </w:tc>
      </w:tr>
      <w:tr w:rsidR="0024181E" w:rsidRPr="00232EBB" w14:paraId="4A6772C0" w14:textId="77777777" w:rsidTr="00704842">
        <w:trPr>
          <w:trHeight w:val="870"/>
        </w:trPr>
        <w:tc>
          <w:tcPr>
            <w:tcW w:w="1549" w:type="dxa"/>
            <w:tcBorders>
              <w:top w:val="nil"/>
              <w:left w:val="single" w:sz="8" w:space="0" w:color="auto"/>
              <w:bottom w:val="single" w:sz="8" w:space="0" w:color="auto"/>
              <w:right w:val="single" w:sz="8" w:space="0" w:color="auto"/>
            </w:tcBorders>
            <w:shd w:val="clear" w:color="000000" w:fill="FFFFFF"/>
            <w:noWrap/>
            <w:vAlign w:val="center"/>
          </w:tcPr>
          <w:p w14:paraId="16E1CA6A" w14:textId="265ACC46"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2,969,932.06</w:t>
            </w:r>
          </w:p>
        </w:tc>
        <w:tc>
          <w:tcPr>
            <w:tcW w:w="1204" w:type="dxa"/>
            <w:tcBorders>
              <w:top w:val="nil"/>
              <w:left w:val="nil"/>
              <w:bottom w:val="single" w:sz="8" w:space="0" w:color="auto"/>
              <w:right w:val="single" w:sz="8" w:space="0" w:color="auto"/>
            </w:tcBorders>
            <w:shd w:val="clear" w:color="000000" w:fill="FFFFFF"/>
            <w:noWrap/>
            <w:vAlign w:val="center"/>
          </w:tcPr>
          <w:p w14:paraId="6F1EF44F" w14:textId="351B1187"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2,992,019.95</w:t>
            </w:r>
          </w:p>
        </w:tc>
        <w:tc>
          <w:tcPr>
            <w:tcW w:w="1334" w:type="dxa"/>
            <w:tcBorders>
              <w:top w:val="nil"/>
              <w:left w:val="nil"/>
              <w:bottom w:val="single" w:sz="8" w:space="0" w:color="auto"/>
              <w:right w:val="single" w:sz="8" w:space="0" w:color="auto"/>
            </w:tcBorders>
            <w:shd w:val="clear" w:color="000000" w:fill="FFFFFF"/>
            <w:noWrap/>
            <w:vAlign w:val="center"/>
          </w:tcPr>
          <w:p w14:paraId="118F768F" w14:textId="710EFE67"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3,200,426.49</w:t>
            </w:r>
          </w:p>
        </w:tc>
        <w:tc>
          <w:tcPr>
            <w:tcW w:w="1306" w:type="dxa"/>
            <w:tcBorders>
              <w:top w:val="nil"/>
              <w:left w:val="nil"/>
              <w:bottom w:val="single" w:sz="8" w:space="0" w:color="auto"/>
              <w:right w:val="single" w:sz="8" w:space="0" w:color="auto"/>
            </w:tcBorders>
            <w:shd w:val="clear" w:color="000000" w:fill="FFFFFF"/>
            <w:noWrap/>
            <w:vAlign w:val="center"/>
          </w:tcPr>
          <w:p w14:paraId="47C4092A" w14:textId="2B533BA7"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5,795,226.49</w:t>
            </w:r>
          </w:p>
        </w:tc>
        <w:tc>
          <w:tcPr>
            <w:tcW w:w="1286" w:type="dxa"/>
            <w:tcBorders>
              <w:top w:val="nil"/>
              <w:left w:val="nil"/>
              <w:bottom w:val="single" w:sz="8" w:space="0" w:color="auto"/>
              <w:right w:val="single" w:sz="8" w:space="0" w:color="auto"/>
            </w:tcBorders>
            <w:shd w:val="clear" w:color="000000" w:fill="FFFFFF"/>
            <w:noWrap/>
            <w:vAlign w:val="center"/>
          </w:tcPr>
          <w:p w14:paraId="46A07975" w14:textId="676B0F14"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5,895,692.61</w:t>
            </w:r>
          </w:p>
        </w:tc>
        <w:tc>
          <w:tcPr>
            <w:tcW w:w="1220" w:type="dxa"/>
            <w:tcBorders>
              <w:top w:val="nil"/>
              <w:left w:val="nil"/>
              <w:bottom w:val="single" w:sz="8" w:space="0" w:color="auto"/>
              <w:right w:val="single" w:sz="8" w:space="0" w:color="auto"/>
            </w:tcBorders>
            <w:shd w:val="clear" w:color="000000" w:fill="FFFFFF"/>
            <w:vAlign w:val="center"/>
            <w:hideMark/>
          </w:tcPr>
          <w:p w14:paraId="1560583F" w14:textId="77777777" w:rsidR="00E2462C" w:rsidRPr="00232EBB" w:rsidRDefault="00E2462C" w:rsidP="00E2462C">
            <w:pPr>
              <w:spacing w:after="0" w:line="240" w:lineRule="auto"/>
              <w:jc w:val="center"/>
              <w:rPr>
                <w:rFonts w:eastAsia="Times New Roman"/>
                <w:spacing w:val="0"/>
                <w:sz w:val="18"/>
                <w:szCs w:val="18"/>
              </w:rPr>
            </w:pPr>
            <w:r w:rsidRPr="00232EBB">
              <w:rPr>
                <w:rFonts w:eastAsia="Calibri"/>
                <w:spacing w:val="0"/>
                <w:sz w:val="18"/>
                <w:szCs w:val="18"/>
              </w:rPr>
              <w:t>0</w:t>
            </w:r>
          </w:p>
        </w:tc>
        <w:tc>
          <w:tcPr>
            <w:tcW w:w="2300" w:type="dxa"/>
            <w:tcBorders>
              <w:top w:val="nil"/>
              <w:left w:val="nil"/>
              <w:bottom w:val="single" w:sz="8" w:space="0" w:color="auto"/>
              <w:right w:val="single" w:sz="8" w:space="0" w:color="auto"/>
            </w:tcBorders>
            <w:shd w:val="clear" w:color="000000" w:fill="FFFFFF"/>
            <w:noWrap/>
            <w:vAlign w:val="center"/>
            <w:hideMark/>
          </w:tcPr>
          <w:p w14:paraId="2C261B17" w14:textId="55A2A3F1" w:rsidR="00E2462C" w:rsidRPr="00232EBB" w:rsidRDefault="00704842" w:rsidP="00E2462C">
            <w:pPr>
              <w:spacing w:after="0" w:line="240" w:lineRule="auto"/>
              <w:jc w:val="center"/>
              <w:rPr>
                <w:rFonts w:eastAsia="Times New Roman"/>
                <w:spacing w:val="0"/>
                <w:sz w:val="18"/>
                <w:szCs w:val="18"/>
              </w:rPr>
            </w:pPr>
            <w:r w:rsidRPr="00232EBB">
              <w:rPr>
                <w:rFonts w:eastAsia="Times New Roman"/>
                <w:spacing w:val="0"/>
                <w:sz w:val="18"/>
                <w:szCs w:val="18"/>
              </w:rPr>
              <w:t>41,541,386.00</w:t>
            </w:r>
          </w:p>
        </w:tc>
        <w:tc>
          <w:tcPr>
            <w:tcW w:w="246" w:type="dxa"/>
            <w:vAlign w:val="center"/>
            <w:hideMark/>
          </w:tcPr>
          <w:p w14:paraId="4CEA0FA8" w14:textId="77777777" w:rsidR="00E2462C" w:rsidRPr="00232EBB" w:rsidRDefault="00E2462C" w:rsidP="00E2462C">
            <w:pPr>
              <w:spacing w:after="0" w:line="240" w:lineRule="auto"/>
              <w:rPr>
                <w:rFonts w:eastAsia="Times New Roman"/>
                <w:color w:val="auto"/>
                <w:spacing w:val="0"/>
                <w:sz w:val="20"/>
                <w:szCs w:val="20"/>
              </w:rPr>
            </w:pPr>
          </w:p>
        </w:tc>
      </w:tr>
    </w:tbl>
    <w:p w14:paraId="074BA40E" w14:textId="713DAAD3" w:rsidR="00E2462C" w:rsidRPr="00232EBB" w:rsidRDefault="000A65D8" w:rsidP="00256FFA">
      <w:pPr>
        <w:ind w:left="-990"/>
        <w:rPr>
          <w:rFonts w:eastAsia="Calibri"/>
          <w:sz w:val="18"/>
          <w:szCs w:val="18"/>
          <w:lang w:val="es-DO"/>
        </w:rPr>
      </w:pPr>
      <w:r w:rsidRPr="00232EBB">
        <w:rPr>
          <w:rFonts w:eastAsia="Calibri"/>
          <w:b/>
          <w:bCs/>
          <w:sz w:val="18"/>
          <w:szCs w:val="18"/>
          <w:lang w:val="es-DO"/>
        </w:rPr>
        <w:t xml:space="preserve">                        Fuente:</w:t>
      </w:r>
      <w:r w:rsidRPr="00232EBB">
        <w:rPr>
          <w:rFonts w:eastAsia="Calibri"/>
          <w:sz w:val="18"/>
          <w:szCs w:val="18"/>
          <w:lang w:val="es-DO"/>
        </w:rPr>
        <w:t xml:space="preserve"> Datos Internos Tesorería de la Seguridad Social Ejecución Devengado al 30 de noviembre del 202</w:t>
      </w:r>
      <w:r w:rsidR="00457D2E" w:rsidRPr="00232EBB">
        <w:rPr>
          <w:rFonts w:eastAsia="Calibri"/>
          <w:sz w:val="18"/>
          <w:szCs w:val="18"/>
          <w:lang w:val="es-DO"/>
        </w:rPr>
        <w:t>5</w:t>
      </w:r>
      <w:r w:rsidRPr="00232EBB">
        <w:rPr>
          <w:rFonts w:eastAsia="Calibri"/>
          <w:sz w:val="18"/>
          <w:szCs w:val="18"/>
          <w:lang w:val="es-DO"/>
        </w:rPr>
        <w:t>.</w:t>
      </w:r>
    </w:p>
    <w:tbl>
      <w:tblPr>
        <w:tblStyle w:val="TableGrid"/>
        <w:tblpPr w:leftFromText="141" w:rightFromText="141" w:vertAnchor="page" w:horzAnchor="margin" w:tblpY="2037"/>
        <w:tblW w:w="11701" w:type="dxa"/>
        <w:tblLook w:val="04A0" w:firstRow="1" w:lastRow="0" w:firstColumn="1" w:lastColumn="0" w:noHBand="0" w:noVBand="1"/>
      </w:tblPr>
      <w:tblGrid>
        <w:gridCol w:w="535"/>
        <w:gridCol w:w="1788"/>
        <w:gridCol w:w="1664"/>
        <w:gridCol w:w="1741"/>
        <w:gridCol w:w="1551"/>
        <w:gridCol w:w="1184"/>
        <w:gridCol w:w="1157"/>
        <w:gridCol w:w="2081"/>
      </w:tblGrid>
      <w:tr w:rsidR="001E67A6" w:rsidRPr="00232EBB" w14:paraId="775BFEEC" w14:textId="77777777" w:rsidTr="001E67A6">
        <w:trPr>
          <w:trHeight w:val="682"/>
          <w:tblHeader/>
        </w:trPr>
        <w:tc>
          <w:tcPr>
            <w:tcW w:w="535" w:type="dxa"/>
            <w:shd w:val="clear" w:color="auto" w:fill="1F3864" w:themeFill="accent1" w:themeFillShade="80"/>
            <w:vAlign w:val="center"/>
            <w:hideMark/>
          </w:tcPr>
          <w:p w14:paraId="6C7970F9" w14:textId="77777777" w:rsidR="001E67A6" w:rsidRPr="00232EBB" w:rsidRDefault="001E67A6" w:rsidP="001E67A6">
            <w:pPr>
              <w:jc w:val="center"/>
              <w:rPr>
                <w:rFonts w:ascii="Times New Roman" w:hAnsi="Times New Roman" w:cs="Times New Roman"/>
                <w:b/>
                <w:bCs/>
                <w:lang w:val="es-DO" w:eastAsia="es-DO"/>
              </w:rPr>
            </w:pPr>
            <w:r w:rsidRPr="00232EBB">
              <w:rPr>
                <w:rFonts w:ascii="Times New Roman" w:hAnsi="Times New Roman" w:cs="Times New Roman"/>
                <w:b/>
                <w:bCs/>
                <w:color w:val="FFFFFF"/>
                <w:sz w:val="18"/>
                <w:szCs w:val="18"/>
                <w:lang w:val="es-DO" w:eastAsia="es-DO"/>
              </w:rPr>
              <w:lastRenderedPageBreak/>
              <w:t>NO.</w:t>
            </w:r>
          </w:p>
        </w:tc>
        <w:tc>
          <w:tcPr>
            <w:tcW w:w="1788" w:type="dxa"/>
            <w:shd w:val="clear" w:color="auto" w:fill="1F3864" w:themeFill="accent1" w:themeFillShade="80"/>
            <w:vAlign w:val="center"/>
            <w:hideMark/>
          </w:tcPr>
          <w:p w14:paraId="09EFE8FC" w14:textId="77777777" w:rsidR="001E67A6" w:rsidRPr="00232EBB" w:rsidRDefault="001E67A6" w:rsidP="001E67A6">
            <w:pPr>
              <w:jc w:val="center"/>
              <w:rPr>
                <w:rFonts w:ascii="Times New Roman" w:hAnsi="Times New Roman" w:cs="Times New Roman"/>
                <w:b/>
                <w:bCs/>
                <w:lang w:val="es-DO" w:eastAsia="es-DO"/>
              </w:rPr>
            </w:pPr>
            <w:r w:rsidRPr="00232EBB">
              <w:rPr>
                <w:rFonts w:ascii="Times New Roman" w:hAnsi="Times New Roman" w:cs="Times New Roman"/>
                <w:b/>
                <w:bCs/>
                <w:color w:val="FFFFFF"/>
                <w:sz w:val="18"/>
                <w:szCs w:val="18"/>
                <w:lang w:val="es-DO" w:eastAsia="es-DO"/>
              </w:rPr>
              <w:t>ÁREA</w:t>
            </w:r>
          </w:p>
        </w:tc>
        <w:tc>
          <w:tcPr>
            <w:tcW w:w="1664" w:type="dxa"/>
            <w:shd w:val="clear" w:color="auto" w:fill="1F3864" w:themeFill="accent1" w:themeFillShade="80"/>
            <w:vAlign w:val="center"/>
            <w:hideMark/>
          </w:tcPr>
          <w:p w14:paraId="53C9CE02" w14:textId="77777777" w:rsidR="001E67A6" w:rsidRPr="00232EBB" w:rsidRDefault="001E67A6" w:rsidP="001E67A6">
            <w:pPr>
              <w:jc w:val="center"/>
              <w:rPr>
                <w:rFonts w:ascii="Times New Roman" w:hAnsi="Times New Roman" w:cs="Times New Roman"/>
                <w:b/>
                <w:bCs/>
                <w:lang w:val="es-DO" w:eastAsia="es-DO"/>
              </w:rPr>
            </w:pPr>
            <w:r w:rsidRPr="00232EBB">
              <w:rPr>
                <w:rFonts w:ascii="Times New Roman" w:hAnsi="Times New Roman" w:cs="Times New Roman"/>
                <w:b/>
                <w:bCs/>
                <w:color w:val="FFFFFF"/>
                <w:sz w:val="18"/>
                <w:szCs w:val="18"/>
                <w:lang w:val="es-DO" w:eastAsia="es-DO"/>
              </w:rPr>
              <w:t>PROCESO</w:t>
            </w:r>
          </w:p>
        </w:tc>
        <w:tc>
          <w:tcPr>
            <w:tcW w:w="1741" w:type="dxa"/>
            <w:shd w:val="clear" w:color="auto" w:fill="1F3864" w:themeFill="accent1" w:themeFillShade="80"/>
            <w:vAlign w:val="center"/>
          </w:tcPr>
          <w:p w14:paraId="7FF100FC" w14:textId="77777777" w:rsidR="001E67A6" w:rsidRPr="00232EBB" w:rsidRDefault="001E67A6" w:rsidP="001E67A6">
            <w:pPr>
              <w:jc w:val="center"/>
              <w:rPr>
                <w:rFonts w:ascii="Times New Roman" w:hAnsi="Times New Roman" w:cs="Times New Roman"/>
                <w:b/>
                <w:bCs/>
                <w:color w:val="FFFFFF"/>
                <w:sz w:val="18"/>
                <w:szCs w:val="18"/>
                <w:lang w:val="es-DO" w:eastAsia="es-DO"/>
              </w:rPr>
            </w:pPr>
            <w:r w:rsidRPr="00232EBB">
              <w:rPr>
                <w:rFonts w:ascii="Times New Roman" w:hAnsi="Times New Roman" w:cs="Times New Roman"/>
                <w:b/>
                <w:bCs/>
                <w:color w:val="FFFFFF"/>
                <w:sz w:val="18"/>
                <w:szCs w:val="18"/>
                <w:lang w:val="es-DO" w:eastAsia="es-DO"/>
              </w:rPr>
              <w:t>NOMBRE DEL INDICADOR</w:t>
            </w:r>
          </w:p>
        </w:tc>
        <w:tc>
          <w:tcPr>
            <w:tcW w:w="1551" w:type="dxa"/>
            <w:shd w:val="clear" w:color="auto" w:fill="1F3864" w:themeFill="accent1" w:themeFillShade="80"/>
            <w:vAlign w:val="center"/>
            <w:hideMark/>
          </w:tcPr>
          <w:p w14:paraId="5BBFB0B7" w14:textId="77777777" w:rsidR="001E67A6" w:rsidRPr="00232EBB" w:rsidRDefault="001E67A6" w:rsidP="001E67A6">
            <w:pPr>
              <w:jc w:val="center"/>
              <w:rPr>
                <w:rFonts w:ascii="Times New Roman" w:hAnsi="Times New Roman" w:cs="Times New Roman"/>
                <w:b/>
                <w:bCs/>
                <w:lang w:val="es-DO" w:eastAsia="es-DO"/>
              </w:rPr>
            </w:pPr>
            <w:r w:rsidRPr="00232EBB">
              <w:rPr>
                <w:rFonts w:ascii="Times New Roman" w:hAnsi="Times New Roman" w:cs="Times New Roman"/>
                <w:b/>
                <w:bCs/>
                <w:color w:val="FFFFFF"/>
                <w:sz w:val="18"/>
                <w:szCs w:val="18"/>
                <w:lang w:val="es-DO" w:eastAsia="es-DO"/>
              </w:rPr>
              <w:t>FRECUENCIA</w:t>
            </w:r>
          </w:p>
        </w:tc>
        <w:tc>
          <w:tcPr>
            <w:tcW w:w="1184" w:type="dxa"/>
            <w:shd w:val="clear" w:color="auto" w:fill="1F3864" w:themeFill="accent1" w:themeFillShade="80"/>
            <w:vAlign w:val="center"/>
            <w:hideMark/>
          </w:tcPr>
          <w:p w14:paraId="63EB4F58" w14:textId="77777777" w:rsidR="001E67A6" w:rsidRPr="00232EBB" w:rsidRDefault="001E67A6" w:rsidP="001E67A6">
            <w:pPr>
              <w:jc w:val="center"/>
              <w:rPr>
                <w:rFonts w:ascii="Times New Roman" w:hAnsi="Times New Roman" w:cs="Times New Roman"/>
                <w:b/>
                <w:bCs/>
                <w:color w:val="FFFFFF"/>
                <w:sz w:val="18"/>
                <w:szCs w:val="18"/>
                <w:lang w:val="es-DO" w:eastAsia="es-DO"/>
              </w:rPr>
            </w:pPr>
            <w:r w:rsidRPr="00232EBB">
              <w:rPr>
                <w:rFonts w:ascii="Times New Roman" w:hAnsi="Times New Roman" w:cs="Times New Roman"/>
                <w:b/>
                <w:bCs/>
                <w:color w:val="FFFFFF"/>
                <w:sz w:val="18"/>
                <w:szCs w:val="18"/>
                <w:lang w:val="es-DO" w:eastAsia="es-DO"/>
              </w:rPr>
              <w:t>META</w:t>
            </w:r>
          </w:p>
        </w:tc>
        <w:tc>
          <w:tcPr>
            <w:tcW w:w="1157" w:type="dxa"/>
            <w:shd w:val="clear" w:color="auto" w:fill="1F3864" w:themeFill="accent1" w:themeFillShade="80"/>
            <w:vAlign w:val="center"/>
            <w:hideMark/>
          </w:tcPr>
          <w:p w14:paraId="554FCE44" w14:textId="77777777" w:rsidR="001E67A6" w:rsidRPr="00232EBB" w:rsidRDefault="001E67A6" w:rsidP="001E67A6">
            <w:pPr>
              <w:jc w:val="center"/>
              <w:rPr>
                <w:rFonts w:ascii="Times New Roman" w:hAnsi="Times New Roman" w:cs="Times New Roman"/>
                <w:b/>
                <w:bCs/>
                <w:lang w:val="es-DO" w:eastAsia="es-DO"/>
              </w:rPr>
            </w:pPr>
            <w:r w:rsidRPr="00232EBB">
              <w:rPr>
                <w:rFonts w:ascii="Times New Roman" w:hAnsi="Times New Roman" w:cs="Times New Roman"/>
                <w:b/>
                <w:bCs/>
                <w:color w:val="FFFFFF"/>
                <w:sz w:val="18"/>
                <w:szCs w:val="18"/>
                <w:lang w:val="es-DO" w:eastAsia="es-DO"/>
              </w:rPr>
              <w:t>LOGRO</w:t>
            </w:r>
          </w:p>
        </w:tc>
        <w:tc>
          <w:tcPr>
            <w:tcW w:w="2081" w:type="dxa"/>
            <w:shd w:val="clear" w:color="auto" w:fill="1F3864" w:themeFill="accent1" w:themeFillShade="80"/>
            <w:vAlign w:val="center"/>
            <w:hideMark/>
          </w:tcPr>
          <w:p w14:paraId="71A8E4BC" w14:textId="77777777" w:rsidR="001E67A6" w:rsidRPr="00232EBB" w:rsidRDefault="001E67A6" w:rsidP="001E67A6">
            <w:pPr>
              <w:jc w:val="center"/>
              <w:rPr>
                <w:rFonts w:ascii="Times New Roman" w:hAnsi="Times New Roman" w:cs="Times New Roman"/>
                <w:b/>
                <w:bCs/>
                <w:lang w:val="es-DO" w:eastAsia="es-DO"/>
              </w:rPr>
            </w:pPr>
            <w:r w:rsidRPr="00232EBB">
              <w:rPr>
                <w:rFonts w:ascii="Times New Roman" w:hAnsi="Times New Roman" w:cs="Times New Roman"/>
                <w:b/>
                <w:bCs/>
                <w:color w:val="FFFFFF"/>
                <w:sz w:val="18"/>
                <w:szCs w:val="18"/>
                <w:lang w:val="es-DO" w:eastAsia="es-DO"/>
              </w:rPr>
              <w:t>RESULTADO</w:t>
            </w:r>
          </w:p>
        </w:tc>
      </w:tr>
      <w:tr w:rsidR="001E67A6" w:rsidRPr="00232EBB" w14:paraId="4FEF9863" w14:textId="77777777" w:rsidTr="001E67A6">
        <w:trPr>
          <w:trHeight w:val="1362"/>
        </w:trPr>
        <w:tc>
          <w:tcPr>
            <w:tcW w:w="535" w:type="dxa"/>
            <w:noWrap/>
            <w:vAlign w:val="center"/>
          </w:tcPr>
          <w:p w14:paraId="1F4FA30A" w14:textId="77777777" w:rsidR="001E67A6" w:rsidRPr="00232EBB" w:rsidRDefault="001E67A6" w:rsidP="001E67A6">
            <w:pPr>
              <w:jc w:val="center"/>
              <w:rPr>
                <w:rFonts w:ascii="Times New Roman" w:eastAsia="Calibri" w:hAnsi="Times New Roman" w:cs="Times New Roman"/>
                <w:color w:val="767171"/>
                <w:spacing w:val="20"/>
                <w:sz w:val="18"/>
                <w:szCs w:val="18"/>
                <w:lang w:val="es-DO" w:eastAsia="es-DO"/>
              </w:rPr>
            </w:pPr>
            <w:r w:rsidRPr="00232EBB">
              <w:rPr>
                <w:rFonts w:ascii="Times New Roman" w:eastAsia="Calibri" w:hAnsi="Times New Roman" w:cs="Times New Roman"/>
                <w:color w:val="767171"/>
                <w:spacing w:val="20"/>
                <w:sz w:val="18"/>
                <w:szCs w:val="18"/>
                <w:lang w:val="es-DO" w:eastAsia="es-DO"/>
              </w:rPr>
              <w:t>1</w:t>
            </w:r>
          </w:p>
        </w:tc>
        <w:tc>
          <w:tcPr>
            <w:tcW w:w="1788" w:type="dxa"/>
            <w:vAlign w:val="center"/>
          </w:tcPr>
          <w:p w14:paraId="4D2E817C"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0C2A5D7F"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505196BF"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Dirección de Fiscalización Externa</w:t>
            </w:r>
          </w:p>
        </w:tc>
        <w:tc>
          <w:tcPr>
            <w:tcW w:w="1664" w:type="dxa"/>
            <w:noWrap/>
            <w:vAlign w:val="center"/>
          </w:tcPr>
          <w:p w14:paraId="6510ED68"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5570AEAF"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5EEA4BBC"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Prestación de servicios</w:t>
            </w:r>
          </w:p>
        </w:tc>
        <w:tc>
          <w:tcPr>
            <w:tcW w:w="1741" w:type="dxa"/>
            <w:vAlign w:val="center"/>
          </w:tcPr>
          <w:p w14:paraId="5D68552B"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Número de actos administrativos emitidos y aceptados como consecuencia del procesos de fiscalización</w:t>
            </w:r>
          </w:p>
        </w:tc>
        <w:tc>
          <w:tcPr>
            <w:tcW w:w="1551" w:type="dxa"/>
            <w:noWrap/>
            <w:vAlign w:val="center"/>
          </w:tcPr>
          <w:p w14:paraId="069845B7"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Trimestral</w:t>
            </w:r>
          </w:p>
        </w:tc>
        <w:tc>
          <w:tcPr>
            <w:tcW w:w="1184" w:type="dxa"/>
            <w:noWrap/>
            <w:vAlign w:val="center"/>
          </w:tcPr>
          <w:p w14:paraId="1AB730F5"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1,650</w:t>
            </w:r>
          </w:p>
        </w:tc>
        <w:tc>
          <w:tcPr>
            <w:tcW w:w="1157" w:type="dxa"/>
            <w:noWrap/>
            <w:vAlign w:val="center"/>
          </w:tcPr>
          <w:p w14:paraId="00DDF8AE" w14:textId="4542516A" w:rsidR="001E67A6" w:rsidRPr="00232EBB" w:rsidRDefault="00E35CDB" w:rsidP="001E67A6">
            <w:pPr>
              <w:pStyle w:val="xxmsonormal"/>
              <w:jc w:val="center"/>
              <w:rPr>
                <w:rFonts w:ascii="Times New Roman" w:eastAsia="Calibri" w:hAnsi="Times New Roman" w:cs="Times New Roman"/>
                <w:color w:val="FF0000"/>
                <w:spacing w:val="20"/>
                <w:sz w:val="18"/>
                <w:szCs w:val="18"/>
              </w:rPr>
            </w:pPr>
            <w:r w:rsidRPr="00232EBB">
              <w:rPr>
                <w:rFonts w:ascii="Times New Roman" w:eastAsia="Calibri" w:hAnsi="Times New Roman" w:cs="Times New Roman"/>
                <w:color w:val="767171"/>
                <w:spacing w:val="20"/>
                <w:sz w:val="18"/>
                <w:szCs w:val="18"/>
              </w:rPr>
              <w:t>1,117</w:t>
            </w:r>
          </w:p>
        </w:tc>
        <w:tc>
          <w:tcPr>
            <w:tcW w:w="2081" w:type="dxa"/>
            <w:noWrap/>
            <w:vAlign w:val="center"/>
          </w:tcPr>
          <w:p w14:paraId="5E99DE3C"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Disminuido los índices de evasión y omisión para el fortalecimiento del SDSS.</w:t>
            </w:r>
          </w:p>
        </w:tc>
      </w:tr>
      <w:tr w:rsidR="001E67A6" w:rsidRPr="00232EBB" w14:paraId="01375747" w14:textId="77777777" w:rsidTr="001E67A6">
        <w:trPr>
          <w:trHeight w:val="796"/>
        </w:trPr>
        <w:tc>
          <w:tcPr>
            <w:tcW w:w="535" w:type="dxa"/>
            <w:noWrap/>
            <w:vAlign w:val="center"/>
          </w:tcPr>
          <w:p w14:paraId="35B5E52F" w14:textId="77777777" w:rsidR="001E67A6" w:rsidRPr="00232EBB" w:rsidRDefault="001E67A6" w:rsidP="001E67A6">
            <w:pPr>
              <w:jc w:val="center"/>
              <w:rPr>
                <w:rFonts w:ascii="Times New Roman" w:eastAsia="Calibri" w:hAnsi="Times New Roman" w:cs="Times New Roman"/>
                <w:color w:val="767171"/>
                <w:spacing w:val="20"/>
                <w:sz w:val="18"/>
                <w:szCs w:val="18"/>
                <w:lang w:val="es-DO" w:eastAsia="es-DO"/>
              </w:rPr>
            </w:pPr>
            <w:r w:rsidRPr="00232EBB">
              <w:rPr>
                <w:rFonts w:ascii="Times New Roman" w:eastAsia="Calibri" w:hAnsi="Times New Roman" w:cs="Times New Roman"/>
                <w:color w:val="767171"/>
                <w:spacing w:val="20"/>
                <w:sz w:val="18"/>
                <w:szCs w:val="18"/>
                <w:lang w:val="es-DO" w:eastAsia="es-DO"/>
              </w:rPr>
              <w:t>2</w:t>
            </w:r>
          </w:p>
        </w:tc>
        <w:tc>
          <w:tcPr>
            <w:tcW w:w="1788" w:type="dxa"/>
            <w:vAlign w:val="center"/>
          </w:tcPr>
          <w:p w14:paraId="1E260009"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32DC2972"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Dirección Jurídica</w:t>
            </w:r>
          </w:p>
        </w:tc>
        <w:tc>
          <w:tcPr>
            <w:tcW w:w="1664" w:type="dxa"/>
            <w:noWrap/>
            <w:vAlign w:val="center"/>
          </w:tcPr>
          <w:p w14:paraId="432EBB87"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72DCFDF6"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2307B0FE"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Prestación de servicios</w:t>
            </w:r>
          </w:p>
        </w:tc>
        <w:tc>
          <w:tcPr>
            <w:tcW w:w="1741" w:type="dxa"/>
            <w:vAlign w:val="center"/>
          </w:tcPr>
          <w:p w14:paraId="791DC607"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0642FEDF"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53385C18"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Índice de recaudo</w:t>
            </w:r>
          </w:p>
        </w:tc>
        <w:tc>
          <w:tcPr>
            <w:tcW w:w="1551" w:type="dxa"/>
            <w:noWrap/>
            <w:vAlign w:val="center"/>
          </w:tcPr>
          <w:p w14:paraId="3431EF91"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7AC06843"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426CC355"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Trimestral</w:t>
            </w:r>
          </w:p>
        </w:tc>
        <w:tc>
          <w:tcPr>
            <w:tcW w:w="1184" w:type="dxa"/>
            <w:noWrap/>
            <w:vAlign w:val="center"/>
          </w:tcPr>
          <w:p w14:paraId="618E6A6B"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90</w:t>
            </w:r>
          </w:p>
        </w:tc>
        <w:tc>
          <w:tcPr>
            <w:tcW w:w="1157" w:type="dxa"/>
            <w:noWrap/>
            <w:vAlign w:val="center"/>
          </w:tcPr>
          <w:p w14:paraId="2F958335"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96.2%</w:t>
            </w:r>
          </w:p>
        </w:tc>
        <w:tc>
          <w:tcPr>
            <w:tcW w:w="2081" w:type="dxa"/>
            <w:noWrap/>
            <w:vAlign w:val="center"/>
          </w:tcPr>
          <w:p w14:paraId="15D75728"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Incrementados los pagos oportunos entre los empleadores</w:t>
            </w:r>
          </w:p>
        </w:tc>
      </w:tr>
      <w:tr w:rsidR="001E67A6" w:rsidRPr="00232EBB" w14:paraId="5A228010" w14:textId="77777777" w:rsidTr="001E67A6">
        <w:trPr>
          <w:trHeight w:val="938"/>
        </w:trPr>
        <w:tc>
          <w:tcPr>
            <w:tcW w:w="535" w:type="dxa"/>
            <w:noWrap/>
            <w:vAlign w:val="center"/>
          </w:tcPr>
          <w:p w14:paraId="431BE5AE" w14:textId="77777777" w:rsidR="001E67A6" w:rsidRPr="00232EBB" w:rsidRDefault="001E67A6" w:rsidP="001E67A6">
            <w:pPr>
              <w:jc w:val="center"/>
              <w:rPr>
                <w:rFonts w:ascii="Times New Roman" w:eastAsia="Calibri" w:hAnsi="Times New Roman" w:cs="Times New Roman"/>
                <w:color w:val="767171"/>
                <w:spacing w:val="20"/>
                <w:sz w:val="18"/>
                <w:szCs w:val="18"/>
                <w:lang w:val="es-DO" w:eastAsia="es-DO"/>
              </w:rPr>
            </w:pPr>
            <w:r w:rsidRPr="00232EBB">
              <w:rPr>
                <w:rFonts w:ascii="Times New Roman" w:eastAsia="Calibri" w:hAnsi="Times New Roman" w:cs="Times New Roman"/>
                <w:color w:val="767171"/>
                <w:spacing w:val="20"/>
                <w:sz w:val="18"/>
                <w:szCs w:val="18"/>
                <w:lang w:val="es-DO" w:eastAsia="es-DO"/>
              </w:rPr>
              <w:t>3</w:t>
            </w:r>
          </w:p>
        </w:tc>
        <w:tc>
          <w:tcPr>
            <w:tcW w:w="1788" w:type="dxa"/>
            <w:vAlign w:val="center"/>
          </w:tcPr>
          <w:p w14:paraId="20472878"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Dirección de Tecnologías de la Información y Comunicaciones</w:t>
            </w:r>
          </w:p>
        </w:tc>
        <w:tc>
          <w:tcPr>
            <w:tcW w:w="1664" w:type="dxa"/>
            <w:noWrap/>
            <w:vAlign w:val="center"/>
          </w:tcPr>
          <w:p w14:paraId="64E843E1"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3D810919"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De apoyo</w:t>
            </w:r>
          </w:p>
        </w:tc>
        <w:tc>
          <w:tcPr>
            <w:tcW w:w="1741" w:type="dxa"/>
            <w:vAlign w:val="center"/>
          </w:tcPr>
          <w:p w14:paraId="1A46CF50"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Cantidad de documentos publicados</w:t>
            </w:r>
          </w:p>
        </w:tc>
        <w:tc>
          <w:tcPr>
            <w:tcW w:w="1551" w:type="dxa"/>
            <w:noWrap/>
            <w:vAlign w:val="center"/>
          </w:tcPr>
          <w:p w14:paraId="298BF1A0"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78C15E7D"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Semestral</w:t>
            </w:r>
          </w:p>
        </w:tc>
        <w:tc>
          <w:tcPr>
            <w:tcW w:w="1184" w:type="dxa"/>
            <w:noWrap/>
            <w:vAlign w:val="center"/>
          </w:tcPr>
          <w:p w14:paraId="2D52D9AC"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2</w:t>
            </w:r>
          </w:p>
        </w:tc>
        <w:tc>
          <w:tcPr>
            <w:tcW w:w="1157" w:type="dxa"/>
            <w:noWrap/>
            <w:vAlign w:val="center"/>
          </w:tcPr>
          <w:p w14:paraId="5E75637D"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2</w:t>
            </w:r>
          </w:p>
        </w:tc>
        <w:tc>
          <w:tcPr>
            <w:tcW w:w="2081" w:type="dxa"/>
            <w:noWrap/>
            <w:vAlign w:val="center"/>
          </w:tcPr>
          <w:p w14:paraId="5876A19A"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Incrementada la difusión de datos y la producción de análisis estadístico respecto al SDSS y el mercado laboral</w:t>
            </w:r>
          </w:p>
        </w:tc>
      </w:tr>
      <w:tr w:rsidR="001E67A6" w:rsidRPr="00232EBB" w14:paraId="0EBF43E7" w14:textId="77777777" w:rsidTr="001E67A6">
        <w:trPr>
          <w:trHeight w:val="551"/>
        </w:trPr>
        <w:tc>
          <w:tcPr>
            <w:tcW w:w="535" w:type="dxa"/>
            <w:noWrap/>
            <w:vAlign w:val="center"/>
          </w:tcPr>
          <w:p w14:paraId="7897CDF6" w14:textId="77777777" w:rsidR="001E67A6" w:rsidRPr="00232EBB" w:rsidRDefault="001E67A6" w:rsidP="001E67A6">
            <w:pPr>
              <w:jc w:val="center"/>
              <w:rPr>
                <w:rFonts w:ascii="Times New Roman" w:eastAsia="Calibri" w:hAnsi="Times New Roman" w:cs="Times New Roman"/>
                <w:color w:val="767171"/>
                <w:spacing w:val="20"/>
                <w:sz w:val="18"/>
                <w:szCs w:val="18"/>
                <w:lang w:val="es-DO" w:eastAsia="es-DO"/>
              </w:rPr>
            </w:pPr>
            <w:r w:rsidRPr="00232EBB">
              <w:rPr>
                <w:rFonts w:ascii="Times New Roman" w:eastAsia="Calibri" w:hAnsi="Times New Roman" w:cs="Times New Roman"/>
                <w:color w:val="767171"/>
                <w:spacing w:val="20"/>
                <w:sz w:val="18"/>
                <w:szCs w:val="18"/>
                <w:lang w:val="es-DO" w:eastAsia="es-DO"/>
              </w:rPr>
              <w:t>4</w:t>
            </w:r>
          </w:p>
        </w:tc>
        <w:tc>
          <w:tcPr>
            <w:tcW w:w="1788" w:type="dxa"/>
            <w:vAlign w:val="center"/>
          </w:tcPr>
          <w:p w14:paraId="72C542A3" w14:textId="77777777" w:rsidR="001E67A6" w:rsidRPr="00232EBB" w:rsidRDefault="001E67A6" w:rsidP="001E67A6">
            <w:pPr>
              <w:jc w:val="center"/>
              <w:rPr>
                <w:rFonts w:ascii="Times New Roman" w:eastAsia="Calibri" w:hAnsi="Times New Roman" w:cs="Times New Roman"/>
                <w:color w:val="767171"/>
                <w:spacing w:val="20"/>
                <w:sz w:val="18"/>
                <w:szCs w:val="18"/>
                <w:lang w:val="es-DO" w:eastAsia="es-DO"/>
              </w:rPr>
            </w:pPr>
          </w:p>
          <w:p w14:paraId="149A5331" w14:textId="77777777" w:rsidR="001E67A6" w:rsidRPr="00232EBB" w:rsidRDefault="001E67A6" w:rsidP="001E67A6">
            <w:pPr>
              <w:jc w:val="center"/>
              <w:rPr>
                <w:rFonts w:ascii="Times New Roman" w:eastAsia="Calibri" w:hAnsi="Times New Roman" w:cs="Times New Roman"/>
                <w:color w:val="767171"/>
                <w:spacing w:val="20"/>
                <w:sz w:val="18"/>
                <w:szCs w:val="18"/>
                <w:lang w:val="es-DO" w:eastAsia="es-DO"/>
              </w:rPr>
            </w:pPr>
            <w:r w:rsidRPr="00232EBB">
              <w:rPr>
                <w:rFonts w:ascii="Times New Roman" w:eastAsia="Calibri" w:hAnsi="Times New Roman" w:cs="Times New Roman"/>
                <w:color w:val="767171"/>
                <w:spacing w:val="20"/>
                <w:sz w:val="18"/>
                <w:szCs w:val="18"/>
                <w:lang w:val="es-DO" w:eastAsia="es-DO"/>
              </w:rPr>
              <w:t>Dirección de tecnologías de la información y Comunicaciones</w:t>
            </w:r>
          </w:p>
        </w:tc>
        <w:tc>
          <w:tcPr>
            <w:tcW w:w="1664" w:type="dxa"/>
            <w:noWrap/>
            <w:vAlign w:val="center"/>
          </w:tcPr>
          <w:p w14:paraId="7F762888"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72FDF046"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De apoyo</w:t>
            </w:r>
          </w:p>
        </w:tc>
        <w:tc>
          <w:tcPr>
            <w:tcW w:w="1741" w:type="dxa"/>
            <w:vAlign w:val="center"/>
          </w:tcPr>
          <w:p w14:paraId="12F7ABD6"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4287F4B4"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Cantidad de publicaciones realizadas</w:t>
            </w:r>
          </w:p>
        </w:tc>
        <w:tc>
          <w:tcPr>
            <w:tcW w:w="1551" w:type="dxa"/>
            <w:noWrap/>
            <w:vAlign w:val="center"/>
          </w:tcPr>
          <w:p w14:paraId="74C36D90"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p>
          <w:p w14:paraId="084F14CB"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Semestral</w:t>
            </w:r>
          </w:p>
        </w:tc>
        <w:tc>
          <w:tcPr>
            <w:tcW w:w="1184" w:type="dxa"/>
            <w:noWrap/>
            <w:vAlign w:val="center"/>
          </w:tcPr>
          <w:p w14:paraId="5CDD5D60"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2</w:t>
            </w:r>
          </w:p>
        </w:tc>
        <w:tc>
          <w:tcPr>
            <w:tcW w:w="1157" w:type="dxa"/>
            <w:noWrap/>
            <w:vAlign w:val="center"/>
          </w:tcPr>
          <w:p w14:paraId="33541D78"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2</w:t>
            </w:r>
          </w:p>
        </w:tc>
        <w:tc>
          <w:tcPr>
            <w:tcW w:w="2081" w:type="dxa"/>
            <w:noWrap/>
            <w:vAlign w:val="center"/>
          </w:tcPr>
          <w:p w14:paraId="3CFB4628"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Diseño y elaboración de publicación sistemática de datos respecto al primer empleo</w:t>
            </w:r>
          </w:p>
        </w:tc>
      </w:tr>
      <w:tr w:rsidR="001E67A6" w:rsidRPr="00232EBB" w14:paraId="484E9D3F" w14:textId="77777777" w:rsidTr="001E67A6">
        <w:trPr>
          <w:trHeight w:val="551"/>
        </w:trPr>
        <w:tc>
          <w:tcPr>
            <w:tcW w:w="535" w:type="dxa"/>
            <w:noWrap/>
            <w:vAlign w:val="center"/>
          </w:tcPr>
          <w:p w14:paraId="5A9CA073" w14:textId="77777777" w:rsidR="001E67A6" w:rsidRPr="00232EBB" w:rsidRDefault="001E67A6" w:rsidP="001E67A6">
            <w:pPr>
              <w:jc w:val="center"/>
              <w:rPr>
                <w:rFonts w:ascii="Times New Roman" w:eastAsia="Calibri" w:hAnsi="Times New Roman" w:cs="Times New Roman"/>
                <w:sz w:val="18"/>
                <w:szCs w:val="18"/>
                <w:lang w:val="es-DO" w:eastAsia="es-DO"/>
              </w:rPr>
            </w:pPr>
            <w:r w:rsidRPr="00232EBB">
              <w:rPr>
                <w:rFonts w:ascii="Times New Roman" w:eastAsia="Calibri" w:hAnsi="Times New Roman" w:cs="Times New Roman"/>
                <w:color w:val="767171"/>
                <w:spacing w:val="20"/>
                <w:sz w:val="18"/>
                <w:szCs w:val="18"/>
                <w:lang w:val="es-DO" w:eastAsia="es-DO"/>
              </w:rPr>
              <w:t>5</w:t>
            </w:r>
          </w:p>
        </w:tc>
        <w:tc>
          <w:tcPr>
            <w:tcW w:w="1788" w:type="dxa"/>
            <w:vAlign w:val="center"/>
          </w:tcPr>
          <w:p w14:paraId="45C44A12" w14:textId="77777777" w:rsidR="001E67A6" w:rsidRPr="00232EBB" w:rsidRDefault="001E67A6" w:rsidP="001E67A6">
            <w:pPr>
              <w:jc w:val="center"/>
              <w:rPr>
                <w:rFonts w:ascii="Times New Roman" w:eastAsia="Calibri" w:hAnsi="Times New Roman" w:cs="Times New Roman"/>
                <w:sz w:val="18"/>
                <w:szCs w:val="18"/>
                <w:lang w:val="es-DO" w:eastAsia="es-DO"/>
              </w:rPr>
            </w:pPr>
            <w:r w:rsidRPr="00232EBB">
              <w:rPr>
                <w:rFonts w:ascii="Times New Roman" w:eastAsia="Calibri" w:hAnsi="Times New Roman" w:cs="Times New Roman"/>
                <w:color w:val="767171"/>
                <w:spacing w:val="20"/>
                <w:sz w:val="18"/>
                <w:szCs w:val="18"/>
                <w:lang w:val="es-DO" w:eastAsia="es-DO"/>
              </w:rPr>
              <w:t>Dirección de Servicios</w:t>
            </w:r>
          </w:p>
        </w:tc>
        <w:tc>
          <w:tcPr>
            <w:tcW w:w="1664" w:type="dxa"/>
            <w:noWrap/>
            <w:vAlign w:val="center"/>
          </w:tcPr>
          <w:p w14:paraId="165A7CC4"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Misional</w:t>
            </w:r>
          </w:p>
        </w:tc>
        <w:tc>
          <w:tcPr>
            <w:tcW w:w="1741" w:type="dxa"/>
            <w:vAlign w:val="center"/>
          </w:tcPr>
          <w:p w14:paraId="28713815"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Índice de formación ciudadana sobre deberes, procedimientos y aplicación ante la Tesorería de la Seguridad Social</w:t>
            </w:r>
          </w:p>
        </w:tc>
        <w:tc>
          <w:tcPr>
            <w:tcW w:w="1551" w:type="dxa"/>
            <w:noWrap/>
            <w:vAlign w:val="center"/>
          </w:tcPr>
          <w:p w14:paraId="1A813F0B"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Trimestral</w:t>
            </w:r>
          </w:p>
        </w:tc>
        <w:tc>
          <w:tcPr>
            <w:tcW w:w="1184" w:type="dxa"/>
            <w:noWrap/>
            <w:vAlign w:val="center"/>
          </w:tcPr>
          <w:p w14:paraId="6B5C526C"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16,000 H/H</w:t>
            </w:r>
          </w:p>
        </w:tc>
        <w:tc>
          <w:tcPr>
            <w:tcW w:w="1157" w:type="dxa"/>
            <w:noWrap/>
            <w:vAlign w:val="center"/>
          </w:tcPr>
          <w:p w14:paraId="4FD2F9BC"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24,309 H/H</w:t>
            </w:r>
          </w:p>
        </w:tc>
        <w:tc>
          <w:tcPr>
            <w:tcW w:w="2081" w:type="dxa"/>
            <w:noWrap/>
            <w:vAlign w:val="center"/>
          </w:tcPr>
          <w:p w14:paraId="6BC38EEA" w14:textId="77777777" w:rsidR="001E67A6" w:rsidRPr="00232EBB" w:rsidRDefault="001E67A6" w:rsidP="001E67A6">
            <w:pPr>
              <w:pStyle w:val="xxmsonormal"/>
              <w:jc w:val="center"/>
              <w:rPr>
                <w:rFonts w:ascii="Times New Roman" w:eastAsia="Calibri" w:hAnsi="Times New Roman" w:cs="Times New Roman"/>
                <w:color w:val="767171"/>
                <w:spacing w:val="20"/>
                <w:sz w:val="18"/>
                <w:szCs w:val="18"/>
              </w:rPr>
            </w:pPr>
            <w:r w:rsidRPr="00232EBB">
              <w:rPr>
                <w:rFonts w:ascii="Times New Roman" w:eastAsia="Calibri" w:hAnsi="Times New Roman" w:cs="Times New Roman"/>
                <w:color w:val="767171"/>
                <w:spacing w:val="20"/>
                <w:sz w:val="18"/>
                <w:szCs w:val="18"/>
              </w:rPr>
              <w:t>Aumentado el conocimiento de la población sobre Seguridad Social, uso responsable del SUIR y obligación del empleador sobre el SDSS</w:t>
            </w:r>
          </w:p>
        </w:tc>
      </w:tr>
    </w:tbl>
    <w:p w14:paraId="17D48B7B" w14:textId="19596836" w:rsidR="009A7266" w:rsidRPr="00232EBB" w:rsidRDefault="000A65D8" w:rsidP="00917857">
      <w:pPr>
        <w:keepNext/>
        <w:keepLines/>
        <w:spacing w:before="240" w:after="240"/>
        <w:ind w:left="-2160"/>
        <w:jc w:val="center"/>
        <w:outlineLvl w:val="0"/>
        <w:rPr>
          <w:rFonts w:eastAsiaTheme="majorEastAsia"/>
          <w:b/>
          <w:color w:val="767171" w:themeColor="background2" w:themeShade="80"/>
          <w:spacing w:val="0"/>
          <w:sz w:val="28"/>
          <w:szCs w:val="32"/>
          <w:lang w:val="es-DO"/>
        </w:rPr>
      </w:pPr>
      <w:r w:rsidRPr="00232EBB">
        <w:rPr>
          <w:rFonts w:eastAsiaTheme="majorEastAsia"/>
          <w:b/>
          <w:color w:val="767171" w:themeColor="background2" w:themeShade="80"/>
          <w:spacing w:val="0"/>
          <w:sz w:val="28"/>
          <w:szCs w:val="32"/>
          <w:lang w:val="es-DO"/>
        </w:rPr>
        <w:t xml:space="preserve">                                          </w:t>
      </w:r>
      <w:bookmarkStart w:id="307" w:name="_Toc216952281"/>
      <w:r w:rsidRPr="00232EBB">
        <w:rPr>
          <w:rFonts w:eastAsiaTheme="majorEastAsia"/>
          <w:b/>
          <w:color w:val="767171" w:themeColor="background2" w:themeShade="80"/>
          <w:spacing w:val="0"/>
          <w:sz w:val="28"/>
          <w:szCs w:val="32"/>
          <w:lang w:val="es-DO"/>
        </w:rPr>
        <w:t>7.2 Anexo 2: Matriz de los Principales Indicadores de la Gestión por Procesos</w:t>
      </w:r>
      <w:bookmarkEnd w:id="307"/>
    </w:p>
    <w:p w14:paraId="58681D9E" w14:textId="77777777" w:rsidR="00EF44EF" w:rsidRPr="00232EBB" w:rsidRDefault="00EF44EF" w:rsidP="00EF44EF">
      <w:pPr>
        <w:rPr>
          <w:rFonts w:eastAsia="Calibri"/>
          <w:sz w:val="18"/>
          <w:szCs w:val="18"/>
          <w:lang w:val="es-DO"/>
        </w:rPr>
      </w:pPr>
      <w:r w:rsidRPr="00232EBB">
        <w:rPr>
          <w:rFonts w:eastAsia="Calibri"/>
          <w:b/>
          <w:bCs/>
          <w:sz w:val="18"/>
          <w:szCs w:val="18"/>
          <w:lang w:val="es-DO"/>
        </w:rPr>
        <w:t>Fuente</w:t>
      </w:r>
      <w:r w:rsidRPr="00232EBB">
        <w:rPr>
          <w:rFonts w:eastAsia="Calibri"/>
          <w:sz w:val="18"/>
          <w:szCs w:val="18"/>
          <w:lang w:val="es-DO"/>
        </w:rPr>
        <w:t>: Dirección de Planificación y Desarrollo Tesorería de la Seguridad Social</w:t>
      </w:r>
    </w:p>
    <w:p w14:paraId="69557E01" w14:textId="3B8FD756" w:rsidR="000F57D8" w:rsidRPr="00232EBB" w:rsidRDefault="00B778CF" w:rsidP="00EE3355">
      <w:pPr>
        <w:pStyle w:val="Heading1"/>
        <w:spacing w:line="259" w:lineRule="auto"/>
        <w:ind w:left="-1800" w:hanging="90"/>
        <w:rPr>
          <w:rFonts w:eastAsia="Calibri" w:cs="Times New Roman"/>
          <w:sz w:val="18"/>
          <w:szCs w:val="18"/>
          <w:lang w:val="es-DO"/>
        </w:rPr>
      </w:pPr>
      <w:bookmarkStart w:id="308" w:name="_Toc154736758"/>
      <w:bookmarkStart w:id="309" w:name="_Toc216952282"/>
      <w:r w:rsidRPr="00232EBB">
        <w:rPr>
          <w:rFonts w:cs="Times New Roman"/>
          <w:lang w:val="es-DO"/>
        </w:rPr>
        <w:lastRenderedPageBreak/>
        <w:t>7.3 Anexo 3: Matriz Índice de Gestión Presupuestaria Anual (IGP)</w:t>
      </w:r>
      <w:bookmarkEnd w:id="308"/>
      <w:bookmarkEnd w:id="309"/>
    </w:p>
    <w:tbl>
      <w:tblPr>
        <w:tblStyle w:val="TableGrid"/>
        <w:tblpPr w:leftFromText="141" w:rightFromText="141" w:vertAnchor="page" w:horzAnchor="margin" w:tblpY="2036"/>
        <w:tblW w:w="11901" w:type="dxa"/>
        <w:tblLook w:val="04A0" w:firstRow="1" w:lastRow="0" w:firstColumn="1" w:lastColumn="0" w:noHBand="0" w:noVBand="1"/>
      </w:tblPr>
      <w:tblGrid>
        <w:gridCol w:w="1688"/>
        <w:gridCol w:w="2041"/>
        <w:gridCol w:w="2416"/>
        <w:gridCol w:w="2416"/>
        <w:gridCol w:w="1579"/>
        <w:gridCol w:w="1761"/>
      </w:tblGrid>
      <w:tr w:rsidR="001E67A6" w:rsidRPr="00232EBB" w14:paraId="785D7237" w14:textId="77777777" w:rsidTr="001E67A6">
        <w:trPr>
          <w:trHeight w:val="870"/>
          <w:tblHeader/>
        </w:trPr>
        <w:tc>
          <w:tcPr>
            <w:tcW w:w="1688" w:type="dxa"/>
            <w:shd w:val="clear" w:color="auto" w:fill="1F3864" w:themeFill="accent1" w:themeFillShade="80"/>
            <w:vAlign w:val="center"/>
            <w:hideMark/>
          </w:tcPr>
          <w:p w14:paraId="2A4DD7D7" w14:textId="77777777" w:rsidR="001E67A6" w:rsidRPr="00232EBB" w:rsidRDefault="001E67A6" w:rsidP="001E67A6">
            <w:pPr>
              <w:pStyle w:val="xxmsonormal"/>
              <w:spacing w:line="360" w:lineRule="auto"/>
              <w:jc w:val="center"/>
              <w:rPr>
                <w:rFonts w:ascii="Times New Roman" w:hAnsi="Times New Roman" w:cs="Times New Roman"/>
                <w:sz w:val="16"/>
                <w:szCs w:val="16"/>
              </w:rPr>
            </w:pPr>
            <w:bookmarkStart w:id="310" w:name="_Hlk153457498"/>
            <w:r w:rsidRPr="00232EBB">
              <w:rPr>
                <w:rFonts w:ascii="Times New Roman" w:hAnsi="Times New Roman" w:cs="Times New Roman"/>
                <w:b/>
                <w:bCs/>
                <w:color w:val="FFFFFF"/>
                <w:sz w:val="16"/>
                <w:szCs w:val="16"/>
              </w:rPr>
              <w:t>CÓDIGO PROGRAMA / SUBPROGRAMA</w:t>
            </w:r>
          </w:p>
        </w:tc>
        <w:tc>
          <w:tcPr>
            <w:tcW w:w="2041" w:type="dxa"/>
            <w:shd w:val="clear" w:color="auto" w:fill="1F3864" w:themeFill="accent1" w:themeFillShade="80"/>
            <w:vAlign w:val="center"/>
            <w:hideMark/>
          </w:tcPr>
          <w:p w14:paraId="075E1CB0" w14:textId="77777777" w:rsidR="001E67A6" w:rsidRPr="00232EBB" w:rsidRDefault="001E67A6" w:rsidP="001E67A6">
            <w:pPr>
              <w:pStyle w:val="xxmsonormal"/>
              <w:spacing w:line="360" w:lineRule="auto"/>
              <w:jc w:val="center"/>
              <w:rPr>
                <w:rFonts w:ascii="Times New Roman" w:hAnsi="Times New Roman" w:cs="Times New Roman"/>
                <w:sz w:val="16"/>
                <w:szCs w:val="16"/>
              </w:rPr>
            </w:pPr>
            <w:r w:rsidRPr="00232EBB">
              <w:rPr>
                <w:rFonts w:ascii="Times New Roman" w:hAnsi="Times New Roman" w:cs="Times New Roman"/>
                <w:b/>
                <w:bCs/>
                <w:color w:val="FFFFFF"/>
                <w:sz w:val="16"/>
                <w:szCs w:val="16"/>
              </w:rPr>
              <w:t>NOMBRE DEL PROGRAMA</w:t>
            </w:r>
          </w:p>
        </w:tc>
        <w:tc>
          <w:tcPr>
            <w:tcW w:w="2416" w:type="dxa"/>
            <w:shd w:val="clear" w:color="auto" w:fill="1F3864" w:themeFill="accent1" w:themeFillShade="80"/>
            <w:vAlign w:val="center"/>
            <w:hideMark/>
          </w:tcPr>
          <w:p w14:paraId="407F4DA6" w14:textId="77777777" w:rsidR="001E67A6" w:rsidRPr="00232EBB" w:rsidRDefault="001E67A6" w:rsidP="001E67A6">
            <w:pPr>
              <w:pStyle w:val="xxmsonormal"/>
              <w:spacing w:line="360" w:lineRule="auto"/>
              <w:jc w:val="center"/>
              <w:rPr>
                <w:rFonts w:ascii="Times New Roman" w:hAnsi="Times New Roman" w:cs="Times New Roman"/>
                <w:sz w:val="16"/>
                <w:szCs w:val="16"/>
              </w:rPr>
            </w:pPr>
            <w:r w:rsidRPr="00232EBB">
              <w:rPr>
                <w:rFonts w:ascii="Times New Roman" w:hAnsi="Times New Roman" w:cs="Times New Roman"/>
                <w:b/>
                <w:bCs/>
                <w:color w:val="FFFFFF"/>
                <w:sz w:val="16"/>
                <w:szCs w:val="16"/>
              </w:rPr>
              <w:t>ASIGNACIÓN PRESUPUESTARIA 2025(RD$)</w:t>
            </w:r>
          </w:p>
        </w:tc>
        <w:tc>
          <w:tcPr>
            <w:tcW w:w="2416" w:type="dxa"/>
            <w:shd w:val="clear" w:color="auto" w:fill="1F3864" w:themeFill="accent1" w:themeFillShade="80"/>
            <w:vAlign w:val="center"/>
            <w:hideMark/>
          </w:tcPr>
          <w:p w14:paraId="6ED2BE9B" w14:textId="77777777" w:rsidR="001E67A6" w:rsidRPr="00232EBB" w:rsidRDefault="001E67A6" w:rsidP="001E67A6">
            <w:pPr>
              <w:pStyle w:val="xxmsonormal"/>
              <w:spacing w:line="360" w:lineRule="auto"/>
              <w:jc w:val="center"/>
              <w:rPr>
                <w:rFonts w:ascii="Times New Roman" w:hAnsi="Times New Roman" w:cs="Times New Roman"/>
                <w:sz w:val="16"/>
                <w:szCs w:val="16"/>
              </w:rPr>
            </w:pPr>
            <w:r w:rsidRPr="00232EBB">
              <w:rPr>
                <w:rFonts w:ascii="Times New Roman" w:hAnsi="Times New Roman" w:cs="Times New Roman"/>
                <w:b/>
                <w:bCs/>
                <w:color w:val="FFFFFF"/>
                <w:sz w:val="16"/>
                <w:szCs w:val="16"/>
              </w:rPr>
              <w:t>EJECUCIÓN A NOVIEMBRE 2025 (RD$)</w:t>
            </w:r>
          </w:p>
        </w:tc>
        <w:tc>
          <w:tcPr>
            <w:tcW w:w="1579" w:type="dxa"/>
            <w:shd w:val="clear" w:color="auto" w:fill="1F3864" w:themeFill="accent1" w:themeFillShade="80"/>
            <w:vAlign w:val="center"/>
            <w:hideMark/>
          </w:tcPr>
          <w:p w14:paraId="25E73054" w14:textId="77777777" w:rsidR="001E67A6" w:rsidRPr="00232EBB" w:rsidRDefault="001E67A6" w:rsidP="001E67A6">
            <w:pPr>
              <w:pStyle w:val="xxmsonormal"/>
              <w:spacing w:line="360" w:lineRule="auto"/>
              <w:jc w:val="center"/>
              <w:rPr>
                <w:rFonts w:ascii="Times New Roman" w:hAnsi="Times New Roman" w:cs="Times New Roman"/>
                <w:sz w:val="16"/>
                <w:szCs w:val="16"/>
              </w:rPr>
            </w:pPr>
            <w:r w:rsidRPr="00232EBB">
              <w:rPr>
                <w:rFonts w:ascii="Times New Roman" w:hAnsi="Times New Roman" w:cs="Times New Roman"/>
                <w:b/>
                <w:bCs/>
                <w:color w:val="FFFFFF"/>
                <w:sz w:val="16"/>
                <w:szCs w:val="16"/>
              </w:rPr>
              <w:t>CANTIDAD DE PRODUCTOS GENERADOS POR PROGRAMA</w:t>
            </w:r>
          </w:p>
        </w:tc>
        <w:tc>
          <w:tcPr>
            <w:tcW w:w="1761" w:type="dxa"/>
            <w:shd w:val="clear" w:color="auto" w:fill="1F3864" w:themeFill="accent1" w:themeFillShade="80"/>
            <w:vAlign w:val="center"/>
            <w:hideMark/>
          </w:tcPr>
          <w:p w14:paraId="3135CF46" w14:textId="77777777" w:rsidR="001E67A6" w:rsidRPr="00232EBB" w:rsidRDefault="001E67A6" w:rsidP="001E67A6">
            <w:pPr>
              <w:pStyle w:val="xxmsonormal"/>
              <w:spacing w:line="360" w:lineRule="auto"/>
              <w:jc w:val="center"/>
              <w:rPr>
                <w:rFonts w:ascii="Times New Roman" w:hAnsi="Times New Roman" w:cs="Times New Roman"/>
                <w:sz w:val="16"/>
                <w:szCs w:val="16"/>
              </w:rPr>
            </w:pPr>
            <w:r w:rsidRPr="00232EBB">
              <w:rPr>
                <w:rFonts w:ascii="Times New Roman" w:hAnsi="Times New Roman" w:cs="Times New Roman"/>
                <w:b/>
                <w:bCs/>
                <w:color w:val="FFFFFF"/>
                <w:sz w:val="16"/>
                <w:szCs w:val="16"/>
              </w:rPr>
              <w:t>ÍNDICE DE EJECUCIÓN %</w:t>
            </w:r>
          </w:p>
        </w:tc>
      </w:tr>
      <w:tr w:rsidR="001E67A6" w:rsidRPr="00232EBB" w14:paraId="70863EA7" w14:textId="77777777" w:rsidTr="001E67A6">
        <w:trPr>
          <w:trHeight w:val="1358"/>
        </w:trPr>
        <w:tc>
          <w:tcPr>
            <w:tcW w:w="1688" w:type="dxa"/>
            <w:noWrap/>
            <w:vAlign w:val="center"/>
          </w:tcPr>
          <w:p w14:paraId="33F39441"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11</w:t>
            </w:r>
          </w:p>
        </w:tc>
        <w:tc>
          <w:tcPr>
            <w:tcW w:w="2041" w:type="dxa"/>
            <w:vAlign w:val="center"/>
          </w:tcPr>
          <w:p w14:paraId="228B4739"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Gestión de la Tesorería del Sistema Dominicano de Seguridad Social</w:t>
            </w:r>
          </w:p>
        </w:tc>
        <w:tc>
          <w:tcPr>
            <w:tcW w:w="2416" w:type="dxa"/>
            <w:noWrap/>
            <w:vAlign w:val="center"/>
          </w:tcPr>
          <w:p w14:paraId="543825BB"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1,272,620,580.76</w:t>
            </w:r>
          </w:p>
        </w:tc>
        <w:tc>
          <w:tcPr>
            <w:tcW w:w="2416" w:type="dxa"/>
            <w:noWrap/>
            <w:vAlign w:val="center"/>
          </w:tcPr>
          <w:p w14:paraId="090C507A"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823,885,432.74</w:t>
            </w:r>
          </w:p>
        </w:tc>
        <w:tc>
          <w:tcPr>
            <w:tcW w:w="1579" w:type="dxa"/>
            <w:noWrap/>
            <w:vAlign w:val="center"/>
          </w:tcPr>
          <w:p w14:paraId="38780E1F"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4</w:t>
            </w:r>
          </w:p>
        </w:tc>
        <w:tc>
          <w:tcPr>
            <w:tcW w:w="1761" w:type="dxa"/>
            <w:noWrap/>
            <w:vAlign w:val="center"/>
          </w:tcPr>
          <w:p w14:paraId="70C27EC5"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64.74%</w:t>
            </w:r>
          </w:p>
        </w:tc>
      </w:tr>
      <w:tr w:rsidR="001E67A6" w:rsidRPr="00232EBB" w14:paraId="6E853CED" w14:textId="77777777" w:rsidTr="001E67A6">
        <w:trPr>
          <w:trHeight w:val="991"/>
        </w:trPr>
        <w:tc>
          <w:tcPr>
            <w:tcW w:w="1688" w:type="dxa"/>
            <w:noWrap/>
            <w:vAlign w:val="center"/>
          </w:tcPr>
          <w:p w14:paraId="691E8CDE"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98</w:t>
            </w:r>
          </w:p>
        </w:tc>
        <w:tc>
          <w:tcPr>
            <w:tcW w:w="2041" w:type="dxa"/>
            <w:vAlign w:val="center"/>
          </w:tcPr>
          <w:p w14:paraId="540F18C2"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Administración de contribuciones especiales</w:t>
            </w:r>
          </w:p>
        </w:tc>
        <w:tc>
          <w:tcPr>
            <w:tcW w:w="2416" w:type="dxa"/>
            <w:noWrap/>
            <w:vAlign w:val="center"/>
          </w:tcPr>
          <w:p w14:paraId="6235AAD5"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1,480,028.00</w:t>
            </w:r>
          </w:p>
        </w:tc>
        <w:tc>
          <w:tcPr>
            <w:tcW w:w="2416" w:type="dxa"/>
            <w:noWrap/>
            <w:vAlign w:val="center"/>
          </w:tcPr>
          <w:p w14:paraId="3FE79DD9"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1,293,547.26</w:t>
            </w:r>
          </w:p>
        </w:tc>
        <w:tc>
          <w:tcPr>
            <w:tcW w:w="1579" w:type="dxa"/>
            <w:noWrap/>
            <w:vAlign w:val="center"/>
          </w:tcPr>
          <w:p w14:paraId="339F59F6"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0</w:t>
            </w:r>
          </w:p>
        </w:tc>
        <w:tc>
          <w:tcPr>
            <w:tcW w:w="1761" w:type="dxa"/>
            <w:noWrap/>
            <w:vAlign w:val="center"/>
          </w:tcPr>
          <w:p w14:paraId="034AFAD4"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87.40%</w:t>
            </w:r>
          </w:p>
        </w:tc>
      </w:tr>
      <w:tr w:rsidR="001E67A6" w:rsidRPr="00232EBB" w14:paraId="3A692503" w14:textId="77777777" w:rsidTr="001E67A6">
        <w:trPr>
          <w:trHeight w:val="941"/>
        </w:trPr>
        <w:tc>
          <w:tcPr>
            <w:tcW w:w="1688" w:type="dxa"/>
            <w:noWrap/>
            <w:vAlign w:val="center"/>
          </w:tcPr>
          <w:p w14:paraId="087F4CDC"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99</w:t>
            </w:r>
          </w:p>
        </w:tc>
        <w:tc>
          <w:tcPr>
            <w:tcW w:w="2041" w:type="dxa"/>
            <w:vAlign w:val="center"/>
          </w:tcPr>
          <w:p w14:paraId="16B44899"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Administración de activos, pasivos y transferencias</w:t>
            </w:r>
          </w:p>
        </w:tc>
        <w:tc>
          <w:tcPr>
            <w:tcW w:w="2416" w:type="dxa"/>
            <w:noWrap/>
            <w:vAlign w:val="center"/>
          </w:tcPr>
          <w:p w14:paraId="1D51E3A9"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21,531,560,819.00</w:t>
            </w:r>
          </w:p>
        </w:tc>
        <w:tc>
          <w:tcPr>
            <w:tcW w:w="2416" w:type="dxa"/>
            <w:noWrap/>
            <w:vAlign w:val="center"/>
          </w:tcPr>
          <w:p w14:paraId="69978835"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19,740,306,161.87</w:t>
            </w:r>
          </w:p>
        </w:tc>
        <w:tc>
          <w:tcPr>
            <w:tcW w:w="1579" w:type="dxa"/>
            <w:noWrap/>
            <w:vAlign w:val="center"/>
          </w:tcPr>
          <w:p w14:paraId="755153D5"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0</w:t>
            </w:r>
          </w:p>
        </w:tc>
        <w:tc>
          <w:tcPr>
            <w:tcW w:w="1761" w:type="dxa"/>
            <w:noWrap/>
            <w:vAlign w:val="center"/>
          </w:tcPr>
          <w:p w14:paraId="4C0A18E0" w14:textId="77777777" w:rsidR="001E67A6" w:rsidRPr="00232EBB" w:rsidRDefault="001E67A6" w:rsidP="001E67A6">
            <w:pPr>
              <w:pStyle w:val="xxmsonormal"/>
              <w:spacing w:line="360" w:lineRule="auto"/>
              <w:jc w:val="center"/>
              <w:rPr>
                <w:rFonts w:ascii="Times New Roman" w:eastAsia="Calibri" w:hAnsi="Times New Roman" w:cs="Times New Roman"/>
                <w:color w:val="767171"/>
                <w:spacing w:val="20"/>
                <w:sz w:val="18"/>
                <w:szCs w:val="18"/>
                <w:lang w:eastAsia="en-US"/>
              </w:rPr>
            </w:pPr>
            <w:r w:rsidRPr="00232EBB">
              <w:rPr>
                <w:rFonts w:ascii="Times New Roman" w:eastAsia="Calibri" w:hAnsi="Times New Roman" w:cs="Times New Roman"/>
                <w:color w:val="767171"/>
                <w:spacing w:val="20"/>
                <w:sz w:val="18"/>
                <w:szCs w:val="18"/>
                <w:lang w:eastAsia="en-US"/>
              </w:rPr>
              <w:t>91.68%</w:t>
            </w:r>
          </w:p>
        </w:tc>
      </w:tr>
      <w:bookmarkEnd w:id="310"/>
    </w:tbl>
    <w:p w14:paraId="57A17BDB" w14:textId="77777777" w:rsidR="000F57D8" w:rsidRPr="00232EBB" w:rsidRDefault="000F57D8" w:rsidP="00B778CF">
      <w:pPr>
        <w:spacing w:line="360" w:lineRule="auto"/>
        <w:rPr>
          <w:rFonts w:eastAsia="Calibri"/>
          <w:b/>
          <w:bCs/>
          <w:sz w:val="18"/>
          <w:szCs w:val="18"/>
          <w:lang w:val="es-DO"/>
        </w:rPr>
      </w:pPr>
    </w:p>
    <w:p w14:paraId="1E5F9AA8" w14:textId="527B6A0F" w:rsidR="00457D2E" w:rsidRPr="00232EBB" w:rsidRDefault="00457D2E" w:rsidP="00457D2E">
      <w:pPr>
        <w:rPr>
          <w:rFonts w:eastAsia="Calibri"/>
          <w:sz w:val="18"/>
          <w:szCs w:val="18"/>
          <w:lang w:val="es-DO"/>
        </w:rPr>
      </w:pPr>
      <w:r w:rsidRPr="00232EBB">
        <w:rPr>
          <w:rFonts w:eastAsia="Calibri"/>
          <w:b/>
          <w:bCs/>
          <w:sz w:val="18"/>
          <w:szCs w:val="18"/>
          <w:lang w:val="es-DO"/>
        </w:rPr>
        <w:t>Fuente:</w:t>
      </w:r>
      <w:r w:rsidRPr="00232EBB">
        <w:rPr>
          <w:rFonts w:eastAsia="Calibri"/>
          <w:sz w:val="18"/>
          <w:szCs w:val="18"/>
          <w:lang w:val="es-DO"/>
        </w:rPr>
        <w:t xml:space="preserve"> Sistema de Información de la Gestión Financiera-Tesorería de la Seguridad Social del 202</w:t>
      </w:r>
      <w:r w:rsidR="0068026C" w:rsidRPr="00232EBB">
        <w:rPr>
          <w:rFonts w:eastAsia="Calibri"/>
          <w:sz w:val="18"/>
          <w:szCs w:val="18"/>
          <w:lang w:val="es-DO"/>
        </w:rPr>
        <w:t>5.</w:t>
      </w:r>
    </w:p>
    <w:p w14:paraId="2956495C" w14:textId="77777777" w:rsidR="00EE3355" w:rsidRPr="00232EBB" w:rsidRDefault="00EE3355" w:rsidP="00B778CF">
      <w:pPr>
        <w:spacing w:line="360" w:lineRule="auto"/>
        <w:rPr>
          <w:rFonts w:eastAsia="Calibri"/>
          <w:b/>
          <w:bCs/>
          <w:sz w:val="18"/>
          <w:szCs w:val="18"/>
          <w:lang w:val="es-DO"/>
        </w:rPr>
      </w:pPr>
    </w:p>
    <w:p w14:paraId="1FB3BF3B" w14:textId="77777777" w:rsidR="005E73B9" w:rsidRPr="00232EBB" w:rsidRDefault="005E73B9" w:rsidP="005E73B9">
      <w:pPr>
        <w:rPr>
          <w:color w:val="4C4747"/>
          <w:lang w:val="es-DO"/>
        </w:rPr>
      </w:pPr>
    </w:p>
    <w:p w14:paraId="30152D21" w14:textId="77777777" w:rsidR="00EE3355" w:rsidRPr="00232EBB" w:rsidRDefault="00EE3355" w:rsidP="005E73B9">
      <w:pPr>
        <w:rPr>
          <w:color w:val="4C4747"/>
          <w:lang w:val="es-DO"/>
        </w:rPr>
      </w:pPr>
    </w:p>
    <w:p w14:paraId="289C79EF" w14:textId="77777777" w:rsidR="00EE3355" w:rsidRPr="00232EBB" w:rsidRDefault="00EE3355" w:rsidP="005E73B9">
      <w:pPr>
        <w:rPr>
          <w:color w:val="4C4747"/>
          <w:lang w:val="es-DO"/>
        </w:rPr>
      </w:pPr>
    </w:p>
    <w:p w14:paraId="3E1E6FC1" w14:textId="77777777" w:rsidR="005E73B9" w:rsidRPr="00232EBB" w:rsidRDefault="005E73B9" w:rsidP="005E73B9">
      <w:pPr>
        <w:rPr>
          <w:color w:val="4C4747"/>
          <w:lang w:val="es-DO"/>
        </w:rPr>
      </w:pPr>
    </w:p>
    <w:p w14:paraId="1043C8D4" w14:textId="0A49AD85" w:rsidR="005E73B9" w:rsidRPr="00232EBB" w:rsidRDefault="002E6D74" w:rsidP="00EE3355">
      <w:pPr>
        <w:pStyle w:val="Heading1"/>
        <w:tabs>
          <w:tab w:val="left" w:pos="1080"/>
        </w:tabs>
        <w:spacing w:line="259" w:lineRule="auto"/>
        <w:ind w:left="720" w:hanging="1440"/>
        <w:rPr>
          <w:rFonts w:cs="Times New Roman"/>
          <w:lang w:val="es-DO"/>
        </w:rPr>
      </w:pPr>
      <w:bookmarkStart w:id="311" w:name="_Toc154736759"/>
      <w:bookmarkStart w:id="312" w:name="_Toc216952283"/>
      <w:r w:rsidRPr="00232EBB">
        <w:rPr>
          <w:rFonts w:cs="Times New Roman"/>
          <w:lang w:val="es-DO"/>
        </w:rPr>
        <w:lastRenderedPageBreak/>
        <w:t xml:space="preserve">7.4 </w:t>
      </w:r>
      <w:r w:rsidR="005E73B9" w:rsidRPr="00232EBB">
        <w:rPr>
          <w:rFonts w:cs="Times New Roman"/>
          <w:lang w:val="es-DO"/>
        </w:rPr>
        <w:t>Anexo 4: Matriz Ejecución Presupuestaria por Objeto del Gasto</w:t>
      </w:r>
      <w:bookmarkEnd w:id="311"/>
      <w:bookmarkEnd w:id="312"/>
    </w:p>
    <w:tbl>
      <w:tblPr>
        <w:tblpPr w:leftFromText="180" w:rightFromText="180" w:vertAnchor="text" w:horzAnchor="margin" w:tblpXSpec="center" w:tblpY="191"/>
        <w:tblW w:w="10790" w:type="dxa"/>
        <w:tblLook w:val="04A0" w:firstRow="1" w:lastRow="0" w:firstColumn="1" w:lastColumn="0" w:noHBand="0" w:noVBand="1"/>
      </w:tblPr>
      <w:tblGrid>
        <w:gridCol w:w="3924"/>
        <w:gridCol w:w="2207"/>
        <w:gridCol w:w="2207"/>
        <w:gridCol w:w="2452"/>
      </w:tblGrid>
      <w:tr w:rsidR="001E67A6" w:rsidRPr="00232EBB" w14:paraId="00F81537" w14:textId="77777777" w:rsidTr="001E67A6">
        <w:trPr>
          <w:trHeight w:val="271"/>
        </w:trPr>
        <w:tc>
          <w:tcPr>
            <w:tcW w:w="3924"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bottom"/>
            <w:hideMark/>
          </w:tcPr>
          <w:p w14:paraId="501ACB0F" w14:textId="77777777" w:rsidR="001E67A6" w:rsidRPr="00232EBB" w:rsidRDefault="001E67A6" w:rsidP="001E67A6">
            <w:pPr>
              <w:spacing w:after="0" w:line="240" w:lineRule="auto"/>
              <w:jc w:val="center"/>
              <w:rPr>
                <w:rFonts w:eastAsia="Calibri"/>
                <w:b/>
                <w:bCs/>
                <w:color w:val="FFFFFF" w:themeColor="background1"/>
                <w:sz w:val="20"/>
                <w:szCs w:val="20"/>
                <w:lang w:val="es-DO"/>
              </w:rPr>
            </w:pPr>
            <w:r w:rsidRPr="00232EBB">
              <w:rPr>
                <w:rFonts w:eastAsia="Calibri"/>
                <w:b/>
                <w:bCs/>
                <w:color w:val="FFFFFF" w:themeColor="background1"/>
                <w:sz w:val="20"/>
                <w:szCs w:val="20"/>
                <w:lang w:val="es-DO"/>
              </w:rPr>
              <w:t>OBJETO</w:t>
            </w:r>
          </w:p>
        </w:tc>
        <w:tc>
          <w:tcPr>
            <w:tcW w:w="2207"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2EECCC87" w14:textId="77777777" w:rsidR="001E67A6" w:rsidRPr="00232EBB" w:rsidRDefault="001E67A6" w:rsidP="001E67A6">
            <w:pPr>
              <w:spacing w:after="0" w:line="240" w:lineRule="auto"/>
              <w:jc w:val="center"/>
              <w:rPr>
                <w:rFonts w:eastAsia="Calibri"/>
                <w:b/>
                <w:bCs/>
                <w:color w:val="FFFFFF" w:themeColor="background1"/>
                <w:sz w:val="20"/>
                <w:szCs w:val="20"/>
                <w:lang w:val="es-DO"/>
              </w:rPr>
            </w:pPr>
            <w:r w:rsidRPr="00232EBB">
              <w:rPr>
                <w:rFonts w:eastAsia="Calibri"/>
                <w:b/>
                <w:bCs/>
                <w:color w:val="FFFFFF" w:themeColor="background1"/>
                <w:sz w:val="20"/>
                <w:szCs w:val="20"/>
                <w:lang w:val="es-DO"/>
              </w:rPr>
              <w:t>PRESUPUESTO INICIAL</w:t>
            </w:r>
          </w:p>
        </w:tc>
        <w:tc>
          <w:tcPr>
            <w:tcW w:w="2207"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4D6F14DC" w14:textId="77777777" w:rsidR="001E67A6" w:rsidRPr="00232EBB" w:rsidRDefault="001E67A6" w:rsidP="001E67A6">
            <w:pPr>
              <w:spacing w:after="0" w:line="240" w:lineRule="auto"/>
              <w:jc w:val="center"/>
              <w:rPr>
                <w:rFonts w:eastAsia="Calibri"/>
                <w:b/>
                <w:bCs/>
                <w:color w:val="FFFFFF" w:themeColor="background1"/>
                <w:sz w:val="20"/>
                <w:szCs w:val="20"/>
                <w:lang w:val="es-DO"/>
              </w:rPr>
            </w:pPr>
            <w:r w:rsidRPr="00232EBB">
              <w:rPr>
                <w:rFonts w:eastAsia="Calibri"/>
                <w:b/>
                <w:bCs/>
                <w:color w:val="FFFFFF" w:themeColor="background1"/>
                <w:sz w:val="20"/>
                <w:szCs w:val="20"/>
                <w:lang w:val="es-DO"/>
              </w:rPr>
              <w:t>PRESUPUESTO VIGENTE</w:t>
            </w:r>
          </w:p>
        </w:tc>
        <w:tc>
          <w:tcPr>
            <w:tcW w:w="2452"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39801024" w14:textId="77777777" w:rsidR="001E67A6" w:rsidRPr="00232EBB" w:rsidRDefault="001E67A6" w:rsidP="001E67A6">
            <w:pPr>
              <w:spacing w:after="0" w:line="240" w:lineRule="auto"/>
              <w:jc w:val="center"/>
              <w:rPr>
                <w:rFonts w:eastAsia="Calibri"/>
                <w:b/>
                <w:bCs/>
                <w:color w:val="FFFFFF" w:themeColor="background1"/>
                <w:sz w:val="20"/>
                <w:szCs w:val="20"/>
                <w:lang w:val="es-DO"/>
              </w:rPr>
            </w:pPr>
            <w:r w:rsidRPr="00232EBB">
              <w:rPr>
                <w:rFonts w:eastAsia="Calibri"/>
                <w:b/>
                <w:bCs/>
                <w:color w:val="FFFFFF" w:themeColor="background1"/>
                <w:sz w:val="20"/>
                <w:szCs w:val="20"/>
                <w:lang w:val="es-DO"/>
              </w:rPr>
              <w:t>EJECUCION</w:t>
            </w:r>
          </w:p>
        </w:tc>
      </w:tr>
      <w:tr w:rsidR="001E67A6" w:rsidRPr="00232EBB" w14:paraId="230B8134" w14:textId="77777777" w:rsidTr="001E67A6">
        <w:trPr>
          <w:trHeight w:val="271"/>
        </w:trPr>
        <w:tc>
          <w:tcPr>
            <w:tcW w:w="10790" w:type="dxa"/>
            <w:gridSpan w:val="4"/>
            <w:tcBorders>
              <w:top w:val="nil"/>
              <w:left w:val="single" w:sz="8" w:space="0" w:color="auto"/>
              <w:bottom w:val="single" w:sz="8" w:space="0" w:color="auto"/>
              <w:right w:val="single" w:sz="8" w:space="0" w:color="000000"/>
            </w:tcBorders>
            <w:noWrap/>
            <w:vAlign w:val="center"/>
            <w:hideMark/>
          </w:tcPr>
          <w:p w14:paraId="4852942E"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2 - GASTOS</w:t>
            </w:r>
          </w:p>
        </w:tc>
      </w:tr>
      <w:tr w:rsidR="001E67A6" w:rsidRPr="00232EBB" w14:paraId="2AA960AF" w14:textId="77777777" w:rsidTr="001E67A6">
        <w:trPr>
          <w:trHeight w:val="250"/>
        </w:trPr>
        <w:tc>
          <w:tcPr>
            <w:tcW w:w="3924" w:type="dxa"/>
            <w:tcBorders>
              <w:top w:val="nil"/>
              <w:left w:val="single" w:sz="8" w:space="0" w:color="auto"/>
              <w:bottom w:val="single" w:sz="8" w:space="0" w:color="auto"/>
              <w:right w:val="single" w:sz="8" w:space="0" w:color="auto"/>
            </w:tcBorders>
            <w:noWrap/>
            <w:vAlign w:val="center"/>
            <w:hideMark/>
          </w:tcPr>
          <w:p w14:paraId="0B687AB1"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2.1 - Remuneraciones y Contribuciones</w:t>
            </w:r>
          </w:p>
        </w:tc>
        <w:tc>
          <w:tcPr>
            <w:tcW w:w="2207" w:type="dxa"/>
            <w:tcBorders>
              <w:top w:val="nil"/>
              <w:left w:val="nil"/>
              <w:bottom w:val="single" w:sz="8" w:space="0" w:color="auto"/>
              <w:right w:val="single" w:sz="8" w:space="0" w:color="auto"/>
            </w:tcBorders>
            <w:noWrap/>
            <w:vAlign w:val="center"/>
            <w:hideMark/>
          </w:tcPr>
          <w:p w14:paraId="423780C3"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640,809,510.00</w:t>
            </w:r>
          </w:p>
        </w:tc>
        <w:tc>
          <w:tcPr>
            <w:tcW w:w="2207" w:type="dxa"/>
            <w:tcBorders>
              <w:top w:val="nil"/>
              <w:left w:val="nil"/>
              <w:bottom w:val="single" w:sz="8" w:space="0" w:color="auto"/>
              <w:right w:val="single" w:sz="8" w:space="0" w:color="auto"/>
            </w:tcBorders>
            <w:noWrap/>
            <w:vAlign w:val="center"/>
            <w:hideMark/>
          </w:tcPr>
          <w:p w14:paraId="665395F9"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640,794,510.00 </w:t>
            </w:r>
          </w:p>
        </w:tc>
        <w:tc>
          <w:tcPr>
            <w:tcW w:w="2452" w:type="dxa"/>
            <w:tcBorders>
              <w:top w:val="nil"/>
              <w:left w:val="nil"/>
              <w:bottom w:val="single" w:sz="8" w:space="0" w:color="auto"/>
              <w:right w:val="single" w:sz="8" w:space="0" w:color="auto"/>
            </w:tcBorders>
            <w:noWrap/>
            <w:vAlign w:val="center"/>
            <w:hideMark/>
          </w:tcPr>
          <w:p w14:paraId="2FAD6932"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540,405,976.58</w:t>
            </w:r>
          </w:p>
        </w:tc>
      </w:tr>
      <w:tr w:rsidR="001E67A6" w:rsidRPr="00232EBB" w14:paraId="24C6600A" w14:textId="77777777" w:rsidTr="001E67A6">
        <w:trPr>
          <w:trHeight w:val="258"/>
        </w:trPr>
        <w:tc>
          <w:tcPr>
            <w:tcW w:w="3924" w:type="dxa"/>
            <w:tcBorders>
              <w:top w:val="nil"/>
              <w:left w:val="single" w:sz="8" w:space="0" w:color="auto"/>
              <w:bottom w:val="single" w:sz="8" w:space="0" w:color="auto"/>
              <w:right w:val="single" w:sz="8" w:space="0" w:color="auto"/>
            </w:tcBorders>
            <w:noWrap/>
            <w:vAlign w:val="center"/>
            <w:hideMark/>
          </w:tcPr>
          <w:p w14:paraId="3EEED1EC"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2.2 - Contratación de Servicios</w:t>
            </w:r>
          </w:p>
        </w:tc>
        <w:tc>
          <w:tcPr>
            <w:tcW w:w="2207" w:type="dxa"/>
            <w:tcBorders>
              <w:top w:val="nil"/>
              <w:left w:val="nil"/>
              <w:bottom w:val="single" w:sz="8" w:space="0" w:color="auto"/>
              <w:right w:val="single" w:sz="8" w:space="0" w:color="auto"/>
            </w:tcBorders>
            <w:noWrap/>
            <w:vAlign w:val="center"/>
            <w:hideMark/>
          </w:tcPr>
          <w:p w14:paraId="6AF814FC"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272,953,632.00 </w:t>
            </w:r>
          </w:p>
        </w:tc>
        <w:tc>
          <w:tcPr>
            <w:tcW w:w="2207" w:type="dxa"/>
            <w:tcBorders>
              <w:top w:val="nil"/>
              <w:left w:val="nil"/>
              <w:bottom w:val="single" w:sz="8" w:space="0" w:color="auto"/>
              <w:right w:val="single" w:sz="8" w:space="0" w:color="auto"/>
            </w:tcBorders>
            <w:noWrap/>
            <w:vAlign w:val="center"/>
            <w:hideMark/>
          </w:tcPr>
          <w:p w14:paraId="4A4A07F9"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468,986,497.33 </w:t>
            </w:r>
          </w:p>
        </w:tc>
        <w:tc>
          <w:tcPr>
            <w:tcW w:w="2452" w:type="dxa"/>
            <w:tcBorders>
              <w:top w:val="nil"/>
              <w:left w:val="nil"/>
              <w:bottom w:val="single" w:sz="8" w:space="0" w:color="auto"/>
              <w:right w:val="single" w:sz="8" w:space="0" w:color="auto"/>
            </w:tcBorders>
            <w:noWrap/>
            <w:vAlign w:val="center"/>
            <w:hideMark/>
          </w:tcPr>
          <w:p w14:paraId="1520C230"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243,680,008.41</w:t>
            </w:r>
          </w:p>
        </w:tc>
      </w:tr>
      <w:tr w:rsidR="001E67A6" w:rsidRPr="00232EBB" w14:paraId="41BFAE50" w14:textId="77777777" w:rsidTr="001E67A6">
        <w:trPr>
          <w:trHeight w:val="271"/>
        </w:trPr>
        <w:tc>
          <w:tcPr>
            <w:tcW w:w="3924" w:type="dxa"/>
            <w:tcBorders>
              <w:top w:val="nil"/>
              <w:left w:val="single" w:sz="8" w:space="0" w:color="auto"/>
              <w:bottom w:val="single" w:sz="8" w:space="0" w:color="auto"/>
              <w:right w:val="single" w:sz="8" w:space="0" w:color="auto"/>
            </w:tcBorders>
            <w:noWrap/>
            <w:vAlign w:val="center"/>
            <w:hideMark/>
          </w:tcPr>
          <w:p w14:paraId="695F26BD"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2.3 - Materiales y Suministros</w:t>
            </w:r>
          </w:p>
        </w:tc>
        <w:tc>
          <w:tcPr>
            <w:tcW w:w="2207" w:type="dxa"/>
            <w:tcBorders>
              <w:top w:val="nil"/>
              <w:left w:val="nil"/>
              <w:bottom w:val="single" w:sz="8" w:space="0" w:color="auto"/>
              <w:right w:val="single" w:sz="8" w:space="0" w:color="auto"/>
            </w:tcBorders>
            <w:noWrap/>
            <w:vAlign w:val="center"/>
            <w:hideMark/>
          </w:tcPr>
          <w:p w14:paraId="025E08F7"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11,847,636.00</w:t>
            </w:r>
          </w:p>
        </w:tc>
        <w:tc>
          <w:tcPr>
            <w:tcW w:w="2207" w:type="dxa"/>
            <w:tcBorders>
              <w:top w:val="nil"/>
              <w:left w:val="nil"/>
              <w:bottom w:val="single" w:sz="8" w:space="0" w:color="auto"/>
              <w:right w:val="single" w:sz="8" w:space="0" w:color="auto"/>
            </w:tcBorders>
            <w:noWrap/>
            <w:vAlign w:val="center"/>
            <w:hideMark/>
          </w:tcPr>
          <w:p w14:paraId="6C8A9936"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21,870,524.27 </w:t>
            </w:r>
          </w:p>
        </w:tc>
        <w:tc>
          <w:tcPr>
            <w:tcW w:w="2452" w:type="dxa"/>
            <w:tcBorders>
              <w:top w:val="nil"/>
              <w:left w:val="nil"/>
              <w:bottom w:val="single" w:sz="8" w:space="0" w:color="auto"/>
              <w:right w:val="single" w:sz="8" w:space="0" w:color="auto"/>
            </w:tcBorders>
            <w:noWrap/>
            <w:vAlign w:val="center"/>
            <w:hideMark/>
          </w:tcPr>
          <w:p w14:paraId="1C249047"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11,118,913.54</w:t>
            </w:r>
          </w:p>
        </w:tc>
      </w:tr>
      <w:tr w:rsidR="001E67A6" w:rsidRPr="00232EBB" w14:paraId="345976FB" w14:textId="77777777" w:rsidTr="001E67A6">
        <w:trPr>
          <w:trHeight w:val="271"/>
        </w:trPr>
        <w:tc>
          <w:tcPr>
            <w:tcW w:w="3924" w:type="dxa"/>
            <w:tcBorders>
              <w:top w:val="nil"/>
              <w:left w:val="single" w:sz="8" w:space="0" w:color="auto"/>
              <w:bottom w:val="single" w:sz="8" w:space="0" w:color="auto"/>
              <w:right w:val="single" w:sz="8" w:space="0" w:color="auto"/>
            </w:tcBorders>
            <w:noWrap/>
            <w:vAlign w:val="center"/>
            <w:hideMark/>
          </w:tcPr>
          <w:p w14:paraId="718F0794"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2.4 - Transferencias Corrientes</w:t>
            </w:r>
          </w:p>
        </w:tc>
        <w:tc>
          <w:tcPr>
            <w:tcW w:w="2207" w:type="dxa"/>
            <w:tcBorders>
              <w:top w:val="nil"/>
              <w:left w:val="nil"/>
              <w:bottom w:val="single" w:sz="8" w:space="0" w:color="auto"/>
              <w:right w:val="single" w:sz="8" w:space="0" w:color="auto"/>
            </w:tcBorders>
            <w:noWrap/>
            <w:vAlign w:val="center"/>
            <w:hideMark/>
          </w:tcPr>
          <w:p w14:paraId="1722B4C6"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21,533,040,847.00 </w:t>
            </w:r>
          </w:p>
        </w:tc>
        <w:tc>
          <w:tcPr>
            <w:tcW w:w="2207" w:type="dxa"/>
            <w:tcBorders>
              <w:top w:val="nil"/>
              <w:left w:val="nil"/>
              <w:bottom w:val="single" w:sz="8" w:space="0" w:color="auto"/>
              <w:right w:val="single" w:sz="8" w:space="0" w:color="auto"/>
            </w:tcBorders>
            <w:noWrap/>
            <w:vAlign w:val="center"/>
            <w:hideMark/>
          </w:tcPr>
          <w:p w14:paraId="297DDB16"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21,533,540,847.00 </w:t>
            </w:r>
          </w:p>
        </w:tc>
        <w:tc>
          <w:tcPr>
            <w:tcW w:w="2452" w:type="dxa"/>
            <w:tcBorders>
              <w:top w:val="nil"/>
              <w:left w:val="nil"/>
              <w:bottom w:val="single" w:sz="8" w:space="0" w:color="auto"/>
              <w:right w:val="single" w:sz="8" w:space="0" w:color="auto"/>
            </w:tcBorders>
            <w:noWrap/>
            <w:vAlign w:val="center"/>
            <w:hideMark/>
          </w:tcPr>
          <w:p w14:paraId="5C4A9596"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19,742,099,709.13</w:t>
            </w:r>
          </w:p>
        </w:tc>
      </w:tr>
      <w:tr w:rsidR="001E67A6" w:rsidRPr="00232EBB" w14:paraId="13E7C0A4" w14:textId="77777777" w:rsidTr="001E67A6">
        <w:trPr>
          <w:trHeight w:val="405"/>
        </w:trPr>
        <w:tc>
          <w:tcPr>
            <w:tcW w:w="3924" w:type="dxa"/>
            <w:tcBorders>
              <w:top w:val="nil"/>
              <w:left w:val="single" w:sz="8" w:space="0" w:color="auto"/>
              <w:bottom w:val="single" w:sz="8" w:space="0" w:color="auto"/>
              <w:right w:val="single" w:sz="8" w:space="0" w:color="auto"/>
            </w:tcBorders>
            <w:noWrap/>
            <w:vAlign w:val="center"/>
            <w:hideMark/>
          </w:tcPr>
          <w:p w14:paraId="67364CB4"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2.5 - Transferencias de Capital</w:t>
            </w:r>
          </w:p>
        </w:tc>
        <w:tc>
          <w:tcPr>
            <w:tcW w:w="2207" w:type="dxa"/>
            <w:tcBorders>
              <w:top w:val="nil"/>
              <w:left w:val="nil"/>
              <w:bottom w:val="single" w:sz="8" w:space="0" w:color="auto"/>
              <w:right w:val="single" w:sz="8" w:space="0" w:color="auto"/>
            </w:tcBorders>
            <w:noWrap/>
            <w:vAlign w:val="center"/>
            <w:hideMark/>
          </w:tcPr>
          <w:p w14:paraId="29298735"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c>
          <w:tcPr>
            <w:tcW w:w="2207" w:type="dxa"/>
            <w:tcBorders>
              <w:top w:val="nil"/>
              <w:left w:val="nil"/>
              <w:bottom w:val="single" w:sz="8" w:space="0" w:color="auto"/>
              <w:right w:val="single" w:sz="8" w:space="0" w:color="auto"/>
            </w:tcBorders>
            <w:noWrap/>
            <w:vAlign w:val="center"/>
            <w:hideMark/>
          </w:tcPr>
          <w:p w14:paraId="3934D2B9"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c>
          <w:tcPr>
            <w:tcW w:w="2452" w:type="dxa"/>
            <w:tcBorders>
              <w:top w:val="nil"/>
              <w:left w:val="nil"/>
              <w:bottom w:val="single" w:sz="8" w:space="0" w:color="auto"/>
              <w:right w:val="single" w:sz="8" w:space="0" w:color="auto"/>
            </w:tcBorders>
            <w:noWrap/>
            <w:vAlign w:val="center"/>
            <w:hideMark/>
          </w:tcPr>
          <w:p w14:paraId="3A84CE36"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r>
      <w:tr w:rsidR="001E67A6" w:rsidRPr="00232EBB" w14:paraId="0B989FB6" w14:textId="77777777" w:rsidTr="001E67A6">
        <w:trPr>
          <w:trHeight w:val="381"/>
        </w:trPr>
        <w:tc>
          <w:tcPr>
            <w:tcW w:w="3924" w:type="dxa"/>
            <w:tcBorders>
              <w:top w:val="nil"/>
              <w:left w:val="single" w:sz="8" w:space="0" w:color="auto"/>
              <w:bottom w:val="single" w:sz="8" w:space="0" w:color="auto"/>
              <w:right w:val="single" w:sz="8" w:space="0" w:color="auto"/>
            </w:tcBorders>
            <w:noWrap/>
            <w:vAlign w:val="center"/>
            <w:hideMark/>
          </w:tcPr>
          <w:p w14:paraId="3CD610F2"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2.6 - Bienes Muebles, Inmuebles E Intangibles</w:t>
            </w:r>
          </w:p>
        </w:tc>
        <w:tc>
          <w:tcPr>
            <w:tcW w:w="2207" w:type="dxa"/>
            <w:tcBorders>
              <w:top w:val="nil"/>
              <w:left w:val="nil"/>
              <w:bottom w:val="single" w:sz="8" w:space="0" w:color="auto"/>
              <w:right w:val="single" w:sz="8" w:space="0" w:color="auto"/>
            </w:tcBorders>
            <w:noWrap/>
            <w:vAlign w:val="center"/>
            <w:hideMark/>
          </w:tcPr>
          <w:p w14:paraId="7B54E4AF"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8,753,194.00 </w:t>
            </w:r>
          </w:p>
        </w:tc>
        <w:tc>
          <w:tcPr>
            <w:tcW w:w="2207" w:type="dxa"/>
            <w:tcBorders>
              <w:top w:val="nil"/>
              <w:left w:val="nil"/>
              <w:bottom w:val="single" w:sz="8" w:space="0" w:color="auto"/>
              <w:right w:val="single" w:sz="8" w:space="0" w:color="auto"/>
            </w:tcBorders>
            <w:noWrap/>
            <w:vAlign w:val="center"/>
            <w:hideMark/>
          </w:tcPr>
          <w:p w14:paraId="02D60670"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123,076,688.47 </w:t>
            </w:r>
          </w:p>
        </w:tc>
        <w:tc>
          <w:tcPr>
            <w:tcW w:w="2452" w:type="dxa"/>
            <w:tcBorders>
              <w:top w:val="nil"/>
              <w:left w:val="nil"/>
              <w:bottom w:val="single" w:sz="8" w:space="0" w:color="auto"/>
              <w:right w:val="single" w:sz="8" w:space="0" w:color="auto"/>
            </w:tcBorders>
            <w:noWrap/>
            <w:vAlign w:val="center"/>
            <w:hideMark/>
          </w:tcPr>
          <w:p w14:paraId="67C1A9B6"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16,088,486.44</w:t>
            </w:r>
          </w:p>
        </w:tc>
      </w:tr>
      <w:tr w:rsidR="001E67A6" w:rsidRPr="00232EBB" w14:paraId="067CF599" w14:textId="77777777" w:rsidTr="001E67A6">
        <w:trPr>
          <w:trHeight w:val="271"/>
        </w:trPr>
        <w:tc>
          <w:tcPr>
            <w:tcW w:w="3924" w:type="dxa"/>
            <w:tcBorders>
              <w:top w:val="nil"/>
              <w:left w:val="single" w:sz="8" w:space="0" w:color="auto"/>
              <w:bottom w:val="single" w:sz="8" w:space="0" w:color="auto"/>
              <w:right w:val="single" w:sz="8" w:space="0" w:color="auto"/>
            </w:tcBorders>
            <w:noWrap/>
            <w:vAlign w:val="center"/>
            <w:hideMark/>
          </w:tcPr>
          <w:p w14:paraId="7933C582"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2.7 - Obras</w:t>
            </w:r>
          </w:p>
        </w:tc>
        <w:tc>
          <w:tcPr>
            <w:tcW w:w="2207" w:type="dxa"/>
            <w:tcBorders>
              <w:top w:val="nil"/>
              <w:left w:val="nil"/>
              <w:bottom w:val="single" w:sz="8" w:space="0" w:color="auto"/>
              <w:right w:val="single" w:sz="8" w:space="0" w:color="auto"/>
            </w:tcBorders>
            <w:noWrap/>
            <w:vAlign w:val="center"/>
            <w:hideMark/>
          </w:tcPr>
          <w:p w14:paraId="522CF580"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c>
          <w:tcPr>
            <w:tcW w:w="2207" w:type="dxa"/>
            <w:tcBorders>
              <w:top w:val="nil"/>
              <w:left w:val="nil"/>
              <w:bottom w:val="single" w:sz="8" w:space="0" w:color="auto"/>
              <w:right w:val="single" w:sz="8" w:space="0" w:color="auto"/>
            </w:tcBorders>
            <w:noWrap/>
            <w:vAlign w:val="center"/>
            <w:hideMark/>
          </w:tcPr>
          <w:p w14:paraId="21D31149"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17,392,360.69 </w:t>
            </w:r>
          </w:p>
        </w:tc>
        <w:tc>
          <w:tcPr>
            <w:tcW w:w="2452" w:type="dxa"/>
            <w:tcBorders>
              <w:top w:val="nil"/>
              <w:left w:val="nil"/>
              <w:bottom w:val="single" w:sz="8" w:space="0" w:color="auto"/>
              <w:right w:val="single" w:sz="8" w:space="0" w:color="auto"/>
            </w:tcBorders>
            <w:noWrap/>
            <w:vAlign w:val="center"/>
            <w:hideMark/>
          </w:tcPr>
          <w:p w14:paraId="394AD292"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12,092,047.77  </w:t>
            </w:r>
          </w:p>
        </w:tc>
      </w:tr>
      <w:tr w:rsidR="001E67A6" w:rsidRPr="00232EBB" w14:paraId="7291DCB0" w14:textId="77777777" w:rsidTr="001E67A6">
        <w:trPr>
          <w:trHeight w:val="451"/>
        </w:trPr>
        <w:tc>
          <w:tcPr>
            <w:tcW w:w="3924" w:type="dxa"/>
            <w:tcBorders>
              <w:top w:val="nil"/>
              <w:left w:val="single" w:sz="8" w:space="0" w:color="auto"/>
              <w:bottom w:val="single" w:sz="8" w:space="0" w:color="auto"/>
              <w:right w:val="single" w:sz="8" w:space="0" w:color="auto"/>
            </w:tcBorders>
            <w:noWrap/>
            <w:vAlign w:val="center"/>
            <w:hideMark/>
          </w:tcPr>
          <w:p w14:paraId="02E697CC"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2.8 - Adquisición de Activos Financieros con Fines de Política</w:t>
            </w:r>
          </w:p>
        </w:tc>
        <w:tc>
          <w:tcPr>
            <w:tcW w:w="2207" w:type="dxa"/>
            <w:tcBorders>
              <w:top w:val="nil"/>
              <w:left w:val="nil"/>
              <w:bottom w:val="single" w:sz="8" w:space="0" w:color="auto"/>
              <w:right w:val="single" w:sz="8" w:space="0" w:color="auto"/>
            </w:tcBorders>
            <w:noWrap/>
            <w:vAlign w:val="center"/>
            <w:hideMark/>
          </w:tcPr>
          <w:p w14:paraId="635A1CD6"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c>
          <w:tcPr>
            <w:tcW w:w="2207" w:type="dxa"/>
            <w:tcBorders>
              <w:top w:val="nil"/>
              <w:left w:val="nil"/>
              <w:bottom w:val="single" w:sz="8" w:space="0" w:color="auto"/>
              <w:right w:val="single" w:sz="8" w:space="0" w:color="auto"/>
            </w:tcBorders>
            <w:noWrap/>
            <w:vAlign w:val="center"/>
            <w:hideMark/>
          </w:tcPr>
          <w:p w14:paraId="131132A3"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c>
          <w:tcPr>
            <w:tcW w:w="2452" w:type="dxa"/>
            <w:tcBorders>
              <w:top w:val="nil"/>
              <w:left w:val="nil"/>
              <w:bottom w:val="single" w:sz="8" w:space="0" w:color="auto"/>
              <w:right w:val="single" w:sz="8" w:space="0" w:color="auto"/>
            </w:tcBorders>
            <w:noWrap/>
            <w:vAlign w:val="center"/>
            <w:hideMark/>
          </w:tcPr>
          <w:p w14:paraId="15D0491F"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r>
      <w:tr w:rsidR="001E67A6" w:rsidRPr="00232EBB" w14:paraId="4B1B605D" w14:textId="77777777" w:rsidTr="001E67A6">
        <w:trPr>
          <w:trHeight w:val="51"/>
        </w:trPr>
        <w:tc>
          <w:tcPr>
            <w:tcW w:w="3924" w:type="dxa"/>
            <w:tcBorders>
              <w:top w:val="nil"/>
              <w:left w:val="single" w:sz="8" w:space="0" w:color="auto"/>
              <w:bottom w:val="single" w:sz="8" w:space="0" w:color="auto"/>
              <w:right w:val="single" w:sz="8" w:space="0" w:color="auto"/>
            </w:tcBorders>
            <w:noWrap/>
            <w:vAlign w:val="center"/>
            <w:hideMark/>
          </w:tcPr>
          <w:p w14:paraId="60CC2F24" w14:textId="77777777" w:rsidR="001E67A6" w:rsidRPr="00232EBB" w:rsidRDefault="001E67A6" w:rsidP="001E67A6">
            <w:pPr>
              <w:spacing w:after="0" w:line="240" w:lineRule="auto"/>
              <w:jc w:val="both"/>
              <w:rPr>
                <w:rFonts w:eastAsia="Calibri"/>
                <w:sz w:val="20"/>
                <w:szCs w:val="20"/>
                <w:lang w:val="es-DO"/>
              </w:rPr>
            </w:pPr>
            <w:r w:rsidRPr="00232EBB">
              <w:rPr>
                <w:rFonts w:eastAsia="Calibri"/>
                <w:sz w:val="20"/>
                <w:szCs w:val="20"/>
                <w:lang w:val="es-DO"/>
              </w:rPr>
              <w:t>2.9 - Gastos Financieros</w:t>
            </w:r>
          </w:p>
        </w:tc>
        <w:tc>
          <w:tcPr>
            <w:tcW w:w="2207" w:type="dxa"/>
            <w:tcBorders>
              <w:top w:val="nil"/>
              <w:left w:val="nil"/>
              <w:bottom w:val="single" w:sz="8" w:space="0" w:color="auto"/>
              <w:right w:val="single" w:sz="8" w:space="0" w:color="auto"/>
            </w:tcBorders>
            <w:noWrap/>
            <w:vAlign w:val="center"/>
            <w:hideMark/>
          </w:tcPr>
          <w:p w14:paraId="143964CD"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c>
          <w:tcPr>
            <w:tcW w:w="2207" w:type="dxa"/>
            <w:tcBorders>
              <w:top w:val="nil"/>
              <w:left w:val="nil"/>
              <w:bottom w:val="single" w:sz="8" w:space="0" w:color="auto"/>
              <w:right w:val="single" w:sz="8" w:space="0" w:color="auto"/>
            </w:tcBorders>
            <w:noWrap/>
            <w:vAlign w:val="center"/>
            <w:hideMark/>
          </w:tcPr>
          <w:p w14:paraId="78DCD573"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c>
          <w:tcPr>
            <w:tcW w:w="2452" w:type="dxa"/>
            <w:tcBorders>
              <w:top w:val="nil"/>
              <w:left w:val="nil"/>
              <w:bottom w:val="single" w:sz="8" w:space="0" w:color="auto"/>
              <w:right w:val="single" w:sz="8" w:space="0" w:color="auto"/>
            </w:tcBorders>
            <w:noWrap/>
            <w:vAlign w:val="center"/>
            <w:hideMark/>
          </w:tcPr>
          <w:p w14:paraId="4AF599D5" w14:textId="77777777" w:rsidR="001E67A6" w:rsidRPr="00232EBB" w:rsidRDefault="001E67A6" w:rsidP="001E67A6">
            <w:pPr>
              <w:spacing w:after="0" w:line="240" w:lineRule="auto"/>
              <w:jc w:val="right"/>
              <w:rPr>
                <w:rFonts w:eastAsia="Calibri"/>
                <w:sz w:val="20"/>
                <w:szCs w:val="20"/>
                <w:lang w:val="es-DO"/>
              </w:rPr>
            </w:pPr>
            <w:r w:rsidRPr="00232EBB">
              <w:rPr>
                <w:rFonts w:eastAsia="Calibri"/>
                <w:sz w:val="20"/>
                <w:szCs w:val="20"/>
                <w:lang w:val="es-DO"/>
              </w:rPr>
              <w:t xml:space="preserve">                                     -    </w:t>
            </w:r>
          </w:p>
        </w:tc>
      </w:tr>
      <w:tr w:rsidR="001E67A6" w:rsidRPr="00232EBB" w14:paraId="25077312" w14:textId="77777777" w:rsidTr="001E67A6">
        <w:trPr>
          <w:trHeight w:val="473"/>
        </w:trPr>
        <w:tc>
          <w:tcPr>
            <w:tcW w:w="3924" w:type="dxa"/>
            <w:tcBorders>
              <w:top w:val="nil"/>
              <w:left w:val="single" w:sz="8" w:space="0" w:color="auto"/>
              <w:bottom w:val="single" w:sz="8" w:space="0" w:color="auto"/>
              <w:right w:val="single" w:sz="8" w:space="0" w:color="auto"/>
            </w:tcBorders>
            <w:noWrap/>
            <w:vAlign w:val="center"/>
          </w:tcPr>
          <w:p w14:paraId="744C9D68" w14:textId="77777777" w:rsidR="001E67A6" w:rsidRPr="00232EBB" w:rsidRDefault="001E67A6" w:rsidP="001E67A6">
            <w:pPr>
              <w:spacing w:after="0" w:line="240" w:lineRule="auto"/>
              <w:jc w:val="both"/>
              <w:rPr>
                <w:rFonts w:eastAsia="Calibri"/>
                <w:b/>
                <w:bCs/>
                <w:sz w:val="20"/>
                <w:szCs w:val="20"/>
                <w:lang w:val="es-DO"/>
              </w:rPr>
            </w:pPr>
            <w:r w:rsidRPr="00232EBB">
              <w:rPr>
                <w:rFonts w:eastAsia="Calibri"/>
                <w:b/>
                <w:bCs/>
                <w:sz w:val="20"/>
                <w:szCs w:val="20"/>
                <w:lang w:val="es-DO"/>
              </w:rPr>
              <w:t>TOTAL, GASTOS</w:t>
            </w:r>
          </w:p>
        </w:tc>
        <w:tc>
          <w:tcPr>
            <w:tcW w:w="2207" w:type="dxa"/>
            <w:tcBorders>
              <w:top w:val="nil"/>
              <w:left w:val="nil"/>
              <w:bottom w:val="single" w:sz="8" w:space="0" w:color="auto"/>
              <w:right w:val="single" w:sz="8" w:space="0" w:color="auto"/>
            </w:tcBorders>
            <w:noWrap/>
            <w:vAlign w:val="center"/>
          </w:tcPr>
          <w:p w14:paraId="3A3FA5E1" w14:textId="77777777" w:rsidR="001E67A6" w:rsidRPr="00232EBB" w:rsidRDefault="001E67A6" w:rsidP="001E67A6">
            <w:pPr>
              <w:spacing w:after="0" w:line="240" w:lineRule="auto"/>
              <w:jc w:val="right"/>
              <w:rPr>
                <w:rFonts w:eastAsia="Calibri"/>
                <w:b/>
                <w:bCs/>
                <w:sz w:val="20"/>
                <w:szCs w:val="20"/>
                <w:lang w:val="es-DO"/>
              </w:rPr>
            </w:pPr>
            <w:r w:rsidRPr="00232EBB">
              <w:rPr>
                <w:rFonts w:eastAsia="Calibri"/>
                <w:b/>
                <w:bCs/>
                <w:sz w:val="20"/>
                <w:szCs w:val="20"/>
                <w:lang w:val="es-DO"/>
              </w:rPr>
              <w:t>22,467,404,819.00</w:t>
            </w:r>
          </w:p>
        </w:tc>
        <w:tc>
          <w:tcPr>
            <w:tcW w:w="2207" w:type="dxa"/>
            <w:tcBorders>
              <w:top w:val="nil"/>
              <w:left w:val="nil"/>
              <w:bottom w:val="single" w:sz="8" w:space="0" w:color="auto"/>
              <w:right w:val="single" w:sz="8" w:space="0" w:color="auto"/>
            </w:tcBorders>
            <w:noWrap/>
            <w:vAlign w:val="center"/>
          </w:tcPr>
          <w:p w14:paraId="36CB6F66" w14:textId="77777777" w:rsidR="001E67A6" w:rsidRPr="00232EBB" w:rsidRDefault="001E67A6" w:rsidP="001E67A6">
            <w:pPr>
              <w:spacing w:after="0" w:line="240" w:lineRule="auto"/>
              <w:jc w:val="right"/>
              <w:rPr>
                <w:rFonts w:eastAsia="Calibri"/>
                <w:b/>
                <w:bCs/>
                <w:sz w:val="20"/>
                <w:szCs w:val="20"/>
                <w:lang w:val="es-DO"/>
              </w:rPr>
            </w:pPr>
            <w:r w:rsidRPr="00232EBB">
              <w:rPr>
                <w:rFonts w:eastAsia="Calibri"/>
                <w:b/>
                <w:bCs/>
                <w:sz w:val="20"/>
                <w:szCs w:val="20"/>
                <w:lang w:val="es-DO"/>
              </w:rPr>
              <w:t>22,805,661,427.76</w:t>
            </w:r>
          </w:p>
        </w:tc>
        <w:tc>
          <w:tcPr>
            <w:tcW w:w="2452" w:type="dxa"/>
            <w:tcBorders>
              <w:top w:val="nil"/>
              <w:left w:val="nil"/>
              <w:bottom w:val="single" w:sz="8" w:space="0" w:color="auto"/>
              <w:right w:val="single" w:sz="8" w:space="0" w:color="auto"/>
            </w:tcBorders>
            <w:noWrap/>
            <w:vAlign w:val="center"/>
          </w:tcPr>
          <w:p w14:paraId="357D5A8C" w14:textId="77777777" w:rsidR="001E67A6" w:rsidRPr="00232EBB" w:rsidRDefault="001E67A6" w:rsidP="001E67A6">
            <w:pPr>
              <w:spacing w:after="0" w:line="240" w:lineRule="auto"/>
              <w:jc w:val="right"/>
              <w:rPr>
                <w:rFonts w:eastAsia="Calibri"/>
                <w:b/>
                <w:bCs/>
                <w:sz w:val="20"/>
                <w:szCs w:val="20"/>
                <w:lang w:val="es-DO"/>
              </w:rPr>
            </w:pPr>
            <w:r w:rsidRPr="00232EBB">
              <w:rPr>
                <w:rFonts w:eastAsia="Calibri"/>
                <w:b/>
                <w:bCs/>
                <w:sz w:val="20"/>
                <w:szCs w:val="20"/>
                <w:lang w:val="es-DO"/>
              </w:rPr>
              <w:t>20,565,485,141.87</w:t>
            </w:r>
          </w:p>
        </w:tc>
      </w:tr>
    </w:tbl>
    <w:p w14:paraId="53D76B4A" w14:textId="2600F218" w:rsidR="005E73B9" w:rsidRPr="00232EBB" w:rsidRDefault="00EE3355" w:rsidP="001E67A6">
      <w:pPr>
        <w:rPr>
          <w:rFonts w:eastAsia="Calibri"/>
          <w:sz w:val="18"/>
          <w:szCs w:val="18"/>
          <w:lang w:val="es-DO"/>
        </w:rPr>
      </w:pPr>
      <w:r w:rsidRPr="00232EBB">
        <w:rPr>
          <w:rFonts w:eastAsia="Calibri"/>
          <w:b/>
          <w:bCs/>
          <w:sz w:val="18"/>
          <w:szCs w:val="18"/>
          <w:lang w:val="es-DO"/>
        </w:rPr>
        <w:t xml:space="preserve">    </w:t>
      </w:r>
      <w:r w:rsidR="005E73B9" w:rsidRPr="00232EBB">
        <w:rPr>
          <w:rFonts w:eastAsia="Calibri"/>
          <w:b/>
          <w:bCs/>
          <w:sz w:val="18"/>
          <w:szCs w:val="18"/>
          <w:lang w:val="es-DO"/>
        </w:rPr>
        <w:t xml:space="preserve">Fuente: </w:t>
      </w:r>
      <w:r w:rsidR="005E73B9" w:rsidRPr="00232EBB">
        <w:rPr>
          <w:rFonts w:eastAsia="Calibri"/>
          <w:sz w:val="18"/>
          <w:szCs w:val="18"/>
          <w:lang w:val="es-DO"/>
        </w:rPr>
        <w:t>Dirección Financiera</w:t>
      </w:r>
      <w:r w:rsidR="005E73B9" w:rsidRPr="00232EBB">
        <w:rPr>
          <w:rFonts w:eastAsia="Calibri"/>
          <w:b/>
          <w:bCs/>
          <w:sz w:val="18"/>
          <w:szCs w:val="18"/>
          <w:lang w:val="es-DO"/>
        </w:rPr>
        <w:t xml:space="preserve"> </w:t>
      </w:r>
      <w:r w:rsidR="005E73B9" w:rsidRPr="00232EBB">
        <w:rPr>
          <w:rFonts w:eastAsia="Calibri"/>
          <w:sz w:val="18"/>
          <w:szCs w:val="18"/>
          <w:lang w:val="es-DO"/>
        </w:rPr>
        <w:t>202</w:t>
      </w:r>
      <w:r w:rsidR="00D21093" w:rsidRPr="00232EBB">
        <w:rPr>
          <w:rFonts w:eastAsia="Calibri"/>
          <w:sz w:val="18"/>
          <w:szCs w:val="18"/>
          <w:lang w:val="es-DO"/>
        </w:rPr>
        <w:t>5</w:t>
      </w:r>
      <w:r w:rsidR="005E73B9" w:rsidRPr="00232EBB">
        <w:rPr>
          <w:rFonts w:eastAsia="Calibri"/>
          <w:sz w:val="18"/>
          <w:szCs w:val="18"/>
          <w:lang w:val="es-DO"/>
        </w:rPr>
        <w:t>,</w:t>
      </w:r>
      <w:r w:rsidR="005E73B9" w:rsidRPr="00232EBB">
        <w:rPr>
          <w:lang w:val="es-DO"/>
        </w:rPr>
        <w:t xml:space="preserve"> </w:t>
      </w:r>
      <w:r w:rsidR="005E73B9" w:rsidRPr="00232EBB">
        <w:rPr>
          <w:rFonts w:eastAsia="Calibri"/>
          <w:sz w:val="18"/>
          <w:szCs w:val="18"/>
          <w:lang w:val="es-DO"/>
        </w:rPr>
        <w:t>ejecución Devengado 202</w:t>
      </w:r>
      <w:r w:rsidR="00D21093" w:rsidRPr="00232EBB">
        <w:rPr>
          <w:rFonts w:eastAsia="Calibri"/>
          <w:sz w:val="18"/>
          <w:szCs w:val="18"/>
          <w:lang w:val="es-DO"/>
        </w:rPr>
        <w:t>5</w:t>
      </w:r>
    </w:p>
    <w:p w14:paraId="19AC1711" w14:textId="77777777" w:rsidR="001E67A6" w:rsidRPr="00232EBB" w:rsidRDefault="001E67A6" w:rsidP="001E67A6">
      <w:pPr>
        <w:rPr>
          <w:rFonts w:eastAsia="Calibri"/>
          <w:sz w:val="18"/>
          <w:szCs w:val="18"/>
          <w:lang w:val="es-DO"/>
        </w:rPr>
      </w:pPr>
    </w:p>
    <w:p w14:paraId="7C0782BB" w14:textId="77777777" w:rsidR="00EE3355" w:rsidRPr="00232EBB" w:rsidRDefault="00EE3355" w:rsidP="005E73B9">
      <w:pPr>
        <w:ind w:left="-90"/>
        <w:rPr>
          <w:rFonts w:eastAsia="Calibri"/>
          <w:sz w:val="18"/>
          <w:szCs w:val="18"/>
          <w:lang w:val="es-DO"/>
        </w:rPr>
      </w:pPr>
    </w:p>
    <w:p w14:paraId="48B480B9" w14:textId="77777777" w:rsidR="00CC5CD4" w:rsidRPr="00232EBB" w:rsidRDefault="00CC5CD4" w:rsidP="00EE3355">
      <w:pPr>
        <w:pStyle w:val="Heading1"/>
        <w:spacing w:line="259" w:lineRule="auto"/>
        <w:ind w:left="990"/>
        <w:jc w:val="left"/>
        <w:rPr>
          <w:rFonts w:cs="Times New Roman"/>
          <w:lang w:val="es-DO"/>
        </w:rPr>
      </w:pPr>
    </w:p>
    <w:p w14:paraId="5469A0F7" w14:textId="77777777" w:rsidR="00CC5CD4" w:rsidRPr="00232EBB" w:rsidRDefault="00CC5CD4" w:rsidP="00CC5CD4">
      <w:pPr>
        <w:rPr>
          <w:lang w:val="es-DO"/>
        </w:rPr>
      </w:pPr>
    </w:p>
    <w:p w14:paraId="7EA35EBC" w14:textId="2C9E1C68" w:rsidR="002E6D74" w:rsidRPr="00232EBB" w:rsidRDefault="002E6D74" w:rsidP="00EE3355">
      <w:pPr>
        <w:pStyle w:val="Heading1"/>
        <w:spacing w:line="259" w:lineRule="auto"/>
        <w:ind w:left="990"/>
        <w:jc w:val="left"/>
        <w:rPr>
          <w:rFonts w:cs="Times New Roman"/>
          <w:lang w:val="es-DO"/>
        </w:rPr>
      </w:pPr>
      <w:bookmarkStart w:id="313" w:name="_Toc216952284"/>
      <w:r w:rsidRPr="00232EBB">
        <w:rPr>
          <w:rFonts w:cs="Times New Roman"/>
          <w:lang w:val="es-DO"/>
        </w:rPr>
        <w:lastRenderedPageBreak/>
        <w:t>7.5 Anexo 5: Resumen Plan Anual de Compras</w:t>
      </w:r>
      <w:bookmarkEnd w:id="313"/>
    </w:p>
    <w:p w14:paraId="78632A34" w14:textId="77777777" w:rsidR="005E73B9" w:rsidRPr="00232EBB" w:rsidRDefault="005E73B9" w:rsidP="005E73B9">
      <w:pPr>
        <w:spacing w:after="0" w:line="240" w:lineRule="auto"/>
        <w:jc w:val="center"/>
        <w:rPr>
          <w:rFonts w:eastAsia="Calibri"/>
          <w:lang w:val="es-DO"/>
        </w:rPr>
      </w:pPr>
    </w:p>
    <w:tbl>
      <w:tblPr>
        <w:tblW w:w="4572" w:type="pct"/>
        <w:jc w:val="center"/>
        <w:tblLook w:val="04A0" w:firstRow="1" w:lastRow="0" w:firstColumn="1" w:lastColumn="0" w:noHBand="0" w:noVBand="1"/>
      </w:tblPr>
      <w:tblGrid>
        <w:gridCol w:w="4904"/>
        <w:gridCol w:w="2600"/>
        <w:gridCol w:w="3021"/>
      </w:tblGrid>
      <w:tr w:rsidR="002E6D74" w:rsidRPr="00232EBB" w14:paraId="38748925" w14:textId="77777777" w:rsidTr="001E67A6">
        <w:trPr>
          <w:trHeight w:val="9"/>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6506298A" w14:textId="237C6152" w:rsidR="002E6D74" w:rsidRPr="00232EBB" w:rsidRDefault="002E6D74" w:rsidP="006027F7">
            <w:pPr>
              <w:spacing w:after="0" w:line="360" w:lineRule="auto"/>
              <w:jc w:val="center"/>
              <w:rPr>
                <w:rFonts w:eastAsia="Times New Roman"/>
                <w:b/>
                <w:bCs/>
                <w:color w:val="808080" w:themeColor="background1" w:themeShade="80"/>
                <w:spacing w:val="0"/>
                <w:sz w:val="22"/>
                <w:szCs w:val="22"/>
              </w:rPr>
            </w:pPr>
            <w:r w:rsidRPr="00232EBB">
              <w:rPr>
                <w:rFonts w:eastAsia="Times New Roman"/>
                <w:b/>
                <w:bCs/>
                <w:color w:val="FFFFFF" w:themeColor="background1"/>
                <w:spacing w:val="0"/>
                <w:sz w:val="22"/>
                <w:szCs w:val="22"/>
              </w:rPr>
              <w:t>Datos de Cabecera PACC</w:t>
            </w:r>
          </w:p>
        </w:tc>
      </w:tr>
      <w:tr w:rsidR="002E6D74" w:rsidRPr="00232EBB" w14:paraId="3AE6B0B4"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vAlign w:val="center"/>
            <w:hideMark/>
          </w:tcPr>
          <w:p w14:paraId="69BE2D80"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Monto estimado total</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3FE47844" w14:textId="2A6C9A22"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 RD$ </w:t>
            </w:r>
            <w:r w:rsidR="0067164E" w:rsidRPr="00232EBB">
              <w:rPr>
                <w:rFonts w:eastAsia="Times New Roman"/>
                <w:color w:val="808080" w:themeColor="background1" w:themeShade="80"/>
                <w:spacing w:val="0"/>
                <w:sz w:val="22"/>
                <w:szCs w:val="22"/>
                <w:lang w:val="es-DO"/>
              </w:rPr>
              <w:t>388,942,125.14</w:t>
            </w:r>
          </w:p>
        </w:tc>
      </w:tr>
      <w:tr w:rsidR="002E6D74" w:rsidRPr="00232EBB" w14:paraId="179336A4"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3F15C7BA"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Cantidad de procesos registrados</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419BF859" w14:textId="142F54E9" w:rsidR="002E6D74" w:rsidRPr="00232EBB" w:rsidRDefault="0067164E"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221</w:t>
            </w:r>
          </w:p>
        </w:tc>
      </w:tr>
      <w:tr w:rsidR="002E6D74" w:rsidRPr="00232EBB" w14:paraId="64F2B503"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05A3EFEC"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Capítulo </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7D37E901" w14:textId="77777777"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 5211 </w:t>
            </w:r>
          </w:p>
        </w:tc>
      </w:tr>
      <w:tr w:rsidR="002E6D74" w:rsidRPr="00232EBB" w14:paraId="0E4A042F"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4E17126D"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Subcapítulo</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662AAD5F" w14:textId="77777777"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 01 </w:t>
            </w:r>
          </w:p>
        </w:tc>
      </w:tr>
      <w:tr w:rsidR="002E6D74" w:rsidRPr="00232EBB" w14:paraId="74AA50B9"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488F3D6A"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Unidad ejecutora</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3A33EA25" w14:textId="77777777"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 0001 </w:t>
            </w:r>
          </w:p>
        </w:tc>
      </w:tr>
      <w:tr w:rsidR="002E6D74" w:rsidRPr="00232EBB" w14:paraId="5DD212D8"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44E7CDC1"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Unidad de compra </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0BCD4B65" w14:textId="77777777"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 Tesorería de la Seguridad Social </w:t>
            </w:r>
          </w:p>
        </w:tc>
      </w:tr>
      <w:tr w:rsidR="002E6D74" w:rsidRPr="00232EBB" w14:paraId="5C048727"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5F29C84D"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Año fiscal </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60F61806" w14:textId="05B95183"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 202</w:t>
            </w:r>
            <w:r w:rsidR="0067164E" w:rsidRPr="00232EBB">
              <w:rPr>
                <w:rFonts w:eastAsia="Times New Roman"/>
                <w:color w:val="808080" w:themeColor="background1" w:themeShade="80"/>
                <w:spacing w:val="0"/>
                <w:sz w:val="22"/>
                <w:szCs w:val="22"/>
                <w:lang w:val="es-DO"/>
              </w:rPr>
              <w:t>5</w:t>
            </w:r>
            <w:r w:rsidRPr="00232EBB">
              <w:rPr>
                <w:rFonts w:eastAsia="Times New Roman"/>
                <w:color w:val="808080" w:themeColor="background1" w:themeShade="80"/>
                <w:spacing w:val="0"/>
                <w:sz w:val="22"/>
                <w:szCs w:val="22"/>
                <w:lang w:val="es-DO"/>
              </w:rPr>
              <w:t xml:space="preserve"> </w:t>
            </w:r>
          </w:p>
        </w:tc>
      </w:tr>
      <w:tr w:rsidR="002E6D74" w:rsidRPr="00232EBB" w14:paraId="0A3D07B8" w14:textId="77777777" w:rsidTr="001E67A6">
        <w:trPr>
          <w:trHeight w:val="9"/>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203764"/>
            <w:vAlign w:val="center"/>
            <w:hideMark/>
          </w:tcPr>
          <w:p w14:paraId="34C1CF5E" w14:textId="77777777" w:rsidR="002E6D74" w:rsidRPr="00232EBB" w:rsidRDefault="002E6D74" w:rsidP="006027F7">
            <w:pPr>
              <w:spacing w:after="0" w:line="360" w:lineRule="auto"/>
              <w:jc w:val="center"/>
              <w:rPr>
                <w:rFonts w:eastAsia="Times New Roman"/>
                <w:b/>
                <w:bCs/>
                <w:color w:val="808080" w:themeColor="background1" w:themeShade="80"/>
                <w:spacing w:val="0"/>
                <w:sz w:val="22"/>
                <w:szCs w:val="22"/>
                <w:lang w:val="es-ES"/>
              </w:rPr>
            </w:pPr>
            <w:r w:rsidRPr="00232EBB">
              <w:rPr>
                <w:rFonts w:eastAsia="Times New Roman"/>
                <w:b/>
                <w:bCs/>
                <w:color w:val="FFFFFF" w:themeColor="background1"/>
                <w:spacing w:val="0"/>
                <w:sz w:val="22"/>
                <w:szCs w:val="22"/>
                <w:lang w:val="es-ES"/>
              </w:rPr>
              <w:t>Montos estimados según objeto de contratación</w:t>
            </w:r>
          </w:p>
        </w:tc>
      </w:tr>
      <w:tr w:rsidR="002E6D74" w:rsidRPr="00232EBB" w14:paraId="4EB988BC"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625DC4A8"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Bienes</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424E3E51" w14:textId="666587B8"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61.227.943.12</w:t>
            </w:r>
          </w:p>
        </w:tc>
      </w:tr>
      <w:tr w:rsidR="0067164E" w:rsidRPr="00232EBB" w14:paraId="7D221480"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tcPr>
          <w:p w14:paraId="6A3146CF" w14:textId="4D70ED6B" w:rsidR="0067164E" w:rsidRPr="00232EBB" w:rsidRDefault="0067164E"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Obras</w:t>
            </w:r>
          </w:p>
        </w:tc>
        <w:tc>
          <w:tcPr>
            <w:tcW w:w="2822" w:type="pct"/>
            <w:gridSpan w:val="2"/>
            <w:tcBorders>
              <w:top w:val="nil"/>
              <w:left w:val="nil"/>
              <w:bottom w:val="single" w:sz="4" w:space="0" w:color="auto"/>
              <w:right w:val="single" w:sz="4" w:space="0" w:color="auto"/>
            </w:tcBorders>
            <w:shd w:val="clear" w:color="000000" w:fill="FFFFFF"/>
            <w:noWrap/>
            <w:vAlign w:val="bottom"/>
          </w:tcPr>
          <w:p w14:paraId="7F766C34" w14:textId="7B0F7A6B" w:rsidR="0067164E" w:rsidRPr="00232EBB" w:rsidRDefault="0067164E"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RD$573.281.17</w:t>
            </w:r>
          </w:p>
        </w:tc>
      </w:tr>
      <w:tr w:rsidR="002E6D74" w:rsidRPr="00232EBB" w14:paraId="2028CABC"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3EBF6FEF"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Servicios</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51360348" w14:textId="0A74C134" w:rsidR="002E6D74" w:rsidRPr="00232EBB" w:rsidRDefault="0067164E"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RD$327,140,900.85</w:t>
            </w:r>
          </w:p>
        </w:tc>
      </w:tr>
      <w:tr w:rsidR="002E6D74" w:rsidRPr="00232EBB" w14:paraId="1CE17F21" w14:textId="77777777" w:rsidTr="001E67A6">
        <w:trPr>
          <w:trHeight w:val="9"/>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57F63F26" w14:textId="79305FFB" w:rsidR="002E6D74" w:rsidRPr="00232EBB" w:rsidRDefault="002E6D74" w:rsidP="006027F7">
            <w:pPr>
              <w:spacing w:after="0" w:line="360" w:lineRule="auto"/>
              <w:jc w:val="center"/>
              <w:rPr>
                <w:rFonts w:eastAsia="Times New Roman"/>
                <w:b/>
                <w:bCs/>
                <w:color w:val="808080" w:themeColor="background1" w:themeShade="80"/>
                <w:spacing w:val="0"/>
                <w:sz w:val="22"/>
                <w:szCs w:val="22"/>
                <w:lang w:val="es-ES"/>
              </w:rPr>
            </w:pPr>
            <w:r w:rsidRPr="00232EBB">
              <w:rPr>
                <w:rFonts w:eastAsia="Times New Roman"/>
                <w:b/>
                <w:bCs/>
                <w:color w:val="FFFFFF" w:themeColor="background1"/>
                <w:spacing w:val="0"/>
                <w:sz w:val="22"/>
                <w:szCs w:val="22"/>
                <w:lang w:val="es-ES"/>
              </w:rPr>
              <w:t xml:space="preserve">Montos estimados según clasificación </w:t>
            </w:r>
            <w:r w:rsidR="00247D12" w:rsidRPr="00232EBB">
              <w:rPr>
                <w:rFonts w:eastAsia="Times New Roman"/>
                <w:b/>
                <w:bCs/>
                <w:color w:val="FFFFFF" w:themeColor="background1"/>
                <w:spacing w:val="0"/>
                <w:sz w:val="22"/>
                <w:szCs w:val="22"/>
                <w:lang w:val="es-ES"/>
              </w:rPr>
              <w:t>MiPymes</w:t>
            </w:r>
          </w:p>
        </w:tc>
      </w:tr>
      <w:tr w:rsidR="002E6D74" w:rsidRPr="00232EBB" w14:paraId="4899396E"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11D6E52A" w14:textId="42A8231D" w:rsidR="002E6D74" w:rsidRPr="00232EBB" w:rsidRDefault="00247D12"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MiPymes</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7C223D5E" w14:textId="7A28BBC7"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47,367,535.44</w:t>
            </w:r>
          </w:p>
        </w:tc>
      </w:tr>
      <w:tr w:rsidR="002E6D74" w:rsidRPr="00232EBB" w14:paraId="654B0856"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393D1B96" w14:textId="031D73C7" w:rsidR="002E6D74" w:rsidRPr="00232EBB" w:rsidRDefault="00247D12"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MiPymes</w:t>
            </w:r>
            <w:r w:rsidR="002E6D74" w:rsidRPr="00232EBB">
              <w:rPr>
                <w:rFonts w:eastAsia="Times New Roman"/>
                <w:color w:val="808080" w:themeColor="background1" w:themeShade="80"/>
                <w:spacing w:val="0"/>
                <w:sz w:val="22"/>
                <w:szCs w:val="22"/>
                <w:lang w:val="es-DO"/>
              </w:rPr>
              <w:t xml:space="preserve"> mujer</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78580F2C" w14:textId="599A4F93"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4,338,585.20</w:t>
            </w:r>
          </w:p>
        </w:tc>
      </w:tr>
      <w:tr w:rsidR="002E6D74" w:rsidRPr="00232EBB" w14:paraId="5AE475B9" w14:textId="77777777" w:rsidTr="001E67A6">
        <w:trPr>
          <w:trHeight w:val="9"/>
          <w:jc w:val="center"/>
        </w:trPr>
        <w:tc>
          <w:tcPr>
            <w:tcW w:w="2178" w:type="pct"/>
            <w:tcBorders>
              <w:top w:val="nil"/>
              <w:left w:val="single" w:sz="4" w:space="0" w:color="auto"/>
              <w:bottom w:val="single" w:sz="4" w:space="0" w:color="auto"/>
              <w:right w:val="single" w:sz="4" w:space="0" w:color="auto"/>
            </w:tcBorders>
            <w:shd w:val="clear" w:color="000000" w:fill="FFFFFF"/>
            <w:noWrap/>
            <w:vAlign w:val="bottom"/>
            <w:hideMark/>
          </w:tcPr>
          <w:p w14:paraId="0A8BC71A" w14:textId="3617C328"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 xml:space="preserve">No </w:t>
            </w:r>
            <w:r w:rsidR="00247D12" w:rsidRPr="00232EBB">
              <w:rPr>
                <w:rFonts w:eastAsia="Times New Roman"/>
                <w:color w:val="808080" w:themeColor="background1" w:themeShade="80"/>
                <w:spacing w:val="0"/>
                <w:sz w:val="22"/>
                <w:szCs w:val="22"/>
                <w:lang w:val="es-DO"/>
              </w:rPr>
              <w:t>MiPymes</w:t>
            </w:r>
          </w:p>
        </w:tc>
        <w:tc>
          <w:tcPr>
            <w:tcW w:w="2822" w:type="pct"/>
            <w:gridSpan w:val="2"/>
            <w:tcBorders>
              <w:top w:val="nil"/>
              <w:left w:val="nil"/>
              <w:bottom w:val="single" w:sz="4" w:space="0" w:color="auto"/>
              <w:right w:val="single" w:sz="4" w:space="0" w:color="auto"/>
            </w:tcBorders>
            <w:shd w:val="clear" w:color="000000" w:fill="FFFFFF"/>
            <w:noWrap/>
            <w:vAlign w:val="bottom"/>
            <w:hideMark/>
          </w:tcPr>
          <w:p w14:paraId="2F61ED97" w14:textId="5D2144D3"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337,236,004.50</w:t>
            </w:r>
          </w:p>
        </w:tc>
      </w:tr>
      <w:tr w:rsidR="002E6D74" w:rsidRPr="00232EBB" w14:paraId="521F795E" w14:textId="77777777" w:rsidTr="001E67A6">
        <w:trPr>
          <w:trHeight w:val="9"/>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09851912" w14:textId="77777777" w:rsidR="002E6D74" w:rsidRPr="00232EBB" w:rsidRDefault="002E6D74" w:rsidP="006027F7">
            <w:pPr>
              <w:spacing w:after="0" w:line="360" w:lineRule="auto"/>
              <w:jc w:val="center"/>
              <w:rPr>
                <w:rFonts w:eastAsia="Times New Roman"/>
                <w:b/>
                <w:bCs/>
                <w:color w:val="808080" w:themeColor="background1" w:themeShade="80"/>
                <w:spacing w:val="0"/>
                <w:sz w:val="22"/>
                <w:szCs w:val="22"/>
                <w:lang w:val="es-ES"/>
              </w:rPr>
            </w:pPr>
            <w:r w:rsidRPr="00232EBB">
              <w:rPr>
                <w:rFonts w:eastAsia="Times New Roman"/>
                <w:b/>
                <w:bCs/>
                <w:color w:val="FFFFFF" w:themeColor="background1"/>
                <w:spacing w:val="0"/>
                <w:sz w:val="22"/>
                <w:szCs w:val="22"/>
                <w:lang w:val="es-ES"/>
              </w:rPr>
              <w:t>Montos estimados según tipo de procedimiento</w:t>
            </w:r>
          </w:p>
        </w:tc>
      </w:tr>
      <w:tr w:rsidR="002E6D74" w:rsidRPr="00232EBB" w14:paraId="54A2DE37" w14:textId="77777777" w:rsidTr="001E67A6">
        <w:trPr>
          <w:trHeight w:val="9"/>
          <w:jc w:val="center"/>
        </w:trPr>
        <w:tc>
          <w:tcPr>
            <w:tcW w:w="3333"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C7FDCF9"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Compras por debajo del umbral</w:t>
            </w:r>
          </w:p>
        </w:tc>
        <w:tc>
          <w:tcPr>
            <w:tcW w:w="1667" w:type="pct"/>
            <w:tcBorders>
              <w:top w:val="nil"/>
              <w:left w:val="nil"/>
              <w:bottom w:val="single" w:sz="4" w:space="0" w:color="auto"/>
              <w:right w:val="single" w:sz="4" w:space="0" w:color="auto"/>
            </w:tcBorders>
            <w:shd w:val="clear" w:color="000000" w:fill="FFFFFF"/>
            <w:noWrap/>
            <w:vAlign w:val="bottom"/>
            <w:hideMark/>
          </w:tcPr>
          <w:p w14:paraId="704CFD6B" w14:textId="7A5AA661"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10,670,157.30</w:t>
            </w:r>
          </w:p>
        </w:tc>
      </w:tr>
      <w:tr w:rsidR="002E6D74" w:rsidRPr="00232EBB" w14:paraId="26B19C05" w14:textId="77777777" w:rsidTr="001E67A6">
        <w:trPr>
          <w:trHeight w:val="9"/>
          <w:jc w:val="center"/>
        </w:trPr>
        <w:tc>
          <w:tcPr>
            <w:tcW w:w="3333"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733D700"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Compra menor</w:t>
            </w:r>
          </w:p>
        </w:tc>
        <w:tc>
          <w:tcPr>
            <w:tcW w:w="1667" w:type="pct"/>
            <w:tcBorders>
              <w:top w:val="nil"/>
              <w:left w:val="nil"/>
              <w:bottom w:val="single" w:sz="4" w:space="0" w:color="auto"/>
              <w:right w:val="single" w:sz="4" w:space="0" w:color="auto"/>
            </w:tcBorders>
            <w:shd w:val="clear" w:color="000000" w:fill="FFFFFF"/>
            <w:noWrap/>
            <w:vAlign w:val="bottom"/>
            <w:hideMark/>
          </w:tcPr>
          <w:p w14:paraId="6ACBC781" w14:textId="5DBCD317"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55,072,211.94</w:t>
            </w:r>
          </w:p>
        </w:tc>
      </w:tr>
      <w:tr w:rsidR="002E6D74" w:rsidRPr="00232EBB" w14:paraId="52E322DF" w14:textId="77777777" w:rsidTr="001E67A6">
        <w:trPr>
          <w:trHeight w:val="9"/>
          <w:jc w:val="center"/>
        </w:trPr>
        <w:tc>
          <w:tcPr>
            <w:tcW w:w="3333"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6BB44E9"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Comparación de precios</w:t>
            </w:r>
          </w:p>
        </w:tc>
        <w:tc>
          <w:tcPr>
            <w:tcW w:w="1667" w:type="pct"/>
            <w:tcBorders>
              <w:top w:val="nil"/>
              <w:left w:val="nil"/>
              <w:bottom w:val="single" w:sz="4" w:space="0" w:color="auto"/>
              <w:right w:val="single" w:sz="4" w:space="0" w:color="auto"/>
            </w:tcBorders>
            <w:shd w:val="clear" w:color="000000" w:fill="FFFFFF"/>
            <w:noWrap/>
            <w:vAlign w:val="bottom"/>
            <w:hideMark/>
          </w:tcPr>
          <w:p w14:paraId="594F50FF" w14:textId="53A93C48"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42,605,405.98</w:t>
            </w:r>
            <w:r w:rsidRPr="00232EBB">
              <w:rPr>
                <w:rFonts w:eastAsia="Times New Roman"/>
                <w:color w:val="808080" w:themeColor="background1" w:themeShade="80"/>
                <w:spacing w:val="0"/>
                <w:sz w:val="22"/>
                <w:szCs w:val="22"/>
                <w:lang w:val="es-DO"/>
              </w:rPr>
              <w:t xml:space="preserve"> </w:t>
            </w:r>
          </w:p>
        </w:tc>
      </w:tr>
      <w:tr w:rsidR="002E6D74" w:rsidRPr="00232EBB" w14:paraId="4C14348C" w14:textId="77777777" w:rsidTr="001E67A6">
        <w:trPr>
          <w:trHeight w:val="9"/>
          <w:jc w:val="center"/>
        </w:trPr>
        <w:tc>
          <w:tcPr>
            <w:tcW w:w="3333" w:type="pct"/>
            <w:gridSpan w:val="2"/>
            <w:tcBorders>
              <w:top w:val="nil"/>
              <w:left w:val="single" w:sz="4" w:space="0" w:color="auto"/>
              <w:bottom w:val="nil"/>
              <w:right w:val="single" w:sz="4" w:space="0" w:color="auto"/>
            </w:tcBorders>
            <w:shd w:val="clear" w:color="000000" w:fill="FFFFFF"/>
            <w:noWrap/>
            <w:vAlign w:val="bottom"/>
            <w:hideMark/>
          </w:tcPr>
          <w:p w14:paraId="6EBDB5DA"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lastRenderedPageBreak/>
              <w:t>Licitación pública</w:t>
            </w:r>
          </w:p>
        </w:tc>
        <w:tc>
          <w:tcPr>
            <w:tcW w:w="1667" w:type="pct"/>
            <w:tcBorders>
              <w:top w:val="nil"/>
              <w:left w:val="nil"/>
              <w:bottom w:val="nil"/>
              <w:right w:val="single" w:sz="4" w:space="0" w:color="auto"/>
            </w:tcBorders>
            <w:shd w:val="clear" w:color="000000" w:fill="FFFFFF"/>
            <w:noWrap/>
            <w:vAlign w:val="bottom"/>
            <w:hideMark/>
          </w:tcPr>
          <w:p w14:paraId="7EF65B29" w14:textId="67C535AA"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182,087,777.78</w:t>
            </w:r>
          </w:p>
        </w:tc>
      </w:tr>
      <w:tr w:rsidR="002E6D74" w:rsidRPr="00232EBB" w14:paraId="6D7844B7" w14:textId="77777777" w:rsidTr="001E67A6">
        <w:trPr>
          <w:trHeight w:val="9"/>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3E30B40E" w14:textId="77777777" w:rsidR="002E6D74" w:rsidRPr="00232EBB" w:rsidRDefault="002E6D74" w:rsidP="006027F7">
            <w:pPr>
              <w:spacing w:after="0" w:line="360" w:lineRule="auto"/>
              <w:jc w:val="center"/>
              <w:rPr>
                <w:rFonts w:eastAsia="Times New Roman"/>
                <w:b/>
                <w:bCs/>
                <w:color w:val="808080" w:themeColor="background1" w:themeShade="80"/>
                <w:spacing w:val="0"/>
                <w:sz w:val="22"/>
                <w:szCs w:val="22"/>
                <w:lang w:val="es-ES"/>
              </w:rPr>
            </w:pPr>
            <w:r w:rsidRPr="00232EBB">
              <w:rPr>
                <w:rFonts w:eastAsia="Times New Roman"/>
                <w:b/>
                <w:bCs/>
                <w:color w:val="FFFFFF" w:themeColor="background1"/>
                <w:spacing w:val="0"/>
                <w:sz w:val="22"/>
                <w:szCs w:val="22"/>
                <w:lang w:val="es-ES"/>
              </w:rPr>
              <w:t>Excepción - contratación de publicidad a través de medios de comunicación social</w:t>
            </w:r>
          </w:p>
        </w:tc>
      </w:tr>
      <w:tr w:rsidR="002E6D74" w:rsidRPr="00232EBB" w14:paraId="1D59D4D4" w14:textId="77777777" w:rsidTr="001E67A6">
        <w:trPr>
          <w:trHeight w:val="9"/>
          <w:jc w:val="center"/>
        </w:trPr>
        <w:tc>
          <w:tcPr>
            <w:tcW w:w="3333"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39F11332"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Excepción – contratación de publicidad a través de medios de comunicación social</w:t>
            </w:r>
          </w:p>
        </w:tc>
        <w:tc>
          <w:tcPr>
            <w:tcW w:w="1667" w:type="pct"/>
            <w:tcBorders>
              <w:top w:val="single" w:sz="4" w:space="0" w:color="auto"/>
              <w:left w:val="nil"/>
              <w:bottom w:val="single" w:sz="4" w:space="0" w:color="auto"/>
              <w:right w:val="single" w:sz="4" w:space="0" w:color="auto"/>
            </w:tcBorders>
            <w:shd w:val="clear" w:color="000000" w:fill="FFFFFF"/>
            <w:noWrap/>
            <w:vAlign w:val="bottom"/>
          </w:tcPr>
          <w:p w14:paraId="707A4299" w14:textId="0C47846B"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3,248,299.99</w:t>
            </w:r>
          </w:p>
        </w:tc>
      </w:tr>
      <w:tr w:rsidR="002E6D74" w:rsidRPr="00232EBB" w14:paraId="36D05B02" w14:textId="77777777" w:rsidTr="001E67A6">
        <w:trPr>
          <w:trHeight w:val="9"/>
          <w:jc w:val="center"/>
        </w:trPr>
        <w:tc>
          <w:tcPr>
            <w:tcW w:w="3333"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A469C90"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Excepción – Bienes o servicios con exclusividad</w:t>
            </w:r>
          </w:p>
        </w:tc>
        <w:tc>
          <w:tcPr>
            <w:tcW w:w="1667" w:type="pct"/>
            <w:tcBorders>
              <w:top w:val="single" w:sz="4" w:space="0" w:color="auto"/>
              <w:left w:val="nil"/>
              <w:bottom w:val="single" w:sz="4" w:space="0" w:color="auto"/>
              <w:right w:val="single" w:sz="4" w:space="0" w:color="auto"/>
            </w:tcBorders>
            <w:shd w:val="clear" w:color="000000" w:fill="FFFFFF"/>
            <w:noWrap/>
            <w:vAlign w:val="bottom"/>
          </w:tcPr>
          <w:p w14:paraId="21F10819" w14:textId="1976B391"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14,263,460.85</w:t>
            </w:r>
          </w:p>
        </w:tc>
      </w:tr>
      <w:tr w:rsidR="002E6D74" w:rsidRPr="00232EBB" w14:paraId="1AA599B0" w14:textId="77777777" w:rsidTr="001E67A6">
        <w:trPr>
          <w:trHeight w:val="9"/>
          <w:jc w:val="center"/>
        </w:trPr>
        <w:tc>
          <w:tcPr>
            <w:tcW w:w="3333"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724030D8" w14:textId="77777777" w:rsidR="002E6D74" w:rsidRPr="00232EBB" w:rsidRDefault="002E6D74" w:rsidP="006027F7">
            <w:pPr>
              <w:spacing w:after="0" w:line="360" w:lineRule="auto"/>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Excepción - proveedor único</w:t>
            </w:r>
          </w:p>
        </w:tc>
        <w:tc>
          <w:tcPr>
            <w:tcW w:w="1667" w:type="pct"/>
            <w:tcBorders>
              <w:top w:val="single" w:sz="4" w:space="0" w:color="auto"/>
              <w:left w:val="nil"/>
              <w:bottom w:val="single" w:sz="4" w:space="0" w:color="auto"/>
              <w:right w:val="single" w:sz="4" w:space="0" w:color="auto"/>
            </w:tcBorders>
            <w:shd w:val="clear" w:color="000000" w:fill="FFFFFF"/>
            <w:noWrap/>
            <w:vAlign w:val="bottom"/>
          </w:tcPr>
          <w:p w14:paraId="239EB57F" w14:textId="4271F236" w:rsidR="002E6D74" w:rsidRPr="00232EBB" w:rsidRDefault="002E6D74" w:rsidP="006027F7">
            <w:pPr>
              <w:spacing w:after="0" w:line="360" w:lineRule="auto"/>
              <w:jc w:val="right"/>
              <w:rPr>
                <w:rFonts w:eastAsia="Times New Roman"/>
                <w:color w:val="808080" w:themeColor="background1" w:themeShade="80"/>
                <w:spacing w:val="0"/>
                <w:sz w:val="22"/>
                <w:szCs w:val="22"/>
                <w:lang w:val="es-DO"/>
              </w:rPr>
            </w:pPr>
            <w:r w:rsidRPr="00232EBB">
              <w:rPr>
                <w:rFonts w:eastAsia="Times New Roman"/>
                <w:color w:val="808080" w:themeColor="background1" w:themeShade="80"/>
                <w:spacing w:val="0"/>
                <w:sz w:val="22"/>
                <w:szCs w:val="22"/>
                <w:lang w:val="es-DO"/>
              </w:rPr>
              <w:t>RD$</w:t>
            </w:r>
            <w:r w:rsidR="0067164E" w:rsidRPr="00232EBB">
              <w:rPr>
                <w:rFonts w:eastAsia="Times New Roman"/>
                <w:color w:val="808080" w:themeColor="background1" w:themeShade="80"/>
                <w:spacing w:val="0"/>
                <w:sz w:val="22"/>
                <w:szCs w:val="22"/>
                <w:lang w:val="es-DO"/>
              </w:rPr>
              <w:t>80,994,811.31</w:t>
            </w:r>
          </w:p>
        </w:tc>
      </w:tr>
    </w:tbl>
    <w:p w14:paraId="57EDA65A" w14:textId="73807E5B" w:rsidR="002E6D74" w:rsidRPr="00232EBB" w:rsidRDefault="002E6D74" w:rsidP="002E6D74">
      <w:pPr>
        <w:spacing w:after="0" w:line="360" w:lineRule="auto"/>
        <w:rPr>
          <w:rFonts w:eastAsia="Calibri"/>
          <w:noProof/>
          <w:color w:val="808080" w:themeColor="background1" w:themeShade="80"/>
          <w:sz w:val="18"/>
          <w:szCs w:val="18"/>
          <w:lang w:val="es-DO"/>
        </w:rPr>
      </w:pPr>
      <w:r w:rsidRPr="00232EBB">
        <w:rPr>
          <w:rFonts w:eastAsia="Calibri"/>
          <w:b/>
          <w:bCs/>
          <w:noProof/>
          <w:color w:val="808080" w:themeColor="background1" w:themeShade="80"/>
          <w:sz w:val="18"/>
          <w:szCs w:val="18"/>
          <w:lang w:val="es-ES"/>
        </w:rPr>
        <w:t xml:space="preserve">                Fuente:</w:t>
      </w:r>
      <w:r w:rsidRPr="00232EBB">
        <w:rPr>
          <w:rFonts w:eastAsia="Calibri"/>
          <w:noProof/>
          <w:color w:val="808080" w:themeColor="background1" w:themeShade="80"/>
          <w:sz w:val="18"/>
          <w:szCs w:val="18"/>
          <w:lang w:val="es-ES"/>
        </w:rPr>
        <w:t xml:space="preserve">   Sistema Electrónico de Contrataciones Públicas (SECP)</w:t>
      </w:r>
    </w:p>
    <w:p w14:paraId="18E06C01" w14:textId="77777777" w:rsidR="005E73B9" w:rsidRPr="00232EBB" w:rsidRDefault="005E73B9" w:rsidP="005E73B9">
      <w:pPr>
        <w:spacing w:after="0" w:line="240" w:lineRule="auto"/>
        <w:jc w:val="center"/>
        <w:rPr>
          <w:rFonts w:eastAsia="Calibri"/>
          <w:lang w:val="es-DO"/>
        </w:rPr>
      </w:pPr>
    </w:p>
    <w:sectPr w:rsidR="005E73B9" w:rsidRPr="00232EBB" w:rsidSect="0032612F">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B12B6" w14:textId="77777777" w:rsidR="00F8745A" w:rsidRDefault="00F8745A" w:rsidP="00E84651">
      <w:pPr>
        <w:spacing w:after="0" w:line="240" w:lineRule="auto"/>
      </w:pPr>
      <w:r>
        <w:separator/>
      </w:r>
    </w:p>
  </w:endnote>
  <w:endnote w:type="continuationSeparator" w:id="0">
    <w:p w14:paraId="49955234" w14:textId="77777777" w:rsidR="00F8745A" w:rsidRDefault="00F8745A" w:rsidP="00E84651">
      <w:pPr>
        <w:spacing w:after="0" w:line="240" w:lineRule="auto"/>
      </w:pPr>
      <w:r>
        <w:continuationSeparator/>
      </w:r>
    </w:p>
  </w:endnote>
  <w:endnote w:type="continuationNotice" w:id="1">
    <w:p w14:paraId="3254FE4A" w14:textId="77777777" w:rsidR="00F8745A" w:rsidRDefault="00F874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ø">
    <w:altName w:val="Calibri"/>
    <w:charset w:val="00"/>
    <w:family w:val="auto"/>
    <w:pitch w:val="variable"/>
    <w:sig w:usb0="00000007" w:usb1="00000000" w:usb2="00000000" w:usb3="00000000" w:csb0="0000009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anchor distT="0" distB="0" distL="114300" distR="114300" simplePos="0" relativeHeight="251658240" behindDoc="0" locked="0" layoutInCell="1" allowOverlap="1" wp14:anchorId="54F82055" wp14:editId="11582ED3">
              <wp:simplePos x="0" y="0"/>
              <wp:positionH relativeFrom="margin">
                <wp:align>center</wp:align>
              </wp:positionH>
              <wp:positionV relativeFrom="paragraph">
                <wp:posOffset>-100899</wp:posOffset>
              </wp:positionV>
              <wp:extent cx="2995930" cy="408305"/>
              <wp:effectExtent l="0" t="0" r="0" b="0"/>
              <wp:wrapSquare wrapText="bothSides"/>
              <wp:docPr id="1050879289" name="Picture 105087928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53193BFC"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597532"/>
      <w:docPartObj>
        <w:docPartGallery w:val="Page Numbers (Bottom of Page)"/>
        <w:docPartUnique/>
      </w:docPartObj>
    </w:sdtPr>
    <w:sdtEndPr>
      <w:rPr>
        <w:noProof/>
      </w:rPr>
    </w:sdtEndPr>
    <w:sdtContent>
      <w:p w14:paraId="68B6DB36" w14:textId="77777777" w:rsidR="00123682" w:rsidRDefault="00123682" w:rsidP="0021106F">
        <w:pPr>
          <w:pStyle w:val="Footer"/>
          <w:jc w:val="center"/>
        </w:pPr>
        <w:r>
          <w:rPr>
            <w:noProof/>
          </w:rPr>
          <w:drawing>
            <wp:anchor distT="0" distB="0" distL="114300" distR="114300" simplePos="0" relativeHeight="251660289" behindDoc="0" locked="0" layoutInCell="1" allowOverlap="1" wp14:anchorId="6A2D74C1" wp14:editId="2AD7FD3E">
              <wp:simplePos x="0" y="0"/>
              <wp:positionH relativeFrom="margin">
                <wp:align>center</wp:align>
              </wp:positionH>
              <wp:positionV relativeFrom="paragraph">
                <wp:posOffset>-111060</wp:posOffset>
              </wp:positionV>
              <wp:extent cx="2995930" cy="408305"/>
              <wp:effectExtent l="0" t="0" r="0" b="0"/>
              <wp:wrapSquare wrapText="bothSides"/>
              <wp:docPr id="521345073" name="Picture 52134507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A048AB9" w14:textId="77777777" w:rsidR="00123682" w:rsidRDefault="00123682" w:rsidP="0021106F">
        <w:pPr>
          <w:pStyle w:val="Footer"/>
          <w:jc w:val="center"/>
          <w:rPr>
            <w:color w:val="7F7F7F" w:themeColor="text1" w:themeTint="80"/>
          </w:rPr>
        </w:pPr>
      </w:p>
      <w:p w14:paraId="2B4AA876" w14:textId="77777777" w:rsidR="00123682" w:rsidRDefault="00123682"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749520"/>
      <w:docPartObj>
        <w:docPartGallery w:val="Page Numbers (Bottom of Page)"/>
        <w:docPartUnique/>
      </w:docPartObj>
    </w:sdtPr>
    <w:sdtEndPr>
      <w:rPr>
        <w:noProof/>
        <w:color w:val="7F7F7F"/>
      </w:rPr>
    </w:sdtEndPr>
    <w:sdtContent>
      <w:p w14:paraId="3CEF6BD0" w14:textId="5C689E0D" w:rsidR="002E1DDB" w:rsidRDefault="002E1DDB" w:rsidP="002E1DDB">
        <w:pPr>
          <w:pStyle w:val="Footer"/>
          <w:jc w:val="center"/>
        </w:pPr>
      </w:p>
      <w:p w14:paraId="43A22E92" w14:textId="77777777" w:rsidR="001243CC" w:rsidRDefault="001243CC">
        <w:pPr>
          <w:pStyle w:val="Footer"/>
          <w:jc w:val="center"/>
        </w:pPr>
        <w:r w:rsidRPr="008336CE">
          <w:rPr>
            <w:noProof/>
            <w:color w:val="808080"/>
            <w:lang w:val="es-DO" w:eastAsia="es-DO"/>
          </w:rPr>
          <w:drawing>
            <wp:anchor distT="0" distB="0" distL="114300" distR="114300" simplePos="0" relativeHeight="251658241" behindDoc="1" locked="0" layoutInCell="1" allowOverlap="1" wp14:anchorId="3A5BD3CB" wp14:editId="6FD8E10B">
              <wp:simplePos x="0" y="0"/>
              <wp:positionH relativeFrom="margin">
                <wp:align>center</wp:align>
              </wp:positionH>
              <wp:positionV relativeFrom="paragraph">
                <wp:posOffset>4555</wp:posOffset>
              </wp:positionV>
              <wp:extent cx="2413000" cy="292100"/>
              <wp:effectExtent l="0" t="0" r="6350" b="0"/>
              <wp:wrapSquare wrapText="bothSides"/>
              <wp:docPr id="1668376466"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3FE18183" w14:textId="77777777" w:rsidR="001243CC" w:rsidRPr="006F627F" w:rsidRDefault="001243CC">
        <w:pPr>
          <w:pStyle w:val="Footer"/>
          <w:jc w:val="center"/>
          <w:rPr>
            <w:color w:val="7F7F7F"/>
          </w:rPr>
        </w:pPr>
      </w:p>
      <w:p w14:paraId="49325CB3" w14:textId="77777777" w:rsidR="001243CC" w:rsidRPr="006F627F" w:rsidRDefault="001243CC">
        <w:pPr>
          <w:pStyle w:val="Footer"/>
          <w:jc w:val="center"/>
          <w:rPr>
            <w:color w:val="7F7F7F"/>
          </w:rPr>
        </w:pPr>
      </w:p>
      <w:p w14:paraId="2C1B1E43" w14:textId="77777777" w:rsidR="001243CC" w:rsidRPr="006F627F" w:rsidRDefault="001243CC">
        <w:pPr>
          <w:pStyle w:val="Footer"/>
          <w:jc w:val="center"/>
          <w:rPr>
            <w:color w:val="7F7F7F"/>
          </w:rPr>
        </w:pPr>
        <w:r w:rsidRPr="006F627F">
          <w:rPr>
            <w:color w:val="7F7F7F"/>
          </w:rPr>
          <w:fldChar w:fldCharType="begin"/>
        </w:r>
        <w:r w:rsidRPr="006F627F">
          <w:rPr>
            <w:color w:val="7F7F7F"/>
          </w:rPr>
          <w:instrText xml:space="preserve"> PAGE   \* MERGEFORMAT </w:instrText>
        </w:r>
        <w:r w:rsidRPr="006F627F">
          <w:rPr>
            <w:color w:val="7F7F7F"/>
          </w:rPr>
          <w:fldChar w:fldCharType="separate"/>
        </w:r>
        <w:r w:rsidRPr="006F627F">
          <w:rPr>
            <w:noProof/>
            <w:color w:val="7F7F7F"/>
          </w:rPr>
          <w:t>12</w:t>
        </w:r>
        <w:r w:rsidRPr="006F627F">
          <w:rPr>
            <w:noProof/>
            <w:color w:val="7F7F7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DA035" w14:textId="77777777" w:rsidR="00F8745A" w:rsidRDefault="00F8745A" w:rsidP="00E84651">
      <w:pPr>
        <w:spacing w:after="0" w:line="240" w:lineRule="auto"/>
      </w:pPr>
      <w:r>
        <w:separator/>
      </w:r>
    </w:p>
  </w:footnote>
  <w:footnote w:type="continuationSeparator" w:id="0">
    <w:p w14:paraId="7CA18E7D" w14:textId="77777777" w:rsidR="00F8745A" w:rsidRDefault="00F8745A" w:rsidP="00E84651">
      <w:pPr>
        <w:spacing w:after="0" w:line="240" w:lineRule="auto"/>
      </w:pPr>
      <w:r>
        <w:continuationSeparator/>
      </w:r>
    </w:p>
  </w:footnote>
  <w:footnote w:type="continuationNotice" w:id="1">
    <w:p w14:paraId="3F2CD992" w14:textId="77777777" w:rsidR="00F8745A" w:rsidRDefault="00F874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Pr="00B47C98" w:rsidRDefault="00B56CA4" w:rsidP="00B47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248"/>
    <w:multiLevelType w:val="hybridMultilevel"/>
    <w:tmpl w:val="C288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957239"/>
    <w:multiLevelType w:val="multilevel"/>
    <w:tmpl w:val="A20C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A59D1"/>
    <w:multiLevelType w:val="hybridMultilevel"/>
    <w:tmpl w:val="D062F3E2"/>
    <w:lvl w:ilvl="0" w:tplc="C95A3AF2">
      <w:start w:val="1"/>
      <w:numFmt w:val="decimal"/>
      <w:lvlText w:val="%1."/>
      <w:lvlJc w:val="left"/>
      <w:pPr>
        <w:ind w:left="720" w:hanging="360"/>
      </w:pPr>
      <w:rPr>
        <w:rFonts w:ascii="Times New Roman" w:eastAsia="Calibri" w:hAnsi="Times New Roman" w:cs="Times New Roman" w:hint="default"/>
        <w:b w:val="0"/>
        <w:color w:val="76717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F2B62"/>
    <w:multiLevelType w:val="hybridMultilevel"/>
    <w:tmpl w:val="21562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55DDC"/>
    <w:multiLevelType w:val="hybridMultilevel"/>
    <w:tmpl w:val="36663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BF48F8"/>
    <w:multiLevelType w:val="hybridMultilevel"/>
    <w:tmpl w:val="AF666F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294D8E"/>
    <w:multiLevelType w:val="hybridMultilevel"/>
    <w:tmpl w:val="12CC6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2E1DC6"/>
    <w:multiLevelType w:val="hybridMultilevel"/>
    <w:tmpl w:val="A6D0116C"/>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BD5A59"/>
    <w:multiLevelType w:val="hybridMultilevel"/>
    <w:tmpl w:val="9F1A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35552F"/>
    <w:multiLevelType w:val="hybridMultilevel"/>
    <w:tmpl w:val="12CC6EAC"/>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F25E6E"/>
    <w:multiLevelType w:val="multilevel"/>
    <w:tmpl w:val="C4B0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022004"/>
    <w:multiLevelType w:val="hybridMultilevel"/>
    <w:tmpl w:val="52B41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481C66"/>
    <w:multiLevelType w:val="hybridMultilevel"/>
    <w:tmpl w:val="51B62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7066E3"/>
    <w:multiLevelType w:val="hybridMultilevel"/>
    <w:tmpl w:val="9B3E4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914FE6"/>
    <w:multiLevelType w:val="hybridMultilevel"/>
    <w:tmpl w:val="60E8F7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19E173F"/>
    <w:multiLevelType w:val="hybridMultilevel"/>
    <w:tmpl w:val="00587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D07F68"/>
    <w:multiLevelType w:val="hybridMultilevel"/>
    <w:tmpl w:val="F9500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3F31C1"/>
    <w:multiLevelType w:val="hybridMultilevel"/>
    <w:tmpl w:val="DE224FB4"/>
    <w:lvl w:ilvl="0" w:tplc="0409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623CCA"/>
    <w:multiLevelType w:val="hybridMultilevel"/>
    <w:tmpl w:val="12CC6EAC"/>
    <w:lvl w:ilvl="0" w:tplc="FFFFFFFF">
      <w:start w:val="1"/>
      <w:numFmt w:val="decimal"/>
      <w:lvlText w:val="%1."/>
      <w:lvlJc w:val="left"/>
      <w:pPr>
        <w:ind w:left="8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865B30"/>
    <w:multiLevelType w:val="hybridMultilevel"/>
    <w:tmpl w:val="39A0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26735C"/>
    <w:multiLevelType w:val="hybridMultilevel"/>
    <w:tmpl w:val="12CC6EAC"/>
    <w:lvl w:ilvl="0" w:tplc="FFFFFFFF">
      <w:start w:val="1"/>
      <w:numFmt w:val="decimal"/>
      <w:lvlText w:val="%1."/>
      <w:lvlJc w:val="left"/>
      <w:pPr>
        <w:ind w:left="8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3E0A22"/>
    <w:multiLevelType w:val="hybridMultilevel"/>
    <w:tmpl w:val="5BC292FE"/>
    <w:lvl w:ilvl="0" w:tplc="72D4A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5E27EDB"/>
    <w:multiLevelType w:val="hybridMultilevel"/>
    <w:tmpl w:val="301297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BA05DEB"/>
    <w:multiLevelType w:val="hybridMultilevel"/>
    <w:tmpl w:val="7B9EDD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C47545B"/>
    <w:multiLevelType w:val="hybridMultilevel"/>
    <w:tmpl w:val="BF84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B74FA8"/>
    <w:multiLevelType w:val="hybridMultilevel"/>
    <w:tmpl w:val="3D0C4E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F4B0084"/>
    <w:multiLevelType w:val="hybridMultilevel"/>
    <w:tmpl w:val="359401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2860489"/>
    <w:multiLevelType w:val="hybridMultilevel"/>
    <w:tmpl w:val="3DC8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CC4155"/>
    <w:multiLevelType w:val="hybridMultilevel"/>
    <w:tmpl w:val="3E1E6A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355C3E4B"/>
    <w:multiLevelType w:val="hybridMultilevel"/>
    <w:tmpl w:val="21EA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D814B6"/>
    <w:multiLevelType w:val="hybridMultilevel"/>
    <w:tmpl w:val="96A6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8C5B12"/>
    <w:multiLevelType w:val="hybridMultilevel"/>
    <w:tmpl w:val="99FA8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9E7882"/>
    <w:multiLevelType w:val="hybridMultilevel"/>
    <w:tmpl w:val="C286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66687C"/>
    <w:multiLevelType w:val="hybridMultilevel"/>
    <w:tmpl w:val="554259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DD00436"/>
    <w:multiLevelType w:val="hybridMultilevel"/>
    <w:tmpl w:val="7E60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0777EB"/>
    <w:multiLevelType w:val="hybridMultilevel"/>
    <w:tmpl w:val="A9744D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6" w15:restartNumberingAfterBreak="0">
    <w:nsid w:val="42642A5D"/>
    <w:multiLevelType w:val="hybridMultilevel"/>
    <w:tmpl w:val="A222817E"/>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3E454BA"/>
    <w:multiLevelType w:val="hybridMultilevel"/>
    <w:tmpl w:val="0AD0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180DCA"/>
    <w:multiLevelType w:val="hybridMultilevel"/>
    <w:tmpl w:val="FB2C90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54DD6EAC"/>
    <w:multiLevelType w:val="hybridMultilevel"/>
    <w:tmpl w:val="B4E8959A"/>
    <w:lvl w:ilvl="0" w:tplc="6F5EF8CE">
      <w:start w:val="1"/>
      <w:numFmt w:val="decimal"/>
      <w:lvlText w:val="%1."/>
      <w:lvlJc w:val="left"/>
      <w:pPr>
        <w:ind w:left="720" w:hanging="360"/>
      </w:pPr>
      <w:rPr>
        <w:rFonts w:ascii="Century Gothic" w:eastAsia="Calibri" w:hAnsi="Century Gothic" w:hint="default"/>
        <w:b/>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274B7B"/>
    <w:multiLevelType w:val="hybridMultilevel"/>
    <w:tmpl w:val="D2E4E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E90BCE"/>
    <w:multiLevelType w:val="hybridMultilevel"/>
    <w:tmpl w:val="3A24F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031BE2"/>
    <w:multiLevelType w:val="hybridMultilevel"/>
    <w:tmpl w:val="B5DC3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676DA2"/>
    <w:multiLevelType w:val="hybridMultilevel"/>
    <w:tmpl w:val="3EE69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EF5C61"/>
    <w:multiLevelType w:val="hybridMultilevel"/>
    <w:tmpl w:val="3A788158"/>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B5F636E"/>
    <w:multiLevelType w:val="hybridMultilevel"/>
    <w:tmpl w:val="8124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3525E2"/>
    <w:multiLevelType w:val="hybridMultilevel"/>
    <w:tmpl w:val="4EB018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F9C14EF"/>
    <w:multiLevelType w:val="hybridMultilevel"/>
    <w:tmpl w:val="B392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08731F"/>
    <w:multiLevelType w:val="hybridMultilevel"/>
    <w:tmpl w:val="D45C59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27A11B6"/>
    <w:multiLevelType w:val="hybridMultilevel"/>
    <w:tmpl w:val="42BEF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702D13"/>
    <w:multiLevelType w:val="hybridMultilevel"/>
    <w:tmpl w:val="4CF8456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766460D"/>
    <w:multiLevelType w:val="hybridMultilevel"/>
    <w:tmpl w:val="12CC6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E9D1F42"/>
    <w:multiLevelType w:val="hybridMultilevel"/>
    <w:tmpl w:val="1AEAD9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1840621">
    <w:abstractNumId w:val="31"/>
  </w:num>
  <w:num w:numId="2" w16cid:durableId="359552955">
    <w:abstractNumId w:val="37"/>
  </w:num>
  <w:num w:numId="3" w16cid:durableId="901411049">
    <w:abstractNumId w:val="45"/>
  </w:num>
  <w:num w:numId="4" w16cid:durableId="66154183">
    <w:abstractNumId w:val="9"/>
  </w:num>
  <w:num w:numId="5" w16cid:durableId="280649672">
    <w:abstractNumId w:val="5"/>
  </w:num>
  <w:num w:numId="6" w16cid:durableId="1305503813">
    <w:abstractNumId w:val="41"/>
  </w:num>
  <w:num w:numId="7" w16cid:durableId="1928342117">
    <w:abstractNumId w:val="13"/>
  </w:num>
  <w:num w:numId="8" w16cid:durableId="350691260">
    <w:abstractNumId w:val="46"/>
  </w:num>
  <w:num w:numId="9" w16cid:durableId="1982227115">
    <w:abstractNumId w:val="6"/>
  </w:num>
  <w:num w:numId="10" w16cid:durableId="1708143482">
    <w:abstractNumId w:val="0"/>
  </w:num>
  <w:num w:numId="11" w16cid:durableId="802889874">
    <w:abstractNumId w:val="21"/>
  </w:num>
  <w:num w:numId="12" w16cid:durableId="874004306">
    <w:abstractNumId w:val="51"/>
  </w:num>
  <w:num w:numId="13" w16cid:durableId="1428305266">
    <w:abstractNumId w:val="2"/>
  </w:num>
  <w:num w:numId="14" w16cid:durableId="560210723">
    <w:abstractNumId w:val="30"/>
  </w:num>
  <w:num w:numId="15" w16cid:durableId="710305660">
    <w:abstractNumId w:val="32"/>
  </w:num>
  <w:num w:numId="16" w16cid:durableId="126122662">
    <w:abstractNumId w:val="4"/>
  </w:num>
  <w:num w:numId="17" w16cid:durableId="1911428861">
    <w:abstractNumId w:val="15"/>
  </w:num>
  <w:num w:numId="18" w16cid:durableId="214893940">
    <w:abstractNumId w:val="40"/>
  </w:num>
  <w:num w:numId="19" w16cid:durableId="1963031413">
    <w:abstractNumId w:val="16"/>
  </w:num>
  <w:num w:numId="20" w16cid:durableId="1890529884">
    <w:abstractNumId w:val="50"/>
  </w:num>
  <w:num w:numId="21" w16cid:durableId="31930248">
    <w:abstractNumId w:val="19"/>
  </w:num>
  <w:num w:numId="22" w16cid:durableId="331686542">
    <w:abstractNumId w:val="43"/>
  </w:num>
  <w:num w:numId="23" w16cid:durableId="486481127">
    <w:abstractNumId w:val="47"/>
  </w:num>
  <w:num w:numId="24" w16cid:durableId="353770564">
    <w:abstractNumId w:val="8"/>
  </w:num>
  <w:num w:numId="25" w16cid:durableId="318198046">
    <w:abstractNumId w:val="29"/>
  </w:num>
  <w:num w:numId="26" w16cid:durableId="1276450100">
    <w:abstractNumId w:val="11"/>
  </w:num>
  <w:num w:numId="27" w16cid:durableId="1542402965">
    <w:abstractNumId w:val="22"/>
  </w:num>
  <w:num w:numId="28" w16cid:durableId="560795506">
    <w:abstractNumId w:val="33"/>
  </w:num>
  <w:num w:numId="29" w16cid:durableId="1672560067">
    <w:abstractNumId w:val="26"/>
  </w:num>
  <w:num w:numId="30" w16cid:durableId="671758740">
    <w:abstractNumId w:val="25"/>
  </w:num>
  <w:num w:numId="31" w16cid:durableId="920456078">
    <w:abstractNumId w:val="48"/>
  </w:num>
  <w:num w:numId="32" w16cid:durableId="1187792958">
    <w:abstractNumId w:val="23"/>
  </w:num>
  <w:num w:numId="33" w16cid:durableId="1669476939">
    <w:abstractNumId w:val="14"/>
  </w:num>
  <w:num w:numId="34" w16cid:durableId="1040861416">
    <w:abstractNumId w:val="44"/>
  </w:num>
  <w:num w:numId="35" w16cid:durableId="1679695081">
    <w:abstractNumId w:val="36"/>
  </w:num>
  <w:num w:numId="36" w16cid:durableId="1596086379">
    <w:abstractNumId w:val="7"/>
  </w:num>
  <w:num w:numId="37" w16cid:durableId="1950507053">
    <w:abstractNumId w:val="1"/>
  </w:num>
  <w:num w:numId="38" w16cid:durableId="310912073">
    <w:abstractNumId w:val="38"/>
  </w:num>
  <w:num w:numId="39" w16cid:durableId="1506364531">
    <w:abstractNumId w:val="10"/>
  </w:num>
  <w:num w:numId="40" w16cid:durableId="1969361796">
    <w:abstractNumId w:val="49"/>
  </w:num>
  <w:num w:numId="41" w16cid:durableId="2102528331">
    <w:abstractNumId w:val="24"/>
  </w:num>
  <w:num w:numId="42" w16cid:durableId="736705185">
    <w:abstractNumId w:val="27"/>
  </w:num>
  <w:num w:numId="43" w16cid:durableId="1678574061">
    <w:abstractNumId w:val="17"/>
  </w:num>
  <w:num w:numId="44" w16cid:durableId="2016223592">
    <w:abstractNumId w:val="34"/>
  </w:num>
  <w:num w:numId="45" w16cid:durableId="946808850">
    <w:abstractNumId w:val="35"/>
  </w:num>
  <w:num w:numId="46" w16cid:durableId="601231136">
    <w:abstractNumId w:val="3"/>
  </w:num>
  <w:num w:numId="47" w16cid:durableId="1492797264">
    <w:abstractNumId w:val="12"/>
  </w:num>
  <w:num w:numId="48" w16cid:durableId="664864753">
    <w:abstractNumId w:val="28"/>
  </w:num>
  <w:num w:numId="49" w16cid:durableId="1350793200">
    <w:abstractNumId w:val="52"/>
  </w:num>
  <w:num w:numId="50" w16cid:durableId="977882262">
    <w:abstractNumId w:val="42"/>
  </w:num>
  <w:num w:numId="51" w16cid:durableId="213347996">
    <w:abstractNumId w:val="39"/>
  </w:num>
  <w:num w:numId="52" w16cid:durableId="1641420919">
    <w:abstractNumId w:val="20"/>
  </w:num>
  <w:num w:numId="53" w16cid:durableId="1418596612">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3B61"/>
    <w:rsid w:val="00005258"/>
    <w:rsid w:val="00007976"/>
    <w:rsid w:val="00013E91"/>
    <w:rsid w:val="000141D7"/>
    <w:rsid w:val="00031B71"/>
    <w:rsid w:val="00031C89"/>
    <w:rsid w:val="00032423"/>
    <w:rsid w:val="00035F71"/>
    <w:rsid w:val="000400ED"/>
    <w:rsid w:val="00041B32"/>
    <w:rsid w:val="00044655"/>
    <w:rsid w:val="00044BDF"/>
    <w:rsid w:val="00045865"/>
    <w:rsid w:val="00046544"/>
    <w:rsid w:val="00046663"/>
    <w:rsid w:val="000518E8"/>
    <w:rsid w:val="000523C0"/>
    <w:rsid w:val="00053E08"/>
    <w:rsid w:val="00065DD9"/>
    <w:rsid w:val="000716D2"/>
    <w:rsid w:val="0007427A"/>
    <w:rsid w:val="000743EE"/>
    <w:rsid w:val="0007713D"/>
    <w:rsid w:val="00077BB6"/>
    <w:rsid w:val="00081641"/>
    <w:rsid w:val="00087071"/>
    <w:rsid w:val="00087403"/>
    <w:rsid w:val="00090B56"/>
    <w:rsid w:val="00094160"/>
    <w:rsid w:val="000946F8"/>
    <w:rsid w:val="00094D78"/>
    <w:rsid w:val="0009529E"/>
    <w:rsid w:val="000960E2"/>
    <w:rsid w:val="00096A6C"/>
    <w:rsid w:val="00097B97"/>
    <w:rsid w:val="000A0A5E"/>
    <w:rsid w:val="000A65D8"/>
    <w:rsid w:val="000B3C03"/>
    <w:rsid w:val="000B48D1"/>
    <w:rsid w:val="000C014F"/>
    <w:rsid w:val="000C0419"/>
    <w:rsid w:val="000C111E"/>
    <w:rsid w:val="000C47CC"/>
    <w:rsid w:val="000C526C"/>
    <w:rsid w:val="000C6E0C"/>
    <w:rsid w:val="000C70A5"/>
    <w:rsid w:val="000D0686"/>
    <w:rsid w:val="000D11B6"/>
    <w:rsid w:val="000D1243"/>
    <w:rsid w:val="000D143C"/>
    <w:rsid w:val="000D193B"/>
    <w:rsid w:val="000D2B2D"/>
    <w:rsid w:val="000D3194"/>
    <w:rsid w:val="000D669A"/>
    <w:rsid w:val="000E2299"/>
    <w:rsid w:val="000E44E4"/>
    <w:rsid w:val="000E7FC2"/>
    <w:rsid w:val="000F38E8"/>
    <w:rsid w:val="000F57D8"/>
    <w:rsid w:val="000F6EA1"/>
    <w:rsid w:val="00101F8B"/>
    <w:rsid w:val="0010232C"/>
    <w:rsid w:val="00102444"/>
    <w:rsid w:val="0010597E"/>
    <w:rsid w:val="00110808"/>
    <w:rsid w:val="0011472E"/>
    <w:rsid w:val="00114F2A"/>
    <w:rsid w:val="001151A1"/>
    <w:rsid w:val="00122145"/>
    <w:rsid w:val="0012287C"/>
    <w:rsid w:val="00122E64"/>
    <w:rsid w:val="00123682"/>
    <w:rsid w:val="001240D0"/>
    <w:rsid w:val="001243CC"/>
    <w:rsid w:val="00125D46"/>
    <w:rsid w:val="001309C4"/>
    <w:rsid w:val="00130F9E"/>
    <w:rsid w:val="00133DB5"/>
    <w:rsid w:val="001403FB"/>
    <w:rsid w:val="00141AA5"/>
    <w:rsid w:val="00144238"/>
    <w:rsid w:val="00150BB3"/>
    <w:rsid w:val="00154FC8"/>
    <w:rsid w:val="00155102"/>
    <w:rsid w:val="00157831"/>
    <w:rsid w:val="001606BD"/>
    <w:rsid w:val="00166416"/>
    <w:rsid w:val="00167F01"/>
    <w:rsid w:val="001729CF"/>
    <w:rsid w:val="001752EB"/>
    <w:rsid w:val="001762C7"/>
    <w:rsid w:val="001804D9"/>
    <w:rsid w:val="00180A8D"/>
    <w:rsid w:val="00181AAA"/>
    <w:rsid w:val="001822B3"/>
    <w:rsid w:val="0018370D"/>
    <w:rsid w:val="00196A58"/>
    <w:rsid w:val="001A1F11"/>
    <w:rsid w:val="001A49D5"/>
    <w:rsid w:val="001A72AE"/>
    <w:rsid w:val="001B1368"/>
    <w:rsid w:val="001C044F"/>
    <w:rsid w:val="001C0F69"/>
    <w:rsid w:val="001D608D"/>
    <w:rsid w:val="001D6F4B"/>
    <w:rsid w:val="001E07B9"/>
    <w:rsid w:val="001E0A70"/>
    <w:rsid w:val="001E0D49"/>
    <w:rsid w:val="001E0F5A"/>
    <w:rsid w:val="001E21CC"/>
    <w:rsid w:val="001E35AC"/>
    <w:rsid w:val="001E5C6D"/>
    <w:rsid w:val="001E67A6"/>
    <w:rsid w:val="001E7917"/>
    <w:rsid w:val="001E7BA6"/>
    <w:rsid w:val="001F00BD"/>
    <w:rsid w:val="001F1DFD"/>
    <w:rsid w:val="001F2D16"/>
    <w:rsid w:val="002003BA"/>
    <w:rsid w:val="00200B6E"/>
    <w:rsid w:val="002030EE"/>
    <w:rsid w:val="002053DE"/>
    <w:rsid w:val="0020764A"/>
    <w:rsid w:val="00207FDF"/>
    <w:rsid w:val="00210980"/>
    <w:rsid w:val="0021106F"/>
    <w:rsid w:val="00211D0E"/>
    <w:rsid w:val="0021331F"/>
    <w:rsid w:val="002143FE"/>
    <w:rsid w:val="0021654B"/>
    <w:rsid w:val="00221654"/>
    <w:rsid w:val="002236B2"/>
    <w:rsid w:val="0022728D"/>
    <w:rsid w:val="00230F05"/>
    <w:rsid w:val="00231D31"/>
    <w:rsid w:val="0023286D"/>
    <w:rsid w:val="00232EBB"/>
    <w:rsid w:val="00234E0F"/>
    <w:rsid w:val="00235582"/>
    <w:rsid w:val="002361E6"/>
    <w:rsid w:val="0024181E"/>
    <w:rsid w:val="00243B08"/>
    <w:rsid w:val="00243FED"/>
    <w:rsid w:val="0024725E"/>
    <w:rsid w:val="00247D12"/>
    <w:rsid w:val="0025466A"/>
    <w:rsid w:val="00256FFA"/>
    <w:rsid w:val="002574BE"/>
    <w:rsid w:val="00266E19"/>
    <w:rsid w:val="002700A6"/>
    <w:rsid w:val="0027210F"/>
    <w:rsid w:val="002766E0"/>
    <w:rsid w:val="00277D3D"/>
    <w:rsid w:val="00280A32"/>
    <w:rsid w:val="00280B1F"/>
    <w:rsid w:val="002816F5"/>
    <w:rsid w:val="00284D69"/>
    <w:rsid w:val="00285F62"/>
    <w:rsid w:val="002874E6"/>
    <w:rsid w:val="00287F98"/>
    <w:rsid w:val="00295F77"/>
    <w:rsid w:val="002A0AE4"/>
    <w:rsid w:val="002A6621"/>
    <w:rsid w:val="002A674B"/>
    <w:rsid w:val="002A72B5"/>
    <w:rsid w:val="002B0854"/>
    <w:rsid w:val="002B4451"/>
    <w:rsid w:val="002B603D"/>
    <w:rsid w:val="002C1E0E"/>
    <w:rsid w:val="002C338F"/>
    <w:rsid w:val="002D008B"/>
    <w:rsid w:val="002D0A83"/>
    <w:rsid w:val="002D2273"/>
    <w:rsid w:val="002D7ADF"/>
    <w:rsid w:val="002E1DDB"/>
    <w:rsid w:val="002E6D74"/>
    <w:rsid w:val="002E7F05"/>
    <w:rsid w:val="002F2EFE"/>
    <w:rsid w:val="003000E6"/>
    <w:rsid w:val="0030402E"/>
    <w:rsid w:val="00305E2A"/>
    <w:rsid w:val="00307AEF"/>
    <w:rsid w:val="003227C2"/>
    <w:rsid w:val="00323C90"/>
    <w:rsid w:val="003248DE"/>
    <w:rsid w:val="0032575C"/>
    <w:rsid w:val="00325F40"/>
    <w:rsid w:val="0032612F"/>
    <w:rsid w:val="003267A9"/>
    <w:rsid w:val="003302B8"/>
    <w:rsid w:val="003303DE"/>
    <w:rsid w:val="00330BBF"/>
    <w:rsid w:val="00336BF0"/>
    <w:rsid w:val="00340B0F"/>
    <w:rsid w:val="00340E9E"/>
    <w:rsid w:val="0034171F"/>
    <w:rsid w:val="0034224F"/>
    <w:rsid w:val="00342931"/>
    <w:rsid w:val="00345EDB"/>
    <w:rsid w:val="00347F1F"/>
    <w:rsid w:val="00353387"/>
    <w:rsid w:val="00355FE2"/>
    <w:rsid w:val="003572BD"/>
    <w:rsid w:val="0036093C"/>
    <w:rsid w:val="003614B4"/>
    <w:rsid w:val="0036209B"/>
    <w:rsid w:val="00366D30"/>
    <w:rsid w:val="00371782"/>
    <w:rsid w:val="0037591B"/>
    <w:rsid w:val="00376549"/>
    <w:rsid w:val="00377189"/>
    <w:rsid w:val="003802C5"/>
    <w:rsid w:val="00380CAE"/>
    <w:rsid w:val="00381F1B"/>
    <w:rsid w:val="00382670"/>
    <w:rsid w:val="00383A7E"/>
    <w:rsid w:val="00383FBE"/>
    <w:rsid w:val="00384973"/>
    <w:rsid w:val="0038526E"/>
    <w:rsid w:val="00387AA9"/>
    <w:rsid w:val="0039097D"/>
    <w:rsid w:val="00395BB6"/>
    <w:rsid w:val="003A365F"/>
    <w:rsid w:val="003A4134"/>
    <w:rsid w:val="003A6A45"/>
    <w:rsid w:val="003A6D2F"/>
    <w:rsid w:val="003B15A3"/>
    <w:rsid w:val="003B2C0F"/>
    <w:rsid w:val="003B33D6"/>
    <w:rsid w:val="003B3B61"/>
    <w:rsid w:val="003B485A"/>
    <w:rsid w:val="003B4E2B"/>
    <w:rsid w:val="003B5614"/>
    <w:rsid w:val="003B67AE"/>
    <w:rsid w:val="003B6D73"/>
    <w:rsid w:val="003C1472"/>
    <w:rsid w:val="003D0040"/>
    <w:rsid w:val="003D0343"/>
    <w:rsid w:val="003D03F0"/>
    <w:rsid w:val="003D126C"/>
    <w:rsid w:val="003D62C6"/>
    <w:rsid w:val="003D6E9C"/>
    <w:rsid w:val="003E1BC1"/>
    <w:rsid w:val="003E4B98"/>
    <w:rsid w:val="003E51FB"/>
    <w:rsid w:val="003E5FCE"/>
    <w:rsid w:val="003E7C79"/>
    <w:rsid w:val="003E7EAF"/>
    <w:rsid w:val="003F04C7"/>
    <w:rsid w:val="003F1875"/>
    <w:rsid w:val="003F18C8"/>
    <w:rsid w:val="003F33A0"/>
    <w:rsid w:val="003F4487"/>
    <w:rsid w:val="003F456A"/>
    <w:rsid w:val="0040299E"/>
    <w:rsid w:val="00404957"/>
    <w:rsid w:val="00406F55"/>
    <w:rsid w:val="00410297"/>
    <w:rsid w:val="00410A94"/>
    <w:rsid w:val="00413FED"/>
    <w:rsid w:val="00416CA5"/>
    <w:rsid w:val="00420371"/>
    <w:rsid w:val="004208C9"/>
    <w:rsid w:val="00425CF6"/>
    <w:rsid w:val="00433315"/>
    <w:rsid w:val="004346A7"/>
    <w:rsid w:val="00437C56"/>
    <w:rsid w:val="00441965"/>
    <w:rsid w:val="00443BFC"/>
    <w:rsid w:val="00444FB5"/>
    <w:rsid w:val="004462C3"/>
    <w:rsid w:val="004465B7"/>
    <w:rsid w:val="004515C5"/>
    <w:rsid w:val="004544B4"/>
    <w:rsid w:val="00454E40"/>
    <w:rsid w:val="00457447"/>
    <w:rsid w:val="00457D2E"/>
    <w:rsid w:val="00457D41"/>
    <w:rsid w:val="00460CDF"/>
    <w:rsid w:val="00461AAE"/>
    <w:rsid w:val="00461D0B"/>
    <w:rsid w:val="00461E24"/>
    <w:rsid w:val="00462962"/>
    <w:rsid w:val="00463A18"/>
    <w:rsid w:val="004655D8"/>
    <w:rsid w:val="00465EA3"/>
    <w:rsid w:val="004668C8"/>
    <w:rsid w:val="00466D36"/>
    <w:rsid w:val="004671B7"/>
    <w:rsid w:val="0047728B"/>
    <w:rsid w:val="00482158"/>
    <w:rsid w:val="004835C5"/>
    <w:rsid w:val="0048398C"/>
    <w:rsid w:val="00486049"/>
    <w:rsid w:val="004879A0"/>
    <w:rsid w:val="00490DE2"/>
    <w:rsid w:val="004945BF"/>
    <w:rsid w:val="004A25A0"/>
    <w:rsid w:val="004B1D7E"/>
    <w:rsid w:val="004B301B"/>
    <w:rsid w:val="004B4173"/>
    <w:rsid w:val="004B7619"/>
    <w:rsid w:val="004C0EE4"/>
    <w:rsid w:val="004C1458"/>
    <w:rsid w:val="004C50A7"/>
    <w:rsid w:val="004C5C5B"/>
    <w:rsid w:val="004D08BC"/>
    <w:rsid w:val="004D34C2"/>
    <w:rsid w:val="004D5382"/>
    <w:rsid w:val="004D6F06"/>
    <w:rsid w:val="004E34C4"/>
    <w:rsid w:val="004E388D"/>
    <w:rsid w:val="004E5D6E"/>
    <w:rsid w:val="004F0A49"/>
    <w:rsid w:val="004F0BB5"/>
    <w:rsid w:val="004F2DD5"/>
    <w:rsid w:val="004F330B"/>
    <w:rsid w:val="004F6774"/>
    <w:rsid w:val="004F705B"/>
    <w:rsid w:val="00501167"/>
    <w:rsid w:val="00506BE9"/>
    <w:rsid w:val="005135FE"/>
    <w:rsid w:val="00513752"/>
    <w:rsid w:val="005162E7"/>
    <w:rsid w:val="00520AB6"/>
    <w:rsid w:val="005224D3"/>
    <w:rsid w:val="0052297B"/>
    <w:rsid w:val="00524D62"/>
    <w:rsid w:val="00525477"/>
    <w:rsid w:val="005259E7"/>
    <w:rsid w:val="00526AB6"/>
    <w:rsid w:val="005273D1"/>
    <w:rsid w:val="0053028A"/>
    <w:rsid w:val="0053054F"/>
    <w:rsid w:val="005319B6"/>
    <w:rsid w:val="00536A57"/>
    <w:rsid w:val="005421D6"/>
    <w:rsid w:val="00544419"/>
    <w:rsid w:val="00544B53"/>
    <w:rsid w:val="00545797"/>
    <w:rsid w:val="00551CC3"/>
    <w:rsid w:val="0055303A"/>
    <w:rsid w:val="00553C11"/>
    <w:rsid w:val="005609F5"/>
    <w:rsid w:val="00560EE6"/>
    <w:rsid w:val="00564610"/>
    <w:rsid w:val="005652BB"/>
    <w:rsid w:val="00565DB3"/>
    <w:rsid w:val="00567A02"/>
    <w:rsid w:val="00572D53"/>
    <w:rsid w:val="005805BA"/>
    <w:rsid w:val="00580971"/>
    <w:rsid w:val="00581697"/>
    <w:rsid w:val="005835DE"/>
    <w:rsid w:val="00583FAD"/>
    <w:rsid w:val="00584B8E"/>
    <w:rsid w:val="005878DD"/>
    <w:rsid w:val="00592BE2"/>
    <w:rsid w:val="00594DB0"/>
    <w:rsid w:val="00596D0F"/>
    <w:rsid w:val="005A1BC1"/>
    <w:rsid w:val="005A3E81"/>
    <w:rsid w:val="005A44A8"/>
    <w:rsid w:val="005A76F1"/>
    <w:rsid w:val="005A7866"/>
    <w:rsid w:val="005B1AED"/>
    <w:rsid w:val="005B3B80"/>
    <w:rsid w:val="005C4045"/>
    <w:rsid w:val="005C548C"/>
    <w:rsid w:val="005C6E7B"/>
    <w:rsid w:val="005D0EE4"/>
    <w:rsid w:val="005D45DF"/>
    <w:rsid w:val="005D4A60"/>
    <w:rsid w:val="005D5C85"/>
    <w:rsid w:val="005D63AE"/>
    <w:rsid w:val="005E148C"/>
    <w:rsid w:val="005E1DD3"/>
    <w:rsid w:val="005E4024"/>
    <w:rsid w:val="005E4061"/>
    <w:rsid w:val="005E6195"/>
    <w:rsid w:val="005E73B9"/>
    <w:rsid w:val="005F0428"/>
    <w:rsid w:val="005F051C"/>
    <w:rsid w:val="005F0C09"/>
    <w:rsid w:val="005F3B6E"/>
    <w:rsid w:val="005F457A"/>
    <w:rsid w:val="005F472D"/>
    <w:rsid w:val="005F50C5"/>
    <w:rsid w:val="005F72E4"/>
    <w:rsid w:val="00601C63"/>
    <w:rsid w:val="00603D63"/>
    <w:rsid w:val="00604F8F"/>
    <w:rsid w:val="00606C31"/>
    <w:rsid w:val="0061095C"/>
    <w:rsid w:val="006121D1"/>
    <w:rsid w:val="006160B6"/>
    <w:rsid w:val="00617D9B"/>
    <w:rsid w:val="006214C1"/>
    <w:rsid w:val="00627B49"/>
    <w:rsid w:val="00631F6E"/>
    <w:rsid w:val="006348D3"/>
    <w:rsid w:val="00635047"/>
    <w:rsid w:val="00640D33"/>
    <w:rsid w:val="00642ADF"/>
    <w:rsid w:val="00643623"/>
    <w:rsid w:val="00644BF9"/>
    <w:rsid w:val="00647680"/>
    <w:rsid w:val="006476DF"/>
    <w:rsid w:val="006509B5"/>
    <w:rsid w:val="00652A52"/>
    <w:rsid w:val="00654164"/>
    <w:rsid w:val="00654EFA"/>
    <w:rsid w:val="00656887"/>
    <w:rsid w:val="00656D15"/>
    <w:rsid w:val="00660DC4"/>
    <w:rsid w:val="00661830"/>
    <w:rsid w:val="00667D63"/>
    <w:rsid w:val="006701A3"/>
    <w:rsid w:val="0067164E"/>
    <w:rsid w:val="0067168A"/>
    <w:rsid w:val="006717EB"/>
    <w:rsid w:val="00671F4B"/>
    <w:rsid w:val="00674FD4"/>
    <w:rsid w:val="006779D3"/>
    <w:rsid w:val="0068026C"/>
    <w:rsid w:val="00681956"/>
    <w:rsid w:val="006852A9"/>
    <w:rsid w:val="00690EA0"/>
    <w:rsid w:val="006917CD"/>
    <w:rsid w:val="00691CB9"/>
    <w:rsid w:val="00694AE7"/>
    <w:rsid w:val="00697327"/>
    <w:rsid w:val="006A5542"/>
    <w:rsid w:val="006B7E81"/>
    <w:rsid w:val="006C03EF"/>
    <w:rsid w:val="006C0A79"/>
    <w:rsid w:val="006C48BC"/>
    <w:rsid w:val="006C7902"/>
    <w:rsid w:val="006C7C4E"/>
    <w:rsid w:val="006D57A6"/>
    <w:rsid w:val="006D64C0"/>
    <w:rsid w:val="006D7301"/>
    <w:rsid w:val="006E3F08"/>
    <w:rsid w:val="006E49B1"/>
    <w:rsid w:val="006E54BF"/>
    <w:rsid w:val="006E5ACF"/>
    <w:rsid w:val="006E754B"/>
    <w:rsid w:val="006E7F20"/>
    <w:rsid w:val="006F048A"/>
    <w:rsid w:val="006F2505"/>
    <w:rsid w:val="006F3785"/>
    <w:rsid w:val="006F6B6F"/>
    <w:rsid w:val="00701C3A"/>
    <w:rsid w:val="007039C6"/>
    <w:rsid w:val="00704421"/>
    <w:rsid w:val="00704842"/>
    <w:rsid w:val="007056FB"/>
    <w:rsid w:val="007100F9"/>
    <w:rsid w:val="00711BB0"/>
    <w:rsid w:val="007124E3"/>
    <w:rsid w:val="00712791"/>
    <w:rsid w:val="00714570"/>
    <w:rsid w:val="00714598"/>
    <w:rsid w:val="00720E40"/>
    <w:rsid w:val="007272A3"/>
    <w:rsid w:val="00727938"/>
    <w:rsid w:val="00733002"/>
    <w:rsid w:val="0073369E"/>
    <w:rsid w:val="00733AB6"/>
    <w:rsid w:val="007401A3"/>
    <w:rsid w:val="007408A7"/>
    <w:rsid w:val="007431CB"/>
    <w:rsid w:val="007432D3"/>
    <w:rsid w:val="00744043"/>
    <w:rsid w:val="00747056"/>
    <w:rsid w:val="0075434B"/>
    <w:rsid w:val="00756180"/>
    <w:rsid w:val="00757BC0"/>
    <w:rsid w:val="0076370C"/>
    <w:rsid w:val="00764E4F"/>
    <w:rsid w:val="0076561C"/>
    <w:rsid w:val="0076788F"/>
    <w:rsid w:val="007703FF"/>
    <w:rsid w:val="00771010"/>
    <w:rsid w:val="007726D3"/>
    <w:rsid w:val="00774BBC"/>
    <w:rsid w:val="00776592"/>
    <w:rsid w:val="007815AA"/>
    <w:rsid w:val="007820C4"/>
    <w:rsid w:val="007823A3"/>
    <w:rsid w:val="007848B5"/>
    <w:rsid w:val="007868E5"/>
    <w:rsid w:val="00786C60"/>
    <w:rsid w:val="00787FB8"/>
    <w:rsid w:val="00790CB2"/>
    <w:rsid w:val="00795A16"/>
    <w:rsid w:val="00796934"/>
    <w:rsid w:val="00796C22"/>
    <w:rsid w:val="007A267B"/>
    <w:rsid w:val="007A4515"/>
    <w:rsid w:val="007A47B2"/>
    <w:rsid w:val="007A6ACD"/>
    <w:rsid w:val="007B16C4"/>
    <w:rsid w:val="007B4F4C"/>
    <w:rsid w:val="007B5587"/>
    <w:rsid w:val="007B61E9"/>
    <w:rsid w:val="007B7B6E"/>
    <w:rsid w:val="007C6071"/>
    <w:rsid w:val="007C7D3D"/>
    <w:rsid w:val="007D08A6"/>
    <w:rsid w:val="007D6A4B"/>
    <w:rsid w:val="007E4EA7"/>
    <w:rsid w:val="007E7024"/>
    <w:rsid w:val="007F3759"/>
    <w:rsid w:val="007F436D"/>
    <w:rsid w:val="007F5225"/>
    <w:rsid w:val="007F6FFD"/>
    <w:rsid w:val="008016B9"/>
    <w:rsid w:val="00802E42"/>
    <w:rsid w:val="008103DA"/>
    <w:rsid w:val="008105FE"/>
    <w:rsid w:val="0081074D"/>
    <w:rsid w:val="008120F8"/>
    <w:rsid w:val="008129D6"/>
    <w:rsid w:val="00815618"/>
    <w:rsid w:val="0082260F"/>
    <w:rsid w:val="00822846"/>
    <w:rsid w:val="008237EE"/>
    <w:rsid w:val="00825BAE"/>
    <w:rsid w:val="008260A0"/>
    <w:rsid w:val="00826E67"/>
    <w:rsid w:val="00830CF3"/>
    <w:rsid w:val="00831B07"/>
    <w:rsid w:val="0083386F"/>
    <w:rsid w:val="00836944"/>
    <w:rsid w:val="00840D69"/>
    <w:rsid w:val="008418F3"/>
    <w:rsid w:val="00841B25"/>
    <w:rsid w:val="00846019"/>
    <w:rsid w:val="00851ECF"/>
    <w:rsid w:val="00853594"/>
    <w:rsid w:val="0085452F"/>
    <w:rsid w:val="0085502A"/>
    <w:rsid w:val="0085579D"/>
    <w:rsid w:val="008600F0"/>
    <w:rsid w:val="00860389"/>
    <w:rsid w:val="00860EE1"/>
    <w:rsid w:val="00861EF4"/>
    <w:rsid w:val="00862F3D"/>
    <w:rsid w:val="00865274"/>
    <w:rsid w:val="00870D67"/>
    <w:rsid w:val="00871FDE"/>
    <w:rsid w:val="00872F78"/>
    <w:rsid w:val="00873971"/>
    <w:rsid w:val="00873F3C"/>
    <w:rsid w:val="00874C53"/>
    <w:rsid w:val="0087772C"/>
    <w:rsid w:val="00881874"/>
    <w:rsid w:val="0088792E"/>
    <w:rsid w:val="0089273D"/>
    <w:rsid w:val="00895958"/>
    <w:rsid w:val="0089770D"/>
    <w:rsid w:val="008A0D35"/>
    <w:rsid w:val="008A3AF0"/>
    <w:rsid w:val="008A683F"/>
    <w:rsid w:val="008A6E85"/>
    <w:rsid w:val="008A72D8"/>
    <w:rsid w:val="008B1084"/>
    <w:rsid w:val="008B2563"/>
    <w:rsid w:val="008B5B92"/>
    <w:rsid w:val="008B6332"/>
    <w:rsid w:val="008C1C9A"/>
    <w:rsid w:val="008C22C6"/>
    <w:rsid w:val="008C3378"/>
    <w:rsid w:val="008C50F4"/>
    <w:rsid w:val="008D0C91"/>
    <w:rsid w:val="008D600F"/>
    <w:rsid w:val="008D649F"/>
    <w:rsid w:val="008D7CBB"/>
    <w:rsid w:val="008D7F4E"/>
    <w:rsid w:val="008E40E3"/>
    <w:rsid w:val="008E7179"/>
    <w:rsid w:val="008F3972"/>
    <w:rsid w:val="00900074"/>
    <w:rsid w:val="009000C6"/>
    <w:rsid w:val="00900C53"/>
    <w:rsid w:val="00901D00"/>
    <w:rsid w:val="00903EA9"/>
    <w:rsid w:val="009052BA"/>
    <w:rsid w:val="00906BAC"/>
    <w:rsid w:val="00910A04"/>
    <w:rsid w:val="00915C6B"/>
    <w:rsid w:val="00916C44"/>
    <w:rsid w:val="00917857"/>
    <w:rsid w:val="00920A80"/>
    <w:rsid w:val="0092213E"/>
    <w:rsid w:val="00923B8C"/>
    <w:rsid w:val="00924791"/>
    <w:rsid w:val="00924CEF"/>
    <w:rsid w:val="00924F77"/>
    <w:rsid w:val="0093128F"/>
    <w:rsid w:val="00932866"/>
    <w:rsid w:val="009333AD"/>
    <w:rsid w:val="009338CC"/>
    <w:rsid w:val="00944A3C"/>
    <w:rsid w:val="009463BF"/>
    <w:rsid w:val="00950F6B"/>
    <w:rsid w:val="00953914"/>
    <w:rsid w:val="009558E4"/>
    <w:rsid w:val="00955A30"/>
    <w:rsid w:val="0095616B"/>
    <w:rsid w:val="00963459"/>
    <w:rsid w:val="009637D1"/>
    <w:rsid w:val="00963EB3"/>
    <w:rsid w:val="00964EA9"/>
    <w:rsid w:val="0097291D"/>
    <w:rsid w:val="00972A03"/>
    <w:rsid w:val="009759FB"/>
    <w:rsid w:val="00975BA1"/>
    <w:rsid w:val="00975E5A"/>
    <w:rsid w:val="00977008"/>
    <w:rsid w:val="00977ED7"/>
    <w:rsid w:val="00980291"/>
    <w:rsid w:val="0098576A"/>
    <w:rsid w:val="00987B2F"/>
    <w:rsid w:val="009904DB"/>
    <w:rsid w:val="00995128"/>
    <w:rsid w:val="00995933"/>
    <w:rsid w:val="009978F6"/>
    <w:rsid w:val="009A1CD0"/>
    <w:rsid w:val="009A25C9"/>
    <w:rsid w:val="009A5D5A"/>
    <w:rsid w:val="009A7266"/>
    <w:rsid w:val="009B14EB"/>
    <w:rsid w:val="009B1EC2"/>
    <w:rsid w:val="009B239B"/>
    <w:rsid w:val="009B2F63"/>
    <w:rsid w:val="009B7F1B"/>
    <w:rsid w:val="009C655C"/>
    <w:rsid w:val="009C7DCA"/>
    <w:rsid w:val="009E0777"/>
    <w:rsid w:val="009E2D6B"/>
    <w:rsid w:val="009E352E"/>
    <w:rsid w:val="009E3A89"/>
    <w:rsid w:val="009E3ED4"/>
    <w:rsid w:val="009E6B75"/>
    <w:rsid w:val="009F0AC3"/>
    <w:rsid w:val="009F1E70"/>
    <w:rsid w:val="009F3349"/>
    <w:rsid w:val="009F3D54"/>
    <w:rsid w:val="009F54E3"/>
    <w:rsid w:val="009F5A10"/>
    <w:rsid w:val="00A00521"/>
    <w:rsid w:val="00A0068D"/>
    <w:rsid w:val="00A02E84"/>
    <w:rsid w:val="00A04B5B"/>
    <w:rsid w:val="00A11948"/>
    <w:rsid w:val="00A12677"/>
    <w:rsid w:val="00A13B3E"/>
    <w:rsid w:val="00A20489"/>
    <w:rsid w:val="00A20F1B"/>
    <w:rsid w:val="00A21716"/>
    <w:rsid w:val="00A22BBF"/>
    <w:rsid w:val="00A248BD"/>
    <w:rsid w:val="00A2498E"/>
    <w:rsid w:val="00A24B7D"/>
    <w:rsid w:val="00A254D8"/>
    <w:rsid w:val="00A268A6"/>
    <w:rsid w:val="00A308DB"/>
    <w:rsid w:val="00A31666"/>
    <w:rsid w:val="00A36F11"/>
    <w:rsid w:val="00A42720"/>
    <w:rsid w:val="00A42822"/>
    <w:rsid w:val="00A44089"/>
    <w:rsid w:val="00A443C2"/>
    <w:rsid w:val="00A46A25"/>
    <w:rsid w:val="00A50178"/>
    <w:rsid w:val="00A5460A"/>
    <w:rsid w:val="00A630BC"/>
    <w:rsid w:val="00A63A00"/>
    <w:rsid w:val="00A6535D"/>
    <w:rsid w:val="00A667A3"/>
    <w:rsid w:val="00A70AF5"/>
    <w:rsid w:val="00A741F1"/>
    <w:rsid w:val="00A74BD0"/>
    <w:rsid w:val="00A74F43"/>
    <w:rsid w:val="00A77001"/>
    <w:rsid w:val="00A82DAD"/>
    <w:rsid w:val="00A83076"/>
    <w:rsid w:val="00A84E0E"/>
    <w:rsid w:val="00A8614C"/>
    <w:rsid w:val="00A86894"/>
    <w:rsid w:val="00A869EC"/>
    <w:rsid w:val="00AA3046"/>
    <w:rsid w:val="00AA31E0"/>
    <w:rsid w:val="00AA5CBC"/>
    <w:rsid w:val="00AA7D5D"/>
    <w:rsid w:val="00AA7F19"/>
    <w:rsid w:val="00AB4C48"/>
    <w:rsid w:val="00AB6699"/>
    <w:rsid w:val="00AB7BF4"/>
    <w:rsid w:val="00AC10A4"/>
    <w:rsid w:val="00AC5C11"/>
    <w:rsid w:val="00AC749D"/>
    <w:rsid w:val="00AD5690"/>
    <w:rsid w:val="00AD6032"/>
    <w:rsid w:val="00AD6BE3"/>
    <w:rsid w:val="00AD78D3"/>
    <w:rsid w:val="00AE190C"/>
    <w:rsid w:val="00AE7972"/>
    <w:rsid w:val="00AF252F"/>
    <w:rsid w:val="00AF6623"/>
    <w:rsid w:val="00AF6F01"/>
    <w:rsid w:val="00B003EE"/>
    <w:rsid w:val="00B0241D"/>
    <w:rsid w:val="00B030B0"/>
    <w:rsid w:val="00B0637A"/>
    <w:rsid w:val="00B07950"/>
    <w:rsid w:val="00B10AED"/>
    <w:rsid w:val="00B16BD0"/>
    <w:rsid w:val="00B16C91"/>
    <w:rsid w:val="00B16EF5"/>
    <w:rsid w:val="00B2075E"/>
    <w:rsid w:val="00B22794"/>
    <w:rsid w:val="00B278C4"/>
    <w:rsid w:val="00B328D4"/>
    <w:rsid w:val="00B33174"/>
    <w:rsid w:val="00B34ACE"/>
    <w:rsid w:val="00B45256"/>
    <w:rsid w:val="00B45B38"/>
    <w:rsid w:val="00B462AE"/>
    <w:rsid w:val="00B47947"/>
    <w:rsid w:val="00B47C98"/>
    <w:rsid w:val="00B50281"/>
    <w:rsid w:val="00B56751"/>
    <w:rsid w:val="00B56CA4"/>
    <w:rsid w:val="00B6091C"/>
    <w:rsid w:val="00B609BF"/>
    <w:rsid w:val="00B619A9"/>
    <w:rsid w:val="00B66330"/>
    <w:rsid w:val="00B67D94"/>
    <w:rsid w:val="00B715E3"/>
    <w:rsid w:val="00B73457"/>
    <w:rsid w:val="00B76DB7"/>
    <w:rsid w:val="00B778CF"/>
    <w:rsid w:val="00B81E09"/>
    <w:rsid w:val="00B83C5A"/>
    <w:rsid w:val="00B86835"/>
    <w:rsid w:val="00B90AD8"/>
    <w:rsid w:val="00B91ED4"/>
    <w:rsid w:val="00B92B50"/>
    <w:rsid w:val="00B948A5"/>
    <w:rsid w:val="00BA0B10"/>
    <w:rsid w:val="00BA1429"/>
    <w:rsid w:val="00BA154E"/>
    <w:rsid w:val="00BA1C9F"/>
    <w:rsid w:val="00BA2267"/>
    <w:rsid w:val="00BA2589"/>
    <w:rsid w:val="00BA4022"/>
    <w:rsid w:val="00BA45A8"/>
    <w:rsid w:val="00BA56DF"/>
    <w:rsid w:val="00BB1CD5"/>
    <w:rsid w:val="00BB3412"/>
    <w:rsid w:val="00BB5D95"/>
    <w:rsid w:val="00BB66FB"/>
    <w:rsid w:val="00BB6F13"/>
    <w:rsid w:val="00BB7662"/>
    <w:rsid w:val="00BC081A"/>
    <w:rsid w:val="00BC0886"/>
    <w:rsid w:val="00BC0B52"/>
    <w:rsid w:val="00BC6400"/>
    <w:rsid w:val="00BC6943"/>
    <w:rsid w:val="00BC710B"/>
    <w:rsid w:val="00BD3280"/>
    <w:rsid w:val="00BE09C4"/>
    <w:rsid w:val="00BE1409"/>
    <w:rsid w:val="00BE2AB6"/>
    <w:rsid w:val="00BE2E0F"/>
    <w:rsid w:val="00BE3668"/>
    <w:rsid w:val="00BF035E"/>
    <w:rsid w:val="00BF0CEE"/>
    <w:rsid w:val="00BF0DC3"/>
    <w:rsid w:val="00BF403A"/>
    <w:rsid w:val="00C016FC"/>
    <w:rsid w:val="00C01F70"/>
    <w:rsid w:val="00C02322"/>
    <w:rsid w:val="00C05111"/>
    <w:rsid w:val="00C0562D"/>
    <w:rsid w:val="00C07A5B"/>
    <w:rsid w:val="00C10543"/>
    <w:rsid w:val="00C126CD"/>
    <w:rsid w:val="00C13C0C"/>
    <w:rsid w:val="00C16573"/>
    <w:rsid w:val="00C16AC6"/>
    <w:rsid w:val="00C22D9A"/>
    <w:rsid w:val="00C3293D"/>
    <w:rsid w:val="00C37700"/>
    <w:rsid w:val="00C37A3B"/>
    <w:rsid w:val="00C37CE2"/>
    <w:rsid w:val="00C37E51"/>
    <w:rsid w:val="00C44B5A"/>
    <w:rsid w:val="00C45104"/>
    <w:rsid w:val="00C45649"/>
    <w:rsid w:val="00C457E4"/>
    <w:rsid w:val="00C470DC"/>
    <w:rsid w:val="00C4793A"/>
    <w:rsid w:val="00C47DA8"/>
    <w:rsid w:val="00C47DDA"/>
    <w:rsid w:val="00C50277"/>
    <w:rsid w:val="00C547FF"/>
    <w:rsid w:val="00C57DAF"/>
    <w:rsid w:val="00C60900"/>
    <w:rsid w:val="00C64CEF"/>
    <w:rsid w:val="00C64FC1"/>
    <w:rsid w:val="00C70BAB"/>
    <w:rsid w:val="00C80BB2"/>
    <w:rsid w:val="00C840B1"/>
    <w:rsid w:val="00C8454E"/>
    <w:rsid w:val="00C87087"/>
    <w:rsid w:val="00C91B9A"/>
    <w:rsid w:val="00C954EB"/>
    <w:rsid w:val="00C958D1"/>
    <w:rsid w:val="00C96522"/>
    <w:rsid w:val="00CA11C2"/>
    <w:rsid w:val="00CA329C"/>
    <w:rsid w:val="00CB0310"/>
    <w:rsid w:val="00CB11EA"/>
    <w:rsid w:val="00CB13B9"/>
    <w:rsid w:val="00CB506E"/>
    <w:rsid w:val="00CB5570"/>
    <w:rsid w:val="00CB7EEC"/>
    <w:rsid w:val="00CC2620"/>
    <w:rsid w:val="00CC305A"/>
    <w:rsid w:val="00CC3FE7"/>
    <w:rsid w:val="00CC5CD4"/>
    <w:rsid w:val="00CC60F9"/>
    <w:rsid w:val="00CC7170"/>
    <w:rsid w:val="00CD0F92"/>
    <w:rsid w:val="00CD2766"/>
    <w:rsid w:val="00CD343A"/>
    <w:rsid w:val="00CD5BF9"/>
    <w:rsid w:val="00CD73A3"/>
    <w:rsid w:val="00CE0F40"/>
    <w:rsid w:val="00CF0BD8"/>
    <w:rsid w:val="00CF1211"/>
    <w:rsid w:val="00CF32BB"/>
    <w:rsid w:val="00CF34B7"/>
    <w:rsid w:val="00CF4E85"/>
    <w:rsid w:val="00CF6647"/>
    <w:rsid w:val="00D00BCF"/>
    <w:rsid w:val="00D01179"/>
    <w:rsid w:val="00D02347"/>
    <w:rsid w:val="00D03330"/>
    <w:rsid w:val="00D061EB"/>
    <w:rsid w:val="00D068A9"/>
    <w:rsid w:val="00D12DBC"/>
    <w:rsid w:val="00D15F77"/>
    <w:rsid w:val="00D162FC"/>
    <w:rsid w:val="00D166E6"/>
    <w:rsid w:val="00D17C5C"/>
    <w:rsid w:val="00D2018B"/>
    <w:rsid w:val="00D21093"/>
    <w:rsid w:val="00D223FD"/>
    <w:rsid w:val="00D22567"/>
    <w:rsid w:val="00D23481"/>
    <w:rsid w:val="00D24316"/>
    <w:rsid w:val="00D2620A"/>
    <w:rsid w:val="00D2665C"/>
    <w:rsid w:val="00D27BB8"/>
    <w:rsid w:val="00D33457"/>
    <w:rsid w:val="00D34AE1"/>
    <w:rsid w:val="00D43B56"/>
    <w:rsid w:val="00D44C83"/>
    <w:rsid w:val="00D45FD9"/>
    <w:rsid w:val="00D467CA"/>
    <w:rsid w:val="00D50627"/>
    <w:rsid w:val="00D51790"/>
    <w:rsid w:val="00D534E9"/>
    <w:rsid w:val="00D62BBE"/>
    <w:rsid w:val="00D66823"/>
    <w:rsid w:val="00D72826"/>
    <w:rsid w:val="00D748A4"/>
    <w:rsid w:val="00D75115"/>
    <w:rsid w:val="00D7692B"/>
    <w:rsid w:val="00D77FEE"/>
    <w:rsid w:val="00D80AC3"/>
    <w:rsid w:val="00D80C0E"/>
    <w:rsid w:val="00D837AC"/>
    <w:rsid w:val="00D84A08"/>
    <w:rsid w:val="00D85904"/>
    <w:rsid w:val="00D92020"/>
    <w:rsid w:val="00D94E44"/>
    <w:rsid w:val="00D960CD"/>
    <w:rsid w:val="00D96396"/>
    <w:rsid w:val="00D96C37"/>
    <w:rsid w:val="00D96E0D"/>
    <w:rsid w:val="00D9760D"/>
    <w:rsid w:val="00D9E413"/>
    <w:rsid w:val="00DA0BD4"/>
    <w:rsid w:val="00DA205F"/>
    <w:rsid w:val="00DA3488"/>
    <w:rsid w:val="00DA4378"/>
    <w:rsid w:val="00DB023B"/>
    <w:rsid w:val="00DB12AA"/>
    <w:rsid w:val="00DB12D0"/>
    <w:rsid w:val="00DB1AE3"/>
    <w:rsid w:val="00DB2512"/>
    <w:rsid w:val="00DB305E"/>
    <w:rsid w:val="00DB3220"/>
    <w:rsid w:val="00DB73A2"/>
    <w:rsid w:val="00DB7878"/>
    <w:rsid w:val="00DC1299"/>
    <w:rsid w:val="00DC4778"/>
    <w:rsid w:val="00DD03B8"/>
    <w:rsid w:val="00DD7615"/>
    <w:rsid w:val="00DD7926"/>
    <w:rsid w:val="00DD7973"/>
    <w:rsid w:val="00DE0E9F"/>
    <w:rsid w:val="00DE1654"/>
    <w:rsid w:val="00DE17AD"/>
    <w:rsid w:val="00DE1EEA"/>
    <w:rsid w:val="00DE5246"/>
    <w:rsid w:val="00DE5E63"/>
    <w:rsid w:val="00DF0B54"/>
    <w:rsid w:val="00DF23C6"/>
    <w:rsid w:val="00DF2FE0"/>
    <w:rsid w:val="00DF777C"/>
    <w:rsid w:val="00E01C8E"/>
    <w:rsid w:val="00E04BFC"/>
    <w:rsid w:val="00E05196"/>
    <w:rsid w:val="00E06A41"/>
    <w:rsid w:val="00E1119D"/>
    <w:rsid w:val="00E115EF"/>
    <w:rsid w:val="00E11C86"/>
    <w:rsid w:val="00E12BB6"/>
    <w:rsid w:val="00E12DDE"/>
    <w:rsid w:val="00E14734"/>
    <w:rsid w:val="00E14CB6"/>
    <w:rsid w:val="00E15D32"/>
    <w:rsid w:val="00E220D4"/>
    <w:rsid w:val="00E222EA"/>
    <w:rsid w:val="00E223B8"/>
    <w:rsid w:val="00E226E0"/>
    <w:rsid w:val="00E2462C"/>
    <w:rsid w:val="00E3132B"/>
    <w:rsid w:val="00E314FC"/>
    <w:rsid w:val="00E325F8"/>
    <w:rsid w:val="00E327EE"/>
    <w:rsid w:val="00E33C12"/>
    <w:rsid w:val="00E35CDB"/>
    <w:rsid w:val="00E36A41"/>
    <w:rsid w:val="00E373FF"/>
    <w:rsid w:val="00E37E86"/>
    <w:rsid w:val="00E42A5F"/>
    <w:rsid w:val="00E43B56"/>
    <w:rsid w:val="00E47554"/>
    <w:rsid w:val="00E515F0"/>
    <w:rsid w:val="00E523A6"/>
    <w:rsid w:val="00E53773"/>
    <w:rsid w:val="00E54D7E"/>
    <w:rsid w:val="00E562FA"/>
    <w:rsid w:val="00E57A65"/>
    <w:rsid w:val="00E57DB5"/>
    <w:rsid w:val="00E63B33"/>
    <w:rsid w:val="00E64662"/>
    <w:rsid w:val="00E661D6"/>
    <w:rsid w:val="00E67C41"/>
    <w:rsid w:val="00E703A5"/>
    <w:rsid w:val="00E739F8"/>
    <w:rsid w:val="00E77853"/>
    <w:rsid w:val="00E80508"/>
    <w:rsid w:val="00E80BF2"/>
    <w:rsid w:val="00E8153C"/>
    <w:rsid w:val="00E82B86"/>
    <w:rsid w:val="00E84651"/>
    <w:rsid w:val="00E90367"/>
    <w:rsid w:val="00E90CE7"/>
    <w:rsid w:val="00E958D6"/>
    <w:rsid w:val="00EA33F0"/>
    <w:rsid w:val="00EA78F9"/>
    <w:rsid w:val="00EB4BC6"/>
    <w:rsid w:val="00EC09B2"/>
    <w:rsid w:val="00EC3D0D"/>
    <w:rsid w:val="00ED09EE"/>
    <w:rsid w:val="00ED0D3F"/>
    <w:rsid w:val="00ED147E"/>
    <w:rsid w:val="00ED19B6"/>
    <w:rsid w:val="00ED2929"/>
    <w:rsid w:val="00ED35EC"/>
    <w:rsid w:val="00ED47AE"/>
    <w:rsid w:val="00ED55CC"/>
    <w:rsid w:val="00EE021A"/>
    <w:rsid w:val="00EE0F4F"/>
    <w:rsid w:val="00EE13EB"/>
    <w:rsid w:val="00EE3355"/>
    <w:rsid w:val="00EE5576"/>
    <w:rsid w:val="00EE5C9D"/>
    <w:rsid w:val="00EE6326"/>
    <w:rsid w:val="00EE6DAE"/>
    <w:rsid w:val="00EF0060"/>
    <w:rsid w:val="00EF04F9"/>
    <w:rsid w:val="00EF11CB"/>
    <w:rsid w:val="00EF3AA3"/>
    <w:rsid w:val="00EF44EF"/>
    <w:rsid w:val="00EF5D3F"/>
    <w:rsid w:val="00F00115"/>
    <w:rsid w:val="00F02902"/>
    <w:rsid w:val="00F04197"/>
    <w:rsid w:val="00F05C78"/>
    <w:rsid w:val="00F05DF4"/>
    <w:rsid w:val="00F0709F"/>
    <w:rsid w:val="00F1052A"/>
    <w:rsid w:val="00F13E16"/>
    <w:rsid w:val="00F177DE"/>
    <w:rsid w:val="00F20655"/>
    <w:rsid w:val="00F21DBA"/>
    <w:rsid w:val="00F23DCD"/>
    <w:rsid w:val="00F339C8"/>
    <w:rsid w:val="00F36012"/>
    <w:rsid w:val="00F45BF4"/>
    <w:rsid w:val="00F5114B"/>
    <w:rsid w:val="00F514AF"/>
    <w:rsid w:val="00F5192F"/>
    <w:rsid w:val="00F56299"/>
    <w:rsid w:val="00F5634A"/>
    <w:rsid w:val="00F569BE"/>
    <w:rsid w:val="00F6086B"/>
    <w:rsid w:val="00F62F9C"/>
    <w:rsid w:val="00F65B16"/>
    <w:rsid w:val="00F664E1"/>
    <w:rsid w:val="00F674B6"/>
    <w:rsid w:val="00F70C7D"/>
    <w:rsid w:val="00F74112"/>
    <w:rsid w:val="00F751DB"/>
    <w:rsid w:val="00F8180D"/>
    <w:rsid w:val="00F83397"/>
    <w:rsid w:val="00F844FE"/>
    <w:rsid w:val="00F85E14"/>
    <w:rsid w:val="00F87258"/>
    <w:rsid w:val="00F8745A"/>
    <w:rsid w:val="00F879C3"/>
    <w:rsid w:val="00F926A4"/>
    <w:rsid w:val="00F94808"/>
    <w:rsid w:val="00F95039"/>
    <w:rsid w:val="00F95725"/>
    <w:rsid w:val="00F973CE"/>
    <w:rsid w:val="00FA27DA"/>
    <w:rsid w:val="00FA31A5"/>
    <w:rsid w:val="00FA3425"/>
    <w:rsid w:val="00FB0126"/>
    <w:rsid w:val="00FB0D91"/>
    <w:rsid w:val="00FB1BA1"/>
    <w:rsid w:val="00FB25C1"/>
    <w:rsid w:val="00FB444B"/>
    <w:rsid w:val="00FB7EE3"/>
    <w:rsid w:val="00FC33C2"/>
    <w:rsid w:val="00FD0B19"/>
    <w:rsid w:val="00FD3673"/>
    <w:rsid w:val="00FD4901"/>
    <w:rsid w:val="00FD4B8E"/>
    <w:rsid w:val="00FE325A"/>
    <w:rsid w:val="00FE5CF5"/>
    <w:rsid w:val="00FF062C"/>
    <w:rsid w:val="00FF18D1"/>
    <w:rsid w:val="00FF3F4C"/>
    <w:rsid w:val="00FF4316"/>
    <w:rsid w:val="00FF46AB"/>
    <w:rsid w:val="00FF67DE"/>
    <w:rsid w:val="019A6284"/>
    <w:rsid w:val="027A3CF3"/>
    <w:rsid w:val="03B8D929"/>
    <w:rsid w:val="075AAD32"/>
    <w:rsid w:val="0B016270"/>
    <w:rsid w:val="0BF6AC5C"/>
    <w:rsid w:val="0C53ED82"/>
    <w:rsid w:val="0FFC0389"/>
    <w:rsid w:val="10D17043"/>
    <w:rsid w:val="10D22423"/>
    <w:rsid w:val="13735479"/>
    <w:rsid w:val="13E88E60"/>
    <w:rsid w:val="1432B19C"/>
    <w:rsid w:val="1B51B64A"/>
    <w:rsid w:val="1D20B414"/>
    <w:rsid w:val="1E1B140A"/>
    <w:rsid w:val="1F7F16AD"/>
    <w:rsid w:val="21C9D693"/>
    <w:rsid w:val="260BCA8E"/>
    <w:rsid w:val="261A79E1"/>
    <w:rsid w:val="26608E7B"/>
    <w:rsid w:val="27F609B9"/>
    <w:rsid w:val="28A56D01"/>
    <w:rsid w:val="2B7FA86C"/>
    <w:rsid w:val="2D8A9F95"/>
    <w:rsid w:val="2F7D2EF3"/>
    <w:rsid w:val="2FD5367D"/>
    <w:rsid w:val="301D5577"/>
    <w:rsid w:val="30E7279B"/>
    <w:rsid w:val="35552D9F"/>
    <w:rsid w:val="39235C2A"/>
    <w:rsid w:val="3B7B6441"/>
    <w:rsid w:val="414702C9"/>
    <w:rsid w:val="43D0CD93"/>
    <w:rsid w:val="44A936D2"/>
    <w:rsid w:val="44AEEE1A"/>
    <w:rsid w:val="47E66058"/>
    <w:rsid w:val="492794A7"/>
    <w:rsid w:val="4AD55B68"/>
    <w:rsid w:val="4BFBBF81"/>
    <w:rsid w:val="4C9CBB1A"/>
    <w:rsid w:val="4CE1542E"/>
    <w:rsid w:val="4CFB4921"/>
    <w:rsid w:val="4F733467"/>
    <w:rsid w:val="4FB926F2"/>
    <w:rsid w:val="510EB22A"/>
    <w:rsid w:val="541EA8C6"/>
    <w:rsid w:val="54B65B57"/>
    <w:rsid w:val="552191CE"/>
    <w:rsid w:val="5BD01C7E"/>
    <w:rsid w:val="62D1D3DB"/>
    <w:rsid w:val="6EA0955F"/>
    <w:rsid w:val="6F3B3561"/>
    <w:rsid w:val="7383BAE0"/>
    <w:rsid w:val="73DAFCE8"/>
    <w:rsid w:val="748A4DAF"/>
    <w:rsid w:val="7907A91C"/>
    <w:rsid w:val="7B55D06A"/>
    <w:rsid w:val="7CEB5A3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02089FC9-3165-4B1C-B80F-CBEEEB70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CB0310"/>
    <w:pPr>
      <w:tabs>
        <w:tab w:val="right" w:leader="dot" w:pos="7910"/>
      </w:tabs>
      <w:spacing w:after="100"/>
    </w:pPr>
    <w:rPr>
      <w:rFonts w:eastAsiaTheme="majorEastAsia" w:cstheme="majorBidi"/>
      <w:b/>
      <w:bCs/>
      <w:noProof/>
      <w:lang w:val="es-DO"/>
    </w:r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customStyle="1" w:styleId="Texto">
    <w:name w:val="Texto"/>
    <w:basedOn w:val="Normal"/>
    <w:link w:val="TextoChar"/>
    <w:autoRedefine/>
    <w:qFormat/>
    <w:rsid w:val="000946F8"/>
    <w:pPr>
      <w:spacing w:before="100" w:after="0" w:line="360" w:lineRule="auto"/>
      <w:jc w:val="both"/>
    </w:pPr>
    <w:rPr>
      <w:rFonts w:eastAsia="Calibri"/>
      <w:color w:val="FF0000"/>
      <w:spacing w:val="0"/>
      <w:szCs w:val="22"/>
      <w:lang w:val="es-ES"/>
    </w:rPr>
  </w:style>
  <w:style w:type="character" w:customStyle="1" w:styleId="TextoChar">
    <w:name w:val="Texto Char"/>
    <w:link w:val="Texto"/>
    <w:rsid w:val="000946F8"/>
    <w:rPr>
      <w:rFonts w:eastAsia="Calibri"/>
      <w:color w:val="FF0000"/>
      <w:spacing w:val="0"/>
      <w:szCs w:val="22"/>
      <w:lang w:val="es-ES"/>
    </w:rPr>
  </w:style>
  <w:style w:type="paragraph" w:customStyle="1" w:styleId="Default">
    <w:name w:val="Default"/>
    <w:rsid w:val="000946F8"/>
    <w:pPr>
      <w:autoSpaceDE w:val="0"/>
      <w:autoSpaceDN w:val="0"/>
      <w:adjustRightInd w:val="0"/>
      <w:spacing w:after="0" w:line="240" w:lineRule="auto"/>
    </w:pPr>
    <w:rPr>
      <w:rFonts w:ascii="Book Antiqua" w:hAnsi="Book Antiqua" w:cs="Book Antiqua"/>
      <w:color w:val="000000"/>
      <w:spacing w:val="0"/>
    </w:rPr>
  </w:style>
  <w:style w:type="paragraph" w:styleId="ListParagraph">
    <w:name w:val="List Paragraph"/>
    <w:aliases w:val="Compomente"/>
    <w:basedOn w:val="Normal"/>
    <w:link w:val="ListParagraphChar"/>
    <w:uiPriority w:val="34"/>
    <w:qFormat/>
    <w:rsid w:val="00D17C5C"/>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ListParagraphChar">
    <w:name w:val="List Paragraph Char"/>
    <w:aliases w:val="Compomente Char"/>
    <w:link w:val="ListParagraph"/>
    <w:uiPriority w:val="34"/>
    <w:rsid w:val="00D17C5C"/>
    <w:rPr>
      <w:rFonts w:ascii="Artifex CF Extra Light" w:eastAsia="Calibri" w:hAnsi="Artifex CF Extra Light"/>
      <w:color w:val="1F4E79"/>
      <w:spacing w:val="0"/>
      <w:sz w:val="18"/>
      <w:szCs w:val="22"/>
      <w:lang w:val="es-DO"/>
    </w:rPr>
  </w:style>
  <w:style w:type="table" w:styleId="GridTable2-Accent5">
    <w:name w:val="Grid Table 2 Accent 5"/>
    <w:basedOn w:val="TableNormal"/>
    <w:uiPriority w:val="47"/>
    <w:rsid w:val="00295F77"/>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E82B86"/>
    <w:pPr>
      <w:spacing w:before="100" w:beforeAutospacing="1" w:after="100" w:afterAutospacing="1" w:line="240" w:lineRule="auto"/>
    </w:pPr>
    <w:rPr>
      <w:rFonts w:eastAsia="Times New Roman"/>
      <w:color w:val="auto"/>
      <w:spacing w:val="0"/>
      <w:lang w:val="es-DO"/>
    </w:rPr>
  </w:style>
  <w:style w:type="paragraph" w:styleId="CommentText">
    <w:name w:val="annotation text"/>
    <w:basedOn w:val="Normal"/>
    <w:link w:val="CommentTextChar"/>
    <w:uiPriority w:val="99"/>
    <w:unhideWhenUsed/>
    <w:rsid w:val="00E82B86"/>
    <w:pPr>
      <w:spacing w:line="240" w:lineRule="auto"/>
    </w:pPr>
    <w:rPr>
      <w:rFonts w:asciiTheme="minorHAnsi" w:hAnsiTheme="minorHAnsi" w:cstheme="minorBidi"/>
      <w:color w:val="auto"/>
      <w:spacing w:val="0"/>
      <w:sz w:val="20"/>
      <w:szCs w:val="20"/>
      <w:lang w:val="es-DO"/>
    </w:rPr>
  </w:style>
  <w:style w:type="character" w:customStyle="1" w:styleId="CommentTextChar">
    <w:name w:val="Comment Text Char"/>
    <w:basedOn w:val="DefaultParagraphFont"/>
    <w:link w:val="CommentText"/>
    <w:uiPriority w:val="99"/>
    <w:rsid w:val="00E82B86"/>
    <w:rPr>
      <w:rFonts w:asciiTheme="minorHAnsi" w:hAnsiTheme="minorHAnsi" w:cstheme="minorBidi"/>
      <w:color w:val="auto"/>
      <w:spacing w:val="0"/>
      <w:sz w:val="20"/>
      <w:szCs w:val="20"/>
      <w:lang w:val="es-DO"/>
    </w:rPr>
  </w:style>
  <w:style w:type="character" w:styleId="CommentReference">
    <w:name w:val="annotation reference"/>
    <w:basedOn w:val="DefaultParagraphFont"/>
    <w:uiPriority w:val="99"/>
    <w:semiHidden/>
    <w:unhideWhenUsed/>
    <w:rsid w:val="00E82B86"/>
    <w:rPr>
      <w:sz w:val="16"/>
      <w:szCs w:val="16"/>
    </w:rPr>
  </w:style>
  <w:style w:type="paragraph" w:styleId="Index1">
    <w:name w:val="index 1"/>
    <w:basedOn w:val="Normal"/>
    <w:next w:val="Normal"/>
    <w:autoRedefine/>
    <w:uiPriority w:val="99"/>
    <w:unhideWhenUsed/>
    <w:rsid w:val="00776592"/>
    <w:pPr>
      <w:tabs>
        <w:tab w:val="right" w:leader="dot" w:pos="7912"/>
      </w:tabs>
      <w:ind w:left="220" w:hanging="220"/>
    </w:pPr>
    <w:rPr>
      <w:rFonts w:ascii="ø" w:eastAsia="Calibri" w:hAnsi="ø" w:cs="Arial"/>
      <w:b/>
      <w:bCs/>
      <w:color w:val="003876"/>
      <w:spacing w:val="0"/>
      <w:sz w:val="16"/>
      <w:szCs w:val="16"/>
      <w:lang w:val="es-DO"/>
    </w:rPr>
  </w:style>
  <w:style w:type="paragraph" w:customStyle="1" w:styleId="xxmsonormal">
    <w:name w:val="x_x_msonormal"/>
    <w:basedOn w:val="Normal"/>
    <w:rsid w:val="003227C2"/>
    <w:pPr>
      <w:spacing w:after="0" w:line="240" w:lineRule="auto"/>
    </w:pPr>
    <w:rPr>
      <w:rFonts w:ascii="Calibri" w:hAnsi="Calibri" w:cs="Calibri"/>
      <w:color w:val="auto"/>
      <w:spacing w:val="0"/>
      <w:sz w:val="22"/>
      <w:szCs w:val="22"/>
      <w:lang w:val="es-DO" w:eastAsia="es-DO"/>
    </w:rPr>
  </w:style>
  <w:style w:type="table" w:styleId="TableGrid">
    <w:name w:val="Table Grid"/>
    <w:basedOn w:val="TableNormal"/>
    <w:uiPriority w:val="39"/>
    <w:rsid w:val="00E77853"/>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030EE"/>
    <w:pPr>
      <w:spacing w:after="200" w:line="240" w:lineRule="auto"/>
      <w:ind w:right="-244"/>
      <w:jc w:val="both"/>
    </w:pPr>
    <w:rPr>
      <w:rFonts w:cstheme="minorBidi"/>
      <w:i/>
      <w:iCs/>
      <w:color w:val="44546A" w:themeColor="text2"/>
      <w:spacing w:val="0"/>
      <w:sz w:val="18"/>
      <w:szCs w:val="18"/>
      <w:lang w:val="es-ES"/>
    </w:rPr>
  </w:style>
  <w:style w:type="paragraph" w:styleId="FootnoteText">
    <w:name w:val="footnote text"/>
    <w:basedOn w:val="Normal"/>
    <w:link w:val="FootnoteTextChar"/>
    <w:uiPriority w:val="99"/>
    <w:semiHidden/>
    <w:unhideWhenUsed/>
    <w:rsid w:val="002030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0EE"/>
    <w:rPr>
      <w:sz w:val="20"/>
      <w:szCs w:val="20"/>
    </w:rPr>
  </w:style>
  <w:style w:type="character" w:styleId="FootnoteReference">
    <w:name w:val="footnote reference"/>
    <w:basedOn w:val="DefaultParagraphFont"/>
    <w:uiPriority w:val="99"/>
    <w:semiHidden/>
    <w:unhideWhenUsed/>
    <w:rsid w:val="002030EE"/>
    <w:rPr>
      <w:vertAlign w:val="superscript"/>
    </w:rPr>
  </w:style>
  <w:style w:type="table" w:styleId="GridTable5Dark-Accent1">
    <w:name w:val="Grid Table 5 Dark Accent 1"/>
    <w:basedOn w:val="TableNormal"/>
    <w:uiPriority w:val="50"/>
    <w:rsid w:val="002030EE"/>
    <w:pPr>
      <w:spacing w:after="0" w:line="240" w:lineRule="auto"/>
    </w:pPr>
    <w:rPr>
      <w:rFonts w:asciiTheme="minorHAnsi" w:hAnsiTheme="minorHAnsi" w:cstheme="minorBidi"/>
      <w:color w:val="auto"/>
      <w:spacing w:val="0"/>
      <w:kern w:val="2"/>
      <w:sz w:val="22"/>
      <w:szCs w:val="2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Revision">
    <w:name w:val="Revision"/>
    <w:hidden/>
    <w:uiPriority w:val="99"/>
    <w:semiHidden/>
    <w:rsid w:val="002816F5"/>
    <w:pPr>
      <w:spacing w:after="0" w:line="240" w:lineRule="auto"/>
    </w:pPr>
  </w:style>
  <w:style w:type="paragraph" w:styleId="CommentSubject">
    <w:name w:val="annotation subject"/>
    <w:basedOn w:val="CommentText"/>
    <w:next w:val="CommentText"/>
    <w:link w:val="CommentSubjectChar"/>
    <w:uiPriority w:val="99"/>
    <w:semiHidden/>
    <w:unhideWhenUsed/>
    <w:rsid w:val="007F5225"/>
    <w:rPr>
      <w:rFonts w:ascii="Times New Roman" w:hAnsi="Times New Roman" w:cs="Times New Roman"/>
      <w:b/>
      <w:bCs/>
      <w:color w:val="767171"/>
      <w:spacing w:val="20"/>
      <w:lang w:val="en-US"/>
    </w:rPr>
  </w:style>
  <w:style w:type="character" w:customStyle="1" w:styleId="CommentSubjectChar">
    <w:name w:val="Comment Subject Char"/>
    <w:basedOn w:val="CommentTextChar"/>
    <w:link w:val="CommentSubject"/>
    <w:uiPriority w:val="99"/>
    <w:semiHidden/>
    <w:rsid w:val="007F5225"/>
    <w:rPr>
      <w:rFonts w:asciiTheme="minorHAnsi" w:hAnsiTheme="minorHAnsi" w:cstheme="minorBidi"/>
      <w:b/>
      <w:bCs/>
      <w:color w:val="auto"/>
      <w:spacing w:val="0"/>
      <w:sz w:val="20"/>
      <w:szCs w:val="20"/>
      <w:lang w:val="es-DO"/>
    </w:rPr>
  </w:style>
  <w:style w:type="character" w:customStyle="1" w:styleId="mw-page-title-main">
    <w:name w:val="mw-page-title-main"/>
    <w:basedOn w:val="DefaultParagraphFont"/>
    <w:rsid w:val="00690EA0"/>
  </w:style>
  <w:style w:type="paragraph" w:styleId="TOC2">
    <w:name w:val="toc 2"/>
    <w:basedOn w:val="Normal"/>
    <w:next w:val="Normal"/>
    <w:autoRedefine/>
    <w:uiPriority w:val="39"/>
    <w:unhideWhenUsed/>
    <w:rsid w:val="005C4045"/>
    <w:pPr>
      <w:spacing w:after="100" w:line="278" w:lineRule="auto"/>
      <w:ind w:left="240"/>
    </w:pPr>
    <w:rPr>
      <w:rFonts w:asciiTheme="minorHAnsi" w:eastAsiaTheme="minorEastAsia" w:hAnsiTheme="minorHAnsi" w:cstheme="minorBidi"/>
      <w:color w:val="auto"/>
      <w:spacing w:val="0"/>
      <w:kern w:val="2"/>
      <w14:ligatures w14:val="standardContextual"/>
    </w:rPr>
  </w:style>
  <w:style w:type="paragraph" w:styleId="TOC3">
    <w:name w:val="toc 3"/>
    <w:basedOn w:val="Normal"/>
    <w:next w:val="Normal"/>
    <w:autoRedefine/>
    <w:uiPriority w:val="39"/>
    <w:unhideWhenUsed/>
    <w:rsid w:val="005C4045"/>
    <w:pPr>
      <w:spacing w:after="100" w:line="278" w:lineRule="auto"/>
      <w:ind w:left="480"/>
    </w:pPr>
    <w:rPr>
      <w:rFonts w:asciiTheme="minorHAnsi" w:eastAsiaTheme="minorEastAsia" w:hAnsiTheme="minorHAnsi" w:cstheme="minorBidi"/>
      <w:color w:val="auto"/>
      <w:spacing w:val="0"/>
      <w:kern w:val="2"/>
      <w14:ligatures w14:val="standardContextual"/>
    </w:rPr>
  </w:style>
  <w:style w:type="paragraph" w:styleId="TOC4">
    <w:name w:val="toc 4"/>
    <w:basedOn w:val="Normal"/>
    <w:next w:val="Normal"/>
    <w:autoRedefine/>
    <w:uiPriority w:val="39"/>
    <w:unhideWhenUsed/>
    <w:rsid w:val="005C4045"/>
    <w:pPr>
      <w:spacing w:after="100" w:line="278" w:lineRule="auto"/>
      <w:ind w:left="720"/>
    </w:pPr>
    <w:rPr>
      <w:rFonts w:asciiTheme="minorHAnsi" w:eastAsiaTheme="minorEastAsia" w:hAnsiTheme="minorHAnsi" w:cstheme="minorBidi"/>
      <w:color w:val="auto"/>
      <w:spacing w:val="0"/>
      <w:kern w:val="2"/>
      <w14:ligatures w14:val="standardContextual"/>
    </w:rPr>
  </w:style>
  <w:style w:type="paragraph" w:styleId="TOC5">
    <w:name w:val="toc 5"/>
    <w:basedOn w:val="Normal"/>
    <w:next w:val="Normal"/>
    <w:autoRedefine/>
    <w:uiPriority w:val="39"/>
    <w:unhideWhenUsed/>
    <w:rsid w:val="005C4045"/>
    <w:pPr>
      <w:spacing w:after="100" w:line="278" w:lineRule="auto"/>
      <w:ind w:left="960"/>
    </w:pPr>
    <w:rPr>
      <w:rFonts w:asciiTheme="minorHAnsi" w:eastAsiaTheme="minorEastAsia" w:hAnsiTheme="minorHAnsi" w:cstheme="minorBidi"/>
      <w:color w:val="auto"/>
      <w:spacing w:val="0"/>
      <w:kern w:val="2"/>
      <w14:ligatures w14:val="standardContextual"/>
    </w:rPr>
  </w:style>
  <w:style w:type="paragraph" w:styleId="TOC6">
    <w:name w:val="toc 6"/>
    <w:basedOn w:val="Normal"/>
    <w:next w:val="Normal"/>
    <w:autoRedefine/>
    <w:uiPriority w:val="39"/>
    <w:unhideWhenUsed/>
    <w:rsid w:val="005C4045"/>
    <w:pPr>
      <w:spacing w:after="100" w:line="278" w:lineRule="auto"/>
      <w:ind w:left="1200"/>
    </w:pPr>
    <w:rPr>
      <w:rFonts w:asciiTheme="minorHAnsi" w:eastAsiaTheme="minorEastAsia" w:hAnsiTheme="minorHAnsi" w:cstheme="minorBidi"/>
      <w:color w:val="auto"/>
      <w:spacing w:val="0"/>
      <w:kern w:val="2"/>
      <w14:ligatures w14:val="standardContextual"/>
    </w:rPr>
  </w:style>
  <w:style w:type="paragraph" w:styleId="TOC7">
    <w:name w:val="toc 7"/>
    <w:basedOn w:val="Normal"/>
    <w:next w:val="Normal"/>
    <w:autoRedefine/>
    <w:uiPriority w:val="39"/>
    <w:unhideWhenUsed/>
    <w:rsid w:val="005C4045"/>
    <w:pPr>
      <w:spacing w:after="100" w:line="278" w:lineRule="auto"/>
      <w:ind w:left="1440"/>
    </w:pPr>
    <w:rPr>
      <w:rFonts w:asciiTheme="minorHAnsi" w:eastAsiaTheme="minorEastAsia" w:hAnsiTheme="minorHAnsi" w:cstheme="minorBidi"/>
      <w:color w:val="auto"/>
      <w:spacing w:val="0"/>
      <w:kern w:val="2"/>
      <w14:ligatures w14:val="standardContextual"/>
    </w:rPr>
  </w:style>
  <w:style w:type="paragraph" w:styleId="TOC8">
    <w:name w:val="toc 8"/>
    <w:basedOn w:val="Normal"/>
    <w:next w:val="Normal"/>
    <w:autoRedefine/>
    <w:uiPriority w:val="39"/>
    <w:unhideWhenUsed/>
    <w:rsid w:val="005C4045"/>
    <w:pPr>
      <w:spacing w:after="100" w:line="278" w:lineRule="auto"/>
      <w:ind w:left="1680"/>
    </w:pPr>
    <w:rPr>
      <w:rFonts w:asciiTheme="minorHAnsi" w:eastAsiaTheme="minorEastAsia" w:hAnsiTheme="minorHAnsi" w:cstheme="minorBidi"/>
      <w:color w:val="auto"/>
      <w:spacing w:val="0"/>
      <w:kern w:val="2"/>
      <w14:ligatures w14:val="standardContextual"/>
    </w:rPr>
  </w:style>
  <w:style w:type="paragraph" w:styleId="TOC9">
    <w:name w:val="toc 9"/>
    <w:basedOn w:val="Normal"/>
    <w:next w:val="Normal"/>
    <w:autoRedefine/>
    <w:uiPriority w:val="39"/>
    <w:unhideWhenUsed/>
    <w:rsid w:val="005C4045"/>
    <w:pPr>
      <w:spacing w:after="100" w:line="278" w:lineRule="auto"/>
      <w:ind w:left="1920"/>
    </w:pPr>
    <w:rPr>
      <w:rFonts w:asciiTheme="minorHAnsi" w:eastAsiaTheme="minorEastAsia" w:hAnsiTheme="minorHAnsi" w:cstheme="minorBidi"/>
      <w:color w:val="auto"/>
      <w:spacing w:val="0"/>
      <w:kern w:val="2"/>
      <w14:ligatures w14:val="standardContextual"/>
    </w:rPr>
  </w:style>
  <w:style w:type="character" w:styleId="UnresolvedMention">
    <w:name w:val="Unresolved Mention"/>
    <w:basedOn w:val="DefaultParagraphFont"/>
    <w:uiPriority w:val="99"/>
    <w:semiHidden/>
    <w:unhideWhenUsed/>
    <w:rsid w:val="005C4045"/>
    <w:rPr>
      <w:color w:val="605E5C"/>
      <w:shd w:val="clear" w:color="auto" w:fill="E1DFDD"/>
    </w:rPr>
  </w:style>
  <w:style w:type="table" w:customStyle="1" w:styleId="TableGrid1">
    <w:name w:val="Table Grid1"/>
    <w:basedOn w:val="TableNormal"/>
    <w:next w:val="TableGrid"/>
    <w:uiPriority w:val="39"/>
    <w:rsid w:val="006C0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4655D8"/>
    <w:pPr>
      <w:spacing w:after="240" w:line="360" w:lineRule="auto"/>
      <w:jc w:val="both"/>
    </w:pPr>
    <w:rPr>
      <w:rFonts w:ascii="Arial" w:eastAsia="Calibri" w:hAnsi="Arial" w:cs="Arial"/>
      <w:color w:val="00338D"/>
      <w:spacing w:val="0"/>
      <w:lang w:val="es-DO"/>
    </w:rPr>
  </w:style>
  <w:style w:type="character" w:customStyle="1" w:styleId="BodyChar">
    <w:name w:val="Body Char"/>
    <w:basedOn w:val="DefaultParagraphFont"/>
    <w:link w:val="Body"/>
    <w:rsid w:val="004655D8"/>
    <w:rPr>
      <w:rFonts w:ascii="Arial" w:eastAsia="Calibri" w:hAnsi="Arial" w:cs="Arial"/>
      <w:color w:val="00338D"/>
      <w:spacing w:val="0"/>
      <w:lang w:val="es-DO"/>
    </w:rPr>
  </w:style>
  <w:style w:type="character" w:customStyle="1" w:styleId="eop">
    <w:name w:val="eop"/>
    <w:basedOn w:val="DefaultParagraphFont"/>
    <w:rsid w:val="008016B9"/>
  </w:style>
  <w:style w:type="table" w:styleId="MediumGrid3-Accent5">
    <w:name w:val="Medium Grid 3 Accent 5"/>
    <w:basedOn w:val="TableNormal"/>
    <w:uiPriority w:val="69"/>
    <w:rsid w:val="00EF5D3F"/>
    <w:pPr>
      <w:spacing w:after="0" w:line="240" w:lineRule="auto"/>
    </w:pPr>
    <w:rPr>
      <w:rFonts w:asciiTheme="minorHAnsi" w:eastAsiaTheme="minorEastAsia" w:hAnsiTheme="minorHAnsi" w:cstheme="minorBidi"/>
      <w:color w:val="auto"/>
      <w:spacing w:val="0"/>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styleId="Strong">
    <w:name w:val="Strong"/>
    <w:basedOn w:val="DefaultParagraphFont"/>
    <w:uiPriority w:val="22"/>
    <w:qFormat/>
    <w:rsid w:val="00EF5D3F"/>
    <w:rPr>
      <w:b/>
      <w:bCs/>
    </w:rPr>
  </w:style>
  <w:style w:type="table" w:customStyle="1" w:styleId="TableGrid2">
    <w:name w:val="Table Grid2"/>
    <w:basedOn w:val="TableNormal"/>
    <w:next w:val="TableGrid"/>
    <w:uiPriority w:val="39"/>
    <w:rsid w:val="00CB11EA"/>
    <w:pPr>
      <w:spacing w:after="0" w:line="240" w:lineRule="auto"/>
    </w:pPr>
    <w:rPr>
      <w:rFonts w:asciiTheme="minorHAnsi" w:hAnsiTheme="minorHAnsi" w:cstheme="minorBidi"/>
      <w:color w:val="auto"/>
      <w:spacing w:val="0"/>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76370C"/>
    <w:pPr>
      <w:spacing w:after="0" w:line="240" w:lineRule="auto"/>
    </w:pPr>
    <w:rPr>
      <w:rFonts w:ascii="Calibri" w:hAnsi="Calibri" w:cs="Calibri"/>
      <w:color w:val="auto"/>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3840">
      <w:bodyDiv w:val="1"/>
      <w:marLeft w:val="0"/>
      <w:marRight w:val="0"/>
      <w:marTop w:val="0"/>
      <w:marBottom w:val="0"/>
      <w:divBdr>
        <w:top w:val="none" w:sz="0" w:space="0" w:color="auto"/>
        <w:left w:val="none" w:sz="0" w:space="0" w:color="auto"/>
        <w:bottom w:val="none" w:sz="0" w:space="0" w:color="auto"/>
        <w:right w:val="none" w:sz="0" w:space="0" w:color="auto"/>
      </w:divBdr>
    </w:div>
    <w:div w:id="281157602">
      <w:bodyDiv w:val="1"/>
      <w:marLeft w:val="0"/>
      <w:marRight w:val="0"/>
      <w:marTop w:val="0"/>
      <w:marBottom w:val="0"/>
      <w:divBdr>
        <w:top w:val="none" w:sz="0" w:space="0" w:color="auto"/>
        <w:left w:val="none" w:sz="0" w:space="0" w:color="auto"/>
        <w:bottom w:val="none" w:sz="0" w:space="0" w:color="auto"/>
        <w:right w:val="none" w:sz="0" w:space="0" w:color="auto"/>
      </w:divBdr>
    </w:div>
    <w:div w:id="306859052">
      <w:bodyDiv w:val="1"/>
      <w:marLeft w:val="0"/>
      <w:marRight w:val="0"/>
      <w:marTop w:val="0"/>
      <w:marBottom w:val="0"/>
      <w:divBdr>
        <w:top w:val="none" w:sz="0" w:space="0" w:color="auto"/>
        <w:left w:val="none" w:sz="0" w:space="0" w:color="auto"/>
        <w:bottom w:val="none" w:sz="0" w:space="0" w:color="auto"/>
        <w:right w:val="none" w:sz="0" w:space="0" w:color="auto"/>
      </w:divBdr>
    </w:div>
    <w:div w:id="377820065">
      <w:bodyDiv w:val="1"/>
      <w:marLeft w:val="0"/>
      <w:marRight w:val="0"/>
      <w:marTop w:val="0"/>
      <w:marBottom w:val="0"/>
      <w:divBdr>
        <w:top w:val="none" w:sz="0" w:space="0" w:color="auto"/>
        <w:left w:val="none" w:sz="0" w:space="0" w:color="auto"/>
        <w:bottom w:val="none" w:sz="0" w:space="0" w:color="auto"/>
        <w:right w:val="none" w:sz="0" w:space="0" w:color="auto"/>
      </w:divBdr>
    </w:div>
    <w:div w:id="478964824">
      <w:bodyDiv w:val="1"/>
      <w:marLeft w:val="0"/>
      <w:marRight w:val="0"/>
      <w:marTop w:val="0"/>
      <w:marBottom w:val="0"/>
      <w:divBdr>
        <w:top w:val="none" w:sz="0" w:space="0" w:color="auto"/>
        <w:left w:val="none" w:sz="0" w:space="0" w:color="auto"/>
        <w:bottom w:val="none" w:sz="0" w:space="0" w:color="auto"/>
        <w:right w:val="none" w:sz="0" w:space="0" w:color="auto"/>
      </w:divBdr>
    </w:div>
    <w:div w:id="528839531">
      <w:bodyDiv w:val="1"/>
      <w:marLeft w:val="0"/>
      <w:marRight w:val="0"/>
      <w:marTop w:val="0"/>
      <w:marBottom w:val="0"/>
      <w:divBdr>
        <w:top w:val="none" w:sz="0" w:space="0" w:color="auto"/>
        <w:left w:val="none" w:sz="0" w:space="0" w:color="auto"/>
        <w:bottom w:val="none" w:sz="0" w:space="0" w:color="auto"/>
        <w:right w:val="none" w:sz="0" w:space="0" w:color="auto"/>
      </w:divBdr>
    </w:div>
    <w:div w:id="593782041">
      <w:bodyDiv w:val="1"/>
      <w:marLeft w:val="0"/>
      <w:marRight w:val="0"/>
      <w:marTop w:val="0"/>
      <w:marBottom w:val="0"/>
      <w:divBdr>
        <w:top w:val="none" w:sz="0" w:space="0" w:color="auto"/>
        <w:left w:val="none" w:sz="0" w:space="0" w:color="auto"/>
        <w:bottom w:val="none" w:sz="0" w:space="0" w:color="auto"/>
        <w:right w:val="none" w:sz="0" w:space="0" w:color="auto"/>
      </w:divBdr>
    </w:div>
    <w:div w:id="624309162">
      <w:bodyDiv w:val="1"/>
      <w:marLeft w:val="0"/>
      <w:marRight w:val="0"/>
      <w:marTop w:val="0"/>
      <w:marBottom w:val="0"/>
      <w:divBdr>
        <w:top w:val="none" w:sz="0" w:space="0" w:color="auto"/>
        <w:left w:val="none" w:sz="0" w:space="0" w:color="auto"/>
        <w:bottom w:val="none" w:sz="0" w:space="0" w:color="auto"/>
        <w:right w:val="none" w:sz="0" w:space="0" w:color="auto"/>
      </w:divBdr>
    </w:div>
    <w:div w:id="669525291">
      <w:bodyDiv w:val="1"/>
      <w:marLeft w:val="0"/>
      <w:marRight w:val="0"/>
      <w:marTop w:val="0"/>
      <w:marBottom w:val="0"/>
      <w:divBdr>
        <w:top w:val="none" w:sz="0" w:space="0" w:color="auto"/>
        <w:left w:val="none" w:sz="0" w:space="0" w:color="auto"/>
        <w:bottom w:val="none" w:sz="0" w:space="0" w:color="auto"/>
        <w:right w:val="none" w:sz="0" w:space="0" w:color="auto"/>
      </w:divBdr>
    </w:div>
    <w:div w:id="716779908">
      <w:bodyDiv w:val="1"/>
      <w:marLeft w:val="0"/>
      <w:marRight w:val="0"/>
      <w:marTop w:val="0"/>
      <w:marBottom w:val="0"/>
      <w:divBdr>
        <w:top w:val="none" w:sz="0" w:space="0" w:color="auto"/>
        <w:left w:val="none" w:sz="0" w:space="0" w:color="auto"/>
        <w:bottom w:val="none" w:sz="0" w:space="0" w:color="auto"/>
        <w:right w:val="none" w:sz="0" w:space="0" w:color="auto"/>
      </w:divBdr>
    </w:div>
    <w:div w:id="744062667">
      <w:bodyDiv w:val="1"/>
      <w:marLeft w:val="0"/>
      <w:marRight w:val="0"/>
      <w:marTop w:val="0"/>
      <w:marBottom w:val="0"/>
      <w:divBdr>
        <w:top w:val="none" w:sz="0" w:space="0" w:color="auto"/>
        <w:left w:val="none" w:sz="0" w:space="0" w:color="auto"/>
        <w:bottom w:val="none" w:sz="0" w:space="0" w:color="auto"/>
        <w:right w:val="none" w:sz="0" w:space="0" w:color="auto"/>
      </w:divBdr>
    </w:div>
    <w:div w:id="750738072">
      <w:bodyDiv w:val="1"/>
      <w:marLeft w:val="0"/>
      <w:marRight w:val="0"/>
      <w:marTop w:val="0"/>
      <w:marBottom w:val="0"/>
      <w:divBdr>
        <w:top w:val="none" w:sz="0" w:space="0" w:color="auto"/>
        <w:left w:val="none" w:sz="0" w:space="0" w:color="auto"/>
        <w:bottom w:val="none" w:sz="0" w:space="0" w:color="auto"/>
        <w:right w:val="none" w:sz="0" w:space="0" w:color="auto"/>
      </w:divBdr>
    </w:div>
    <w:div w:id="843514430">
      <w:bodyDiv w:val="1"/>
      <w:marLeft w:val="0"/>
      <w:marRight w:val="0"/>
      <w:marTop w:val="0"/>
      <w:marBottom w:val="0"/>
      <w:divBdr>
        <w:top w:val="none" w:sz="0" w:space="0" w:color="auto"/>
        <w:left w:val="none" w:sz="0" w:space="0" w:color="auto"/>
        <w:bottom w:val="none" w:sz="0" w:space="0" w:color="auto"/>
        <w:right w:val="none" w:sz="0" w:space="0" w:color="auto"/>
      </w:divBdr>
    </w:div>
    <w:div w:id="914777375">
      <w:bodyDiv w:val="1"/>
      <w:marLeft w:val="0"/>
      <w:marRight w:val="0"/>
      <w:marTop w:val="0"/>
      <w:marBottom w:val="0"/>
      <w:divBdr>
        <w:top w:val="none" w:sz="0" w:space="0" w:color="auto"/>
        <w:left w:val="none" w:sz="0" w:space="0" w:color="auto"/>
        <w:bottom w:val="none" w:sz="0" w:space="0" w:color="auto"/>
        <w:right w:val="none" w:sz="0" w:space="0" w:color="auto"/>
      </w:divBdr>
    </w:div>
    <w:div w:id="1002900239">
      <w:bodyDiv w:val="1"/>
      <w:marLeft w:val="0"/>
      <w:marRight w:val="0"/>
      <w:marTop w:val="0"/>
      <w:marBottom w:val="0"/>
      <w:divBdr>
        <w:top w:val="none" w:sz="0" w:space="0" w:color="auto"/>
        <w:left w:val="none" w:sz="0" w:space="0" w:color="auto"/>
        <w:bottom w:val="none" w:sz="0" w:space="0" w:color="auto"/>
        <w:right w:val="none" w:sz="0" w:space="0" w:color="auto"/>
      </w:divBdr>
    </w:div>
    <w:div w:id="1134910720">
      <w:bodyDiv w:val="1"/>
      <w:marLeft w:val="0"/>
      <w:marRight w:val="0"/>
      <w:marTop w:val="0"/>
      <w:marBottom w:val="0"/>
      <w:divBdr>
        <w:top w:val="none" w:sz="0" w:space="0" w:color="auto"/>
        <w:left w:val="none" w:sz="0" w:space="0" w:color="auto"/>
        <w:bottom w:val="none" w:sz="0" w:space="0" w:color="auto"/>
        <w:right w:val="none" w:sz="0" w:space="0" w:color="auto"/>
      </w:divBdr>
    </w:div>
    <w:div w:id="1188759310">
      <w:bodyDiv w:val="1"/>
      <w:marLeft w:val="0"/>
      <w:marRight w:val="0"/>
      <w:marTop w:val="0"/>
      <w:marBottom w:val="0"/>
      <w:divBdr>
        <w:top w:val="none" w:sz="0" w:space="0" w:color="auto"/>
        <w:left w:val="none" w:sz="0" w:space="0" w:color="auto"/>
        <w:bottom w:val="none" w:sz="0" w:space="0" w:color="auto"/>
        <w:right w:val="none" w:sz="0" w:space="0" w:color="auto"/>
      </w:divBdr>
    </w:div>
    <w:div w:id="121635731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634746350">
      <w:bodyDiv w:val="1"/>
      <w:marLeft w:val="0"/>
      <w:marRight w:val="0"/>
      <w:marTop w:val="0"/>
      <w:marBottom w:val="0"/>
      <w:divBdr>
        <w:top w:val="none" w:sz="0" w:space="0" w:color="auto"/>
        <w:left w:val="none" w:sz="0" w:space="0" w:color="auto"/>
        <w:bottom w:val="none" w:sz="0" w:space="0" w:color="auto"/>
        <w:right w:val="none" w:sz="0" w:space="0" w:color="auto"/>
      </w:divBdr>
    </w:div>
    <w:div w:id="1653675969">
      <w:bodyDiv w:val="1"/>
      <w:marLeft w:val="0"/>
      <w:marRight w:val="0"/>
      <w:marTop w:val="0"/>
      <w:marBottom w:val="0"/>
      <w:divBdr>
        <w:top w:val="none" w:sz="0" w:space="0" w:color="auto"/>
        <w:left w:val="none" w:sz="0" w:space="0" w:color="auto"/>
        <w:bottom w:val="none" w:sz="0" w:space="0" w:color="auto"/>
        <w:right w:val="none" w:sz="0" w:space="0" w:color="auto"/>
      </w:divBdr>
    </w:div>
    <w:div w:id="1672416305">
      <w:bodyDiv w:val="1"/>
      <w:marLeft w:val="0"/>
      <w:marRight w:val="0"/>
      <w:marTop w:val="0"/>
      <w:marBottom w:val="0"/>
      <w:divBdr>
        <w:top w:val="none" w:sz="0" w:space="0" w:color="auto"/>
        <w:left w:val="none" w:sz="0" w:space="0" w:color="auto"/>
        <w:bottom w:val="none" w:sz="0" w:space="0" w:color="auto"/>
        <w:right w:val="none" w:sz="0" w:space="0" w:color="auto"/>
      </w:divBdr>
    </w:div>
    <w:div w:id="1721782748">
      <w:bodyDiv w:val="1"/>
      <w:marLeft w:val="0"/>
      <w:marRight w:val="0"/>
      <w:marTop w:val="0"/>
      <w:marBottom w:val="0"/>
      <w:divBdr>
        <w:top w:val="none" w:sz="0" w:space="0" w:color="auto"/>
        <w:left w:val="none" w:sz="0" w:space="0" w:color="auto"/>
        <w:bottom w:val="none" w:sz="0" w:space="0" w:color="auto"/>
        <w:right w:val="none" w:sz="0" w:space="0" w:color="auto"/>
      </w:divBdr>
    </w:div>
    <w:div w:id="1811826703">
      <w:bodyDiv w:val="1"/>
      <w:marLeft w:val="0"/>
      <w:marRight w:val="0"/>
      <w:marTop w:val="0"/>
      <w:marBottom w:val="0"/>
      <w:divBdr>
        <w:top w:val="none" w:sz="0" w:space="0" w:color="auto"/>
        <w:left w:val="none" w:sz="0" w:space="0" w:color="auto"/>
        <w:bottom w:val="none" w:sz="0" w:space="0" w:color="auto"/>
        <w:right w:val="none" w:sz="0" w:space="0" w:color="auto"/>
      </w:divBdr>
    </w:div>
    <w:div w:id="1856848288">
      <w:bodyDiv w:val="1"/>
      <w:marLeft w:val="0"/>
      <w:marRight w:val="0"/>
      <w:marTop w:val="0"/>
      <w:marBottom w:val="0"/>
      <w:divBdr>
        <w:top w:val="none" w:sz="0" w:space="0" w:color="auto"/>
        <w:left w:val="none" w:sz="0" w:space="0" w:color="auto"/>
        <w:bottom w:val="none" w:sz="0" w:space="0" w:color="auto"/>
        <w:right w:val="none" w:sz="0" w:space="0" w:color="auto"/>
      </w:divBdr>
    </w:div>
    <w:div w:id="1871533335">
      <w:bodyDiv w:val="1"/>
      <w:marLeft w:val="0"/>
      <w:marRight w:val="0"/>
      <w:marTop w:val="0"/>
      <w:marBottom w:val="0"/>
      <w:divBdr>
        <w:top w:val="none" w:sz="0" w:space="0" w:color="auto"/>
        <w:left w:val="none" w:sz="0" w:space="0" w:color="auto"/>
        <w:bottom w:val="none" w:sz="0" w:space="0" w:color="auto"/>
        <w:right w:val="none" w:sz="0" w:space="0" w:color="auto"/>
      </w:divBdr>
    </w:div>
    <w:div w:id="1945502305">
      <w:bodyDiv w:val="1"/>
      <w:marLeft w:val="0"/>
      <w:marRight w:val="0"/>
      <w:marTop w:val="0"/>
      <w:marBottom w:val="0"/>
      <w:divBdr>
        <w:top w:val="none" w:sz="0" w:space="0" w:color="auto"/>
        <w:left w:val="none" w:sz="0" w:space="0" w:color="auto"/>
        <w:bottom w:val="none" w:sz="0" w:space="0" w:color="auto"/>
        <w:right w:val="none" w:sz="0" w:space="0" w:color="auto"/>
      </w:divBdr>
    </w:div>
    <w:div w:id="1967927041">
      <w:bodyDiv w:val="1"/>
      <w:marLeft w:val="0"/>
      <w:marRight w:val="0"/>
      <w:marTop w:val="0"/>
      <w:marBottom w:val="0"/>
      <w:divBdr>
        <w:top w:val="none" w:sz="0" w:space="0" w:color="auto"/>
        <w:left w:val="none" w:sz="0" w:space="0" w:color="auto"/>
        <w:bottom w:val="none" w:sz="0" w:space="0" w:color="auto"/>
        <w:right w:val="none" w:sz="0" w:space="0" w:color="auto"/>
      </w:divBdr>
    </w:div>
    <w:div w:id="2005623109">
      <w:bodyDiv w:val="1"/>
      <w:marLeft w:val="0"/>
      <w:marRight w:val="0"/>
      <w:marTop w:val="0"/>
      <w:marBottom w:val="0"/>
      <w:divBdr>
        <w:top w:val="none" w:sz="0" w:space="0" w:color="auto"/>
        <w:left w:val="none" w:sz="0" w:space="0" w:color="auto"/>
        <w:bottom w:val="none" w:sz="0" w:space="0" w:color="auto"/>
        <w:right w:val="none" w:sz="0" w:space="0" w:color="auto"/>
      </w:divBdr>
    </w:div>
    <w:div w:id="2050375309">
      <w:bodyDiv w:val="1"/>
      <w:marLeft w:val="0"/>
      <w:marRight w:val="0"/>
      <w:marTop w:val="0"/>
      <w:marBottom w:val="0"/>
      <w:divBdr>
        <w:top w:val="none" w:sz="0" w:space="0" w:color="auto"/>
        <w:left w:val="none" w:sz="0" w:space="0" w:color="auto"/>
        <w:bottom w:val="none" w:sz="0" w:space="0" w:color="auto"/>
        <w:right w:val="none" w:sz="0" w:space="0" w:color="auto"/>
      </w:divBdr>
    </w:div>
    <w:div w:id="212568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chart" Target="charts/chart4.xml"/><Relationship Id="rId39" Type="http://schemas.openxmlformats.org/officeDocument/2006/relationships/chart" Target="charts/chart16.xml"/><Relationship Id="rId21" Type="http://schemas.openxmlformats.org/officeDocument/2006/relationships/chart" Target="charts/chart2.xml"/><Relationship Id="rId34" Type="http://schemas.openxmlformats.org/officeDocument/2006/relationships/chart" Target="charts/chart11.xml"/><Relationship Id="rId42" Type="http://schemas.openxmlformats.org/officeDocument/2006/relationships/chart" Target="charts/chart19.xml"/><Relationship Id="rId47" Type="http://schemas.openxmlformats.org/officeDocument/2006/relationships/chart" Target="charts/chart24.xml"/><Relationship Id="rId50" Type="http://schemas.openxmlformats.org/officeDocument/2006/relationships/hyperlink" Target="http://sisticge.dominicana.gob.do/dashboard.php" TargetMode="External"/><Relationship Id="rId55" Type="http://schemas.openxmlformats.org/officeDocument/2006/relationships/image" Target="media/image1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ss.gob.do/assets/regla_srl_v2.pdf" TargetMode="External"/><Relationship Id="rId29" Type="http://schemas.openxmlformats.org/officeDocument/2006/relationships/chart" Target="charts/chart7.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chart" Target="charts/chart10.xml"/><Relationship Id="rId37" Type="http://schemas.openxmlformats.org/officeDocument/2006/relationships/chart" Target="charts/chart14.xml"/><Relationship Id="rId40" Type="http://schemas.openxmlformats.org/officeDocument/2006/relationships/chart" Target="charts/chart17.xml"/><Relationship Id="rId45" Type="http://schemas.openxmlformats.org/officeDocument/2006/relationships/chart" Target="charts/chart22.xml"/><Relationship Id="rId53" Type="http://schemas.openxmlformats.org/officeDocument/2006/relationships/chart" Target="charts/chart26.xml"/><Relationship Id="rId58" Type="http://schemas.openxmlformats.org/officeDocument/2006/relationships/chart" Target="charts/chart27.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2.xml"/><Relationship Id="rId43" Type="http://schemas.openxmlformats.org/officeDocument/2006/relationships/chart" Target="charts/chart20.xml"/><Relationship Id="rId48" Type="http://schemas.openxmlformats.org/officeDocument/2006/relationships/hyperlink" Target="https://nam12.safelinks.protection.outlook.com/?url=https%3A%2F%2Feldinero.com.do%2F321852%2Fsector-publico-evita-deficit-de-cuenta-de-salud-en-la-tss%2F&amp;data=05%7C02%7CAdelaida_Bautista%40tss.gob.do%7C46bc5a68a31a40880cec08ddcf699721%7C658f31f489b142e0bacef319040dfdf9%7C0%7C0%7C638894774622532629%7CUnknown%7CTWFpbGZsb3d8eyJFbXB0eU1hcGkiOnRydWUsIlYiOiIwLjAuMDAwMCIsIlAiOiJXaW4zMiIsIkFOIjoiTWFpbCIsIldUIjoyfQ%3D%3D%7C0%7C%7C%7C&amp;sdata=2funGLA7G%2Fek6TqUoOVpoYoTqSrnD3nAICM4Q7q6Mcc%3D&amp;reserved=0" TargetMode="External"/><Relationship Id="rId56" Type="http://schemas.openxmlformats.org/officeDocument/2006/relationships/image" Target="media/image12.png"/><Relationship Id="rId8" Type="http://schemas.openxmlformats.org/officeDocument/2006/relationships/webSettings" Target="webSettings.xml"/><Relationship Id="rId51" Type="http://schemas.openxmlformats.org/officeDocument/2006/relationships/image" Target="media/image9.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image" Target="media/image8.png"/><Relationship Id="rId38" Type="http://schemas.openxmlformats.org/officeDocument/2006/relationships/chart" Target="charts/chart15.xml"/><Relationship Id="rId46" Type="http://schemas.openxmlformats.org/officeDocument/2006/relationships/chart" Target="charts/chart23.xml"/><Relationship Id="rId59" Type="http://schemas.openxmlformats.org/officeDocument/2006/relationships/footer" Target="footer4.xml"/><Relationship Id="rId20" Type="http://schemas.openxmlformats.org/officeDocument/2006/relationships/chart" Target="charts/chart1.xml"/><Relationship Id="rId41" Type="http://schemas.openxmlformats.org/officeDocument/2006/relationships/chart" Target="charts/chart18.xml"/><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chart" Target="charts/chart6.xml"/><Relationship Id="rId36" Type="http://schemas.openxmlformats.org/officeDocument/2006/relationships/chart" Target="charts/chart13.xml"/><Relationship Id="rId49" Type="http://schemas.openxmlformats.org/officeDocument/2006/relationships/hyperlink" Target="https://nam12.safelinks.protection.outlook.com/?url=https%3A%2F%2Feldia.com.do%2Fseguridad-social-la-tss-el-gigante-recaudador%2F&amp;data=05%7C02%7CAdelaida_Bautista%40tss.gob.do%7C46bc5a68a31a40880cec08ddcf699721%7C658f31f489b142e0bacef319040dfdf9%7C0%7C0%7C638894774622558811%7CUnknown%7CTWFpbGZsb3d8eyJFbXB0eU1hcGkiOnRydWUsIlYiOiIwLjAuMDAwMCIsIlAiOiJXaW4zMiIsIkFOIjoiTWFpbCIsIldUIjoyfQ%3D%3D%7C0%7C%7C%7C&amp;sdata=sIeZcrsyGzXUhCEPT4Fv7qN7VrQZWV4RksZceBb4FEk%3D&amp;reserved=0" TargetMode="External"/><Relationship Id="rId57" Type="http://schemas.openxmlformats.org/officeDocument/2006/relationships/image" Target="media/image13.png"/><Relationship Id="rId10" Type="http://schemas.openxmlformats.org/officeDocument/2006/relationships/endnotes" Target="endnotes.xml"/><Relationship Id="rId31" Type="http://schemas.openxmlformats.org/officeDocument/2006/relationships/chart" Target="charts/chart9.xml"/><Relationship Id="rId44" Type="http://schemas.openxmlformats.org/officeDocument/2006/relationships/chart" Target="charts/chart21.xml"/><Relationship Id="rId52" Type="http://schemas.openxmlformats.org/officeDocument/2006/relationships/chart" Target="charts/chart25.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7.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richard_lion\Desktop\Procesos%20adjudicados%20al%2014%20noviembre%202025.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eticia_piccirillo\Downloads\Movimientos_Personal.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7.xlsx"/></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9.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1.xlsx"/></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3.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4.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5.xlsx"/></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2" Type="http://schemas.openxmlformats.org/officeDocument/2006/relationships/oleObject" Target="file:///\\falken\audit\MARINAFIALLO\RichardLion\Memoria\Datos%20para%20memoria.xlsx"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5.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pivotSource>
    <c:name>[Consulta de Matrices.xlsx]G - Encargados!barras</c:name>
    <c:fmtId val="-1"/>
  </c:pivotSource>
  <c:chart>
    <c:title>
      <c:tx>
        <c:rich>
          <a:bodyPr rot="0" spcFirstLastPara="1" vertOverflow="ellipsis" vert="horz" wrap="square" anchor="ctr" anchorCtr="1"/>
          <a:lstStyle/>
          <a:p>
            <a:pPr>
              <a:defRPr sz="10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00" b="0">
                <a:latin typeface="Times New Roman" panose="02020603050405020304" pitchFamily="18" charset="0"/>
                <a:cs typeface="Times New Roman" panose="02020603050405020304" pitchFamily="18" charset="0"/>
              </a:rPr>
              <a:t>Distribución de Procesos de Fiscalización Externa</a:t>
            </a:r>
          </a:p>
        </c:rich>
      </c:tx>
      <c:layout>
        <c:manualLayout>
          <c:xMode val="edge"/>
          <c:yMode val="edge"/>
          <c:x val="0.15486424852631125"/>
          <c:y val="3.4235009085402786E-2"/>
        </c:manualLayout>
      </c:layout>
      <c:overlay val="0"/>
      <c:spPr>
        <a:noFill/>
        <a:ln>
          <a:noFill/>
        </a:ln>
        <a:effectLst/>
      </c:spPr>
      <c:txPr>
        <a:bodyPr rot="0" spcFirstLastPara="1" vertOverflow="ellipsis" vert="horz" wrap="square" anchor="ctr" anchorCtr="1"/>
        <a:lstStyle/>
        <a:p>
          <a:pPr>
            <a:defRPr sz="10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outEnd"/>
          <c:showLegendKey val="0"/>
          <c:showVal val="0"/>
          <c:showCatName val="1"/>
          <c:showSerName val="0"/>
          <c:showPercent val="1"/>
          <c:showBubbleSize val="0"/>
          <c:separator>
</c:separator>
          <c:extLst>
            <c:ext xmlns:c15="http://schemas.microsoft.com/office/drawing/2012/chart" uri="{CE6537A1-D6FC-4f65-9D91-7224C49458BB}"/>
          </c:extLst>
        </c:dLbl>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spPr>
          <a:solidFill>
            <a:schemeClr val="accent1"/>
          </a:solidFill>
          <a:ln>
            <a:noFill/>
          </a:ln>
          <a:effectLst>
            <a:outerShdw blurRad="63500" sx="102000" sy="102000" algn="ctr" rotWithShape="0">
              <a:prstClr val="black">
                <a:alpha val="20000"/>
              </a:prstClr>
            </a:outerShdw>
          </a:effectLst>
        </c:spPr>
        <c:marker>
          <c:symbol val="circle"/>
          <c:size val="6"/>
        </c:marke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dLbl>
          <c:idx val="0"/>
          <c:dLblPos val="bestFit"/>
          <c:showLegendKey val="0"/>
          <c:showVal val="1"/>
          <c:showCatName val="0"/>
          <c:showSerName val="0"/>
          <c:showPercent val="0"/>
          <c:showBubbleSize val="0"/>
          <c:extLst>
            <c:ext xmlns:c15="http://schemas.microsoft.com/office/drawing/2012/chart" uri="{CE6537A1-D6FC-4f65-9D91-7224C49458BB}"/>
          </c:extLst>
        </c:dLbl>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xForSave val="1"/>
            </c:ext>
          </c:extLst>
        </c:dLbl>
      </c:pivotFmt>
      <c:pivotFmt>
        <c:idx val="240"/>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xForSave val="1"/>
            </c:ext>
          </c:extLst>
        </c:dLbl>
      </c:pivotFmt>
      <c:pivotFmt>
        <c:idx val="241"/>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xForSave val="1"/>
            </c:ext>
          </c:extLst>
        </c:dLbl>
      </c:pivotFmt>
      <c:pivotFmt>
        <c:idx val="242"/>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xForSave val="1"/>
            </c:ext>
          </c:extLst>
        </c:dLbl>
      </c:pivotFmt>
      <c:pivotFmt>
        <c:idx val="243"/>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xForSave val="1"/>
            </c:ext>
          </c:extLst>
        </c:dLbl>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spPr>
          <a:solidFill>
            <a:schemeClr val="accent1"/>
          </a:solidFill>
          <a:ln>
            <a:noFill/>
          </a:ln>
          <a:effectLst>
            <a:outerShdw blurRad="63500" sx="102000" sy="102000" algn="ctr" rotWithShape="0">
              <a:prstClr val="black">
                <a:alpha val="20000"/>
              </a:prstClr>
            </a:outerShdw>
          </a:effectLst>
        </c:spPr>
        <c:marker>
          <c:symbol val="none"/>
        </c:marke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06"/>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07"/>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08"/>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09"/>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10"/>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11"/>
        <c:spPr>
          <a:solidFill>
            <a:schemeClr val="accent1"/>
          </a:solidFill>
          <a:ln>
            <a:noFill/>
          </a:ln>
          <a:effectLst>
            <a:outerShdw blurRad="63500" sx="102000" sy="102000" algn="ctr" rotWithShape="0">
              <a:prstClr val="black">
                <a:alpha val="20000"/>
              </a:prstClr>
            </a:outerShdw>
          </a:effectLst>
        </c:spPr>
        <c:marker>
          <c:symbol val="none"/>
        </c:marke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12"/>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13"/>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14"/>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15"/>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16"/>
        <c:spPr>
          <a:solidFill>
            <a:schemeClr val="accent1"/>
          </a:solidFill>
          <a:ln>
            <a:noFill/>
          </a:ln>
          <a:effectLst>
            <a:outerShdw blurRad="63500" sx="102000" sy="102000" algn="ctr" rotWithShape="0">
              <a:prstClr val="black">
                <a:alpha val="20000"/>
              </a:prstClr>
            </a:outerShdw>
          </a:effectLst>
        </c:spPr>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s>
    <c:plotArea>
      <c:layout>
        <c:manualLayout>
          <c:layoutTarget val="inner"/>
          <c:xMode val="edge"/>
          <c:yMode val="edge"/>
          <c:x val="0.28000653764433286"/>
          <c:y val="0.32814437770835009"/>
          <c:w val="0.41274629132896851"/>
          <c:h val="0.55552855400758183"/>
        </c:manualLayout>
      </c:layout>
      <c:pieChart>
        <c:varyColors val="1"/>
        <c:ser>
          <c:idx val="0"/>
          <c:order val="0"/>
          <c:tx>
            <c:strRef>
              <c:f>'G - Encargados'!$B$29</c:f>
              <c:strCache>
                <c:ptCount val="1"/>
                <c:pt idx="0">
                  <c:v>Total</c:v>
                </c:pt>
              </c:strCache>
            </c:strRef>
          </c:tx>
          <c:dPt>
            <c:idx val="0"/>
            <c:bubble3D val="0"/>
            <c:spPr>
              <a:solidFill>
                <a:schemeClr val="accent1">
                  <a:tint val="54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988-435F-8FF7-D8078AAA9CB9}"/>
              </c:ext>
            </c:extLst>
          </c:dPt>
          <c:dPt>
            <c:idx val="1"/>
            <c:bubble3D val="0"/>
            <c:spPr>
              <a:solidFill>
                <a:schemeClr val="accent1">
                  <a:tint val="77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988-435F-8FF7-D8078AAA9CB9}"/>
              </c:ext>
            </c:extLst>
          </c:dPt>
          <c:dPt>
            <c:idx val="2"/>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988-435F-8FF7-D8078AAA9CB9}"/>
              </c:ext>
            </c:extLst>
          </c:dPt>
          <c:dPt>
            <c:idx val="3"/>
            <c:bubble3D val="0"/>
            <c:spPr>
              <a:solidFill>
                <a:schemeClr val="accent1">
                  <a:shade val="7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0988-435F-8FF7-D8078AAA9CB9}"/>
              </c:ext>
            </c:extLst>
          </c:dPt>
          <c:dPt>
            <c:idx val="4"/>
            <c:bubble3D val="0"/>
            <c:spPr>
              <a:solidFill>
                <a:srgbClr val="00206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0988-435F-8FF7-D8078AAA9CB9}"/>
              </c:ext>
            </c:extLst>
          </c:dPt>
          <c:dPt>
            <c:idx val="5"/>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0988-435F-8FF7-D8078AAA9CB9}"/>
              </c:ext>
            </c:extLst>
          </c:dPt>
          <c:dPt>
            <c:idx val="6"/>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0988-435F-8FF7-D8078AAA9CB9}"/>
              </c:ext>
            </c:extLst>
          </c:dPt>
          <c:dPt>
            <c:idx val="7"/>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0988-435F-8FF7-D8078AAA9CB9}"/>
              </c:ext>
            </c:extLst>
          </c:dPt>
          <c:dPt>
            <c:idx val="8"/>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0988-435F-8FF7-D8078AAA9CB9}"/>
              </c:ext>
            </c:extLst>
          </c:dPt>
          <c:dPt>
            <c:idx val="9"/>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0988-435F-8FF7-D8078AAA9CB9}"/>
              </c:ext>
            </c:extLst>
          </c:dPt>
          <c:dPt>
            <c:idx val="10"/>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0988-435F-8FF7-D8078AAA9CB9}"/>
              </c:ext>
            </c:extLst>
          </c:dPt>
          <c:dPt>
            <c:idx val="11"/>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0988-435F-8FF7-D8078AAA9CB9}"/>
              </c:ext>
            </c:extLst>
          </c:dPt>
          <c:dPt>
            <c:idx val="12"/>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0988-435F-8FF7-D8078AAA9CB9}"/>
              </c:ext>
            </c:extLst>
          </c:dPt>
          <c:dPt>
            <c:idx val="13"/>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0988-435F-8FF7-D8078AAA9CB9}"/>
              </c:ext>
            </c:extLst>
          </c:dPt>
          <c:dPt>
            <c:idx val="14"/>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0988-435F-8FF7-D8078AAA9CB9}"/>
              </c:ext>
            </c:extLst>
          </c:dPt>
          <c:dPt>
            <c:idx val="15"/>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0988-435F-8FF7-D8078AAA9CB9}"/>
              </c:ext>
            </c:extLst>
          </c:dPt>
          <c:dPt>
            <c:idx val="16"/>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0988-435F-8FF7-D8078AAA9CB9}"/>
              </c:ext>
            </c:extLst>
          </c:dPt>
          <c:dPt>
            <c:idx val="17"/>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3-0988-435F-8FF7-D8078AAA9CB9}"/>
              </c:ext>
            </c:extLst>
          </c:dPt>
          <c:dPt>
            <c:idx val="18"/>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5-0988-435F-8FF7-D8078AAA9CB9}"/>
              </c:ext>
            </c:extLst>
          </c:dPt>
          <c:dPt>
            <c:idx val="19"/>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7-0988-435F-8FF7-D8078AAA9CB9}"/>
              </c:ext>
            </c:extLst>
          </c:dPt>
          <c:dPt>
            <c:idx val="20"/>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9-0988-435F-8FF7-D8078AAA9CB9}"/>
              </c:ext>
            </c:extLst>
          </c:dPt>
          <c:dPt>
            <c:idx val="21"/>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B-0988-435F-8FF7-D8078AAA9CB9}"/>
              </c:ext>
            </c:extLst>
          </c:dPt>
          <c:dPt>
            <c:idx val="22"/>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D-0988-435F-8FF7-D8078AAA9CB9}"/>
              </c:ext>
            </c:extLst>
          </c:dPt>
          <c:dPt>
            <c:idx val="23"/>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F-0988-435F-8FF7-D8078AAA9CB9}"/>
              </c:ext>
            </c:extLst>
          </c:dPt>
          <c:dPt>
            <c:idx val="24"/>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1-0988-435F-8FF7-D8078AAA9CB9}"/>
              </c:ext>
            </c:extLst>
          </c:dPt>
          <c:dPt>
            <c:idx val="25"/>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3-0988-435F-8FF7-D8078AAA9CB9}"/>
              </c:ext>
            </c:extLst>
          </c:dPt>
          <c:dPt>
            <c:idx val="26"/>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5-0988-435F-8FF7-D8078AAA9CB9}"/>
              </c:ext>
            </c:extLst>
          </c:dPt>
          <c:dPt>
            <c:idx val="27"/>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7-0988-435F-8FF7-D8078AAA9CB9}"/>
              </c:ext>
            </c:extLst>
          </c:dPt>
          <c:dPt>
            <c:idx val="28"/>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9-0988-435F-8FF7-D8078AAA9CB9}"/>
              </c:ext>
            </c:extLst>
          </c:dPt>
          <c:dPt>
            <c:idx val="29"/>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B-0988-435F-8FF7-D8078AAA9CB9}"/>
              </c:ext>
            </c:extLst>
          </c:dPt>
          <c:dPt>
            <c:idx val="30"/>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D-0988-435F-8FF7-D8078AAA9CB9}"/>
              </c:ext>
            </c:extLst>
          </c:dPt>
          <c:dPt>
            <c:idx val="31"/>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F-0988-435F-8FF7-D8078AAA9CB9}"/>
              </c:ext>
            </c:extLst>
          </c:dPt>
          <c:dPt>
            <c:idx val="32"/>
            <c:bubble3D val="0"/>
            <c:spPr>
              <a:solidFill>
                <a:schemeClr val="accent1">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1-0988-435F-8FF7-D8078AAA9CB9}"/>
              </c:ext>
            </c:extLst>
          </c:dPt>
          <c:dLbls>
            <c:dLbl>
              <c:idx val="0"/>
              <c:layout>
                <c:manualLayout>
                  <c:x val="-0.16666666666666669"/>
                  <c:y val="9.2307692307692313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fld id="{40BDCE6E-50FB-46D9-AC75-988B90368F16}" type="CATEGORYNAM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[CATEGORY NAME]</a:t>
                    </a:fld>
                    <a:r>
                      <a:rPr lang="en-US" sz="900" b="0">
                        <a:latin typeface="Times New Roman" panose="02020603050405020304" pitchFamily="18" charset="0"/>
                        <a:cs typeface="Times New Roman" panose="02020603050405020304" pitchFamily="18" charset="0"/>
                      </a:rPr>
                      <a:t>
</a:t>
                    </a:r>
                    <a:fld id="{DA67D7F8-0AA0-4BAC-A83C-C8E81AAD5EC6}" type="PERCENTAG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[PERCENTAGE]</a:t>
                    </a:fld>
                    <a:endParaRPr lang="en-US" sz="900" b="0">
                      <a:latin typeface="Times New Roman" panose="02020603050405020304" pitchFamily="18" charset="0"/>
                      <a:cs typeface="Times New Roman" panose="02020603050405020304" pitchFamily="18" charset="0"/>
                    </a:endParaRPr>
                  </a:p>
                </c:rich>
              </c:tx>
              <c:spPr>
                <a:solidFill>
                  <a:sysClr val="window" lastClr="FFFFFF"/>
                </a:solidFill>
                <a:ln>
                  <a:solidFill>
                    <a:srgbClr val="4472C4">
                      <a:tint val="54000"/>
                    </a:srgb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3244890495245471"/>
                      <c:h val="0.17624308499899052"/>
                    </c:manualLayout>
                  </c15:layout>
                  <c15:dlblFieldTable/>
                  <c15:showDataLabelsRange val="0"/>
                </c:ext>
                <c:ext xmlns:c16="http://schemas.microsoft.com/office/drawing/2014/chart" uri="{C3380CC4-5D6E-409C-BE32-E72D297353CC}">
                  <c16:uniqueId val="{00000001-0988-435F-8FF7-D8078AAA9CB9}"/>
                </c:ext>
              </c:extLst>
            </c:dLbl>
            <c:dLbl>
              <c:idx val="1"/>
              <c:layout>
                <c:manualLayout>
                  <c:x val="5.1912568306010931E-2"/>
                  <c:y val="5.1282051282051308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fld id="{BD20513D-A273-4B0A-BBEA-1EB33B11E5EB}" type="CATEGORYNAM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[CATEGORY NAME]</a:t>
                    </a:fld>
                    <a:r>
                      <a:rPr lang="en-US" sz="900" b="0">
                        <a:latin typeface="Times New Roman" panose="02020603050405020304" pitchFamily="18" charset="0"/>
                        <a:cs typeface="Times New Roman" panose="02020603050405020304" pitchFamily="18" charset="0"/>
                      </a:rPr>
                      <a:t>
</a:t>
                    </a:r>
                    <a:fld id="{37A89680-CC8A-4FF9-9959-7297FBD6CF38}" type="PERCENTAG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[PERCENTAGE]</a:t>
                    </a:fld>
                    <a:endParaRPr lang="en-US" sz="900" b="0">
                      <a:latin typeface="Times New Roman" panose="02020603050405020304" pitchFamily="18" charset="0"/>
                      <a:cs typeface="Times New Roman" panose="02020603050405020304" pitchFamily="18" charset="0"/>
                    </a:endParaRPr>
                  </a:p>
                </c:rich>
              </c:tx>
              <c:spPr>
                <a:solidFill>
                  <a:sysClr val="window" lastClr="FFFFFF"/>
                </a:solidFill>
                <a:ln>
                  <a:solidFill>
                    <a:srgbClr val="4472C4">
                      <a:tint val="77000"/>
                    </a:srgb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563852674153435"/>
                      <c:h val="0.21442761962447002"/>
                    </c:manualLayout>
                  </c15:layout>
                  <c15:dlblFieldTable/>
                  <c15:showDataLabelsRange val="0"/>
                </c:ext>
                <c:ext xmlns:c16="http://schemas.microsoft.com/office/drawing/2014/chart" uri="{C3380CC4-5D6E-409C-BE32-E72D297353CC}">
                  <c16:uniqueId val="{00000003-0988-435F-8FF7-D8078AAA9CB9}"/>
                </c:ext>
              </c:extLst>
            </c:dLbl>
            <c:dLbl>
              <c:idx val="2"/>
              <c:tx>
                <c:rich>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fld id="{54DBA42C-0834-4D7D-B973-6CDA570515B8}" type="CATEGORYNAM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[CATEGORY NAME]</a:t>
                    </a:fld>
                    <a:r>
                      <a:rPr lang="en-US" sz="900" b="0">
                        <a:latin typeface="Times New Roman" panose="02020603050405020304" pitchFamily="18" charset="0"/>
                        <a:cs typeface="Times New Roman" panose="02020603050405020304" pitchFamily="18" charset="0"/>
                      </a:rPr>
                      <a:t>
</a:t>
                    </a:r>
                    <a:fld id="{7FA68425-22CE-44D1-8F35-BC4A396F1355}" type="PERCENTAG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[PERCENTAGE]</a:t>
                    </a:fld>
                    <a:endParaRPr lang="en-US" sz="900" b="0">
                      <a:latin typeface="Times New Roman" panose="02020603050405020304" pitchFamily="18" charset="0"/>
                      <a:cs typeface="Times New Roman" panose="02020603050405020304" pitchFamily="18" charset="0"/>
                    </a:endParaRPr>
                  </a:p>
                </c:rich>
              </c:tx>
              <c:spPr>
                <a:solidFill>
                  <a:sysClr val="window" lastClr="FFFFFF"/>
                </a:solidFill>
                <a:ln>
                  <a:solidFill>
                    <a:srgbClr val="4472C4"/>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5-0988-435F-8FF7-D8078AAA9CB9}"/>
                </c:ext>
              </c:extLst>
            </c:dLbl>
            <c:dLbl>
              <c:idx val="3"/>
              <c:layout>
                <c:manualLayout>
                  <c:x val="3.9617593907318963E-2"/>
                  <c:y val="9.7436301231576733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fld id="{B57A375A-211F-4D29-88F1-133FB0397C13}" type="CATEGORYNAM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[CATEGORY NAME]</a:t>
                    </a:fld>
                    <a:r>
                      <a:rPr lang="en-US" sz="900" b="0">
                        <a:latin typeface="Times New Roman" panose="02020603050405020304" pitchFamily="18" charset="0"/>
                        <a:cs typeface="Times New Roman" panose="02020603050405020304" pitchFamily="18" charset="0"/>
                      </a:rPr>
                      <a:t>
</a:t>
                    </a:r>
                    <a:fld id="{C59052F8-93E1-4172-BCB7-3140EEC0C748}" type="PERCENTAG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[PERCENTAGE]</a:t>
                    </a:fld>
                    <a:endParaRPr lang="en-US" sz="900" b="0">
                      <a:latin typeface="Times New Roman" panose="02020603050405020304" pitchFamily="18" charset="0"/>
                      <a:cs typeface="Times New Roman" panose="02020603050405020304" pitchFamily="18" charset="0"/>
                    </a:endParaRPr>
                  </a:p>
                </c:rich>
              </c:tx>
              <c:spPr>
                <a:solidFill>
                  <a:sysClr val="window" lastClr="FFFFFF"/>
                </a:solidFill>
                <a:ln>
                  <a:solidFill>
                    <a:srgbClr val="4472C4">
                      <a:shade val="76000"/>
                    </a:srgb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2129361903532549"/>
                      <c:h val="0.17624308499899052"/>
                    </c:manualLayout>
                  </c15:layout>
                  <c15:dlblFieldTable/>
                  <c15:showDataLabelsRange val="0"/>
                </c:ext>
                <c:ext xmlns:c16="http://schemas.microsoft.com/office/drawing/2014/chart" uri="{C3380CC4-5D6E-409C-BE32-E72D297353CC}">
                  <c16:uniqueId val="{00000007-0988-435F-8FF7-D8078AAA9CB9}"/>
                </c:ext>
              </c:extLst>
            </c:dLbl>
            <c:dLbl>
              <c:idx val="4"/>
              <c:tx>
                <c:rich>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fld id="{CBB192C1-03F0-441E-98A3-11F05BD36E30}" type="CATEGORYNAM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[CATEGORY NAME]</a:t>
                    </a:fld>
                    <a:r>
                      <a:rPr lang="en-US" sz="900" b="0">
                        <a:latin typeface="Times New Roman" panose="02020603050405020304" pitchFamily="18" charset="0"/>
                        <a:cs typeface="Times New Roman" panose="02020603050405020304" pitchFamily="18" charset="0"/>
                      </a:rPr>
                      <a:t>
</a:t>
                    </a:r>
                    <a:fld id="{43E917DF-49B5-4C86-964C-14B82F5A8A7B}" type="PERCENTAG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[PERCENTAGE]</a:t>
                    </a:fld>
                    <a:endParaRPr lang="en-US" sz="900" b="0">
                      <a:latin typeface="Times New Roman" panose="02020603050405020304" pitchFamily="18" charset="0"/>
                      <a:cs typeface="Times New Roman" panose="02020603050405020304" pitchFamily="18" charset="0"/>
                    </a:endParaRPr>
                  </a:p>
                </c:rich>
              </c:tx>
              <c:spPr>
                <a:solidFill>
                  <a:sysClr val="window" lastClr="FFFFFF"/>
                </a:solidFill>
                <a:ln>
                  <a:solidFill>
                    <a:srgbClr val="4472C4">
                      <a:shade val="53000"/>
                    </a:srgb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9-0988-435F-8FF7-D8078AAA9CB9}"/>
                </c:ext>
              </c:extLst>
            </c:dLbl>
            <c:spPr>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 - Encargados'!$A$30:$A$35</c:f>
              <c:strCache>
                <c:ptCount val="5"/>
                <c:pt idx="0">
                  <c:v>AUDITORÍA ARS</c:v>
                </c:pt>
                <c:pt idx="1">
                  <c:v>AUDITORÍA EMPLEADORES</c:v>
                </c:pt>
                <c:pt idx="2">
                  <c:v>INSPECCIÓN EMPLEADORES</c:v>
                </c:pt>
                <c:pt idx="3">
                  <c:v>PROCESO INTERNO</c:v>
                </c:pt>
                <c:pt idx="4">
                  <c:v>SOLICITUD</c:v>
                </c:pt>
              </c:strCache>
            </c:strRef>
          </c:cat>
          <c:val>
            <c:numRef>
              <c:f>'G - Encargados'!$B$30:$B$35</c:f>
              <c:numCache>
                <c:formatCode>#,##0</c:formatCode>
                <c:ptCount val="5"/>
                <c:pt idx="0">
                  <c:v>12</c:v>
                </c:pt>
                <c:pt idx="1">
                  <c:v>1105</c:v>
                </c:pt>
                <c:pt idx="2">
                  <c:v>888</c:v>
                </c:pt>
                <c:pt idx="3">
                  <c:v>7</c:v>
                </c:pt>
                <c:pt idx="4">
                  <c:v>4794</c:v>
                </c:pt>
              </c:numCache>
            </c:numRef>
          </c:val>
          <c:extLst>
            <c:ext xmlns:c16="http://schemas.microsoft.com/office/drawing/2014/chart" uri="{C3380CC4-5D6E-409C-BE32-E72D297353CC}">
              <c16:uniqueId val="{00000042-0988-435F-8FF7-D8078AAA9CB9}"/>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defRPr>
      </a:pPr>
      <a:endParaRPr lang="en-US"/>
    </a:p>
  </c:txPr>
  <c:externalData r:id="rId3">
    <c:autoUpdate val="0"/>
  </c:externalData>
  <c:extLst>
    <c:ext xmlns:c14="http://schemas.microsoft.com/office/drawing/2007/8/2/chart" uri="{781A3756-C4B2-4CAC-9D66-4F8BD8637D16}">
      <c14:pivotOptions>
        <c14:dropZoneFilter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869047619047619"/>
          <c:y val="0.2013888888888889"/>
          <c:w val="0.63214285714285712"/>
          <c:h val="0.60515873015873012"/>
        </c:manualLayout>
      </c:layout>
      <c:pie3DChart>
        <c:varyColors val="1"/>
        <c:ser>
          <c:idx val="0"/>
          <c:order val="0"/>
          <c:tx>
            <c:strRef>
              <c:f>'Procesos al 14 nov'!$R$19</c:f>
              <c:strCache>
                <c:ptCount val="1"/>
                <c:pt idx="0">
                  <c:v>Total</c:v>
                </c:pt>
              </c:strCache>
            </c:strRef>
          </c:tx>
          <c:spPr>
            <a:ln>
              <a:solidFill>
                <a:schemeClr val="accent1">
                  <a:lumMod val="50000"/>
                </a:schemeClr>
              </a:solidFill>
            </a:ln>
          </c:spPr>
          <c:dPt>
            <c:idx val="0"/>
            <c:bubble3D val="0"/>
            <c:spPr>
              <a:solidFill>
                <a:schemeClr val="accent1">
                  <a:tint val="65000"/>
                </a:schemeClr>
              </a:solidFill>
              <a:ln w="25400">
                <a:solidFill>
                  <a:schemeClr val="accent1">
                    <a:lumMod val="50000"/>
                  </a:schemeClr>
                </a:solidFill>
              </a:ln>
              <a:effectLst/>
              <a:sp3d contourW="25400">
                <a:contourClr>
                  <a:schemeClr val="accent1">
                    <a:lumMod val="50000"/>
                  </a:schemeClr>
                </a:contourClr>
              </a:sp3d>
            </c:spPr>
            <c:extLst>
              <c:ext xmlns:c16="http://schemas.microsoft.com/office/drawing/2014/chart" uri="{C3380CC4-5D6E-409C-BE32-E72D297353CC}">
                <c16:uniqueId val="{00000001-12BC-4639-A3DD-1BE49F27088F}"/>
              </c:ext>
            </c:extLst>
          </c:dPt>
          <c:dPt>
            <c:idx val="1"/>
            <c:bubble3D val="0"/>
            <c:spPr>
              <a:solidFill>
                <a:srgbClr val="002060"/>
              </a:solidFill>
              <a:ln w="25400">
                <a:solidFill>
                  <a:schemeClr val="accent1">
                    <a:lumMod val="50000"/>
                  </a:schemeClr>
                </a:solidFill>
              </a:ln>
              <a:effectLst/>
              <a:sp3d contourW="25400">
                <a:contourClr>
                  <a:schemeClr val="accent1">
                    <a:lumMod val="50000"/>
                  </a:schemeClr>
                </a:contourClr>
              </a:sp3d>
            </c:spPr>
            <c:extLst>
              <c:ext xmlns:c16="http://schemas.microsoft.com/office/drawing/2014/chart" uri="{C3380CC4-5D6E-409C-BE32-E72D297353CC}">
                <c16:uniqueId val="{00000003-12BC-4639-A3DD-1BE49F27088F}"/>
              </c:ext>
            </c:extLst>
          </c:dPt>
          <c:dPt>
            <c:idx val="2"/>
            <c:bubble3D val="0"/>
            <c:spPr>
              <a:solidFill>
                <a:schemeClr val="accent1">
                  <a:shade val="65000"/>
                </a:schemeClr>
              </a:solidFill>
              <a:ln w="25400">
                <a:solidFill>
                  <a:schemeClr val="accent1">
                    <a:lumMod val="50000"/>
                  </a:schemeClr>
                </a:solidFill>
              </a:ln>
              <a:effectLst/>
              <a:sp3d contourW="25400">
                <a:contourClr>
                  <a:schemeClr val="accent1">
                    <a:lumMod val="50000"/>
                  </a:schemeClr>
                </a:contourClr>
              </a:sp3d>
            </c:spPr>
            <c:extLst>
              <c:ext xmlns:c16="http://schemas.microsoft.com/office/drawing/2014/chart" uri="{C3380CC4-5D6E-409C-BE32-E72D297353CC}">
                <c16:uniqueId val="{00000005-12BC-4639-A3DD-1BE49F27088F}"/>
              </c:ext>
            </c:extLst>
          </c:dPt>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'Procesos al 14 nov'!$Q$20:$Q$22</c:f>
              <c:strCache>
                <c:ptCount val="3"/>
                <c:pt idx="0">
                  <c:v>Grande</c:v>
                </c:pt>
                <c:pt idx="1">
                  <c:v>MIPYME</c:v>
                </c:pt>
                <c:pt idx="2">
                  <c:v>MIPYME Mujer</c:v>
                </c:pt>
              </c:strCache>
            </c:strRef>
          </c:cat>
          <c:val>
            <c:numRef>
              <c:f>'Procesos al 14 nov'!$R$20:$R$22</c:f>
              <c:numCache>
                <c:formatCode>_(* #,##0.00_);_(* \(#,##0.00\);_(* "-"??_);_(@_)</c:formatCode>
                <c:ptCount val="3"/>
                <c:pt idx="0">
                  <c:v>116253914</c:v>
                </c:pt>
                <c:pt idx="1">
                  <c:v>104470097</c:v>
                </c:pt>
                <c:pt idx="2">
                  <c:v>18788116</c:v>
                </c:pt>
              </c:numCache>
            </c:numRef>
          </c:val>
          <c:extLst>
            <c:ext xmlns:c16="http://schemas.microsoft.com/office/drawing/2014/chart" uri="{C3380CC4-5D6E-409C-BE32-E72D297353CC}">
              <c16:uniqueId val="{00000006-12BC-4639-A3DD-1BE49F27088F}"/>
            </c:ext>
          </c:extLst>
        </c:ser>
        <c:ser>
          <c:idx val="1"/>
          <c:order val="1"/>
          <c:tx>
            <c:strRef>
              <c:f>'Procesos al 14 nov'!$S$19</c:f>
              <c:strCache>
                <c:ptCount val="1"/>
                <c:pt idx="0">
                  <c:v>Porcentaje</c:v>
                </c:pt>
              </c:strCache>
            </c:strRef>
          </c:tx>
          <c:dPt>
            <c:idx val="0"/>
            <c:bubble3D val="0"/>
            <c:spPr>
              <a:solidFill>
                <a:schemeClr val="accent1">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12BC-4639-A3DD-1BE49F27088F}"/>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12BC-4639-A3DD-1BE49F27088F}"/>
              </c:ext>
            </c:extLst>
          </c:dPt>
          <c:dPt>
            <c:idx val="2"/>
            <c:bubble3D val="0"/>
            <c:spPr>
              <a:solidFill>
                <a:schemeClr val="accent1">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12BC-4639-A3DD-1BE49F27088F}"/>
              </c:ext>
            </c:extLst>
          </c:dPt>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'Procesos al 14 nov'!$Q$20:$Q$22</c:f>
              <c:strCache>
                <c:ptCount val="3"/>
                <c:pt idx="0">
                  <c:v>Grande</c:v>
                </c:pt>
                <c:pt idx="1">
                  <c:v>MIPYME</c:v>
                </c:pt>
                <c:pt idx="2">
                  <c:v>MIPYME Mujer</c:v>
                </c:pt>
              </c:strCache>
            </c:strRef>
          </c:cat>
          <c:val>
            <c:numRef>
              <c:f>'Procesos al 14 nov'!$S$20:$S$22</c:f>
              <c:numCache>
                <c:formatCode>0%</c:formatCode>
                <c:ptCount val="3"/>
                <c:pt idx="0">
                  <c:v>0.48537798672716059</c:v>
                </c:pt>
                <c:pt idx="1">
                  <c:v>0.43617873678688512</c:v>
                </c:pt>
                <c:pt idx="2">
                  <c:v>7.8443276485954297E-2</c:v>
                </c:pt>
              </c:numCache>
            </c:numRef>
          </c:val>
          <c:extLst>
            <c:ext xmlns:c16="http://schemas.microsoft.com/office/drawing/2014/chart" uri="{C3380CC4-5D6E-409C-BE32-E72D297353CC}">
              <c16:uniqueId val="{0000000D-12BC-4639-A3DD-1BE49F27088F}"/>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rgbClr val="767171"/>
          </a:solidFill>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100" b="1"/>
              <a:t>Solicitudes de Préstamos de Documentos Físicos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Hoja1!$C$2</c:f>
              <c:strCache>
                <c:ptCount val="1"/>
                <c:pt idx="0">
                  <c:v>Solicitudes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Hoja1!$B$3:$B$6</c:f>
              <c:numCache>
                <c:formatCode>General</c:formatCode>
                <c:ptCount val="4"/>
                <c:pt idx="0">
                  <c:v>2022</c:v>
                </c:pt>
                <c:pt idx="1">
                  <c:v>2023</c:v>
                </c:pt>
                <c:pt idx="2">
                  <c:v>2024</c:v>
                </c:pt>
                <c:pt idx="3">
                  <c:v>2025</c:v>
                </c:pt>
              </c:numCache>
            </c:numRef>
          </c:cat>
          <c:val>
            <c:numRef>
              <c:f>Hoja1!$C$3:$C$6</c:f>
              <c:numCache>
                <c:formatCode>General</c:formatCode>
                <c:ptCount val="4"/>
                <c:pt idx="0">
                  <c:v>211</c:v>
                </c:pt>
                <c:pt idx="1">
                  <c:v>205</c:v>
                </c:pt>
                <c:pt idx="2">
                  <c:v>0</c:v>
                </c:pt>
                <c:pt idx="3">
                  <c:v>4</c:v>
                </c:pt>
              </c:numCache>
            </c:numRef>
          </c:val>
          <c:smooth val="0"/>
          <c:extLst>
            <c:ext xmlns:c16="http://schemas.microsoft.com/office/drawing/2014/chart" uri="{C3380CC4-5D6E-409C-BE32-E72D297353CC}">
              <c16:uniqueId val="{00000000-FD68-4FFB-8A93-1A61EA08CC8C}"/>
            </c:ext>
          </c:extLst>
        </c:ser>
        <c:dLbls>
          <c:dLblPos val="t"/>
          <c:showLegendKey val="0"/>
          <c:showVal val="1"/>
          <c:showCatName val="0"/>
          <c:showSerName val="0"/>
          <c:showPercent val="0"/>
          <c:showBubbleSize val="0"/>
        </c:dLbls>
        <c:smooth val="0"/>
        <c:axId val="1181042848"/>
        <c:axId val="936887231"/>
      </c:lineChart>
      <c:catAx>
        <c:axId val="118104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936887231"/>
        <c:crosses val="autoZero"/>
        <c:auto val="1"/>
        <c:lblAlgn val="ctr"/>
        <c:lblOffset val="100"/>
        <c:noMultiLvlLbl val="0"/>
      </c:catAx>
      <c:valAx>
        <c:axId val="936887231"/>
        <c:scaling>
          <c:orientation val="minMax"/>
        </c:scaling>
        <c:delete val="1"/>
        <c:axPos val="l"/>
        <c:numFmt formatCode="General" sourceLinked="1"/>
        <c:majorTickMark val="none"/>
        <c:minorTickMark val="none"/>
        <c:tickLblPos val="nextTo"/>
        <c:crossAx val="1181042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r>
              <a:rPr lang="en-US" sz="1200" b="1">
                <a:solidFill>
                  <a:schemeClr val="bg1">
                    <a:lumMod val="50000"/>
                  </a:schemeClr>
                </a:solidFill>
                <a:latin typeface="Times New Roman" panose="02020603050405020304" pitchFamily="18" charset="0"/>
                <a:cs typeface="Times New Roman" panose="02020603050405020304" pitchFamily="18" charset="0"/>
              </a:rPr>
              <a:t>Cumplimiento del Calendario de Transferencias Documentales</a:t>
            </a:r>
          </a:p>
        </c:rich>
      </c:tx>
      <c:layout>
        <c:manualLayout>
          <c:xMode val="edge"/>
          <c:yMode val="edge"/>
          <c:x val="0.16395822397200349"/>
          <c:y val="3.7037037037037035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Hoja1!$C$9</c:f>
              <c:strCache>
                <c:ptCount val="1"/>
                <c:pt idx="0">
                  <c:v>Cumplimiento</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Hoja1!$B$10:$B$13</c:f>
              <c:numCache>
                <c:formatCode>General</c:formatCode>
                <c:ptCount val="4"/>
                <c:pt idx="0">
                  <c:v>2022</c:v>
                </c:pt>
                <c:pt idx="1">
                  <c:v>2023</c:v>
                </c:pt>
                <c:pt idx="2">
                  <c:v>2024</c:v>
                </c:pt>
                <c:pt idx="3">
                  <c:v>2025</c:v>
                </c:pt>
              </c:numCache>
            </c:numRef>
          </c:cat>
          <c:val>
            <c:numRef>
              <c:f>Hoja1!$C$10:$C$13</c:f>
              <c:numCache>
                <c:formatCode>General</c:formatCode>
                <c:ptCount val="4"/>
                <c:pt idx="0">
                  <c:v>68</c:v>
                </c:pt>
                <c:pt idx="1">
                  <c:v>88</c:v>
                </c:pt>
                <c:pt idx="2">
                  <c:v>94</c:v>
                </c:pt>
                <c:pt idx="3">
                  <c:v>99</c:v>
                </c:pt>
              </c:numCache>
            </c:numRef>
          </c:val>
          <c:smooth val="0"/>
          <c:extLst>
            <c:ext xmlns:c16="http://schemas.microsoft.com/office/drawing/2014/chart" uri="{C3380CC4-5D6E-409C-BE32-E72D297353CC}">
              <c16:uniqueId val="{00000000-4495-45F6-BF00-ADD830610DC2}"/>
            </c:ext>
          </c:extLst>
        </c:ser>
        <c:dLbls>
          <c:dLblPos val="ctr"/>
          <c:showLegendKey val="0"/>
          <c:showVal val="1"/>
          <c:showCatName val="0"/>
          <c:showSerName val="0"/>
          <c:showPercent val="0"/>
          <c:showBubbleSize val="0"/>
        </c:dLbls>
        <c:marker val="1"/>
        <c:smooth val="0"/>
        <c:axId val="938630703"/>
        <c:axId val="1365639535"/>
      </c:lineChart>
      <c:catAx>
        <c:axId val="93863070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365639535"/>
        <c:crosses val="autoZero"/>
        <c:auto val="1"/>
        <c:lblAlgn val="ctr"/>
        <c:lblOffset val="100"/>
        <c:noMultiLvlLbl val="0"/>
      </c:catAx>
      <c:valAx>
        <c:axId val="1365639535"/>
        <c:scaling>
          <c:orientation val="minMax"/>
        </c:scaling>
        <c:delete val="1"/>
        <c:axPos val="l"/>
        <c:numFmt formatCode="General" sourceLinked="1"/>
        <c:majorTickMark val="none"/>
        <c:minorTickMark val="none"/>
        <c:tickLblPos val="nextTo"/>
        <c:crossAx val="938630703"/>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1"/>
              <a:t>Personal Nuevo Ingreso </a:t>
            </a:r>
          </a:p>
        </c:rich>
      </c:tx>
      <c:layout>
        <c:manualLayout>
          <c:xMode val="edge"/>
          <c:yMode val="edge"/>
          <c:x val="0.3513263400214508"/>
          <c:y val="2.552599155076924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Hoja1!$B$1</c:f>
              <c:strCache>
                <c:ptCount val="1"/>
                <c:pt idx="0">
                  <c:v>G-O I</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Dirección Administrativa </c:v>
                </c:pt>
                <c:pt idx="1">
                  <c:v>Dirección de Fiscalización Externa </c:v>
                </c:pt>
                <c:pt idx="2">
                  <c:v>Dirección de Gestión de Normas, Cumplimiento y Ciberseguridad </c:v>
                </c:pt>
                <c:pt idx="3">
                  <c:v>Dirección de Servicios </c:v>
                </c:pt>
                <c:pt idx="4">
                  <c:v>Dirección de Tecnologías de la Información y Comunicación </c:v>
                </c:pt>
                <c:pt idx="5">
                  <c:v>Dirección Financiera </c:v>
                </c:pt>
                <c:pt idx="6">
                  <c:v>Dirección Jurídica </c:v>
                </c:pt>
                <c:pt idx="7">
                  <c:v>Departamento de Comunicaciones </c:v>
                </c:pt>
                <c:pt idx="8">
                  <c:v>Departamento de Seguridad </c:v>
                </c:pt>
              </c:strCache>
            </c:strRef>
          </c:cat>
          <c:val>
            <c:numRef>
              <c:f>Hoja1!$B$2:$B$10</c:f>
              <c:numCache>
                <c:formatCode>General</c:formatCode>
                <c:ptCount val="9"/>
                <c:pt idx="0">
                  <c:v>5</c:v>
                </c:pt>
              </c:numCache>
            </c:numRef>
          </c:val>
          <c:extLst>
            <c:ext xmlns:c16="http://schemas.microsoft.com/office/drawing/2014/chart" uri="{C3380CC4-5D6E-409C-BE32-E72D297353CC}">
              <c16:uniqueId val="{00000000-DF86-427C-894F-0B1DD7DB448E}"/>
            </c:ext>
          </c:extLst>
        </c:ser>
        <c:ser>
          <c:idx val="1"/>
          <c:order val="1"/>
          <c:tx>
            <c:strRef>
              <c:f>Hoja1!$C$1</c:f>
              <c:strCache>
                <c:ptCount val="1"/>
                <c:pt idx="0">
                  <c:v>G-O II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Dirección Administrativa </c:v>
                </c:pt>
                <c:pt idx="1">
                  <c:v>Dirección de Fiscalización Externa </c:v>
                </c:pt>
                <c:pt idx="2">
                  <c:v>Dirección de Gestión de Normas, Cumplimiento y Ciberseguridad </c:v>
                </c:pt>
                <c:pt idx="3">
                  <c:v>Dirección de Servicios </c:v>
                </c:pt>
                <c:pt idx="4">
                  <c:v>Dirección de Tecnologías de la Información y Comunicación </c:v>
                </c:pt>
                <c:pt idx="5">
                  <c:v>Dirección Financiera </c:v>
                </c:pt>
                <c:pt idx="6">
                  <c:v>Dirección Jurídica </c:v>
                </c:pt>
                <c:pt idx="7">
                  <c:v>Departamento de Comunicaciones </c:v>
                </c:pt>
                <c:pt idx="8">
                  <c:v>Departamento de Seguridad </c:v>
                </c:pt>
              </c:strCache>
            </c:strRef>
          </c:cat>
          <c:val>
            <c:numRef>
              <c:f>Hoja1!$C$2:$C$10</c:f>
              <c:numCache>
                <c:formatCode>General</c:formatCode>
                <c:ptCount val="9"/>
                <c:pt idx="0">
                  <c:v>1</c:v>
                </c:pt>
                <c:pt idx="1">
                  <c:v>1</c:v>
                </c:pt>
                <c:pt idx="3">
                  <c:v>6</c:v>
                </c:pt>
                <c:pt idx="5">
                  <c:v>2</c:v>
                </c:pt>
              </c:numCache>
            </c:numRef>
          </c:val>
          <c:extLst>
            <c:ext xmlns:c16="http://schemas.microsoft.com/office/drawing/2014/chart" uri="{C3380CC4-5D6E-409C-BE32-E72D297353CC}">
              <c16:uniqueId val="{00000001-DF86-427C-894F-0B1DD7DB448E}"/>
            </c:ext>
          </c:extLst>
        </c:ser>
        <c:ser>
          <c:idx val="2"/>
          <c:order val="2"/>
          <c:tx>
            <c:strRef>
              <c:f>Hoja1!$D$1</c:f>
              <c:strCache>
                <c:ptCount val="1"/>
                <c:pt idx="0">
                  <c:v>G-O III</c:v>
                </c:pt>
              </c:strCache>
            </c:strRef>
          </c:tx>
          <c:spPr>
            <a:solidFill>
              <a:schemeClr val="accent5">
                <a:lumMod val="75000"/>
              </a:schemeClr>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86-427C-894F-0B1DD7DB448E}"/>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86-427C-894F-0B1DD7DB448E}"/>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86-427C-894F-0B1DD7DB448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Dirección Administrativa </c:v>
                </c:pt>
                <c:pt idx="1">
                  <c:v>Dirección de Fiscalización Externa </c:v>
                </c:pt>
                <c:pt idx="2">
                  <c:v>Dirección de Gestión de Normas, Cumplimiento y Ciberseguridad </c:v>
                </c:pt>
                <c:pt idx="3">
                  <c:v>Dirección de Servicios </c:v>
                </c:pt>
                <c:pt idx="4">
                  <c:v>Dirección de Tecnologías de la Información y Comunicación </c:v>
                </c:pt>
                <c:pt idx="5">
                  <c:v>Dirección Financiera </c:v>
                </c:pt>
                <c:pt idx="6">
                  <c:v>Dirección Jurídica </c:v>
                </c:pt>
                <c:pt idx="7">
                  <c:v>Departamento de Comunicaciones </c:v>
                </c:pt>
                <c:pt idx="8">
                  <c:v>Departamento de Seguridad </c:v>
                </c:pt>
              </c:strCache>
            </c:strRef>
          </c:cat>
          <c:val>
            <c:numRef>
              <c:f>Hoja1!$D$2:$D$10</c:f>
              <c:numCache>
                <c:formatCode>General</c:formatCode>
                <c:ptCount val="9"/>
                <c:pt idx="1">
                  <c:v>1</c:v>
                </c:pt>
                <c:pt idx="3">
                  <c:v>1</c:v>
                </c:pt>
                <c:pt idx="4">
                  <c:v>2</c:v>
                </c:pt>
                <c:pt idx="7">
                  <c:v>1</c:v>
                </c:pt>
              </c:numCache>
            </c:numRef>
          </c:val>
          <c:extLst>
            <c:ext xmlns:c16="http://schemas.microsoft.com/office/drawing/2014/chart" uri="{C3380CC4-5D6E-409C-BE32-E72D297353CC}">
              <c16:uniqueId val="{00000005-DF86-427C-894F-0B1DD7DB448E}"/>
            </c:ext>
          </c:extLst>
        </c:ser>
        <c:ser>
          <c:idx val="3"/>
          <c:order val="3"/>
          <c:tx>
            <c:strRef>
              <c:f>Hoja1!$E$1</c:f>
              <c:strCache>
                <c:ptCount val="1"/>
                <c:pt idx="0">
                  <c:v>G-O IV</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Dirección Administrativa </c:v>
                </c:pt>
                <c:pt idx="1">
                  <c:v>Dirección de Fiscalización Externa </c:v>
                </c:pt>
                <c:pt idx="2">
                  <c:v>Dirección de Gestión de Normas, Cumplimiento y Ciberseguridad </c:v>
                </c:pt>
                <c:pt idx="3">
                  <c:v>Dirección de Servicios </c:v>
                </c:pt>
                <c:pt idx="4">
                  <c:v>Dirección de Tecnologías de la Información y Comunicación </c:v>
                </c:pt>
                <c:pt idx="5">
                  <c:v>Dirección Financiera </c:v>
                </c:pt>
                <c:pt idx="6">
                  <c:v>Dirección Jurídica </c:v>
                </c:pt>
                <c:pt idx="7">
                  <c:v>Departamento de Comunicaciones </c:v>
                </c:pt>
                <c:pt idx="8">
                  <c:v>Departamento de Seguridad </c:v>
                </c:pt>
              </c:strCache>
            </c:strRef>
          </c:cat>
          <c:val>
            <c:numRef>
              <c:f>Hoja1!$E$2:$E$10</c:f>
              <c:numCache>
                <c:formatCode>General</c:formatCode>
                <c:ptCount val="9"/>
                <c:pt idx="1">
                  <c:v>1</c:v>
                </c:pt>
                <c:pt idx="2">
                  <c:v>1</c:v>
                </c:pt>
                <c:pt idx="4">
                  <c:v>3</c:v>
                </c:pt>
                <c:pt idx="5">
                  <c:v>2</c:v>
                </c:pt>
                <c:pt idx="6">
                  <c:v>3</c:v>
                </c:pt>
              </c:numCache>
            </c:numRef>
          </c:val>
          <c:extLst>
            <c:ext xmlns:c16="http://schemas.microsoft.com/office/drawing/2014/chart" uri="{C3380CC4-5D6E-409C-BE32-E72D297353CC}">
              <c16:uniqueId val="{00000006-DF86-427C-894F-0B1DD7DB448E}"/>
            </c:ext>
          </c:extLst>
        </c:ser>
        <c:ser>
          <c:idx val="4"/>
          <c:order val="4"/>
          <c:tx>
            <c:strRef>
              <c:f>Hoja1!$F$1</c:f>
              <c:strCache>
                <c:ptCount val="1"/>
                <c:pt idx="0">
                  <c:v>G-O V</c:v>
                </c:pt>
              </c:strCache>
            </c:strRef>
          </c:tx>
          <c:spPr>
            <a:solidFill>
              <a:srgbClr val="002060"/>
            </a:solidFill>
            <a:ln>
              <a:noFill/>
            </a:ln>
            <a:effectLst/>
          </c:spPr>
          <c:invertIfNegative val="0"/>
          <c:cat>
            <c:strRef>
              <c:f>Hoja1!$A$2:$A$10</c:f>
              <c:strCache>
                <c:ptCount val="9"/>
                <c:pt idx="0">
                  <c:v>Dirección Administrativa </c:v>
                </c:pt>
                <c:pt idx="1">
                  <c:v>Dirección de Fiscalización Externa </c:v>
                </c:pt>
                <c:pt idx="2">
                  <c:v>Dirección de Gestión de Normas, Cumplimiento y Ciberseguridad </c:v>
                </c:pt>
                <c:pt idx="3">
                  <c:v>Dirección de Servicios </c:v>
                </c:pt>
                <c:pt idx="4">
                  <c:v>Dirección de Tecnologías de la Información y Comunicación </c:v>
                </c:pt>
                <c:pt idx="5">
                  <c:v>Dirección Financiera </c:v>
                </c:pt>
                <c:pt idx="6">
                  <c:v>Dirección Jurídica </c:v>
                </c:pt>
                <c:pt idx="7">
                  <c:v>Departamento de Comunicaciones </c:v>
                </c:pt>
                <c:pt idx="8">
                  <c:v>Departamento de Seguridad </c:v>
                </c:pt>
              </c:strCache>
            </c:strRef>
          </c:cat>
          <c:val>
            <c:numRef>
              <c:f>Hoja1!$F$2:$F$10</c:f>
              <c:numCache>
                <c:formatCode>General</c:formatCode>
                <c:ptCount val="9"/>
                <c:pt idx="4">
                  <c:v>1</c:v>
                </c:pt>
                <c:pt idx="8">
                  <c:v>1</c:v>
                </c:pt>
              </c:numCache>
            </c:numRef>
          </c:val>
          <c:extLst>
            <c:ext xmlns:c16="http://schemas.microsoft.com/office/drawing/2014/chart" uri="{C3380CC4-5D6E-409C-BE32-E72D297353CC}">
              <c16:uniqueId val="{00000007-DF86-427C-894F-0B1DD7DB448E}"/>
            </c:ext>
          </c:extLst>
        </c:ser>
        <c:dLbls>
          <c:showLegendKey val="0"/>
          <c:showVal val="0"/>
          <c:showCatName val="0"/>
          <c:showSerName val="0"/>
          <c:showPercent val="0"/>
          <c:showBubbleSize val="0"/>
        </c:dLbls>
        <c:gapWidth val="150"/>
        <c:overlap val="100"/>
        <c:axId val="1098105791"/>
        <c:axId val="1389015599"/>
      </c:barChart>
      <c:catAx>
        <c:axId val="109810579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9015599"/>
        <c:crosses val="autoZero"/>
        <c:auto val="1"/>
        <c:lblAlgn val="ctr"/>
        <c:lblOffset val="100"/>
        <c:noMultiLvlLbl val="0"/>
      </c:catAx>
      <c:valAx>
        <c:axId val="138901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98105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100" b="0"/>
              <a:t>Incorporación a la carrera administrativa</a:t>
            </a:r>
            <a:endParaRPr lang="en-US" sz="1100" b="0"/>
          </a:p>
        </c:rich>
      </c:tx>
      <c:layout>
        <c:manualLayout>
          <c:xMode val="edge"/>
          <c:yMode val="edge"/>
          <c:x val="0.21010638297872342"/>
          <c:y val="3.236245954692556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E181-40E8-84CE-659AC20EB122}"/>
              </c:ext>
            </c:extLst>
          </c:dPt>
          <c:dPt>
            <c:idx val="1"/>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3-E181-40E8-84CE-659AC20EB122}"/>
              </c:ext>
            </c:extLst>
          </c:dPt>
          <c:dPt>
            <c:idx val="2"/>
            <c:bubble3D val="0"/>
            <c:spPr>
              <a:solidFill>
                <a:schemeClr val="accent1">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E181-40E8-84CE-659AC20EB122}"/>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81-40E8-84CE-659AC20EB122}"/>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81-40E8-84CE-659AC20EB122}"/>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81-40E8-84CE-659AC20EB12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Sheet1!$A$2:$A$4</c:f>
              <c:strCache>
                <c:ptCount val="3"/>
                <c:pt idx="0">
                  <c:v>Nombramientos definitivos </c:v>
                </c:pt>
                <c:pt idx="1">
                  <c:v>Uso de regsitro de elegibles y nombramiento provisional </c:v>
                </c:pt>
                <c:pt idx="2">
                  <c:v>Concursos aperturados</c:v>
                </c:pt>
              </c:strCache>
            </c:strRef>
          </c:cat>
          <c:val>
            <c:numRef>
              <c:f>Sheet1!$B$2:$B$4</c:f>
              <c:numCache>
                <c:formatCode>General</c:formatCode>
                <c:ptCount val="3"/>
                <c:pt idx="0">
                  <c:v>4</c:v>
                </c:pt>
                <c:pt idx="1">
                  <c:v>3</c:v>
                </c:pt>
                <c:pt idx="2">
                  <c:v>3</c:v>
                </c:pt>
              </c:numCache>
            </c:numRef>
          </c:val>
          <c:extLst>
            <c:ext xmlns:c16="http://schemas.microsoft.com/office/drawing/2014/chart" uri="{C3380CC4-5D6E-409C-BE32-E72D297353CC}">
              <c16:uniqueId val="{00000006-E181-40E8-84CE-659AC20EB12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100" b="0"/>
              <a:t>Salidas de Personal 2025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Sheet1!$B$1</c:f>
              <c:strCache>
                <c:ptCount val="1"/>
                <c:pt idx="0">
                  <c:v>Renuncia</c:v>
                </c:pt>
              </c:strCache>
            </c:strRef>
          </c:tx>
          <c:spPr>
            <a:solidFill>
              <a:schemeClr val="accent1"/>
            </a:solidFill>
            <a:ln>
              <a:noFill/>
            </a:ln>
            <a:effectLst/>
          </c:spPr>
          <c:invertIfNegative val="0"/>
          <c:cat>
            <c:strRef>
              <c:f>Sheet1!$A$2:$A$10</c:f>
              <c:strCache>
                <c:ptCount val="9"/>
                <c:pt idx="0">
                  <c:v>Departamento de Comunicaciones</c:v>
                </c:pt>
                <c:pt idx="1">
                  <c:v>Departamento de Fiscalización Interna</c:v>
                </c:pt>
                <c:pt idx="2">
                  <c:v>Dirección Administrativa</c:v>
                </c:pt>
                <c:pt idx="3">
                  <c:v>Dirección de Fiscalización Externa</c:v>
                </c:pt>
                <c:pt idx="4">
                  <c:v>Dirección de Gestión de Normas, Cumplimiento y Ciberseguridad</c:v>
                </c:pt>
                <c:pt idx="5">
                  <c:v>Dirección de Servicios</c:v>
                </c:pt>
                <c:pt idx="6">
                  <c:v>Dirección de Tecnologías de la Información y Comunicación</c:v>
                </c:pt>
                <c:pt idx="7">
                  <c:v>Dirección Financiera</c:v>
                </c:pt>
                <c:pt idx="8">
                  <c:v>Dirección Jurídica</c:v>
                </c:pt>
              </c:strCache>
            </c:strRef>
          </c:cat>
          <c:val>
            <c:numRef>
              <c:f>Sheet1!$B$2:$B$10</c:f>
              <c:numCache>
                <c:formatCode>General</c:formatCode>
                <c:ptCount val="9"/>
                <c:pt idx="0">
                  <c:v>1</c:v>
                </c:pt>
                <c:pt idx="1">
                  <c:v>1</c:v>
                </c:pt>
                <c:pt idx="2">
                  <c:v>0</c:v>
                </c:pt>
                <c:pt idx="3">
                  <c:v>1</c:v>
                </c:pt>
                <c:pt idx="4">
                  <c:v>3</c:v>
                </c:pt>
                <c:pt idx="5">
                  <c:v>0</c:v>
                </c:pt>
                <c:pt idx="6">
                  <c:v>2</c:v>
                </c:pt>
                <c:pt idx="7">
                  <c:v>0</c:v>
                </c:pt>
                <c:pt idx="8">
                  <c:v>0</c:v>
                </c:pt>
              </c:numCache>
            </c:numRef>
          </c:val>
          <c:extLst>
            <c:ext xmlns:c16="http://schemas.microsoft.com/office/drawing/2014/chart" uri="{C3380CC4-5D6E-409C-BE32-E72D297353CC}">
              <c16:uniqueId val="{00000000-0E8F-4399-925F-D16BAB31EC0D}"/>
            </c:ext>
          </c:extLst>
        </c:ser>
        <c:ser>
          <c:idx val="1"/>
          <c:order val="1"/>
          <c:tx>
            <c:strRef>
              <c:f>Sheet1!$C$1</c:f>
              <c:strCache>
                <c:ptCount val="1"/>
                <c:pt idx="0">
                  <c:v>Desvinculación</c:v>
                </c:pt>
              </c:strCache>
            </c:strRef>
          </c:tx>
          <c:spPr>
            <a:solidFill>
              <a:schemeClr val="accent3"/>
            </a:solidFill>
            <a:ln>
              <a:noFill/>
            </a:ln>
            <a:effectLst/>
          </c:spPr>
          <c:invertIfNegative val="0"/>
          <c:cat>
            <c:strRef>
              <c:f>Sheet1!$A$2:$A$10</c:f>
              <c:strCache>
                <c:ptCount val="9"/>
                <c:pt idx="0">
                  <c:v>Departamento de Comunicaciones</c:v>
                </c:pt>
                <c:pt idx="1">
                  <c:v>Departamento de Fiscalización Interna</c:v>
                </c:pt>
                <c:pt idx="2">
                  <c:v>Dirección Administrativa</c:v>
                </c:pt>
                <c:pt idx="3">
                  <c:v>Dirección de Fiscalización Externa</c:v>
                </c:pt>
                <c:pt idx="4">
                  <c:v>Dirección de Gestión de Normas, Cumplimiento y Ciberseguridad</c:v>
                </c:pt>
                <c:pt idx="5">
                  <c:v>Dirección de Servicios</c:v>
                </c:pt>
                <c:pt idx="6">
                  <c:v>Dirección de Tecnologías de la Información y Comunicación</c:v>
                </c:pt>
                <c:pt idx="7">
                  <c:v>Dirección Financiera</c:v>
                </c:pt>
                <c:pt idx="8">
                  <c:v>Dirección Jurídica</c:v>
                </c:pt>
              </c:strCache>
            </c:strRef>
          </c:cat>
          <c:val>
            <c:numRef>
              <c:f>Sheet1!$C$2:$C$10</c:f>
              <c:numCache>
                <c:formatCode>General</c:formatCode>
                <c:ptCount val="9"/>
                <c:pt idx="0">
                  <c:v>0</c:v>
                </c:pt>
                <c:pt idx="1">
                  <c:v>1</c:v>
                </c:pt>
                <c:pt idx="2">
                  <c:v>6</c:v>
                </c:pt>
                <c:pt idx="3">
                  <c:v>0</c:v>
                </c:pt>
                <c:pt idx="4">
                  <c:v>0</c:v>
                </c:pt>
                <c:pt idx="5">
                  <c:v>0</c:v>
                </c:pt>
                <c:pt idx="6">
                  <c:v>1</c:v>
                </c:pt>
                <c:pt idx="7">
                  <c:v>1</c:v>
                </c:pt>
                <c:pt idx="8">
                  <c:v>1</c:v>
                </c:pt>
              </c:numCache>
            </c:numRef>
          </c:val>
          <c:extLst>
            <c:ext xmlns:c16="http://schemas.microsoft.com/office/drawing/2014/chart" uri="{C3380CC4-5D6E-409C-BE32-E72D297353CC}">
              <c16:uniqueId val="{00000001-0E8F-4399-925F-D16BAB31EC0D}"/>
            </c:ext>
          </c:extLst>
        </c:ser>
        <c:ser>
          <c:idx val="2"/>
          <c:order val="2"/>
          <c:tx>
            <c:strRef>
              <c:f>Sheet1!$D$1</c:f>
              <c:strCache>
                <c:ptCount val="1"/>
                <c:pt idx="0">
                  <c:v>Término de Contrato</c:v>
                </c:pt>
              </c:strCache>
            </c:strRef>
          </c:tx>
          <c:spPr>
            <a:solidFill>
              <a:schemeClr val="accent5"/>
            </a:solidFill>
            <a:ln>
              <a:noFill/>
            </a:ln>
            <a:effectLst/>
          </c:spPr>
          <c:invertIfNegative val="0"/>
          <c:cat>
            <c:strRef>
              <c:f>Sheet1!$A$2:$A$10</c:f>
              <c:strCache>
                <c:ptCount val="9"/>
                <c:pt idx="0">
                  <c:v>Departamento de Comunicaciones</c:v>
                </c:pt>
                <c:pt idx="1">
                  <c:v>Departamento de Fiscalización Interna</c:v>
                </c:pt>
                <c:pt idx="2">
                  <c:v>Dirección Administrativa</c:v>
                </c:pt>
                <c:pt idx="3">
                  <c:v>Dirección de Fiscalización Externa</c:v>
                </c:pt>
                <c:pt idx="4">
                  <c:v>Dirección de Gestión de Normas, Cumplimiento y Ciberseguridad</c:v>
                </c:pt>
                <c:pt idx="5">
                  <c:v>Dirección de Servicios</c:v>
                </c:pt>
                <c:pt idx="6">
                  <c:v>Dirección de Tecnologías de la Información y Comunicación</c:v>
                </c:pt>
                <c:pt idx="7">
                  <c:v>Dirección Financiera</c:v>
                </c:pt>
                <c:pt idx="8">
                  <c:v>Dirección Jurídica</c:v>
                </c:pt>
              </c:strCache>
            </c:strRef>
          </c:cat>
          <c:val>
            <c:numRef>
              <c:f>Sheet1!$D$2:$D$10</c:f>
              <c:numCache>
                <c:formatCode>General</c:formatCode>
                <c:ptCount val="9"/>
                <c:pt idx="0">
                  <c:v>0</c:v>
                </c:pt>
                <c:pt idx="1">
                  <c:v>0</c:v>
                </c:pt>
                <c:pt idx="2">
                  <c:v>0</c:v>
                </c:pt>
                <c:pt idx="3">
                  <c:v>0</c:v>
                </c:pt>
                <c:pt idx="4">
                  <c:v>0</c:v>
                </c:pt>
                <c:pt idx="5">
                  <c:v>1</c:v>
                </c:pt>
                <c:pt idx="6">
                  <c:v>0</c:v>
                </c:pt>
                <c:pt idx="7">
                  <c:v>1</c:v>
                </c:pt>
                <c:pt idx="8">
                  <c:v>0</c:v>
                </c:pt>
              </c:numCache>
            </c:numRef>
          </c:val>
          <c:extLst>
            <c:ext xmlns:c16="http://schemas.microsoft.com/office/drawing/2014/chart" uri="{C3380CC4-5D6E-409C-BE32-E72D297353CC}">
              <c16:uniqueId val="{00000002-0E8F-4399-925F-D16BAB31EC0D}"/>
            </c:ext>
          </c:extLst>
        </c:ser>
        <c:dLbls>
          <c:showLegendKey val="0"/>
          <c:showVal val="0"/>
          <c:showCatName val="0"/>
          <c:showSerName val="0"/>
          <c:showPercent val="0"/>
          <c:showBubbleSize val="0"/>
        </c:dLbls>
        <c:gapWidth val="150"/>
        <c:overlap val="100"/>
        <c:axId val="1498262160"/>
        <c:axId val="1137510352"/>
      </c:barChart>
      <c:catAx>
        <c:axId val="1498262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137510352"/>
        <c:crosses val="autoZero"/>
        <c:auto val="1"/>
        <c:lblAlgn val="ctr"/>
        <c:lblOffset val="100"/>
        <c:noMultiLvlLbl val="0"/>
      </c:catAx>
      <c:valAx>
        <c:axId val="113751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49826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Crecimiento Personal TSS</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Movimientos!$B$1</c:f>
              <c:strCache>
                <c:ptCount val="1"/>
                <c:pt idx="0">
                  <c:v>Cantidad</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Movimientos!$A$2:$A$6</c:f>
              <c:strCache>
                <c:ptCount val="5"/>
                <c:pt idx="0">
                  <c:v>Promoción de Servidores de Carrera</c:v>
                </c:pt>
                <c:pt idx="1">
                  <c:v>Suplencia</c:v>
                </c:pt>
                <c:pt idx="2">
                  <c:v>Cambio de designación</c:v>
                </c:pt>
                <c:pt idx="3">
                  <c:v>Interinato para cubrir licencia post natal</c:v>
                </c:pt>
                <c:pt idx="4">
                  <c:v>Interinatos</c:v>
                </c:pt>
              </c:strCache>
            </c:strRef>
          </c:cat>
          <c:val>
            <c:numRef>
              <c:f>Movimientos!$B$2:$B$6</c:f>
              <c:numCache>
                <c:formatCode>General</c:formatCode>
                <c:ptCount val="5"/>
                <c:pt idx="0">
                  <c:v>4</c:v>
                </c:pt>
                <c:pt idx="1">
                  <c:v>2</c:v>
                </c:pt>
                <c:pt idx="2">
                  <c:v>9</c:v>
                </c:pt>
                <c:pt idx="3">
                  <c:v>1</c:v>
                </c:pt>
                <c:pt idx="4">
                  <c:v>9</c:v>
                </c:pt>
              </c:numCache>
            </c:numRef>
          </c:val>
          <c:extLst>
            <c:ext xmlns:c16="http://schemas.microsoft.com/office/drawing/2014/chart" uri="{C3380CC4-5D6E-409C-BE32-E72D297353CC}">
              <c16:uniqueId val="{00000000-14D6-4D79-8F4D-68B6E75AF4DE}"/>
            </c:ext>
          </c:extLst>
        </c:ser>
        <c:dLbls>
          <c:showLegendKey val="0"/>
          <c:showVal val="0"/>
          <c:showCatName val="0"/>
          <c:showSerName val="0"/>
          <c:showPercent val="0"/>
          <c:showBubbleSize val="0"/>
        </c:dLbls>
        <c:gapWidth val="100"/>
        <c:overlap val="-24"/>
        <c:axId val="10"/>
        <c:axId val="100"/>
      </c:barChart>
      <c:catAx>
        <c:axId val="1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Tipo de Movimiento</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00"/>
        <c:crosses val="autoZero"/>
        <c:auto val="0"/>
        <c:lblAlgn val="ctr"/>
        <c:lblOffset val="100"/>
        <c:noMultiLvlLbl val="0"/>
      </c:catAx>
      <c:valAx>
        <c:axId val="10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Cantidad</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lumMod val="50000"/>
              <a:lumOff val="50000"/>
            </a:schemeClr>
          </a:solidFill>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a:t>Porcentaje de acuerdos elaborados a inicios del año 2025</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Ventas</c:v>
                </c:pt>
              </c:strCache>
            </c:strRef>
          </c:tx>
          <c:spPr>
            <a:ln>
              <a:solidFill>
                <a:schemeClr val="bg1"/>
              </a:solidFill>
            </a:ln>
          </c:spPr>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chemeClr val="bg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7DC-4A9D-AC29-0D364D5C2AE0}"/>
              </c:ext>
            </c:extLst>
          </c:dPt>
          <c:dLbls>
            <c:dLbl>
              <c:idx val="0"/>
              <c:layout>
                <c:manualLayout>
                  <c:x val="0"/>
                  <c:y val="-0.3513639827279654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7DC-4A9D-AC29-0D364D5C2AE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c:f>
              <c:strCache>
                <c:ptCount val="1"/>
                <c:pt idx="0">
                  <c:v>1er semestre</c:v>
                </c:pt>
              </c:strCache>
            </c:strRef>
          </c:cat>
          <c:val>
            <c:numRef>
              <c:f>Hoja1!$B$2</c:f>
              <c:numCache>
                <c:formatCode>0%</c:formatCode>
                <c:ptCount val="1"/>
                <c:pt idx="0">
                  <c:v>1</c:v>
                </c:pt>
              </c:numCache>
            </c:numRef>
          </c:val>
          <c:extLst>
            <c:ext xmlns:c16="http://schemas.microsoft.com/office/drawing/2014/chart" uri="{C3380CC4-5D6E-409C-BE32-E72D297353CC}">
              <c16:uniqueId val="{00000002-87DC-4A9D-AC29-0D364D5C2AE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cap="none">
                <a:latin typeface="Times New Roman" panose="02020603050405020304" pitchFamily="18" charset="0"/>
                <a:cs typeface="Times New Roman" panose="02020603050405020304" pitchFamily="18" charset="0"/>
              </a:rPr>
              <a:t>Planes</a:t>
            </a:r>
            <a:r>
              <a:rPr lang="en-US" sz="900" b="0" cap="none" baseline="0">
                <a:latin typeface="Times New Roman" panose="02020603050405020304" pitchFamily="18" charset="0"/>
                <a:cs typeface="Times New Roman" panose="02020603050405020304" pitchFamily="18" charset="0"/>
              </a:rPr>
              <a:t> de mejora y desarrollo profesional recibidos</a:t>
            </a:r>
            <a:endParaRPr lang="en-US" sz="900" b="0" cap="none">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83E-402D-AF0B-04F74A701C1D}"/>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83E-402D-AF0B-04F74A701C1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Planes de mejora recibidos</c:v>
                </c:pt>
                <c:pt idx="1">
                  <c:v>Planes de mejora pendientes por recibir</c:v>
                </c:pt>
              </c:strCache>
            </c:strRef>
          </c:cat>
          <c:val>
            <c:numRef>
              <c:f>Hoja1!$B$2:$B$3</c:f>
              <c:numCache>
                <c:formatCode>0%</c:formatCode>
                <c:ptCount val="2"/>
                <c:pt idx="0">
                  <c:v>0.68</c:v>
                </c:pt>
                <c:pt idx="1">
                  <c:v>0.32</c:v>
                </c:pt>
              </c:numCache>
            </c:numRef>
          </c:val>
          <c:extLst>
            <c:ext xmlns:c16="http://schemas.microsoft.com/office/drawing/2014/chart" uri="{C3380CC4-5D6E-409C-BE32-E72D297353CC}">
              <c16:uniqueId val="{00000004-683E-402D-AF0B-04F74A701C1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26370864521564436"/>
          <c:y val="2.8835063437139562E-2"/>
        </c:manualLayout>
      </c:layout>
      <c:overlay val="0"/>
      <c:spPr>
        <a:noFill/>
        <a:ln>
          <a:noFill/>
        </a:ln>
        <a:effectLst/>
      </c:spPr>
      <c:txPr>
        <a:bodyPr rot="0" spcFirstLastPara="1" vertOverflow="ellipsis" vert="horz" wrap="square" anchor="ctr" anchorCtr="1"/>
        <a:lstStyle/>
        <a:p>
          <a:pPr>
            <a:defRPr sz="9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1"/>
        <c:ser>
          <c:idx val="0"/>
          <c:order val="0"/>
          <c:tx>
            <c:strRef>
              <c:f>Hoja1!$B$1</c:f>
              <c:strCache>
                <c:ptCount val="1"/>
                <c:pt idx="0">
                  <c:v>Colaboradores de nuevo ingreso con acuerdos elaborados</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831E-46DA-B04D-F4B325AA1066}"/>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831E-46DA-B04D-F4B325AA1066}"/>
              </c:ext>
            </c:extLst>
          </c:dPt>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Porcentaje de acuerdos elaborados </c:v>
                </c:pt>
                <c:pt idx="1">
                  <c:v>No entregados </c:v>
                </c:pt>
              </c:strCache>
            </c:strRef>
          </c:cat>
          <c:val>
            <c:numRef>
              <c:f>Hoja1!$B$2:$B$3</c:f>
              <c:numCache>
                <c:formatCode>General</c:formatCode>
                <c:ptCount val="2"/>
                <c:pt idx="0">
                  <c:v>33</c:v>
                </c:pt>
                <c:pt idx="1">
                  <c:v>0</c:v>
                </c:pt>
              </c:numCache>
            </c:numRef>
          </c:val>
          <c:extLst>
            <c:ext xmlns:c16="http://schemas.microsoft.com/office/drawing/2014/chart" uri="{C3380CC4-5D6E-409C-BE32-E72D297353CC}">
              <c16:uniqueId val="{00000004-831E-46DA-B04D-F4B325AA1066}"/>
            </c:ext>
          </c:extLst>
        </c:ser>
        <c:dLbls>
          <c:dLblPos val="outEnd"/>
          <c:showLegendKey val="0"/>
          <c:showVal val="1"/>
          <c:showCatName val="0"/>
          <c:showSerName val="0"/>
          <c:showPercent val="0"/>
          <c:showBubbleSize val="0"/>
        </c:dLbls>
        <c:gapWidth val="444"/>
        <c:overlap val="-90"/>
        <c:axId val="1691402783"/>
        <c:axId val="1691403743"/>
      </c:barChart>
      <c:catAx>
        <c:axId val="16914027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91403743"/>
        <c:crosses val="autoZero"/>
        <c:auto val="1"/>
        <c:lblAlgn val="ctr"/>
        <c:lblOffset val="100"/>
        <c:noMultiLvlLbl val="0"/>
      </c:catAx>
      <c:valAx>
        <c:axId val="1691403743"/>
        <c:scaling>
          <c:orientation val="minMax"/>
        </c:scaling>
        <c:delete val="1"/>
        <c:axPos val="l"/>
        <c:numFmt formatCode="General" sourceLinked="1"/>
        <c:majorTickMark val="none"/>
        <c:minorTickMark val="none"/>
        <c:tickLblPos val="nextTo"/>
        <c:crossAx val="1691402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ysClr val="window" lastClr="FFFFFF"/>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000" b="0">
                <a:latin typeface="Times New Roman" panose="02020603050405020304" pitchFamily="18" charset="0"/>
                <a:cs typeface="Times New Roman" panose="02020603050405020304" pitchFamily="18" charset="0"/>
              </a:rPr>
              <a:t>  Notificaciones de Pago Por Auditoría</a:t>
            </a:r>
          </a:p>
        </c:rich>
      </c:tx>
      <c:overlay val="0"/>
      <c:spPr>
        <a:noFill/>
        <a:ln>
          <a:noFill/>
        </a:ln>
        <a:effectLst/>
      </c:spPr>
      <c:txPr>
        <a:bodyPr rot="0" spcFirstLastPara="1" vertOverflow="ellipsis" vert="horz" wrap="square" anchor="ctr" anchorCtr="1"/>
        <a:lstStyle/>
        <a:p>
          <a:pPr>
            <a:defRPr sz="10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A8B-4902-A2A4-413BC0112154}"/>
              </c:ext>
            </c:extLst>
          </c:dPt>
          <c:dPt>
            <c:idx val="1"/>
            <c:bubble3D val="0"/>
            <c:spPr>
              <a:solidFill>
                <a:schemeClr val="accent1">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A8B-4902-A2A4-413BC0112154}"/>
              </c:ext>
            </c:extLst>
          </c:dPt>
          <c:dLbls>
            <c:dLbl>
              <c:idx val="0"/>
              <c:layout>
                <c:manualLayout>
                  <c:x val="-0.7050469185899062"/>
                  <c:y val="-0.4493987498819601"/>
                </c:manualLayout>
              </c:layout>
              <c:tx>
                <c:rich>
                  <a:bodyPr rot="0" spcFirstLastPara="1" vertOverflow="ellipsis" vert="horz" wrap="square" anchor="ctr" anchorCtr="1"/>
                  <a:lstStyle/>
                  <a:p>
                    <a:pPr>
                      <a:defRPr sz="9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fld id="{9B448282-BB18-4940-BCA1-35B8BAD927B7}" type="CATEGORYNAM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[CATEGORY NAME]</a:t>
                    </a:fld>
                    <a:r>
                      <a:rPr lang="en-US" sz="900" b="0">
                        <a:latin typeface="Times New Roman" panose="02020603050405020304" pitchFamily="18" charset="0"/>
                        <a:cs typeface="Times New Roman" panose="02020603050405020304" pitchFamily="18" charset="0"/>
                      </a:rPr>
                      <a:t>
 21,055,218.95 37.25%</a:t>
                    </a:r>
                  </a:p>
                </c:rich>
              </c:tx>
              <c:spPr>
                <a:noFill/>
                <a:ln>
                  <a:noFill/>
                </a:ln>
                <a:effectLst/>
              </c:spPr>
              <c:txPr>
                <a:bodyPr rot="0" spcFirstLastPara="1" vertOverflow="ellipsis" vert="horz" wrap="square" anchor="ctr" anchorCtr="1"/>
                <a:lstStyle/>
                <a:p>
                  <a:pPr>
                    <a:defRPr sz="9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2560982185114256"/>
                      <c:h val="0.24848175554988516"/>
                    </c:manualLayout>
                  </c15:layout>
                  <c15:dlblFieldTable/>
                  <c15:showDataLabelsRange val="0"/>
                </c:ext>
                <c:ext xmlns:c16="http://schemas.microsoft.com/office/drawing/2014/chart" uri="{C3380CC4-5D6E-409C-BE32-E72D297353CC}">
                  <c16:uniqueId val="{00000001-1A8B-4902-A2A4-413BC0112154}"/>
                </c:ext>
              </c:extLst>
            </c:dLbl>
            <c:dLbl>
              <c:idx val="1"/>
              <c:layout>
                <c:manualLayout>
                  <c:x val="0.6695410585089494"/>
                  <c:y val="0.49502444179677835"/>
                </c:manualLayout>
              </c:layout>
              <c:tx>
                <c:rich>
                  <a:bodyPr rot="0" spcFirstLastPara="1" vertOverflow="ellipsis" vert="horz" wrap="square" anchor="ctr" anchorCtr="1"/>
                  <a:lstStyle/>
                  <a:p>
                    <a:pPr>
                      <a:defRPr sz="9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fld id="{D68341F9-1478-4617-B3C8-9F6FC2522DCE}" type="CATEGORYNAME">
                      <a:rPr lang="en-US" sz="900" b="0">
                        <a:latin typeface="Times New Roman" panose="02020603050405020304" pitchFamily="18" charset="0"/>
                        <a:cs typeface="Times New Roman" panose="02020603050405020304" pitchFamily="18" charset="0"/>
                      </a:rPr>
                      <a:pPr>
                        <a:defRPr sz="900" b="0">
                          <a:latin typeface="Times New Roman" panose="02020603050405020304" pitchFamily="18" charset="0"/>
                          <a:cs typeface="Times New Roman" panose="02020603050405020304" pitchFamily="18" charset="0"/>
                        </a:defRPr>
                      </a:pPr>
                      <a:t>[CATEGORY NAME]</a:t>
                    </a:fld>
                    <a:r>
                      <a:rPr lang="en-US" sz="900" b="0">
                        <a:latin typeface="Times New Roman" panose="02020603050405020304" pitchFamily="18" charset="0"/>
                        <a:cs typeface="Times New Roman" panose="02020603050405020304" pitchFamily="18" charset="0"/>
                      </a:rPr>
                      <a:t>
35,462,857.86</a:t>
                    </a:r>
                  </a:p>
                  <a:p>
                    <a:pPr>
                      <a:defRPr sz="900" b="0">
                        <a:latin typeface="Times New Roman" panose="02020603050405020304" pitchFamily="18" charset="0"/>
                        <a:cs typeface="Times New Roman" panose="02020603050405020304" pitchFamily="18" charset="0"/>
                      </a:defRPr>
                    </a:pPr>
                    <a:r>
                      <a:rPr lang="en-US" sz="900" b="0">
                        <a:latin typeface="Times New Roman" panose="02020603050405020304" pitchFamily="18" charset="0"/>
                        <a:cs typeface="Times New Roman" panose="02020603050405020304" pitchFamily="18" charset="0"/>
                      </a:rPr>
                      <a:t>62.75%</a:t>
                    </a:r>
                  </a:p>
                </c:rich>
              </c:tx>
              <c:spPr>
                <a:noFill/>
                <a:ln>
                  <a:noFill/>
                </a:ln>
                <a:effectLst/>
              </c:spPr>
              <c:txPr>
                <a:bodyPr rot="0" spcFirstLastPara="1" vertOverflow="ellipsis" vert="horz" wrap="square" anchor="ctr" anchorCtr="1"/>
                <a:lstStyle/>
                <a:p>
                  <a:pPr>
                    <a:defRPr sz="9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9902268746967114"/>
                      <c:h val="0.18724164327634599"/>
                    </c:manualLayout>
                  </c15:layout>
                  <c15:dlblFieldTable/>
                  <c15:showDataLabelsRange val="0"/>
                </c:ext>
                <c:ext xmlns:c16="http://schemas.microsoft.com/office/drawing/2014/chart" uri="{C3380CC4-5D6E-409C-BE32-E72D297353CC}">
                  <c16:uniqueId val="{00000003-1A8B-4902-A2A4-413BC0112154}"/>
                </c:ext>
              </c:extLst>
            </c:dLbl>
            <c:spPr>
              <a:noFill/>
              <a:ln>
                <a:noFill/>
              </a:ln>
              <a:effectLst/>
            </c:spPr>
            <c:txPr>
              <a:bodyPr rot="0" spcFirstLastPara="1" vertOverflow="ellipsis" vert="horz" wrap="square" anchor="ctr" anchorCtr="1"/>
              <a:lstStyle/>
              <a:p>
                <a:pPr>
                  <a:defRPr sz="9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Sheet1!$B$1:$C$1</c:f>
              <c:strCache>
                <c:ptCount val="2"/>
                <c:pt idx="0">
                  <c:v>PAGADA</c:v>
                </c:pt>
                <c:pt idx="1">
                  <c:v>VENCIDA</c:v>
                </c:pt>
              </c:strCache>
            </c:strRef>
          </c:cat>
          <c:val>
            <c:numRef>
              <c:f>Sheet1!$B$2:$C$2</c:f>
              <c:numCache>
                <c:formatCode>#,##0.00</c:formatCode>
                <c:ptCount val="2"/>
                <c:pt idx="0">
                  <c:v>57595122.490000002</c:v>
                </c:pt>
                <c:pt idx="1">
                  <c:v>30821572.190000001</c:v>
                </c:pt>
              </c:numCache>
            </c:numRef>
          </c:val>
          <c:extLst>
            <c:ext xmlns:c16="http://schemas.microsoft.com/office/drawing/2014/chart" uri="{C3380CC4-5D6E-409C-BE32-E72D297353CC}">
              <c16:uniqueId val="{00000004-1A8B-4902-A2A4-413BC0112154}"/>
            </c:ext>
          </c:extLst>
        </c:ser>
        <c:dLbls>
          <c:dLblPos val="outEnd"/>
          <c:showLegendKey val="0"/>
          <c:showVal val="1"/>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solidFill>
            <a:schemeClr val="tx1">
              <a:lumMod val="50000"/>
              <a:lumOff val="50000"/>
            </a:schemeClr>
          </a:solidFill>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Porcentaje de minutas recibidas</c:v>
                </c:pt>
              </c:strCache>
            </c:strRef>
          </c:tx>
          <c:dPt>
            <c:idx val="0"/>
            <c:bubble3D val="0"/>
            <c:spPr>
              <a:solidFill>
                <a:schemeClr val="accent1">
                  <a:alpha val="70000"/>
                </a:schemeClr>
              </a:solidFill>
              <a:ln>
                <a:noFill/>
              </a:ln>
              <a:effectLst/>
            </c:spPr>
            <c:extLst>
              <c:ext xmlns:c16="http://schemas.microsoft.com/office/drawing/2014/chart" uri="{C3380CC4-5D6E-409C-BE32-E72D297353CC}">
                <c16:uniqueId val="{00000001-C0D1-44FF-B627-9BE1C9979BBF}"/>
              </c:ext>
            </c:extLst>
          </c:dPt>
          <c:dPt>
            <c:idx val="1"/>
            <c:bubble3D val="0"/>
            <c:spPr>
              <a:solidFill>
                <a:schemeClr val="accent3">
                  <a:alpha val="70000"/>
                </a:schemeClr>
              </a:solidFill>
              <a:ln>
                <a:noFill/>
              </a:ln>
              <a:effectLst/>
            </c:spPr>
            <c:extLst>
              <c:ext xmlns:c16="http://schemas.microsoft.com/office/drawing/2014/chart" uri="{C3380CC4-5D6E-409C-BE32-E72D297353CC}">
                <c16:uniqueId val="{00000003-C0D1-44FF-B627-9BE1C9979BBF}"/>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1-C0D1-44FF-B627-9BE1C9979BBF}"/>
                </c:ext>
              </c:extLst>
            </c:dLbl>
            <c:dLbl>
              <c:idx val="1"/>
              <c:layout>
                <c:manualLayout>
                  <c:x val="-8.6000485327219281E-2"/>
                  <c:y val="4.7908736961385359E-3"/>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3"/>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0D1-44FF-B627-9BE1C9979BBF}"/>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accent1"/>
                    </a:solidFill>
                    <a:effectLst/>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Hoja1!$A$2:$A$3</c:f>
              <c:strCache>
                <c:ptCount val="2"/>
                <c:pt idx="0">
                  <c:v>Minutas entregadas</c:v>
                </c:pt>
                <c:pt idx="1">
                  <c:v>Minutas no entregadas</c:v>
                </c:pt>
              </c:strCache>
            </c:strRef>
          </c:cat>
          <c:val>
            <c:numRef>
              <c:f>Hoja1!$B$2:$B$3</c:f>
              <c:numCache>
                <c:formatCode>0%</c:formatCode>
                <c:ptCount val="2"/>
                <c:pt idx="0">
                  <c:v>1</c:v>
                </c:pt>
                <c:pt idx="1">
                  <c:v>0</c:v>
                </c:pt>
              </c:numCache>
            </c:numRef>
          </c:val>
          <c:extLst>
            <c:ext xmlns:c16="http://schemas.microsoft.com/office/drawing/2014/chart" uri="{C3380CC4-5D6E-409C-BE32-E72D297353CC}">
              <c16:uniqueId val="{00000004-C0D1-44FF-B627-9BE1C9979BBF}"/>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5.0000064488253462E-2"/>
          <c:y val="0.1182675174452751"/>
          <c:w val="0.9"/>
          <c:h val="9.07888659840266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Hoja1!$B$1</c:f>
              <c:strCache>
                <c:ptCount val="1"/>
                <c:pt idx="0">
                  <c:v>Excolaboradores con acuerdos evaluados</c:v>
                </c:pt>
              </c:strCache>
            </c:strRef>
          </c:tx>
          <c:invertIfNegative val="0"/>
          <c:dPt>
            <c:idx val="0"/>
            <c:invertIfNegative val="0"/>
            <c:bubble3D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3402-4040-B9E8-C80199D3412C}"/>
              </c:ext>
            </c:extLst>
          </c:dPt>
          <c:dPt>
            <c:idx val="1"/>
            <c:invertIfNegative val="0"/>
            <c:bubble3D val="0"/>
            <c:spPr>
              <a:solidFill>
                <a:sysClr val="window" lastClr="FFFFFF">
                  <a:lumMod val="50000"/>
                  <a:alpha val="85000"/>
                </a:sysClr>
              </a:solidFill>
              <a:ln w="9525" cap="flat" cmpd="sng" algn="ctr">
                <a:solidFill>
                  <a:sysClr val="window" lastClr="FFFFFF">
                    <a:lumMod val="50000"/>
                  </a:sysClr>
                </a:solidFill>
                <a:round/>
              </a:ln>
              <a:effectLst/>
              <a:sp3d contourW="9525">
                <a:contourClr>
                  <a:sysClr val="window" lastClr="FFFFFF">
                    <a:lumMod val="50000"/>
                  </a:sysClr>
                </a:contourClr>
              </a:sp3d>
            </c:spPr>
            <c:extLst>
              <c:ext xmlns:c16="http://schemas.microsoft.com/office/drawing/2014/chart" uri="{C3380CC4-5D6E-409C-BE32-E72D297353CC}">
                <c16:uniqueId val="{00000003-3402-4040-B9E8-C80199D3412C}"/>
              </c:ext>
            </c:extLst>
          </c:dPt>
          <c:dLbls>
            <c:dLbl>
              <c:idx val="1"/>
              <c:layout>
                <c:manualLayout>
                  <c:x val="0"/>
                  <c:y val="-6.3492063492063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02-4040-B9E8-C80199D341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Hoja1!$A$2:$A$3</c:f>
              <c:strCache>
                <c:ptCount val="2"/>
                <c:pt idx="0">
                  <c:v>Excolaborados con acuerdos evaluados</c:v>
                </c:pt>
                <c:pt idx="1">
                  <c:v>Excolaborados sin evaluar (vacante temporal 3 meses)</c:v>
                </c:pt>
              </c:strCache>
            </c:strRef>
          </c:cat>
          <c:val>
            <c:numRef>
              <c:f>Hoja1!$B$2:$B$3</c:f>
              <c:numCache>
                <c:formatCode>General</c:formatCode>
                <c:ptCount val="2"/>
                <c:pt idx="0">
                  <c:v>19</c:v>
                </c:pt>
                <c:pt idx="1">
                  <c:v>1</c:v>
                </c:pt>
              </c:numCache>
            </c:numRef>
          </c:val>
          <c:extLst>
            <c:ext xmlns:c16="http://schemas.microsoft.com/office/drawing/2014/chart" uri="{C3380CC4-5D6E-409C-BE32-E72D297353CC}">
              <c16:uniqueId val="{00000004-3402-4040-B9E8-C80199D3412C}"/>
            </c:ext>
          </c:extLst>
        </c:ser>
        <c:dLbls>
          <c:showLegendKey val="0"/>
          <c:showVal val="1"/>
          <c:showCatName val="0"/>
          <c:showSerName val="0"/>
          <c:showPercent val="0"/>
          <c:showBubbleSize val="0"/>
        </c:dLbls>
        <c:gapWidth val="65"/>
        <c:shape val="box"/>
        <c:axId val="1691312543"/>
        <c:axId val="1691301023"/>
        <c:axId val="0"/>
      </c:bar3DChart>
      <c:catAx>
        <c:axId val="169131254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691301023"/>
        <c:crosses val="autoZero"/>
        <c:auto val="1"/>
        <c:lblAlgn val="ctr"/>
        <c:lblOffset val="100"/>
        <c:noMultiLvlLbl val="0"/>
      </c:catAx>
      <c:valAx>
        <c:axId val="169130102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6913125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100" b="0"/>
              <a:t>Competencias detectadas por Grupo Ocupacional</a:t>
            </a:r>
          </a:p>
        </c:rich>
      </c:tx>
      <c:layout>
        <c:manualLayout>
          <c:xMode val="edge"/>
          <c:yMode val="edge"/>
          <c:x val="0.2095961338166063"/>
          <c:y val="4.294622365029484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25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39940840728243"/>
          <c:y val="1.0564598707672752E-2"/>
          <c:w val="0.67323165732158807"/>
          <c:h val="0.98578061845288878"/>
        </c:manualLayout>
      </c:layout>
      <c:pie3DChart>
        <c:varyColors val="1"/>
        <c:ser>
          <c:idx val="0"/>
          <c:order val="0"/>
          <c:tx>
            <c:strRef>
              <c:f>Hoja1!$B$1</c:f>
              <c:strCache>
                <c:ptCount val="1"/>
                <c:pt idx="0">
                  <c:v>Serie1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DCA-4F4C-81D7-5CC02AB1EB11}"/>
              </c:ext>
            </c:extLst>
          </c:dPt>
          <c:dPt>
            <c:idx val="1"/>
            <c:bubble3D val="0"/>
            <c:explosion val="2"/>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8DCA-4F4C-81D7-5CC02AB1EB11}"/>
              </c:ext>
            </c:extLst>
          </c:dPt>
          <c:dPt>
            <c:idx val="2"/>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8DCA-4F4C-81D7-5CC02AB1EB11}"/>
              </c:ext>
            </c:extLst>
          </c:dPt>
          <c:dPt>
            <c:idx val="3"/>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8DCA-4F4C-81D7-5CC02AB1EB11}"/>
              </c:ext>
            </c:extLst>
          </c:dPt>
          <c:dLbls>
            <c:dLbl>
              <c:idx val="0"/>
              <c:tx>
                <c:rich>
                  <a:bodyPr/>
                  <a:lstStyle/>
                  <a:p>
                    <a:fld id="{35680796-D2A5-4CD4-B425-0ADDD3FFBB54}" type="CATEGORYNAME">
                      <a:rPr lang="en-US" b="0"/>
                      <a:pPr/>
                      <a:t>[CATEGORY NAME]</a:t>
                    </a:fld>
                    <a:r>
                      <a:rPr lang="en-US" b="0"/>
                      <a:t>, </a:t>
                    </a:r>
                    <a:fld id="{4B9179A5-40F2-4452-A0BD-1EA4D0776174}" type="VALUE">
                      <a:rPr lang="en-US" b="0"/>
                      <a:pPr/>
                      <a:t>[VALUE]</a:t>
                    </a:fld>
                    <a:endParaRPr lang="en-US" b="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DCA-4F4C-81D7-5CC02AB1EB11}"/>
                </c:ext>
              </c:extLst>
            </c:dLbl>
            <c:dLbl>
              <c:idx val="2"/>
              <c:tx>
                <c:rich>
                  <a:bodyPr/>
                  <a:lstStyle/>
                  <a:p>
                    <a:fld id="{67944E15-AD25-4F38-B79A-0EA4F9F9E57B}" type="CATEGORYNAME">
                      <a:rPr lang="en-US" b="0"/>
                      <a:pPr/>
                      <a:t>[CATEGORY NAME]</a:t>
                    </a:fld>
                    <a:r>
                      <a:rPr lang="en-US" b="0"/>
                      <a:t>, </a:t>
                    </a:r>
                    <a:fld id="{60518680-8EC3-43C5-8E92-4ADDE825C66E}" type="VALUE">
                      <a:rPr lang="en-US" b="0"/>
                      <a:pPr/>
                      <a:t>[VALUE]</a:t>
                    </a:fld>
                    <a:endParaRPr lang="en-US" b="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DCA-4F4C-81D7-5CC02AB1EB11}"/>
                </c:ext>
              </c:extLst>
            </c:dLbl>
            <c:dLbl>
              <c:idx val="3"/>
              <c:tx>
                <c:rich>
                  <a:bodyPr/>
                  <a:lstStyle/>
                  <a:p>
                    <a:fld id="{E3BB30D2-6027-45F8-829B-0854FE7A4093}" type="CATEGORYNAME">
                      <a:rPr lang="en-US" b="0"/>
                      <a:pPr/>
                      <a:t>[CATEGORY NAME]</a:t>
                    </a:fld>
                    <a:r>
                      <a:rPr lang="en-US" b="0"/>
                      <a:t>, </a:t>
                    </a:r>
                    <a:fld id="{84A226FC-8740-4B5B-B2AB-C57CED38FAB0}" type="VALUE">
                      <a:rPr lang="en-US" b="0"/>
                      <a:pPr/>
                      <a:t>[VALUE]</a:t>
                    </a:fld>
                    <a:endParaRPr lang="en-US" b="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DCA-4F4C-81D7-5CC02AB1EB1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Grupo V</c:v>
                </c:pt>
                <c:pt idx="1">
                  <c:v>Grupo IV</c:v>
                </c:pt>
                <c:pt idx="2">
                  <c:v>Grupo III</c:v>
                </c:pt>
                <c:pt idx="3">
                  <c:v>Grupo II </c:v>
                </c:pt>
              </c:strCache>
            </c:strRef>
          </c:cat>
          <c:val>
            <c:numRef>
              <c:f>Hoja1!$B$2:$B$5</c:f>
              <c:numCache>
                <c:formatCode>General</c:formatCode>
                <c:ptCount val="4"/>
                <c:pt idx="0">
                  <c:v>68</c:v>
                </c:pt>
                <c:pt idx="1">
                  <c:v>147</c:v>
                </c:pt>
                <c:pt idx="2">
                  <c:v>50</c:v>
                </c:pt>
                <c:pt idx="3">
                  <c:v>70</c:v>
                </c:pt>
              </c:numCache>
            </c:numRef>
          </c:val>
          <c:extLst>
            <c:ext xmlns:c16="http://schemas.microsoft.com/office/drawing/2014/chart" uri="{C3380CC4-5D6E-409C-BE32-E72D297353CC}">
              <c16:uniqueId val="{00000008-8DCA-4F4C-81D7-5CC02AB1EB1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29653914078584"/>
          <c:y val="0.17922917530045587"/>
          <c:w val="0.80299077670370766"/>
          <c:h val="0.71485374826367343"/>
        </c:manualLayout>
      </c:layout>
      <c:barChart>
        <c:barDir val="col"/>
        <c:grouping val="stacked"/>
        <c:varyColors val="0"/>
        <c:ser>
          <c:idx val="0"/>
          <c:order val="0"/>
          <c:tx>
            <c:strRef>
              <c:f>Hoja1!$B$1</c:f>
              <c:strCache>
                <c:ptCount val="1"/>
                <c:pt idx="0">
                  <c:v>Competencias dotadas año 2025</c:v>
                </c:pt>
              </c:strCache>
            </c:strRef>
          </c:tx>
          <c:spPr>
            <a:gradFill>
              <a:gsLst>
                <a:gs pos="0">
                  <a:sysClr val="window" lastClr="FFFFFF">
                    <a:lumMod val="65000"/>
                  </a:sys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9525" cap="flat" cmpd="sng" algn="ctr">
              <a:solidFill>
                <a:schemeClr val="lt1">
                  <a:alpha val="50000"/>
                </a:schemeClr>
              </a:solidFill>
              <a:round/>
            </a:ln>
            <a:effectLst>
              <a:outerShdw blurRad="76200" dir="18900000" sy="23000" kx="-1200000" algn="bl" rotWithShape="0">
                <a:prstClr val="black">
                  <a:alpha val="20000"/>
                </a:prstClr>
              </a:outerShdw>
            </a:effectLst>
          </c:spPr>
          <c:invertIfNegative val="0"/>
          <c:dPt>
            <c:idx val="0"/>
            <c:invertIfNegative val="0"/>
            <c:bubble3D val="0"/>
            <c:extLst>
              <c:ext xmlns:c16="http://schemas.microsoft.com/office/drawing/2014/chart" uri="{C3380CC4-5D6E-409C-BE32-E72D297353CC}">
                <c16:uniqueId val="{00000000-373C-4CBD-8F8B-D660561F2421}"/>
              </c:ext>
            </c:extLst>
          </c:dPt>
          <c:dPt>
            <c:idx val="1"/>
            <c:invertIfNegative val="0"/>
            <c:bubble3D val="0"/>
            <c:spPr>
              <a:gradFill>
                <a:gsLst>
                  <a:gs pos="0">
                    <a:sysClr val="window" lastClr="FFFFFF">
                      <a:lumMod val="65000"/>
                    </a:sys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9525" cap="flat" cmpd="sng" algn="ctr">
                <a:solidFill>
                  <a:schemeClr val="lt1">
                    <a:alpha val="50000"/>
                  </a:schemeClr>
                </a:solidFill>
                <a:round/>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2-373C-4CBD-8F8B-D660561F2421}"/>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Hoja1!$A$2:$A$3</c:f>
              <c:strCache>
                <c:ptCount val="2"/>
                <c:pt idx="0">
                  <c:v>Competencias programadas 2025</c:v>
                </c:pt>
                <c:pt idx="1">
                  <c:v>Competencias dotadas hasta la fecha</c:v>
                </c:pt>
              </c:strCache>
            </c:strRef>
          </c:cat>
          <c:val>
            <c:numRef>
              <c:f>Hoja1!$B$2:$B$3</c:f>
              <c:numCache>
                <c:formatCode>General</c:formatCode>
                <c:ptCount val="2"/>
                <c:pt idx="0">
                  <c:v>376</c:v>
                </c:pt>
                <c:pt idx="1">
                  <c:v>335</c:v>
                </c:pt>
              </c:numCache>
            </c:numRef>
          </c:val>
          <c:extLst>
            <c:ext xmlns:c16="http://schemas.microsoft.com/office/drawing/2014/chart" uri="{C3380CC4-5D6E-409C-BE32-E72D297353CC}">
              <c16:uniqueId val="{00000003-373C-4CBD-8F8B-D660561F2421}"/>
            </c:ext>
          </c:extLst>
        </c:ser>
        <c:dLbls>
          <c:showLegendKey val="0"/>
          <c:showVal val="1"/>
          <c:showCatName val="0"/>
          <c:showSerName val="0"/>
          <c:showPercent val="0"/>
          <c:showBubbleSize val="0"/>
        </c:dLbls>
        <c:gapWidth val="75"/>
        <c:overlap val="100"/>
        <c:axId val="836554912"/>
        <c:axId val="836573632"/>
      </c:barChart>
      <c:catAx>
        <c:axId val="8365549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836573632"/>
        <c:crosses val="autoZero"/>
        <c:auto val="1"/>
        <c:lblAlgn val="ctr"/>
        <c:lblOffset val="100"/>
        <c:noMultiLvlLbl val="0"/>
      </c:catAx>
      <c:valAx>
        <c:axId val="8365736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836554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Competencias detectadas blandas y duras</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579743321558493"/>
          <c:y val="0.24658351907519444"/>
          <c:w val="0.73243147238174178"/>
          <c:h val="0.68450364197963942"/>
        </c:manualLayout>
      </c:layout>
      <c:bar3DChart>
        <c:barDir val="bar"/>
        <c:grouping val="stacked"/>
        <c:varyColors val="0"/>
        <c:ser>
          <c:idx val="0"/>
          <c:order val="0"/>
          <c:tx>
            <c:strRef>
              <c:f>Hoja1!$B$1</c:f>
              <c:strCache>
                <c:ptCount val="1"/>
                <c:pt idx="0">
                  <c:v>Competencias detectadas blandas y concretas</c:v>
                </c:pt>
              </c:strCache>
            </c:strRef>
          </c:tx>
          <c:spPr>
            <a:solidFill>
              <a:schemeClr val="accent1"/>
            </a:solidFill>
            <a:ln>
              <a:noFill/>
            </a:ln>
            <a:effectLst/>
            <a:sp3d/>
          </c:spPr>
          <c:invertIfNegative val="0"/>
          <c:dPt>
            <c:idx val="0"/>
            <c:invertIfNegative val="0"/>
            <c:bubble3D val="0"/>
            <c:extLst>
              <c:ext xmlns:c16="http://schemas.microsoft.com/office/drawing/2014/chart" uri="{C3380CC4-5D6E-409C-BE32-E72D297353CC}">
                <c16:uniqueId val="{00000000-E046-45E9-8B6B-574A09A0F60F}"/>
              </c:ext>
            </c:extLst>
          </c:dPt>
          <c:dPt>
            <c:idx val="1"/>
            <c:invertIfNegative val="0"/>
            <c:bubble3D val="0"/>
            <c:extLst>
              <c:ext xmlns:c16="http://schemas.microsoft.com/office/drawing/2014/chart" uri="{C3380CC4-5D6E-409C-BE32-E72D297353CC}">
                <c16:uniqueId val="{00000001-E046-45E9-8B6B-574A09A0F60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Duras</c:v>
                </c:pt>
                <c:pt idx="1">
                  <c:v>Blandas</c:v>
                </c:pt>
              </c:strCache>
            </c:strRef>
          </c:cat>
          <c:val>
            <c:numRef>
              <c:f>Hoja1!$B$2:$B$3</c:f>
              <c:numCache>
                <c:formatCode>General</c:formatCode>
                <c:ptCount val="2"/>
                <c:pt idx="0">
                  <c:v>230</c:v>
                </c:pt>
                <c:pt idx="1">
                  <c:v>146</c:v>
                </c:pt>
              </c:numCache>
            </c:numRef>
          </c:val>
          <c:extLst>
            <c:ext xmlns:c16="http://schemas.microsoft.com/office/drawing/2014/chart" uri="{C3380CC4-5D6E-409C-BE32-E72D297353CC}">
              <c16:uniqueId val="{00000002-E046-45E9-8B6B-574A09A0F60F}"/>
            </c:ext>
          </c:extLst>
        </c:ser>
        <c:dLbls>
          <c:showLegendKey val="0"/>
          <c:showVal val="1"/>
          <c:showCatName val="0"/>
          <c:showSerName val="0"/>
          <c:showPercent val="0"/>
          <c:showBubbleSize val="0"/>
        </c:dLbls>
        <c:gapWidth val="150"/>
        <c:shape val="box"/>
        <c:axId val="839101952"/>
        <c:axId val="839122112"/>
        <c:axId val="0"/>
      </c:bar3DChart>
      <c:catAx>
        <c:axId val="839101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9122112"/>
        <c:crosses val="autoZero"/>
        <c:auto val="1"/>
        <c:lblAlgn val="ctr"/>
        <c:lblOffset val="100"/>
        <c:noMultiLvlLbl val="0"/>
      </c:catAx>
      <c:valAx>
        <c:axId val="839122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9101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ES" sz="1100" b="0"/>
              <a:t>Í</a:t>
            </a:r>
            <a:r>
              <a:rPr lang="en-US" sz="1100" b="0"/>
              <a:t>ndice de satisfacción de los Servicios Brindados Enero-Diciembre 2025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Índice de satisfacción de los Servicios Brindados</c:v>
                </c:pt>
              </c:strCache>
            </c:strRef>
          </c:tx>
          <c:spPr>
            <a:solidFill>
              <a:srgbClr val="1F4E79"/>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1-5D69-4D39-94AC-9EEA5E7B693B}"/>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3-5D69-4D39-94AC-9EEA5E7B693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1er Semestre </c:v>
                </c:pt>
                <c:pt idx="1">
                  <c:v>2do Semestre</c:v>
                </c:pt>
              </c:strCache>
            </c:strRef>
          </c:cat>
          <c:val>
            <c:numRef>
              <c:f>Hoja1!$B$2:$B$3</c:f>
              <c:numCache>
                <c:formatCode>0%</c:formatCode>
                <c:ptCount val="2"/>
                <c:pt idx="0">
                  <c:v>0.94</c:v>
                </c:pt>
                <c:pt idx="1">
                  <c:v>0.93</c:v>
                </c:pt>
              </c:numCache>
            </c:numRef>
          </c:val>
          <c:extLst>
            <c:ext xmlns:c16="http://schemas.microsoft.com/office/drawing/2014/chart" uri="{C3380CC4-5D6E-409C-BE32-E72D297353CC}">
              <c16:uniqueId val="{00000004-5D69-4D39-94AC-9EEA5E7B693B}"/>
            </c:ext>
          </c:extLst>
        </c:ser>
        <c:dLbls>
          <c:dLblPos val="outEnd"/>
          <c:showLegendKey val="0"/>
          <c:showVal val="1"/>
          <c:showCatName val="0"/>
          <c:showSerName val="0"/>
          <c:showPercent val="0"/>
          <c:showBubbleSize val="0"/>
        </c:dLbls>
        <c:gapWidth val="219"/>
        <c:overlap val="-27"/>
        <c:axId val="856011407"/>
        <c:axId val="856014767"/>
      </c:barChart>
      <c:catAx>
        <c:axId val="85601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856014767"/>
        <c:crosses val="autoZero"/>
        <c:auto val="1"/>
        <c:lblAlgn val="ctr"/>
        <c:lblOffset val="100"/>
        <c:noMultiLvlLbl val="0"/>
      </c:catAx>
      <c:valAx>
        <c:axId val="85601476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8560114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200" b="0">
                <a:solidFill>
                  <a:schemeClr val="tx1">
                    <a:lumMod val="50000"/>
                    <a:lumOff val="50000"/>
                  </a:schemeClr>
                </a:solidFill>
                <a:latin typeface="Times New Roman" panose="02020603050405020304" pitchFamily="18" charset="0"/>
                <a:cs typeface="Times New Roman" panose="02020603050405020304" pitchFamily="18" charset="0"/>
              </a:rPr>
              <a:t>Quejas</a:t>
            </a:r>
            <a:r>
              <a:rPr lang="es-ES" sz="1200" b="0" baseline="0">
                <a:solidFill>
                  <a:schemeClr val="tx1">
                    <a:lumMod val="50000"/>
                    <a:lumOff val="50000"/>
                  </a:schemeClr>
                </a:solidFill>
                <a:latin typeface="Times New Roman" panose="02020603050405020304" pitchFamily="18" charset="0"/>
                <a:cs typeface="Times New Roman" panose="02020603050405020304" pitchFamily="18" charset="0"/>
              </a:rPr>
              <a:t> y Sugerencias por mes</a:t>
            </a:r>
            <a:endParaRPr lang="es-ES" sz="1200" b="0">
              <a:solidFill>
                <a:schemeClr val="tx1">
                  <a:lumMod val="50000"/>
                  <a:lumOff val="50000"/>
                </a:schemeClr>
              </a:solidFill>
              <a:latin typeface="Times New Roman" panose="02020603050405020304" pitchFamily="18" charset="0"/>
              <a:cs typeface="Times New Roman" panose="02020603050405020304" pitchFamily="18" charset="0"/>
            </a:endParaRPr>
          </a:p>
        </c:rich>
      </c:tx>
      <c:layout>
        <c:manualLayout>
          <c:xMode val="edge"/>
          <c:yMode val="edge"/>
          <c:x val="0.30656472449248617"/>
          <c:y val="4.2512990080302314E-2"/>
        </c:manualLayout>
      </c:layout>
      <c:overlay val="0"/>
      <c:spPr>
        <a:solidFill>
          <a:schemeClr val="bg1"/>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Quejas</c:v>
                </c:pt>
              </c:strCache>
            </c:strRef>
          </c:tx>
          <c:spPr>
            <a:solidFill>
              <a:srgbClr val="002060"/>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39AF-4952-8FDE-85D1F3008CE8}"/>
              </c:ext>
            </c:extLst>
          </c:dPt>
          <c:dPt>
            <c:idx val="1"/>
            <c:invertIfNegative val="0"/>
            <c:bubble3D val="0"/>
            <c:spPr>
              <a:solidFill>
                <a:srgbClr val="002060"/>
              </a:solidFill>
              <a:ln>
                <a:noFill/>
              </a:ln>
              <a:effectLst/>
            </c:spPr>
            <c:extLst>
              <c:ext xmlns:c16="http://schemas.microsoft.com/office/drawing/2014/chart" uri="{C3380CC4-5D6E-409C-BE32-E72D297353CC}">
                <c16:uniqueId val="{00000003-39AF-4952-8FDE-85D1F3008CE8}"/>
              </c:ext>
            </c:extLst>
          </c:dPt>
          <c:dPt>
            <c:idx val="2"/>
            <c:invertIfNegative val="0"/>
            <c:bubble3D val="0"/>
            <c:spPr>
              <a:solidFill>
                <a:srgbClr val="002060"/>
              </a:solidFill>
              <a:ln>
                <a:noFill/>
              </a:ln>
              <a:effectLst/>
            </c:spPr>
            <c:extLst>
              <c:ext xmlns:c16="http://schemas.microsoft.com/office/drawing/2014/chart" uri="{C3380CC4-5D6E-409C-BE32-E72D297353CC}">
                <c16:uniqueId val="{00000005-39AF-4952-8FDE-85D1F3008CE8}"/>
              </c:ext>
            </c:extLst>
          </c:dPt>
          <c:dPt>
            <c:idx val="3"/>
            <c:invertIfNegative val="0"/>
            <c:bubble3D val="0"/>
            <c:spPr>
              <a:solidFill>
                <a:srgbClr val="002060"/>
              </a:solidFill>
              <a:ln>
                <a:noFill/>
              </a:ln>
              <a:effectLst/>
            </c:spPr>
            <c:extLst>
              <c:ext xmlns:c16="http://schemas.microsoft.com/office/drawing/2014/chart" uri="{C3380CC4-5D6E-409C-BE32-E72D297353CC}">
                <c16:uniqueId val="{00000007-39AF-4952-8FDE-85D1F3008CE8}"/>
              </c:ext>
            </c:extLst>
          </c:dPt>
          <c:dPt>
            <c:idx val="4"/>
            <c:invertIfNegative val="0"/>
            <c:bubble3D val="0"/>
            <c:spPr>
              <a:solidFill>
                <a:srgbClr val="002060"/>
              </a:solidFill>
              <a:ln>
                <a:noFill/>
              </a:ln>
              <a:effectLst/>
            </c:spPr>
            <c:extLst>
              <c:ext xmlns:c16="http://schemas.microsoft.com/office/drawing/2014/chart" uri="{C3380CC4-5D6E-409C-BE32-E72D297353CC}">
                <c16:uniqueId val="{00000009-39AF-4952-8FDE-85D1F3008CE8}"/>
              </c:ext>
            </c:extLst>
          </c:dPt>
          <c:dPt>
            <c:idx val="5"/>
            <c:invertIfNegative val="0"/>
            <c:bubble3D val="0"/>
            <c:spPr>
              <a:solidFill>
                <a:srgbClr val="002060"/>
              </a:solidFill>
              <a:ln>
                <a:noFill/>
              </a:ln>
              <a:effectLst/>
            </c:spPr>
            <c:extLst>
              <c:ext xmlns:c16="http://schemas.microsoft.com/office/drawing/2014/chart" uri="{C3380CC4-5D6E-409C-BE32-E72D297353CC}">
                <c16:uniqueId val="{0000000B-39AF-4952-8FDE-85D1F3008CE8}"/>
              </c:ext>
            </c:extLst>
          </c:dPt>
          <c:cat>
            <c:strRef>
              <c:f>Hoja1!$A$2:$A$13</c:f>
              <c:strCache>
                <c:ptCount val="12"/>
                <c:pt idx="0">
                  <c:v>Enero </c:v>
                </c:pt>
                <c:pt idx="1">
                  <c:v>Feb</c:v>
                </c:pt>
                <c:pt idx="2">
                  <c:v>Marzo</c:v>
                </c:pt>
                <c:pt idx="3">
                  <c:v>Abril</c:v>
                </c:pt>
                <c:pt idx="4">
                  <c:v>Mayo</c:v>
                </c:pt>
                <c:pt idx="5">
                  <c:v>Junio</c:v>
                </c:pt>
                <c:pt idx="6">
                  <c:v>Jul</c:v>
                </c:pt>
                <c:pt idx="7">
                  <c:v>Aug</c:v>
                </c:pt>
                <c:pt idx="8">
                  <c:v>Sep</c:v>
                </c:pt>
                <c:pt idx="9">
                  <c:v>Oct</c:v>
                </c:pt>
                <c:pt idx="10">
                  <c:v>Nov</c:v>
                </c:pt>
                <c:pt idx="11">
                  <c:v>Dic</c:v>
                </c:pt>
              </c:strCache>
            </c:strRef>
          </c:cat>
          <c:val>
            <c:numRef>
              <c:f>Hoja1!$B$2:$B$13</c:f>
              <c:numCache>
                <c:formatCode>General</c:formatCode>
                <c:ptCount val="12"/>
                <c:pt idx="0">
                  <c:v>63</c:v>
                </c:pt>
                <c:pt idx="1">
                  <c:v>52</c:v>
                </c:pt>
                <c:pt idx="2">
                  <c:v>55</c:v>
                </c:pt>
                <c:pt idx="3">
                  <c:v>49</c:v>
                </c:pt>
                <c:pt idx="4">
                  <c:v>62</c:v>
                </c:pt>
                <c:pt idx="5">
                  <c:v>57</c:v>
                </c:pt>
                <c:pt idx="6">
                  <c:v>62</c:v>
                </c:pt>
                <c:pt idx="7">
                  <c:v>54</c:v>
                </c:pt>
                <c:pt idx="8">
                  <c:v>50</c:v>
                </c:pt>
                <c:pt idx="9">
                  <c:v>88</c:v>
                </c:pt>
                <c:pt idx="10">
                  <c:v>60</c:v>
                </c:pt>
                <c:pt idx="11">
                  <c:v>59</c:v>
                </c:pt>
              </c:numCache>
            </c:numRef>
          </c:val>
          <c:extLst>
            <c:ext xmlns:c16="http://schemas.microsoft.com/office/drawing/2014/chart" uri="{C3380CC4-5D6E-409C-BE32-E72D297353CC}">
              <c16:uniqueId val="{0000000C-39AF-4952-8FDE-85D1F3008CE8}"/>
            </c:ext>
          </c:extLst>
        </c:ser>
        <c:ser>
          <c:idx val="1"/>
          <c:order val="1"/>
          <c:tx>
            <c:strRef>
              <c:f>Hoja1!$C$1</c:f>
              <c:strCache>
                <c:ptCount val="1"/>
                <c:pt idx="0">
                  <c:v>Sugerencias </c:v>
                </c:pt>
              </c:strCache>
            </c:strRef>
          </c:tx>
          <c:spPr>
            <a:solidFill>
              <a:schemeClr val="bg2">
                <a:lumMod val="50000"/>
              </a:schemeClr>
            </a:solidFill>
            <a:ln>
              <a:noFill/>
            </a:ln>
            <a:effectLst/>
          </c:spPr>
          <c:invertIfNegative val="0"/>
          <c:cat>
            <c:strRef>
              <c:f>Hoja1!$A$2:$A$13</c:f>
              <c:strCache>
                <c:ptCount val="12"/>
                <c:pt idx="0">
                  <c:v>Enero </c:v>
                </c:pt>
                <c:pt idx="1">
                  <c:v>Feb</c:v>
                </c:pt>
                <c:pt idx="2">
                  <c:v>Marzo</c:v>
                </c:pt>
                <c:pt idx="3">
                  <c:v>Abril</c:v>
                </c:pt>
                <c:pt idx="4">
                  <c:v>Mayo</c:v>
                </c:pt>
                <c:pt idx="5">
                  <c:v>Junio</c:v>
                </c:pt>
                <c:pt idx="6">
                  <c:v>Jul</c:v>
                </c:pt>
                <c:pt idx="7">
                  <c:v>Aug</c:v>
                </c:pt>
                <c:pt idx="8">
                  <c:v>Sep</c:v>
                </c:pt>
                <c:pt idx="9">
                  <c:v>Oct</c:v>
                </c:pt>
                <c:pt idx="10">
                  <c:v>Nov</c:v>
                </c:pt>
                <c:pt idx="11">
                  <c:v>Dic</c:v>
                </c:pt>
              </c:strCache>
            </c:strRef>
          </c:cat>
          <c:val>
            <c:numRef>
              <c:f>Hoja1!$C$2:$C$13</c:f>
              <c:numCache>
                <c:formatCode>General</c:formatCode>
                <c:ptCount val="12"/>
                <c:pt idx="0">
                  <c:v>29</c:v>
                </c:pt>
                <c:pt idx="1">
                  <c:v>26</c:v>
                </c:pt>
                <c:pt idx="2">
                  <c:v>34</c:v>
                </c:pt>
                <c:pt idx="3">
                  <c:v>29</c:v>
                </c:pt>
                <c:pt idx="4">
                  <c:v>37</c:v>
                </c:pt>
                <c:pt idx="5">
                  <c:v>35</c:v>
                </c:pt>
                <c:pt idx="6">
                  <c:v>21</c:v>
                </c:pt>
                <c:pt idx="7">
                  <c:v>31</c:v>
                </c:pt>
                <c:pt idx="8">
                  <c:v>18</c:v>
                </c:pt>
                <c:pt idx="9">
                  <c:v>13</c:v>
                </c:pt>
                <c:pt idx="10">
                  <c:v>28</c:v>
                </c:pt>
                <c:pt idx="11">
                  <c:v>27</c:v>
                </c:pt>
              </c:numCache>
            </c:numRef>
          </c:val>
          <c:extLst>
            <c:ext xmlns:c16="http://schemas.microsoft.com/office/drawing/2014/chart" uri="{C3380CC4-5D6E-409C-BE32-E72D297353CC}">
              <c16:uniqueId val="{0000000D-39AF-4952-8FDE-85D1F3008CE8}"/>
            </c:ext>
          </c:extLst>
        </c:ser>
        <c:dLbls>
          <c:showLegendKey val="0"/>
          <c:showVal val="0"/>
          <c:showCatName val="0"/>
          <c:showSerName val="0"/>
          <c:showPercent val="0"/>
          <c:showBubbleSize val="0"/>
        </c:dLbls>
        <c:gapWidth val="219"/>
        <c:overlap val="-27"/>
        <c:axId val="1252050159"/>
        <c:axId val="756071263"/>
      </c:barChart>
      <c:catAx>
        <c:axId val="1252050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071263"/>
        <c:crosses val="autoZero"/>
        <c:auto val="1"/>
        <c:lblAlgn val="ctr"/>
        <c:lblOffset val="100"/>
        <c:noMultiLvlLbl val="0"/>
      </c:catAx>
      <c:valAx>
        <c:axId val="756071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205015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cantidad</c:v>
                </c:pt>
              </c:strCache>
            </c:strRef>
          </c:tx>
          <c:dPt>
            <c:idx val="0"/>
            <c:bubble3D val="0"/>
            <c:spPr>
              <a:solidFill>
                <a:srgbClr val="002060"/>
              </a:solidFill>
              <a:ln>
                <a:noFill/>
              </a:ln>
              <a:effectLst/>
            </c:spPr>
            <c:extLst>
              <c:ext xmlns:c16="http://schemas.microsoft.com/office/drawing/2014/chart" uri="{C3380CC4-5D6E-409C-BE32-E72D297353CC}">
                <c16:uniqueId val="{00000001-7DDF-4955-B9F2-714F350CA0FD}"/>
              </c:ext>
            </c:extLst>
          </c:dPt>
          <c:dPt>
            <c:idx val="1"/>
            <c:bubble3D val="0"/>
            <c:spPr>
              <a:solidFill>
                <a:schemeClr val="accent5"/>
              </a:solidFill>
              <a:ln>
                <a:noFill/>
              </a:ln>
              <a:effectLst/>
            </c:spPr>
            <c:extLst>
              <c:ext xmlns:c16="http://schemas.microsoft.com/office/drawing/2014/chart" uri="{C3380CC4-5D6E-409C-BE32-E72D297353CC}">
                <c16:uniqueId val="{00000003-7DDF-4955-B9F2-714F350CA0FD}"/>
              </c:ext>
            </c:extLst>
          </c:dPt>
          <c:dPt>
            <c:idx val="2"/>
            <c:bubble3D val="0"/>
            <c:spPr>
              <a:solidFill>
                <a:schemeClr val="bg1">
                  <a:lumMod val="75000"/>
                </a:schemeClr>
              </a:solidFill>
              <a:ln>
                <a:noFill/>
              </a:ln>
              <a:effectLst/>
            </c:spPr>
            <c:extLst>
              <c:ext xmlns:c16="http://schemas.microsoft.com/office/drawing/2014/chart" uri="{C3380CC4-5D6E-409C-BE32-E72D297353CC}">
                <c16:uniqueId val="{00000005-7DDF-4955-B9F2-714F350CA0F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Sugerencias </c:v>
                </c:pt>
                <c:pt idx="1">
                  <c:v>Quejas </c:v>
                </c:pt>
                <c:pt idx="2">
                  <c:v>Reclamos </c:v>
                </c:pt>
              </c:strCache>
            </c:strRef>
          </c:cat>
          <c:val>
            <c:numRef>
              <c:f>Sheet1!$B$2:$B$4</c:f>
              <c:numCache>
                <c:formatCode>General</c:formatCode>
                <c:ptCount val="3"/>
                <c:pt idx="0">
                  <c:v>5</c:v>
                </c:pt>
                <c:pt idx="1">
                  <c:v>5</c:v>
                </c:pt>
                <c:pt idx="2">
                  <c:v>10</c:v>
                </c:pt>
              </c:numCache>
            </c:numRef>
          </c:val>
          <c:extLst>
            <c:ext xmlns:c16="http://schemas.microsoft.com/office/drawing/2014/chart" uri="{C3380CC4-5D6E-409C-BE32-E72D297353CC}">
              <c16:uniqueId val="{00000006-7DDF-4955-B9F2-714F350CA0FD}"/>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lgn="jus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8"/>
          <c:dPt>
            <c:idx val="0"/>
            <c:bubble3D val="0"/>
            <c:spPr>
              <a:solidFill>
                <a:schemeClr val="accent1"/>
              </a:solidFill>
              <a:ln>
                <a:noFill/>
              </a:ln>
              <a:effectLst/>
              <a:sp3d/>
            </c:spPr>
            <c:extLst>
              <c:ext xmlns:c16="http://schemas.microsoft.com/office/drawing/2014/chart" uri="{C3380CC4-5D6E-409C-BE32-E72D297353CC}">
                <c16:uniqueId val="{00000001-6B3B-45CC-A694-108745B9AB15}"/>
              </c:ext>
            </c:extLst>
          </c:dPt>
          <c:dPt>
            <c:idx val="1"/>
            <c:bubble3D val="0"/>
            <c:spPr>
              <a:solidFill>
                <a:schemeClr val="accent3"/>
              </a:solidFill>
              <a:ln>
                <a:noFill/>
              </a:ln>
              <a:effectLst/>
              <a:sp3d/>
            </c:spPr>
            <c:extLst>
              <c:ext xmlns:c16="http://schemas.microsoft.com/office/drawing/2014/chart" uri="{C3380CC4-5D6E-409C-BE32-E72D297353CC}">
                <c16:uniqueId val="{00000000-7C37-4A11-88E1-37E4FA4D22FE}"/>
              </c:ext>
            </c:extLst>
          </c:dPt>
          <c:dPt>
            <c:idx val="2"/>
            <c:bubble3D val="0"/>
            <c:spPr>
              <a:solidFill>
                <a:schemeClr val="accent5"/>
              </a:solidFill>
              <a:ln>
                <a:noFill/>
              </a:ln>
              <a:effectLst/>
              <a:sp3d/>
            </c:spPr>
            <c:extLst>
              <c:ext xmlns:c16="http://schemas.microsoft.com/office/drawing/2014/chart" uri="{C3380CC4-5D6E-409C-BE32-E72D297353CC}">
                <c16:uniqueId val="{00000001-7C37-4A11-88E1-37E4FA4D22FE}"/>
              </c:ext>
            </c:extLst>
          </c:dPt>
          <c:dLbls>
            <c:dLbl>
              <c:idx val="0"/>
              <c:layout>
                <c:manualLayout>
                  <c:x val="0.11725357487375922"/>
                  <c:y val="1.13473853032821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3B-45CC-A694-108745B9AB15}"/>
                </c:ext>
              </c:extLst>
            </c:dLbl>
            <c:dLbl>
              <c:idx val="1"/>
              <c:layout>
                <c:manualLayout>
                  <c:x val="2.609878460756667E-2"/>
                  <c:y val="-6.6571250525431684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37-4A11-88E1-37E4FA4D22FE}"/>
                </c:ext>
              </c:extLst>
            </c:dLbl>
            <c:dLbl>
              <c:idx val="2"/>
              <c:delete val="1"/>
              <c:extLst>
                <c:ext xmlns:c15="http://schemas.microsoft.com/office/drawing/2012/chart" uri="{CE6537A1-D6FC-4f65-9D91-7224C49458BB}"/>
                <c:ext xmlns:c16="http://schemas.microsoft.com/office/drawing/2014/chart" uri="{C3380CC4-5D6E-409C-BE32-E72D297353CC}">
                  <c16:uniqueId val="{00000001-7C37-4A11-88E1-37E4FA4D22FE}"/>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'Cálculo estadisticas'!$A$3:$A$4</c:f>
              <c:strCache>
                <c:ptCount val="2"/>
                <c:pt idx="0">
                  <c:v>Tiempo De Disponibilidad </c:v>
                </c:pt>
                <c:pt idx="1">
                  <c:v>Tiempo Fuera de Servicio</c:v>
                </c:pt>
              </c:strCache>
            </c:strRef>
          </c:cat>
          <c:val>
            <c:numRef>
              <c:f>('Cálculo estadisticas'!$B$3:$B$4,'Cálculo estadisticas'!$A$21)</c:f>
              <c:numCache>
                <c:formatCode>0.00%</c:formatCode>
                <c:ptCount val="3"/>
                <c:pt idx="0">
                  <c:v>0.98929999999999996</c:v>
                </c:pt>
                <c:pt idx="1">
                  <c:v>1.0699999999999999E-2</c:v>
                </c:pt>
                <c:pt idx="2" formatCode="General">
                  <c:v>0</c:v>
                </c:pt>
              </c:numCache>
            </c:numRef>
          </c:val>
          <c:extLst>
            <c:ext xmlns:c16="http://schemas.microsoft.com/office/drawing/2014/chart" uri="{C3380CC4-5D6E-409C-BE32-E72D297353CC}">
              <c16:uniqueId val="{00000002-7C37-4A11-88E1-37E4FA4D22FE}"/>
            </c:ext>
          </c:extLst>
        </c:ser>
        <c:ser>
          <c:idx val="1"/>
          <c:order val="1"/>
          <c:dPt>
            <c:idx val="0"/>
            <c:bubble3D val="0"/>
            <c:spPr>
              <a:solidFill>
                <a:schemeClr val="accent1"/>
              </a:solidFill>
              <a:ln>
                <a:noFill/>
              </a:ln>
              <a:effectLst/>
              <a:sp3d/>
            </c:spPr>
            <c:extLst>
              <c:ext xmlns:c16="http://schemas.microsoft.com/office/drawing/2014/chart" uri="{C3380CC4-5D6E-409C-BE32-E72D297353CC}">
                <c16:uniqueId val="{00000007-6B3B-45CC-A694-108745B9AB15}"/>
              </c:ext>
            </c:extLst>
          </c:dPt>
          <c:cat>
            <c:strRef>
              <c:f>'Cálculo estadisticas'!$A$3:$A$4</c:f>
              <c:strCache>
                <c:ptCount val="2"/>
                <c:pt idx="0">
                  <c:v>Tiempo De Disponibilidad </c:v>
                </c:pt>
                <c:pt idx="1">
                  <c:v>Tiempo Fuera de Servicio</c:v>
                </c:pt>
              </c:strCache>
            </c:strRef>
          </c:cat>
          <c:val>
            <c:numRef>
              <c:f>'Cálculo estadisticas'!$A$21</c:f>
              <c:numCache>
                <c:formatCode>General</c:formatCode>
                <c:ptCount val="1"/>
                <c:pt idx="0">
                  <c:v>0</c:v>
                </c:pt>
              </c:numCache>
            </c:numRef>
          </c:val>
          <c:extLst>
            <c:ext xmlns:c16="http://schemas.microsoft.com/office/drawing/2014/chart" uri="{C3380CC4-5D6E-409C-BE32-E72D297353CC}">
              <c16:uniqueId val="{00000003-7C37-4A11-88E1-37E4FA4D22FE}"/>
            </c:ext>
          </c:extLst>
        </c:ser>
        <c:dLbls>
          <c:showLegendKey val="0"/>
          <c:showVal val="0"/>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rtl="0">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rtl="0">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delete val="1"/>
      </c:legendEntry>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solidFill>
        <a:schemeClr val="bg1"/>
      </a:solidFill>
      <a:prstDash val="solid"/>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kern="1200" spc="0" baseline="0">
                <a:solidFill>
                  <a:schemeClr val="bg1">
                    <a:lumMod val="50000"/>
                  </a:schemeClr>
                </a:solidFill>
                <a:latin typeface="Times New Roman" panose="02020603050405020304" pitchFamily="18" charset="0"/>
                <a:cs typeface="Times New Roman" panose="02020603050405020304" pitchFamily="18" charset="0"/>
              </a:rPr>
              <a:t>Planificador de Compras</a:t>
            </a:r>
          </a:p>
        </c:rich>
      </c:tx>
      <c:layout>
        <c:manualLayout>
          <c:xMode val="edge"/>
          <c:yMode val="edge"/>
          <c:x val="0.32478249406802001"/>
          <c:y val="3.51571083278400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SISCOMPRAS!$B$2</c:f>
              <c:strCache>
                <c:ptCount val="1"/>
                <c:pt idx="0">
                  <c:v>Planificacion Compras</c:v>
                </c:pt>
              </c:strCache>
            </c:strRef>
          </c:tx>
          <c:spPr>
            <a:solidFill>
              <a:schemeClr val="accent1"/>
            </a:solidFill>
            <a:ln>
              <a:noFill/>
            </a:ln>
            <a:effectLst/>
            <a:sp3d/>
          </c:spPr>
          <c:invertIfNegative val="0"/>
          <c:dLbls>
            <c:dLbl>
              <c:idx val="0"/>
              <c:layout>
                <c:manualLayout>
                  <c:x val="1.7755858345843731E-2"/>
                  <c:y val="-4.6033709206249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FB-4EB5-A76D-9F166DF3324D}"/>
                </c:ext>
              </c:extLst>
            </c:dLbl>
            <c:dLbl>
              <c:idx val="1"/>
              <c:layout>
                <c:manualLayout>
                  <c:x val="2.7620224093534693E-2"/>
                  <c:y val="-3.9457465033928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FB-4EB5-A76D-9F166DF3324D}"/>
                </c:ext>
              </c:extLst>
            </c:dLbl>
            <c:dLbl>
              <c:idx val="2"/>
              <c:layout>
                <c:manualLayout>
                  <c:x val="1.7755858345843731E-2"/>
                  <c:y val="-3.2881220861607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FB-4EB5-A76D-9F166DF3324D}"/>
                </c:ext>
              </c:extLst>
            </c:dLbl>
            <c:dLbl>
              <c:idx val="3"/>
              <c:layout>
                <c:manualLayout>
                  <c:x val="3.1565970392611074E-2"/>
                  <c:y val="-5.5898075464732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FB-4EB5-A76D-9F166DF3324D}"/>
                </c:ext>
              </c:extLst>
            </c:dLbl>
            <c:spPr>
              <a:noFill/>
              <a:ln>
                <a:noFill/>
              </a:ln>
              <a:effectLst/>
            </c:spPr>
            <c:txPr>
              <a:bodyPr rot="0" spcFirstLastPara="1" vertOverflow="clip" horzOverflow="clip" vert="horz" wrap="square" lIns="38100" tIns="19050" rIns="38100" bIns="365760" anchor="ctr" anchorCtr="0">
                <a:spAutoFit/>
              </a:bodyPr>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SISCOMPRAS!$C$1:$F$1</c:f>
              <c:strCache>
                <c:ptCount val="4"/>
                <c:pt idx="0">
                  <c:v>T1</c:v>
                </c:pt>
                <c:pt idx="1">
                  <c:v>T2</c:v>
                </c:pt>
                <c:pt idx="2">
                  <c:v>T3</c:v>
                </c:pt>
                <c:pt idx="3">
                  <c:v>T4</c:v>
                </c:pt>
              </c:strCache>
            </c:strRef>
          </c:cat>
          <c:val>
            <c:numRef>
              <c:f>SISCOMPRAS!$C$2:$F$2</c:f>
              <c:numCache>
                <c:formatCode>General</c:formatCode>
                <c:ptCount val="4"/>
                <c:pt idx="0">
                  <c:v>18.87</c:v>
                </c:pt>
                <c:pt idx="1">
                  <c:v>19.02</c:v>
                </c:pt>
                <c:pt idx="2">
                  <c:v>18.350000000000001</c:v>
                </c:pt>
                <c:pt idx="3">
                  <c:v>18.760000000000002</c:v>
                </c:pt>
              </c:numCache>
            </c:numRef>
          </c:val>
          <c:extLst>
            <c:ext xmlns:c16="http://schemas.microsoft.com/office/drawing/2014/chart" uri="{C3380CC4-5D6E-409C-BE32-E72D297353CC}">
              <c16:uniqueId val="{00000004-06FB-4EB5-A76D-9F166DF3324D}"/>
            </c:ext>
          </c:extLst>
        </c:ser>
        <c:dLbls>
          <c:showLegendKey val="0"/>
          <c:showVal val="1"/>
          <c:showCatName val="0"/>
          <c:showSerName val="0"/>
          <c:showPercent val="0"/>
          <c:showBubbleSize val="0"/>
        </c:dLbls>
        <c:gapWidth val="150"/>
        <c:shape val="box"/>
        <c:axId val="1015319456"/>
        <c:axId val="998450032"/>
        <c:axId val="0"/>
      </c:bar3DChart>
      <c:catAx>
        <c:axId val="101531945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8450032"/>
        <c:crosses val="autoZero"/>
        <c:auto val="1"/>
        <c:lblAlgn val="ctr"/>
        <c:lblOffset val="100"/>
        <c:noMultiLvlLbl val="0"/>
      </c:catAx>
      <c:valAx>
        <c:axId val="998450032"/>
        <c:scaling>
          <c:orientation val="minMax"/>
          <c:min val="0"/>
        </c:scaling>
        <c:delete val="1"/>
        <c:axPos val="l"/>
        <c:numFmt formatCode="General" sourceLinked="1"/>
        <c:majorTickMark val="out"/>
        <c:minorTickMark val="none"/>
        <c:tickLblPos val="nextTo"/>
        <c:crossAx val="101531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b="0"/>
              <a:t>Gestión de Procesos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SISCOMPRAS!$B$3</c:f>
              <c:strCache>
                <c:ptCount val="1"/>
                <c:pt idx="0">
                  <c:v>Gestion de Procesos</c:v>
                </c:pt>
              </c:strCache>
            </c:strRef>
          </c:tx>
          <c:spPr>
            <a:solidFill>
              <a:schemeClr val="accent1"/>
            </a:solidFill>
            <a:ln>
              <a:noFill/>
            </a:ln>
            <a:effectLst/>
            <a:sp3d/>
          </c:spPr>
          <c:invertIfNegative val="0"/>
          <c:dLbls>
            <c:dLbl>
              <c:idx val="0"/>
              <c:layout>
                <c:manualLayout>
                  <c:x val="9.8465677553553656E-3"/>
                  <c:y val="-5.2641541099386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BF-4055-95BE-166EEA5F37B3}"/>
                </c:ext>
              </c:extLst>
            </c:dLbl>
            <c:dLbl>
              <c:idx val="1"/>
              <c:layout>
                <c:manualLayout>
                  <c:x val="1.7755858345843731E-2"/>
                  <c:y val="-3.9457465033928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BF-4055-95BE-166EEA5F37B3}"/>
                </c:ext>
              </c:extLst>
            </c:dLbl>
            <c:dLbl>
              <c:idx val="2"/>
              <c:layout>
                <c:manualLayout>
                  <c:x val="1.3810112046767346E-2"/>
                  <c:y val="-4.6033709206249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BF-4055-95BE-166EEA5F37B3}"/>
                </c:ext>
              </c:extLst>
            </c:dLbl>
            <c:dLbl>
              <c:idx val="3"/>
              <c:layout>
                <c:manualLayout>
                  <c:x val="1.183723889722901E-2"/>
                  <c:y val="-5.5898075464732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BF-4055-95BE-166EEA5F37B3}"/>
                </c:ext>
              </c:extLst>
            </c:dLbl>
            <c:spPr>
              <a:noFill/>
              <a:ln>
                <a:no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SISCOMPRAS!$C$1:$F$1</c:f>
              <c:strCache>
                <c:ptCount val="4"/>
                <c:pt idx="0">
                  <c:v>T1</c:v>
                </c:pt>
                <c:pt idx="1">
                  <c:v>T2</c:v>
                </c:pt>
                <c:pt idx="2">
                  <c:v>T3</c:v>
                </c:pt>
                <c:pt idx="3">
                  <c:v>T4</c:v>
                </c:pt>
              </c:strCache>
            </c:strRef>
          </c:cat>
          <c:val>
            <c:numRef>
              <c:f>SISCOMPRAS!$C$3:$F$3</c:f>
              <c:numCache>
                <c:formatCode>General</c:formatCode>
                <c:ptCount val="4"/>
                <c:pt idx="0">
                  <c:v>15</c:v>
                </c:pt>
                <c:pt idx="1">
                  <c:v>15</c:v>
                </c:pt>
                <c:pt idx="2">
                  <c:v>14.68</c:v>
                </c:pt>
                <c:pt idx="3">
                  <c:v>11.74</c:v>
                </c:pt>
              </c:numCache>
            </c:numRef>
          </c:val>
          <c:extLst>
            <c:ext xmlns:c16="http://schemas.microsoft.com/office/drawing/2014/chart" uri="{C3380CC4-5D6E-409C-BE32-E72D297353CC}">
              <c16:uniqueId val="{00000004-FDBF-4055-95BE-166EEA5F37B3}"/>
            </c:ext>
          </c:extLst>
        </c:ser>
        <c:dLbls>
          <c:showLegendKey val="0"/>
          <c:showVal val="1"/>
          <c:showCatName val="0"/>
          <c:showSerName val="0"/>
          <c:showPercent val="0"/>
          <c:showBubbleSize val="0"/>
        </c:dLbls>
        <c:gapWidth val="150"/>
        <c:shape val="box"/>
        <c:axId val="1015319456"/>
        <c:axId val="998450032"/>
        <c:axId val="0"/>
      </c:bar3DChart>
      <c:catAx>
        <c:axId val="101531945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998450032"/>
        <c:crosses val="autoZero"/>
        <c:auto val="1"/>
        <c:lblAlgn val="ctr"/>
        <c:lblOffset val="100"/>
        <c:noMultiLvlLbl val="0"/>
      </c:catAx>
      <c:valAx>
        <c:axId val="998450032"/>
        <c:scaling>
          <c:orientation val="minMax"/>
          <c:max val="15"/>
          <c:min val="0"/>
        </c:scaling>
        <c:delete val="1"/>
        <c:axPos val="l"/>
        <c:numFmt formatCode="General" sourceLinked="1"/>
        <c:majorTickMark val="out"/>
        <c:minorTickMark val="none"/>
        <c:tickLblPos val="nextTo"/>
        <c:crossAx val="101531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b="0"/>
              <a:t>Tiempo Gestión Procesos</a:t>
            </a:r>
          </a:p>
        </c:rich>
      </c:tx>
      <c:layout>
        <c:manualLayout>
          <c:xMode val="edge"/>
          <c:yMode val="edge"/>
          <c:x val="0.36641795783591569"/>
          <c:y val="3.18543799772468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SISCOMPRAS!$B$4</c:f>
              <c:strCache>
                <c:ptCount val="1"/>
                <c:pt idx="0">
                  <c:v>Tiempo Gestion Procesos</c:v>
                </c:pt>
              </c:strCache>
            </c:strRef>
          </c:tx>
          <c:spPr>
            <a:solidFill>
              <a:schemeClr val="accent1"/>
            </a:solidFill>
            <a:ln>
              <a:noFill/>
            </a:ln>
            <a:effectLst/>
            <a:sp3d/>
          </c:spPr>
          <c:invertIfNegative val="0"/>
          <c:dLbls>
            <c:dLbl>
              <c:idx val="0"/>
              <c:layout>
                <c:manualLayout>
                  <c:x val="7.8914925981527686E-3"/>
                  <c:y val="-4.9321831292410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4E-4289-A00F-C33DD818C4CC}"/>
                </c:ext>
              </c:extLst>
            </c:dLbl>
            <c:dLbl>
              <c:idx val="1"/>
              <c:layout>
                <c:manualLayout>
                  <c:x val="5.9186194486145769E-3"/>
                  <c:y val="-4.93218312924106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4E-4289-A00F-C33DD818C4CC}"/>
                </c:ext>
              </c:extLst>
            </c:dLbl>
            <c:dLbl>
              <c:idx val="2"/>
              <c:layout>
                <c:manualLayout>
                  <c:x val="1.9728731495381921E-3"/>
                  <c:y val="-5.2609953378571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4E-4289-A00F-C33DD818C4CC}"/>
                </c:ext>
              </c:extLst>
            </c:dLbl>
            <c:dLbl>
              <c:idx val="3"/>
              <c:layout>
                <c:manualLayout>
                  <c:x val="7.8914925981526246E-3"/>
                  <c:y val="-4.6033709206249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4E-4289-A00F-C33DD818C4CC}"/>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SISCOMPRAS!$C$1:$F$1</c:f>
              <c:strCache>
                <c:ptCount val="4"/>
                <c:pt idx="0">
                  <c:v>T1</c:v>
                </c:pt>
                <c:pt idx="1">
                  <c:v>T2</c:v>
                </c:pt>
                <c:pt idx="2">
                  <c:v>T3</c:v>
                </c:pt>
                <c:pt idx="3">
                  <c:v>T4</c:v>
                </c:pt>
              </c:strCache>
            </c:strRef>
          </c:cat>
          <c:val>
            <c:numRef>
              <c:f>SISCOMPRAS!$C$4:$F$4</c:f>
              <c:numCache>
                <c:formatCode>General</c:formatCode>
                <c:ptCount val="4"/>
                <c:pt idx="0">
                  <c:v>8.3699999999999992</c:v>
                </c:pt>
                <c:pt idx="1">
                  <c:v>14.54</c:v>
                </c:pt>
                <c:pt idx="2">
                  <c:v>13.8</c:v>
                </c:pt>
                <c:pt idx="3">
                  <c:v>14.24</c:v>
                </c:pt>
              </c:numCache>
            </c:numRef>
          </c:val>
          <c:extLst>
            <c:ext xmlns:c16="http://schemas.microsoft.com/office/drawing/2014/chart" uri="{C3380CC4-5D6E-409C-BE32-E72D297353CC}">
              <c16:uniqueId val="{00000004-C94E-4289-A00F-C33DD818C4CC}"/>
            </c:ext>
          </c:extLst>
        </c:ser>
        <c:dLbls>
          <c:showLegendKey val="0"/>
          <c:showVal val="1"/>
          <c:showCatName val="0"/>
          <c:showSerName val="0"/>
          <c:showPercent val="0"/>
          <c:showBubbleSize val="0"/>
        </c:dLbls>
        <c:gapWidth val="150"/>
        <c:shape val="box"/>
        <c:axId val="1015319456"/>
        <c:axId val="998450032"/>
        <c:axId val="0"/>
      </c:bar3DChart>
      <c:catAx>
        <c:axId val="101531945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998450032"/>
        <c:crosses val="autoZero"/>
        <c:auto val="1"/>
        <c:lblAlgn val="ctr"/>
        <c:lblOffset val="100"/>
        <c:noMultiLvlLbl val="0"/>
      </c:catAx>
      <c:valAx>
        <c:axId val="998450032"/>
        <c:scaling>
          <c:orientation val="minMax"/>
          <c:max val="15"/>
        </c:scaling>
        <c:delete val="1"/>
        <c:axPos val="l"/>
        <c:numFmt formatCode="General" sourceLinked="1"/>
        <c:majorTickMark val="out"/>
        <c:minorTickMark val="none"/>
        <c:tickLblPos val="nextTo"/>
        <c:crossAx val="101531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 </a:t>
            </a:r>
          </a:p>
        </c:rich>
      </c:tx>
      <c:overlay val="0"/>
      <c:spPr>
        <a:noFill/>
        <a:ln>
          <a:noFill/>
        </a:ln>
        <a:effectLst/>
      </c:spPr>
    </c:title>
    <c:autoTitleDeleted val="0"/>
    <c:view3D>
      <c:rotX val="50"/>
      <c:rotY val="0"/>
      <c:depthPercent val="100"/>
      <c:rAngAx val="0"/>
      <c:perspective val="1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'Procesos al 14 nov'!$R$4</c:f>
              <c:strCache>
                <c:ptCount val="1"/>
                <c:pt idx="0">
                  <c:v> TOTAL (RD$) </c:v>
                </c:pt>
              </c:strCache>
            </c:strRef>
          </c:tx>
          <c:spPr>
            <a:ln w="34925">
              <a:solidFill>
                <a:schemeClr val="accent1">
                  <a:lumMod val="50000"/>
                </a:schemeClr>
              </a:solidFill>
            </a:ln>
          </c:spPr>
          <c:dPt>
            <c:idx val="0"/>
            <c:bubble3D val="0"/>
            <c:spPr>
              <a:solidFill>
                <a:schemeClr val="accent1">
                  <a:shade val="53000"/>
                </a:schemeClr>
              </a:solidFill>
              <a:ln w="34925">
                <a:solidFill>
                  <a:schemeClr val="accent1">
                    <a:lumMod val="50000"/>
                  </a:schemeClr>
                </a:solidFill>
              </a:ln>
              <a:effectLst/>
              <a:sp3d contourW="34925">
                <a:contourClr>
                  <a:schemeClr val="accent1">
                    <a:lumMod val="50000"/>
                  </a:schemeClr>
                </a:contourClr>
              </a:sp3d>
            </c:spPr>
            <c:extLst>
              <c:ext xmlns:c16="http://schemas.microsoft.com/office/drawing/2014/chart" uri="{C3380CC4-5D6E-409C-BE32-E72D297353CC}">
                <c16:uniqueId val="{00000001-B584-46E3-8AAB-A2669A612B6F}"/>
              </c:ext>
            </c:extLst>
          </c:dPt>
          <c:dPt>
            <c:idx val="1"/>
            <c:bubble3D val="0"/>
            <c:spPr>
              <a:solidFill>
                <a:schemeClr val="accent1">
                  <a:shade val="76000"/>
                </a:schemeClr>
              </a:solidFill>
              <a:ln w="34925">
                <a:solidFill>
                  <a:schemeClr val="accent1">
                    <a:lumMod val="50000"/>
                  </a:schemeClr>
                </a:solidFill>
              </a:ln>
              <a:effectLst/>
              <a:sp3d contourW="34925">
                <a:contourClr>
                  <a:schemeClr val="accent1">
                    <a:lumMod val="50000"/>
                  </a:schemeClr>
                </a:contourClr>
              </a:sp3d>
            </c:spPr>
            <c:extLst>
              <c:ext xmlns:c16="http://schemas.microsoft.com/office/drawing/2014/chart" uri="{C3380CC4-5D6E-409C-BE32-E72D297353CC}">
                <c16:uniqueId val="{00000003-B584-46E3-8AAB-A2669A612B6F}"/>
              </c:ext>
            </c:extLst>
          </c:dPt>
          <c:dPt>
            <c:idx val="2"/>
            <c:bubble3D val="0"/>
            <c:spPr>
              <a:solidFill>
                <a:schemeClr val="accent1"/>
              </a:solidFill>
              <a:ln w="34925">
                <a:solidFill>
                  <a:schemeClr val="accent1">
                    <a:lumMod val="50000"/>
                  </a:schemeClr>
                </a:solidFill>
              </a:ln>
              <a:effectLst/>
              <a:sp3d contourW="34925">
                <a:contourClr>
                  <a:schemeClr val="accent1">
                    <a:lumMod val="50000"/>
                  </a:schemeClr>
                </a:contourClr>
              </a:sp3d>
            </c:spPr>
            <c:extLst>
              <c:ext xmlns:c16="http://schemas.microsoft.com/office/drawing/2014/chart" uri="{C3380CC4-5D6E-409C-BE32-E72D297353CC}">
                <c16:uniqueId val="{00000005-B584-46E3-8AAB-A2669A612B6F}"/>
              </c:ext>
            </c:extLst>
          </c:dPt>
          <c:dPt>
            <c:idx val="3"/>
            <c:bubble3D val="0"/>
            <c:spPr>
              <a:solidFill>
                <a:srgbClr val="002060"/>
              </a:solidFill>
              <a:ln w="34925">
                <a:solidFill>
                  <a:schemeClr val="accent1">
                    <a:lumMod val="50000"/>
                  </a:schemeClr>
                </a:solidFill>
              </a:ln>
              <a:effectLst/>
              <a:sp3d contourW="34925">
                <a:contourClr>
                  <a:schemeClr val="accent1">
                    <a:lumMod val="50000"/>
                  </a:schemeClr>
                </a:contourClr>
              </a:sp3d>
            </c:spPr>
            <c:extLst>
              <c:ext xmlns:c16="http://schemas.microsoft.com/office/drawing/2014/chart" uri="{C3380CC4-5D6E-409C-BE32-E72D297353CC}">
                <c16:uniqueId val="{00000007-B584-46E3-8AAB-A2669A612B6F}"/>
              </c:ext>
            </c:extLst>
          </c:dPt>
          <c:dPt>
            <c:idx val="4"/>
            <c:bubble3D val="0"/>
            <c:spPr>
              <a:solidFill>
                <a:schemeClr val="accent1">
                  <a:tint val="54000"/>
                </a:schemeClr>
              </a:solidFill>
              <a:ln w="34925">
                <a:solidFill>
                  <a:schemeClr val="accent1">
                    <a:lumMod val="50000"/>
                  </a:schemeClr>
                </a:solidFill>
              </a:ln>
              <a:effectLst/>
              <a:sp3d contourW="34925">
                <a:contourClr>
                  <a:schemeClr val="accent1">
                    <a:lumMod val="50000"/>
                  </a:schemeClr>
                </a:contourClr>
              </a:sp3d>
            </c:spPr>
            <c:extLst>
              <c:ext xmlns:c16="http://schemas.microsoft.com/office/drawing/2014/chart" uri="{C3380CC4-5D6E-409C-BE32-E72D297353CC}">
                <c16:uniqueId val="{00000009-B584-46E3-8AAB-A2669A612B6F}"/>
              </c:ext>
            </c:extLst>
          </c:dPt>
          <c:dLbls>
            <c:dLbl>
              <c:idx val="3"/>
              <c:layout>
                <c:manualLayout>
                  <c:x val="-7.1028064558124895E-2"/>
                  <c:y val="1.3178860106530126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4950769004341741"/>
                      <c:h val="0.1574449495002028"/>
                    </c:manualLayout>
                  </c15:layout>
                </c:ext>
                <c:ext xmlns:c16="http://schemas.microsoft.com/office/drawing/2014/chart" uri="{C3380CC4-5D6E-409C-BE32-E72D297353CC}">
                  <c16:uniqueId val="{00000007-B584-46E3-8AAB-A2669A612B6F}"/>
                </c:ext>
              </c:extLst>
            </c:dLbl>
            <c:spPr>
              <a:noFill/>
              <a:ln>
                <a:noFill/>
              </a:ln>
              <a:effectLst/>
            </c:spPr>
            <c:txPr>
              <a:bodyPr rot="0"/>
              <a:lstStyle/>
              <a:p>
                <a:pPr>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'Procesos al 14 nov'!$Q$5:$Q$9</c:f>
              <c:strCache>
                <c:ptCount val="5"/>
                <c:pt idx="0">
                  <c:v>Compras Menores</c:v>
                </c:pt>
                <c:pt idx="1">
                  <c:v>Compras por Debajo del Umbral</c:v>
                </c:pt>
                <c:pt idx="2">
                  <c:v>Comparación de Precios</c:v>
                </c:pt>
                <c:pt idx="3">
                  <c:v>Procesos de Excepción</c:v>
                </c:pt>
                <c:pt idx="4">
                  <c:v>Licitación Pública Nacional</c:v>
                </c:pt>
              </c:strCache>
            </c:strRef>
          </c:cat>
          <c:val>
            <c:numRef>
              <c:f>'Procesos al 14 nov'!$R$5:$R$9</c:f>
              <c:numCache>
                <c:formatCode>_(* #,##0.00_);_(* \(#,##0.00\);_(* "-"??_);_(@_)</c:formatCode>
                <c:ptCount val="5"/>
                <c:pt idx="0">
                  <c:v>36496201</c:v>
                </c:pt>
                <c:pt idx="1">
                  <c:v>7997114</c:v>
                </c:pt>
                <c:pt idx="2">
                  <c:v>41272738</c:v>
                </c:pt>
                <c:pt idx="3">
                  <c:v>103450986</c:v>
                </c:pt>
                <c:pt idx="4">
                  <c:v>50295088</c:v>
                </c:pt>
              </c:numCache>
            </c:numRef>
          </c:val>
          <c:extLst>
            <c:ext xmlns:c16="http://schemas.microsoft.com/office/drawing/2014/chart" uri="{C3380CC4-5D6E-409C-BE32-E72D297353CC}">
              <c16:uniqueId val="{0000000A-B584-46E3-8AAB-A2669A612B6F}"/>
            </c:ext>
          </c:extLst>
        </c:ser>
        <c:ser>
          <c:idx val="1"/>
          <c:order val="1"/>
          <c:tx>
            <c:strRef>
              <c:f>'Procesos al 14 nov'!$S$4</c:f>
              <c:strCache>
                <c:ptCount val="1"/>
                <c:pt idx="0">
                  <c:v>PORCENTAJE</c:v>
                </c:pt>
              </c:strCache>
            </c:strRef>
          </c:tx>
          <c:dPt>
            <c:idx val="0"/>
            <c:bubble3D val="0"/>
            <c:spPr>
              <a:solidFill>
                <a:schemeClr val="accent1">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B584-46E3-8AAB-A2669A612B6F}"/>
              </c:ext>
            </c:extLst>
          </c:dPt>
          <c:dPt>
            <c:idx val="1"/>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E-B584-46E3-8AAB-A2669A612B6F}"/>
              </c:ext>
            </c:extLst>
          </c:dPt>
          <c:dPt>
            <c:idx val="2"/>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0-B584-46E3-8AAB-A2669A612B6F}"/>
              </c:ext>
            </c:extLst>
          </c:dPt>
          <c:dPt>
            <c:idx val="3"/>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2-B584-46E3-8AAB-A2669A612B6F}"/>
              </c:ext>
            </c:extLst>
          </c:dPt>
          <c:dPt>
            <c:idx val="4"/>
            <c:bubble3D val="0"/>
            <c:spPr>
              <a:solidFill>
                <a:schemeClr val="accent1">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B584-46E3-8AAB-A2669A612B6F}"/>
              </c:ext>
            </c:extLst>
          </c:dPt>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'Procesos al 14 nov'!$Q$5:$Q$9</c:f>
              <c:strCache>
                <c:ptCount val="5"/>
                <c:pt idx="0">
                  <c:v>Compras Menores</c:v>
                </c:pt>
                <c:pt idx="1">
                  <c:v>Compras por Debajo del Umbral</c:v>
                </c:pt>
                <c:pt idx="2">
                  <c:v>Comparación de Precios</c:v>
                </c:pt>
                <c:pt idx="3">
                  <c:v>Procesos de Excepción</c:v>
                </c:pt>
                <c:pt idx="4">
                  <c:v>Licitación Pública Nacional</c:v>
                </c:pt>
              </c:strCache>
            </c:strRef>
          </c:cat>
          <c:val>
            <c:numRef>
              <c:f>'Procesos al 14 nov'!$S$5:$S$9</c:f>
              <c:numCache>
                <c:formatCode>0%</c:formatCode>
                <c:ptCount val="5"/>
                <c:pt idx="0">
                  <c:v>0.15237725729019141</c:v>
                </c:pt>
                <c:pt idx="1">
                  <c:v>3.3389182001627833E-2</c:v>
                </c:pt>
                <c:pt idx="2">
                  <c:v>0.17232003455090189</c:v>
                </c:pt>
                <c:pt idx="3">
                  <c:v>0.43192379148300913</c:v>
                </c:pt>
                <c:pt idx="4">
                  <c:v>0.20998973467426976</c:v>
                </c:pt>
              </c:numCache>
            </c:numRef>
          </c:val>
          <c:extLst>
            <c:ext xmlns:c16="http://schemas.microsoft.com/office/drawing/2014/chart" uri="{C3380CC4-5D6E-409C-BE32-E72D297353CC}">
              <c16:uniqueId val="{00000015-B584-46E3-8AAB-A2669A612B6F}"/>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b="0"/>
              <a:t>Administración Contratos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SISCOMPRAS!$B$5</c:f>
              <c:strCache>
                <c:ptCount val="1"/>
                <c:pt idx="0">
                  <c:v>Administracion Contratos</c:v>
                </c:pt>
              </c:strCache>
            </c:strRef>
          </c:tx>
          <c:spPr>
            <a:solidFill>
              <a:schemeClr val="accent1"/>
            </a:solidFill>
            <a:ln>
              <a:noFill/>
            </a:ln>
            <a:effectLst/>
            <a:sp3d/>
          </c:spPr>
          <c:invertIfNegative val="0"/>
          <c:dLbls>
            <c:dLbl>
              <c:idx val="0"/>
              <c:layout>
                <c:manualLayout>
                  <c:x val="7.8914925981527686E-3"/>
                  <c:y val="-4.9321831292410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02-46E1-A34A-718E9AAA4DCE}"/>
                </c:ext>
              </c:extLst>
            </c:dLbl>
            <c:dLbl>
              <c:idx val="1"/>
              <c:layout>
                <c:manualLayout>
                  <c:x val="7.8914925981527686E-3"/>
                  <c:y val="-5.2609953378571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02-46E1-A34A-718E9AAA4DCE}"/>
                </c:ext>
              </c:extLst>
            </c:dLbl>
            <c:dLbl>
              <c:idx val="2"/>
              <c:layout>
                <c:manualLayout>
                  <c:x val="1.9728731495381849E-2"/>
                  <c:y val="-5.2609953378571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02-46E1-A34A-718E9AAA4DCE}"/>
                </c:ext>
              </c:extLst>
            </c:dLbl>
            <c:dLbl>
              <c:idx val="3"/>
              <c:layout>
                <c:manualLayout>
                  <c:x val="1.7755858345843731E-2"/>
                  <c:y val="-3.9457465033928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02-46E1-A34A-718E9AAA4DCE}"/>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SISCOMPRAS!$C$1:$F$1</c:f>
              <c:strCache>
                <c:ptCount val="4"/>
                <c:pt idx="0">
                  <c:v>T1</c:v>
                </c:pt>
                <c:pt idx="1">
                  <c:v>T2</c:v>
                </c:pt>
                <c:pt idx="2">
                  <c:v>T3</c:v>
                </c:pt>
                <c:pt idx="3">
                  <c:v>T4</c:v>
                </c:pt>
              </c:strCache>
            </c:strRef>
          </c:cat>
          <c:val>
            <c:numRef>
              <c:f>SISCOMPRAS!$C$5:$F$5</c:f>
              <c:numCache>
                <c:formatCode>General</c:formatCode>
                <c:ptCount val="4"/>
                <c:pt idx="0">
                  <c:v>29.69</c:v>
                </c:pt>
                <c:pt idx="1">
                  <c:v>27.89</c:v>
                </c:pt>
                <c:pt idx="2">
                  <c:v>29.35</c:v>
                </c:pt>
                <c:pt idx="3">
                  <c:v>26.27</c:v>
                </c:pt>
              </c:numCache>
            </c:numRef>
          </c:val>
          <c:extLst>
            <c:ext xmlns:c16="http://schemas.microsoft.com/office/drawing/2014/chart" uri="{C3380CC4-5D6E-409C-BE32-E72D297353CC}">
              <c16:uniqueId val="{00000004-1B02-46E1-A34A-718E9AAA4DCE}"/>
            </c:ext>
          </c:extLst>
        </c:ser>
        <c:dLbls>
          <c:showLegendKey val="0"/>
          <c:showVal val="1"/>
          <c:showCatName val="0"/>
          <c:showSerName val="0"/>
          <c:showPercent val="0"/>
          <c:showBubbleSize val="0"/>
        </c:dLbls>
        <c:gapWidth val="150"/>
        <c:shape val="box"/>
        <c:axId val="1015319456"/>
        <c:axId val="998450032"/>
        <c:axId val="0"/>
      </c:bar3DChart>
      <c:catAx>
        <c:axId val="101531945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998450032"/>
        <c:crosses val="autoZero"/>
        <c:auto val="1"/>
        <c:lblAlgn val="ctr"/>
        <c:lblOffset val="100"/>
        <c:noMultiLvlLbl val="0"/>
      </c:catAx>
      <c:valAx>
        <c:axId val="998450032"/>
        <c:scaling>
          <c:orientation val="minMax"/>
          <c:min val="0"/>
        </c:scaling>
        <c:delete val="1"/>
        <c:axPos val="l"/>
        <c:numFmt formatCode="General" sourceLinked="1"/>
        <c:majorTickMark val="out"/>
        <c:minorTickMark val="none"/>
        <c:tickLblPos val="nextTo"/>
        <c:crossAx val="101531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200" b="0"/>
              <a:t>Compras Mipymes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SISCOMPRAS!$B$6</c:f>
              <c:strCache>
                <c:ptCount val="1"/>
                <c:pt idx="0">
                  <c:v>Compras Mipymes</c:v>
                </c:pt>
              </c:strCache>
            </c:strRef>
          </c:tx>
          <c:spPr>
            <a:solidFill>
              <a:schemeClr val="accent1"/>
            </a:solidFill>
            <a:ln>
              <a:noFill/>
            </a:ln>
            <a:effectLst/>
            <a:sp3d/>
          </c:spPr>
          <c:invertIfNegative val="0"/>
          <c:dLbls>
            <c:dLbl>
              <c:idx val="0"/>
              <c:layout>
                <c:manualLayout>
                  <c:x val="2.1701604644920117E-2"/>
                  <c:y val="-3.9457465033928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48-4253-B470-F48175DE049E}"/>
                </c:ext>
              </c:extLst>
            </c:dLbl>
            <c:dLbl>
              <c:idx val="1"/>
              <c:layout>
                <c:manualLayout>
                  <c:x val="1.7755858345843731E-2"/>
                  <c:y val="-3.61693429477677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48-4253-B470-F48175DE049E}"/>
                </c:ext>
              </c:extLst>
            </c:dLbl>
            <c:dLbl>
              <c:idx val="2"/>
              <c:layout>
                <c:manualLayout>
                  <c:x val="1.1837238897229154E-2"/>
                  <c:y val="-3.61693429477677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48-4253-B470-F48175DE049E}"/>
                </c:ext>
              </c:extLst>
            </c:dLbl>
            <c:dLbl>
              <c:idx val="3"/>
              <c:layout>
                <c:manualLayout>
                  <c:x val="1.3810112046767346E-2"/>
                  <c:y val="-3.2881220861607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48-4253-B470-F48175DE049E}"/>
                </c:ext>
              </c:extLst>
            </c:dLbl>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SISCOMPRAS!$C$1:$F$1</c:f>
              <c:strCache>
                <c:ptCount val="4"/>
                <c:pt idx="0">
                  <c:v>T1</c:v>
                </c:pt>
                <c:pt idx="1">
                  <c:v>T2</c:v>
                </c:pt>
                <c:pt idx="2">
                  <c:v>T3</c:v>
                </c:pt>
                <c:pt idx="3">
                  <c:v>T4</c:v>
                </c:pt>
              </c:strCache>
            </c:strRef>
          </c:cat>
          <c:val>
            <c:numRef>
              <c:f>SISCOMPRAS!$C$6:$F$6</c:f>
              <c:numCache>
                <c:formatCode>General</c:formatCode>
                <c:ptCount val="4"/>
                <c:pt idx="0">
                  <c:v>18.34</c:v>
                </c:pt>
                <c:pt idx="1">
                  <c:v>20</c:v>
                </c:pt>
                <c:pt idx="2">
                  <c:v>20</c:v>
                </c:pt>
                <c:pt idx="3">
                  <c:v>20</c:v>
                </c:pt>
              </c:numCache>
            </c:numRef>
          </c:val>
          <c:extLst>
            <c:ext xmlns:c16="http://schemas.microsoft.com/office/drawing/2014/chart" uri="{C3380CC4-5D6E-409C-BE32-E72D297353CC}">
              <c16:uniqueId val="{00000004-6448-4253-B470-F48175DE049E}"/>
            </c:ext>
          </c:extLst>
        </c:ser>
        <c:dLbls>
          <c:showLegendKey val="0"/>
          <c:showVal val="1"/>
          <c:showCatName val="0"/>
          <c:showSerName val="0"/>
          <c:showPercent val="0"/>
          <c:showBubbleSize val="0"/>
        </c:dLbls>
        <c:gapWidth val="150"/>
        <c:shape val="box"/>
        <c:axId val="1015319456"/>
        <c:axId val="998450032"/>
        <c:axId val="0"/>
      </c:bar3DChart>
      <c:catAx>
        <c:axId val="101531945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998450032"/>
        <c:crosses val="autoZero"/>
        <c:auto val="1"/>
        <c:lblAlgn val="ctr"/>
        <c:lblOffset val="100"/>
        <c:noMultiLvlLbl val="0"/>
      </c:catAx>
      <c:valAx>
        <c:axId val="998450032"/>
        <c:scaling>
          <c:orientation val="minMax"/>
          <c:min val="0"/>
        </c:scaling>
        <c:delete val="1"/>
        <c:axPos val="l"/>
        <c:numFmt formatCode="General" sourceLinked="1"/>
        <c:majorTickMark val="out"/>
        <c:minorTickMark val="none"/>
        <c:tickLblPos val="nextTo"/>
        <c:crossAx val="101531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0.0212</cdr:x>
      <cdr:y>0.86364</cdr:y>
    </cdr:from>
    <cdr:to>
      <cdr:x>0.37738</cdr:x>
      <cdr:y>0.98485</cdr:y>
    </cdr:to>
    <cdr:sp macro="" textlink="">
      <cdr:nvSpPr>
        <cdr:cNvPr id="3" name="Rectangle: Rounded Corners 2">
          <a:extLst xmlns:a="http://schemas.openxmlformats.org/drawingml/2006/main">
            <a:ext uri="{FF2B5EF4-FFF2-40B4-BE49-F238E27FC236}">
              <a16:creationId xmlns:a16="http://schemas.microsoft.com/office/drawing/2014/main" id="{4B778B69-D4F7-2F41-BCA8-07BF8BDF29E3}"/>
            </a:ext>
          </a:extLst>
        </cdr:cNvPr>
        <cdr:cNvSpPr/>
      </cdr:nvSpPr>
      <cdr:spPr>
        <a:xfrm xmlns:a="http://schemas.openxmlformats.org/drawingml/2006/main">
          <a:off x="95244" y="2171708"/>
          <a:ext cx="1600204" cy="304795"/>
        </a:xfrm>
        <a:prstGeom xmlns:a="http://schemas.openxmlformats.org/drawingml/2006/main" prst="round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nchor="b"/>
        <a:lstStyle xmlns:a="http://schemas.openxmlformats.org/drawingml/2006/main"/>
        <a:p xmlns:a="http://schemas.openxmlformats.org/drawingml/2006/main">
          <a:pPr algn="ctr"/>
          <a:r>
            <a:rPr lang="en-US">
              <a:solidFill>
                <a:schemeClr val="tx1">
                  <a:lumMod val="50000"/>
                  <a:lumOff val="50000"/>
                </a:schemeClr>
              </a:solidFill>
              <a:latin typeface="Times New Roman" panose="02020603050405020304" pitchFamily="18" charset="0"/>
              <a:cs typeface="Times New Roman" panose="02020603050405020304" pitchFamily="18" charset="0"/>
            </a:rPr>
            <a:t>7929.55/8016*100</a:t>
          </a:r>
          <a:r>
            <a:rPr lang="en-US"/>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A4164F3B929C41BEA62DC8E284B6A2" ma:contentTypeVersion="10" ma:contentTypeDescription="Create a new document." ma:contentTypeScope="" ma:versionID="0c4df9716579b27c5a75cd697a65d3e0">
  <xsd:schema xmlns:xsd="http://www.w3.org/2001/XMLSchema" xmlns:xs="http://www.w3.org/2001/XMLSchema" xmlns:p="http://schemas.microsoft.com/office/2006/metadata/properties" xmlns:ns3="0c744ef6-fcb6-4ebf-8af4-d63ebe266dc0" targetNamespace="http://schemas.microsoft.com/office/2006/metadata/properties" ma:root="true" ma:fieldsID="1b427301489be47d5dbb0669a63b2ce0" ns3:_="">
    <xsd:import namespace="0c744ef6-fcb6-4ebf-8af4-d63ebe266dc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744ef6-fcb6-4ebf-8af4-d63ebe266d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c744ef6-fcb6-4ebf-8af4-d63ebe266dc0" xsi:nil="true"/>
  </documentManagement>
</p:properties>
</file>

<file path=customXml/itemProps1.xml><?xml version="1.0" encoding="utf-8"?>
<ds:datastoreItem xmlns:ds="http://schemas.openxmlformats.org/officeDocument/2006/customXml" ds:itemID="{EAA6A8AC-2F16-4F2C-93EC-4EF0745AC962}">
  <ds:schemaRefs>
    <ds:schemaRef ds:uri="http://schemas.microsoft.com/sharepoint/v3/contenttype/forms"/>
  </ds:schemaRefs>
</ds:datastoreItem>
</file>

<file path=customXml/itemProps2.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3.xml><?xml version="1.0" encoding="utf-8"?>
<ds:datastoreItem xmlns:ds="http://schemas.openxmlformats.org/officeDocument/2006/customXml" ds:itemID="{2B86EADB-1DD2-40B1-80B0-568CCBA97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744ef6-fcb6-4ebf-8af4-d63ebe266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8519A3-737E-4B8A-97D7-2B1C18A05F79}">
  <ds:schemaRefs>
    <ds:schemaRef ds:uri="http://purl.org/dc/dcmitype/"/>
    <ds:schemaRef ds:uri="http://www.w3.org/XML/1998/namespace"/>
    <ds:schemaRef ds:uri="http://purl.org/dc/elements/1.1/"/>
    <ds:schemaRef ds:uri="0c744ef6-fcb6-4ebf-8af4-d63ebe266dc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27202</Words>
  <Characters>155055</Characters>
  <Application>Microsoft Office Word</Application>
  <DocSecurity>0</DocSecurity>
  <Lines>1292</Lines>
  <Paragraphs>363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Johanny Salcedo de los Santos</cp:lastModifiedBy>
  <cp:revision>2</cp:revision>
  <cp:lastPrinted>2025-01-08T18:50:00Z</cp:lastPrinted>
  <dcterms:created xsi:type="dcterms:W3CDTF">2025-12-19T16:38:00Z</dcterms:created>
  <dcterms:modified xsi:type="dcterms:W3CDTF">2025-12-19T16:38:00Z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0x010100AFA4164F3B929C41BEA62DC8E284B6A2</vt:lpwstr>
  </property>
</Properties>
</file>