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340DF1">
      <w:pPr>
        <w:spacing w:line="360" w:lineRule="auto"/>
        <w:rPr>
          <w:lang w:val="es-DO"/>
        </w:rPr>
      </w:pPr>
      <w:bookmarkStart w:id="0" w:name="_Hlk217933736"/>
      <w:bookmarkEnd w:id="0"/>
      <w:r w:rsidRPr="002B4451">
        <w:rPr>
          <w:noProof/>
          <w:lang w:val="es-DO" w:eastAsia="es-DO"/>
        </w:rPr>
        <w:drawing>
          <wp:anchor distT="0" distB="0" distL="114300" distR="114300" simplePos="0" relativeHeight="251658242" behindDoc="0" locked="0" layoutInCell="1" allowOverlap="1" wp14:anchorId="3F0A51DA" wp14:editId="01D2E0C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0CA31F6" w:rsidR="008D7F4E" w:rsidRPr="002B4451" w:rsidRDefault="008D7F4E" w:rsidP="00340DF1">
      <w:pPr>
        <w:spacing w:line="360" w:lineRule="auto"/>
        <w:rPr>
          <w:lang w:val="es-DO"/>
        </w:rPr>
      </w:pPr>
    </w:p>
    <w:p w14:paraId="1AC5E2C3" w14:textId="77777777" w:rsidR="008D7F4E" w:rsidRPr="002B4451" w:rsidRDefault="008D7F4E" w:rsidP="00340DF1">
      <w:pPr>
        <w:spacing w:line="360" w:lineRule="auto"/>
        <w:rPr>
          <w:lang w:val="es-DO"/>
        </w:rPr>
      </w:pPr>
    </w:p>
    <w:p w14:paraId="34990FAF" w14:textId="52B5DA41" w:rsidR="008D7F4E" w:rsidRPr="002B4451" w:rsidRDefault="008D7F4E" w:rsidP="00340DF1">
      <w:pPr>
        <w:spacing w:line="360" w:lineRule="auto"/>
        <w:rPr>
          <w:lang w:val="es-DO"/>
        </w:rPr>
      </w:pPr>
      <w:bookmarkStart w:id="1" w:name="_Hlk86404256"/>
      <w:bookmarkEnd w:id="1"/>
    </w:p>
    <w:p w14:paraId="6EFB72EE" w14:textId="4303D23A" w:rsidR="008D7F4E" w:rsidRPr="002B4451" w:rsidRDefault="008D7F4E" w:rsidP="00340DF1">
      <w:pPr>
        <w:spacing w:line="360" w:lineRule="auto"/>
        <w:rPr>
          <w:lang w:val="es-DO"/>
        </w:rPr>
      </w:pPr>
    </w:p>
    <w:p w14:paraId="3F7503CE" w14:textId="172B5CFE" w:rsidR="008D7F4E" w:rsidRPr="002B4451" w:rsidRDefault="008D7F4E" w:rsidP="00340DF1">
      <w:pPr>
        <w:spacing w:line="360" w:lineRule="auto"/>
        <w:rPr>
          <w:lang w:val="es-DO"/>
        </w:rPr>
      </w:pPr>
    </w:p>
    <w:p w14:paraId="071FCCAE" w14:textId="759B330B" w:rsidR="008D7F4E" w:rsidRPr="002B4451" w:rsidRDefault="00A63A00" w:rsidP="00340DF1">
      <w:pPr>
        <w:spacing w:line="360" w:lineRule="auto"/>
        <w:rPr>
          <w:lang w:val="es-DO"/>
        </w:rPr>
      </w:pPr>
      <w:r w:rsidRPr="002B4451">
        <w:rPr>
          <w:noProof/>
          <w:lang w:val="es-DO" w:eastAsia="es-DO"/>
        </w:rPr>
        <mc:AlternateContent>
          <mc:Choice Requires="wps">
            <w:drawing>
              <wp:anchor distT="0" distB="0" distL="114300" distR="114300" simplePos="0" relativeHeight="251658246"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274DCED8" w14:textId="7425C4F8" w:rsidR="004F2DD5" w:rsidRPr="003A47C9" w:rsidRDefault="00C92BF6" w:rsidP="00340DF1">
      <w:pPr>
        <w:spacing w:line="360" w:lineRule="auto"/>
      </w:pPr>
      <w:r w:rsidRPr="002B4451">
        <w:rPr>
          <w:noProof/>
          <w:lang w:val="es-DO" w:eastAsia="es-DO"/>
        </w:rPr>
        <mc:AlternateContent>
          <mc:Choice Requires="wps">
            <w:drawing>
              <wp:anchor distT="0" distB="0" distL="114300" distR="114300" simplePos="0" relativeHeight="251658245" behindDoc="0" locked="0" layoutInCell="1" allowOverlap="1" wp14:anchorId="6B2EB822" wp14:editId="76EEB16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658251"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3508E3" id="Straight Connector 9"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8243"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5825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67EA85A" id="Freeform: Shape 44" o:spid="_x0000_s1026" style="position:absolute;margin-left:371.65pt;margin-top:699.75pt;width:42.75pt;height:4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02DD20E1" w:rsidR="004F2DD5" w:rsidRPr="003A47C9" w:rsidRDefault="00544419" w:rsidP="00340DF1">
      <w:pPr>
        <w:spacing w:line="360" w:lineRule="auto"/>
      </w:pPr>
      <w:r>
        <w:rPr>
          <w:noProof/>
          <w:lang w:val="es-DO" w:eastAsia="es-DO"/>
        </w:rPr>
        <mc:AlternateContent>
          <mc:Choice Requires="wpg">
            <w:drawing>
              <wp:anchor distT="0" distB="0" distL="114300" distR="114300" simplePos="0" relativeHeight="251658256" behindDoc="0" locked="0" layoutInCell="1" allowOverlap="1" wp14:anchorId="22E2C515" wp14:editId="5F1349CD">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2E2C515" id="Group 37" o:spid="_x0000_s1029" style="position:absolute;margin-left:4.1pt;margin-top:11.75pt;width:199pt;height:79.2pt;z-index:251658256;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1F68E567" w:rsidR="008D7F4E" w:rsidRPr="002B4451" w:rsidRDefault="00A053F3" w:rsidP="00340DF1">
      <w:pPr>
        <w:spacing w:line="360" w:lineRule="auto"/>
        <w:rPr>
          <w:lang w:val="es-DO"/>
        </w:rPr>
      </w:pPr>
      <w:r>
        <w:rPr>
          <w:noProof/>
          <w:lang w:val="es-DO" w:eastAsia="es-DO"/>
        </w:rPr>
        <w:drawing>
          <wp:anchor distT="0" distB="0" distL="114300" distR="114300" simplePos="0" relativeHeight="251658260" behindDoc="0" locked="0" layoutInCell="1" allowOverlap="1" wp14:anchorId="34EC3668" wp14:editId="2C55021E">
            <wp:simplePos x="0" y="0"/>
            <wp:positionH relativeFrom="column">
              <wp:posOffset>3644084</wp:posOffset>
            </wp:positionH>
            <wp:positionV relativeFrom="paragraph">
              <wp:posOffset>377190</wp:posOffset>
            </wp:positionV>
            <wp:extent cx="1963602" cy="518795"/>
            <wp:effectExtent l="0" t="0" r="0" b="0"/>
            <wp:wrapNone/>
            <wp:docPr id="54303644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36448" name="Imagen 5430364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5570" cy="519315"/>
                    </a:xfrm>
                    <a:prstGeom prst="rect">
                      <a:avLst/>
                    </a:prstGeom>
                  </pic:spPr>
                </pic:pic>
              </a:graphicData>
            </a:graphic>
            <wp14:sizeRelH relativeFrom="margin">
              <wp14:pctWidth>0</wp14:pctWidth>
            </wp14:sizeRelH>
            <wp14:sizeRelV relativeFrom="margin">
              <wp14:pctHeight>0</wp14:pctHeight>
            </wp14:sizeRelV>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0CA13487" w:rsidR="008D7F4E" w:rsidRPr="002B4451" w:rsidRDefault="008D7F4E" w:rsidP="00340DF1">
      <w:pPr>
        <w:spacing w:line="360" w:lineRule="auto"/>
        <w:rPr>
          <w:lang w:val="es-DO"/>
        </w:rPr>
      </w:pPr>
    </w:p>
    <w:p w14:paraId="38D6C8AE" w14:textId="626E8B34" w:rsidR="008D7F4E" w:rsidRPr="002B4451" w:rsidRDefault="008D7F4E" w:rsidP="00340DF1">
      <w:pPr>
        <w:spacing w:line="360" w:lineRule="auto"/>
        <w:rPr>
          <w:lang w:val="es-DO"/>
        </w:rPr>
      </w:pPr>
    </w:p>
    <w:p w14:paraId="22DD7F53" w14:textId="11B7CA22" w:rsidR="008D7F4E" w:rsidRPr="002B4451" w:rsidRDefault="008D7F4E" w:rsidP="00340DF1">
      <w:pPr>
        <w:spacing w:line="360" w:lineRule="auto"/>
        <w:rPr>
          <w:lang w:val="es-DO"/>
        </w:rPr>
      </w:pPr>
    </w:p>
    <w:p w14:paraId="266A4AE7" w14:textId="5784A2EE" w:rsidR="008D7F4E" w:rsidRPr="002B4451" w:rsidRDefault="008D7F4E" w:rsidP="00340DF1">
      <w:pPr>
        <w:spacing w:line="360" w:lineRule="auto"/>
        <w:rPr>
          <w:lang w:val="es-DO"/>
        </w:rPr>
      </w:pPr>
    </w:p>
    <w:p w14:paraId="56C838CA" w14:textId="59180D27" w:rsidR="008D7F4E" w:rsidRPr="002B4451" w:rsidRDefault="008D7F4E" w:rsidP="00340DF1">
      <w:pPr>
        <w:spacing w:line="360" w:lineRule="auto"/>
        <w:rPr>
          <w:lang w:val="es-DO"/>
        </w:rPr>
      </w:pPr>
    </w:p>
    <w:p w14:paraId="5A37720D" w14:textId="305BC668" w:rsidR="008D7F4E" w:rsidRPr="002B4451" w:rsidRDefault="008D7F4E" w:rsidP="00340DF1">
      <w:pPr>
        <w:spacing w:line="360" w:lineRule="auto"/>
        <w:rPr>
          <w:lang w:val="es-DO"/>
        </w:rPr>
      </w:pPr>
    </w:p>
    <w:p w14:paraId="1C1F404E" w14:textId="6EBA6B68" w:rsidR="008D7F4E" w:rsidRPr="002B4451" w:rsidRDefault="00654164" w:rsidP="00340DF1">
      <w:pPr>
        <w:spacing w:line="360" w:lineRule="auto"/>
        <w:rPr>
          <w:lang w:val="es-DO"/>
        </w:rPr>
      </w:pPr>
      <w:r w:rsidRPr="002B4451">
        <w:rPr>
          <w:noProof/>
          <w:lang w:val="es-DO" w:eastAsia="es-DO"/>
        </w:rPr>
        <mc:AlternateContent>
          <mc:Choice Requires="wps">
            <w:drawing>
              <wp:anchor distT="0" distB="0" distL="114300" distR="114300" simplePos="0" relativeHeight="251658241"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340DF1">
      <w:pPr>
        <w:spacing w:line="360" w:lineRule="auto"/>
        <w:rPr>
          <w:b/>
          <w:bCs/>
          <w:lang w:val="es-DO"/>
        </w:rPr>
      </w:pPr>
      <w:r w:rsidRPr="002B4451">
        <w:rPr>
          <w:noProof/>
          <w:lang w:val="es-DO" w:eastAsia="es-DO"/>
        </w:rPr>
        <mc:AlternateContent>
          <mc:Choice Requires="wps">
            <w:drawing>
              <wp:anchor distT="0" distB="0" distL="114300" distR="114300" simplePos="0" relativeHeight="251658253"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340DF1">
      <w:pPr>
        <w:spacing w:line="360" w:lineRule="auto"/>
        <w:rPr>
          <w:lang w:val="es-DO"/>
        </w:rPr>
      </w:pPr>
    </w:p>
    <w:p w14:paraId="2ADA86D9" w14:textId="7BFC7FAB" w:rsidR="008D7F4E" w:rsidRPr="002B4451" w:rsidRDefault="008D7F4E" w:rsidP="00340DF1">
      <w:pPr>
        <w:spacing w:line="360" w:lineRule="auto"/>
        <w:rPr>
          <w:b/>
          <w:bCs/>
          <w:lang w:val="es-DO"/>
        </w:rPr>
      </w:pPr>
    </w:p>
    <w:p w14:paraId="163CEF29" w14:textId="2E82E86B" w:rsidR="00E739F8" w:rsidRPr="002B4451" w:rsidRDefault="001E07B9" w:rsidP="00340DF1">
      <w:pPr>
        <w:spacing w:line="360" w:lineRule="auto"/>
        <w:rPr>
          <w:b/>
          <w:bCs/>
          <w:lang w:val="es-DO"/>
        </w:rPr>
      </w:pPr>
      <w:r>
        <w:rPr>
          <w:noProof/>
          <w:lang w:val="es-DO" w:eastAsia="es-DO"/>
        </w:rPr>
        <mc:AlternateContent>
          <mc:Choice Requires="wps">
            <w:drawing>
              <wp:anchor distT="4294967295" distB="4294967295" distL="114300" distR="114300" simplePos="0" relativeHeight="251658252"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CB05FDB" id="Straight Connector 22" o:spid="_x0000_s1026" style="position:absolute;z-index:2516582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340DF1">
      <w:pPr>
        <w:spacing w:line="360" w:lineRule="auto"/>
        <w:rPr>
          <w:b/>
          <w:bCs/>
          <w:lang w:val="es-DO"/>
        </w:rPr>
      </w:pPr>
      <w:r w:rsidRPr="002B4451">
        <w:rPr>
          <w:noProof/>
          <w:lang w:val="es-DO" w:eastAsia="es-DO"/>
        </w:rPr>
        <mc:AlternateContent>
          <mc:Choice Requires="wps">
            <w:drawing>
              <wp:anchor distT="0" distB="0" distL="114300" distR="114300" simplePos="0" relativeHeight="251658248"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340DF1">
      <w:pPr>
        <w:tabs>
          <w:tab w:val="left" w:pos="5229"/>
        </w:tabs>
        <w:spacing w:line="360" w:lineRule="auto"/>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340DF1">
      <w:pPr>
        <w:tabs>
          <w:tab w:val="left" w:pos="5229"/>
        </w:tabs>
        <w:spacing w:line="360" w:lineRule="auto"/>
        <w:rPr>
          <w:lang w:val="es-DO"/>
        </w:rPr>
      </w:pPr>
    </w:p>
    <w:p w14:paraId="5220AA7B" w14:textId="7F7316F4" w:rsidR="008D7F4E" w:rsidRPr="002B4451" w:rsidRDefault="008D7F4E" w:rsidP="00340DF1">
      <w:pPr>
        <w:tabs>
          <w:tab w:val="left" w:pos="5229"/>
        </w:tabs>
        <w:spacing w:line="360" w:lineRule="auto"/>
        <w:rPr>
          <w:lang w:val="es-DO"/>
        </w:rPr>
      </w:pPr>
    </w:p>
    <w:p w14:paraId="04CE79E8" w14:textId="77777777" w:rsidR="00B45B38" w:rsidRDefault="00B45B38" w:rsidP="00340DF1">
      <w:pPr>
        <w:tabs>
          <w:tab w:val="left" w:pos="5229"/>
        </w:tabs>
        <w:spacing w:line="360" w:lineRule="auto"/>
        <w:rPr>
          <w:lang w:val="es-DO"/>
        </w:rPr>
      </w:pPr>
    </w:p>
    <w:p w14:paraId="67651FE9" w14:textId="77777777" w:rsidR="00EE124D" w:rsidRDefault="00EE124D" w:rsidP="00340DF1">
      <w:pPr>
        <w:tabs>
          <w:tab w:val="left" w:pos="5229"/>
        </w:tabs>
        <w:spacing w:line="360" w:lineRule="auto"/>
        <w:rPr>
          <w:lang w:val="es-DO"/>
        </w:rPr>
      </w:pPr>
    </w:p>
    <w:p w14:paraId="0F1B3533" w14:textId="77777777" w:rsidR="00EE124D" w:rsidRDefault="00EE124D" w:rsidP="00340DF1">
      <w:pPr>
        <w:tabs>
          <w:tab w:val="left" w:pos="5229"/>
        </w:tabs>
        <w:spacing w:line="360" w:lineRule="auto"/>
        <w:rPr>
          <w:lang w:val="es-DO"/>
        </w:rPr>
      </w:pPr>
    </w:p>
    <w:p w14:paraId="725ADFEA" w14:textId="77777777" w:rsidR="00EE124D" w:rsidRDefault="00EE124D" w:rsidP="00340DF1">
      <w:pPr>
        <w:tabs>
          <w:tab w:val="left" w:pos="5229"/>
        </w:tabs>
        <w:spacing w:line="360" w:lineRule="auto"/>
        <w:rPr>
          <w:lang w:val="es-DO"/>
        </w:rPr>
      </w:pPr>
    </w:p>
    <w:p w14:paraId="59F2CBAA" w14:textId="77777777" w:rsidR="00B45B38" w:rsidRDefault="00B45B38" w:rsidP="00340DF1">
      <w:pPr>
        <w:tabs>
          <w:tab w:val="left" w:pos="5229"/>
        </w:tabs>
        <w:spacing w:line="360" w:lineRule="auto"/>
        <w:jc w:val="center"/>
        <w:rPr>
          <w:lang w:val="es-DO"/>
        </w:rPr>
      </w:pPr>
    </w:p>
    <w:p w14:paraId="6B439D31" w14:textId="1820C81F" w:rsidR="00B45B38" w:rsidRDefault="00544419" w:rsidP="00340DF1">
      <w:pPr>
        <w:tabs>
          <w:tab w:val="left" w:pos="5229"/>
        </w:tabs>
        <w:spacing w:line="360" w:lineRule="auto"/>
        <w:rPr>
          <w:lang w:val="es-DO"/>
        </w:rPr>
      </w:pPr>
      <w:r>
        <w:rPr>
          <w:noProof/>
          <w:lang w:val="es-DO" w:eastAsia="es-DO"/>
        </w:rPr>
        <mc:AlternateContent>
          <mc:Choice Requires="wpg">
            <w:drawing>
              <wp:anchor distT="0" distB="0" distL="114300" distR="114300" simplePos="0" relativeHeight="251658255" behindDoc="0" locked="0" layoutInCell="1" allowOverlap="1" wp14:anchorId="668AD27C" wp14:editId="59D6DC62">
                <wp:simplePos x="0" y="0"/>
                <wp:positionH relativeFrom="column">
                  <wp:posOffset>352425</wp:posOffset>
                </wp:positionH>
                <wp:positionV relativeFrom="paragraph">
                  <wp:posOffset>271780</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38104" y="0"/>
                          <a:chExt cx="2527539" cy="1005840"/>
                        </a:xfrm>
                      </wpg:grpSpPr>
                      <wps:wsp>
                        <wps:cNvPr id="30" name="Text Box 30"/>
                        <wps:cNvSpPr txBox="1">
                          <a:spLocks/>
                        </wps:cNvSpPr>
                        <wps:spPr>
                          <a:xfrm>
                            <a:off x="-38104" y="624840"/>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27.75pt;margin-top:21.4pt;width:199pt;height:79.2pt;z-index:251658255;mso-width-relative:margin" coordorigin="-381"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">
                <v:shape id="Text Box 30" o:spid="_x0000_s1038" type="#_x0000_t202" style="position:absolute;left:-381;top:6248;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668F0788" w:rsidR="008D7F4E" w:rsidRPr="002B4451" w:rsidRDefault="008D7F4E" w:rsidP="00340DF1">
      <w:pPr>
        <w:tabs>
          <w:tab w:val="left" w:pos="5229"/>
        </w:tabs>
        <w:spacing w:line="360" w:lineRule="auto"/>
        <w:rPr>
          <w:lang w:val="es-DO"/>
        </w:rPr>
      </w:pPr>
    </w:p>
    <w:p w14:paraId="23883059" w14:textId="046A9B79" w:rsidR="00964063" w:rsidRPr="00851221" w:rsidRDefault="00A053F3" w:rsidP="00340DF1">
      <w:pPr>
        <w:tabs>
          <w:tab w:val="left" w:pos="5229"/>
        </w:tabs>
        <w:spacing w:line="360" w:lineRule="auto"/>
        <w:rPr>
          <w:lang w:val="es-DO"/>
        </w:rPr>
      </w:pPr>
      <w:r>
        <w:rPr>
          <w:noProof/>
          <w:lang w:val="es-DO" w:eastAsia="es-DO"/>
        </w:rPr>
        <w:drawing>
          <wp:anchor distT="0" distB="0" distL="114300" distR="114300" simplePos="0" relativeHeight="251658261" behindDoc="0" locked="0" layoutInCell="1" allowOverlap="1" wp14:anchorId="50002657" wp14:editId="40ADF1DC">
            <wp:simplePos x="0" y="0"/>
            <wp:positionH relativeFrom="margin">
              <wp:posOffset>3830320</wp:posOffset>
            </wp:positionH>
            <wp:positionV relativeFrom="paragraph">
              <wp:posOffset>104775</wp:posOffset>
            </wp:positionV>
            <wp:extent cx="2113894" cy="558503"/>
            <wp:effectExtent l="0" t="0" r="0" b="0"/>
            <wp:wrapNone/>
            <wp:docPr id="176649021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36448" name="Imagen 5430364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3894" cy="558503"/>
                    </a:xfrm>
                    <a:prstGeom prst="rect">
                      <a:avLst/>
                    </a:prstGeom>
                  </pic:spPr>
                </pic:pic>
              </a:graphicData>
            </a:graphic>
            <wp14:sizeRelH relativeFrom="margin">
              <wp14:pctWidth>0</wp14:pctWidth>
            </wp14:sizeRelH>
            <wp14:sizeRelV relativeFrom="margin">
              <wp14:pctHeight>0</wp14:pctHeight>
            </wp14:sizeRelV>
          </wp:anchor>
        </w:drawing>
      </w:r>
    </w:p>
    <w:p w14:paraId="16AD39D3" w14:textId="77777777" w:rsidR="00964063" w:rsidRDefault="00964063" w:rsidP="00340DF1">
      <w:pPr>
        <w:spacing w:line="360" w:lineRule="auto"/>
        <w:jc w:val="center"/>
        <w:rPr>
          <w:b/>
          <w:bCs/>
          <w:color w:val="4C4747"/>
          <w:sz w:val="28"/>
          <w:lang w:val="es-DO"/>
        </w:rPr>
      </w:pPr>
    </w:p>
    <w:p w14:paraId="48D2931D" w14:textId="77777777" w:rsidR="00964063" w:rsidRDefault="00964063" w:rsidP="00340DF1">
      <w:pPr>
        <w:spacing w:line="360" w:lineRule="auto"/>
        <w:jc w:val="center"/>
        <w:rPr>
          <w:b/>
          <w:bCs/>
          <w:color w:val="4C4747"/>
          <w:sz w:val="28"/>
          <w:lang w:val="es-DO"/>
        </w:rPr>
      </w:pPr>
    </w:p>
    <w:p w14:paraId="31E2FE32" w14:textId="0E901717" w:rsidR="00545797" w:rsidRPr="0058331C" w:rsidRDefault="00545797" w:rsidP="00340DF1">
      <w:pPr>
        <w:spacing w:line="360" w:lineRule="auto"/>
        <w:jc w:val="center"/>
        <w:rPr>
          <w:b/>
          <w:bCs/>
          <w:color w:val="4C4747"/>
          <w:sz w:val="28"/>
          <w:lang w:val="es-DO"/>
        </w:rPr>
      </w:pPr>
      <w:r w:rsidRPr="0058331C">
        <w:rPr>
          <w:b/>
          <w:bCs/>
          <w:color w:val="4C4747"/>
          <w:sz w:val="28"/>
          <w:lang w:val="es-DO"/>
        </w:rPr>
        <w:t>TABLA DE CONTENIDOS</w:t>
      </w:r>
    </w:p>
    <w:p w14:paraId="6C3E8713" w14:textId="043AA35F" w:rsidR="00545797" w:rsidRPr="0058331C" w:rsidRDefault="00545797" w:rsidP="00340DF1">
      <w:pPr>
        <w:spacing w:line="360" w:lineRule="auto"/>
        <w:rPr>
          <w:color w:val="4C4747"/>
          <w:lang w:val="es-DO"/>
        </w:rPr>
      </w:pPr>
      <w:r w:rsidRPr="0058331C">
        <w:rPr>
          <w:noProof/>
          <w:color w:val="4C4747"/>
          <w:lang w:val="es-DO" w:eastAsia="es-DO"/>
        </w:rPr>
        <mc:AlternateContent>
          <mc:Choice Requires="wps">
            <w:drawing>
              <wp:anchor distT="0" distB="0" distL="114300" distR="114300" simplePos="0" relativeHeight="251658249"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CF7A6" id="Straight Connector 18"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547E3558" w:rsidR="00545797" w:rsidRPr="0058331C" w:rsidRDefault="00654164" w:rsidP="00340DF1">
      <w:pPr>
        <w:spacing w:line="360" w:lineRule="auto"/>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w:t>
      </w:r>
      <w:r w:rsidR="0051332F">
        <w:rPr>
          <w:color w:val="4C4747"/>
          <w:lang w:val="es-DO"/>
        </w:rPr>
        <w:t>5</w:t>
      </w:r>
    </w:p>
    <w:p w14:paraId="2539C61E" w14:textId="77777777" w:rsidR="00545797" w:rsidRPr="0058331C" w:rsidRDefault="00545797" w:rsidP="00340DF1">
      <w:pPr>
        <w:spacing w:line="360" w:lineRule="auto"/>
        <w:rPr>
          <w:color w:val="4C4747"/>
          <w:lang w:val="es-DO"/>
        </w:rPr>
      </w:pPr>
    </w:p>
    <w:p w14:paraId="34723B93" w14:textId="77777777" w:rsidR="00545797" w:rsidRPr="00473793" w:rsidRDefault="00545797" w:rsidP="00340DF1">
      <w:pPr>
        <w:spacing w:line="360" w:lineRule="auto"/>
        <w:rPr>
          <w:rFonts w:eastAsia="Calibri"/>
          <w:noProof/>
          <w:color w:val="4C4747"/>
        </w:rPr>
      </w:pPr>
    </w:p>
    <w:sdt>
      <w:sdtPr>
        <w:rPr>
          <w:rFonts w:ascii="Times New Roman" w:eastAsia="Calibri" w:hAnsi="Times New Roman" w:cs="Times New Roman"/>
          <w:noProof/>
          <w:color w:val="4C4747"/>
          <w:sz w:val="24"/>
          <w:szCs w:val="24"/>
        </w:rPr>
        <w:id w:val="-1111128147"/>
        <w:docPartObj>
          <w:docPartGallery w:val="Table of Contents"/>
          <w:docPartUnique/>
        </w:docPartObj>
      </w:sdtPr>
      <w:sdtContent>
        <w:p w14:paraId="13CA098D" w14:textId="2CC93254" w:rsidR="00A630BC" w:rsidRPr="00473793" w:rsidRDefault="00A630BC" w:rsidP="00340DF1">
          <w:pPr>
            <w:pStyle w:val="TtuloTDC"/>
            <w:spacing w:line="360" w:lineRule="auto"/>
            <w:rPr>
              <w:rFonts w:ascii="Times New Roman" w:eastAsia="Calibri" w:hAnsi="Times New Roman" w:cs="Times New Roman"/>
              <w:noProof/>
              <w:color w:val="4C4747"/>
              <w:sz w:val="24"/>
              <w:szCs w:val="24"/>
            </w:rPr>
          </w:pPr>
        </w:p>
        <w:p w14:paraId="4E81B1CB" w14:textId="1E228252" w:rsidR="001936BA" w:rsidRDefault="00A630BC" w:rsidP="00340DF1">
          <w:pPr>
            <w:pStyle w:val="TDC1"/>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r w:rsidRPr="00473793">
            <w:rPr>
              <w:rFonts w:eastAsia="Calibri"/>
              <w:noProof/>
              <w:color w:val="4C4747"/>
            </w:rPr>
            <w:fldChar w:fldCharType="begin"/>
          </w:r>
          <w:r w:rsidRPr="00473793">
            <w:rPr>
              <w:rFonts w:eastAsia="Calibri"/>
              <w:noProof/>
              <w:color w:val="4C4747"/>
            </w:rPr>
            <w:instrText xml:space="preserve"> TOC \o "1-3" \h \z \u </w:instrText>
          </w:r>
          <w:r w:rsidRPr="00473793">
            <w:rPr>
              <w:rFonts w:eastAsia="Calibri"/>
              <w:noProof/>
              <w:color w:val="4C4747"/>
            </w:rPr>
            <w:fldChar w:fldCharType="separate"/>
          </w:r>
          <w:hyperlink w:anchor="_Toc217035425" w:history="1">
            <w:r w:rsidR="001936BA" w:rsidRPr="002F4822">
              <w:rPr>
                <w:rStyle w:val="Hipervnculo"/>
                <w:noProof/>
                <w:lang w:val="es-DO"/>
              </w:rPr>
              <w:t>RESUMEN EJECUTIVO</w:t>
            </w:r>
            <w:r w:rsidR="001936BA">
              <w:rPr>
                <w:noProof/>
                <w:webHidden/>
              </w:rPr>
              <w:tab/>
            </w:r>
            <w:r w:rsidR="001936BA">
              <w:rPr>
                <w:noProof/>
                <w:webHidden/>
              </w:rPr>
              <w:fldChar w:fldCharType="begin"/>
            </w:r>
            <w:r w:rsidR="001936BA">
              <w:rPr>
                <w:noProof/>
                <w:webHidden/>
              </w:rPr>
              <w:instrText xml:space="preserve"> PAGEREF _Toc217035425 \h </w:instrText>
            </w:r>
            <w:r w:rsidR="001936BA">
              <w:rPr>
                <w:noProof/>
                <w:webHidden/>
              </w:rPr>
            </w:r>
            <w:r w:rsidR="001936BA">
              <w:rPr>
                <w:noProof/>
                <w:webHidden/>
              </w:rPr>
              <w:fldChar w:fldCharType="separate"/>
            </w:r>
            <w:r w:rsidR="0041775C">
              <w:rPr>
                <w:noProof/>
                <w:webHidden/>
              </w:rPr>
              <w:t>1</w:t>
            </w:r>
            <w:r w:rsidR="001936BA">
              <w:rPr>
                <w:noProof/>
                <w:webHidden/>
              </w:rPr>
              <w:fldChar w:fldCharType="end"/>
            </w:r>
          </w:hyperlink>
        </w:p>
        <w:p w14:paraId="608E8519" w14:textId="74AAEE4E"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26" w:history="1">
            <w:r w:rsidRPr="002F4822">
              <w:rPr>
                <w:rStyle w:val="Hipervnculo"/>
                <w:noProof/>
              </w:rPr>
              <w:t>2.1Marco filosófico institucional</w:t>
            </w:r>
            <w:r>
              <w:rPr>
                <w:noProof/>
                <w:webHidden/>
              </w:rPr>
              <w:tab/>
            </w:r>
            <w:r>
              <w:rPr>
                <w:noProof/>
                <w:webHidden/>
              </w:rPr>
              <w:fldChar w:fldCharType="begin"/>
            </w:r>
            <w:r>
              <w:rPr>
                <w:noProof/>
                <w:webHidden/>
              </w:rPr>
              <w:instrText xml:space="preserve"> PAGEREF _Toc217035426 \h </w:instrText>
            </w:r>
            <w:r>
              <w:rPr>
                <w:noProof/>
                <w:webHidden/>
              </w:rPr>
            </w:r>
            <w:r>
              <w:rPr>
                <w:noProof/>
                <w:webHidden/>
              </w:rPr>
              <w:fldChar w:fldCharType="separate"/>
            </w:r>
            <w:r w:rsidR="0041775C">
              <w:rPr>
                <w:noProof/>
                <w:webHidden/>
              </w:rPr>
              <w:t>7</w:t>
            </w:r>
            <w:r>
              <w:rPr>
                <w:noProof/>
                <w:webHidden/>
              </w:rPr>
              <w:fldChar w:fldCharType="end"/>
            </w:r>
          </w:hyperlink>
        </w:p>
        <w:p w14:paraId="5694ED71" w14:textId="2851B4A4"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27" w:history="1">
            <w:r w:rsidRPr="002F4822">
              <w:rPr>
                <w:rStyle w:val="Hipervnculo"/>
                <w:noProof/>
              </w:rPr>
              <w:t>2.2 Base legal</w:t>
            </w:r>
            <w:r>
              <w:rPr>
                <w:noProof/>
                <w:webHidden/>
              </w:rPr>
              <w:tab/>
            </w:r>
            <w:r>
              <w:rPr>
                <w:noProof/>
                <w:webHidden/>
              </w:rPr>
              <w:fldChar w:fldCharType="begin"/>
            </w:r>
            <w:r>
              <w:rPr>
                <w:noProof/>
                <w:webHidden/>
              </w:rPr>
              <w:instrText xml:space="preserve"> PAGEREF _Toc217035427 \h </w:instrText>
            </w:r>
            <w:r>
              <w:rPr>
                <w:noProof/>
                <w:webHidden/>
              </w:rPr>
            </w:r>
            <w:r>
              <w:rPr>
                <w:noProof/>
                <w:webHidden/>
              </w:rPr>
              <w:fldChar w:fldCharType="separate"/>
            </w:r>
            <w:r w:rsidR="0041775C">
              <w:rPr>
                <w:noProof/>
                <w:webHidden/>
              </w:rPr>
              <w:t>8</w:t>
            </w:r>
            <w:r>
              <w:rPr>
                <w:noProof/>
                <w:webHidden/>
              </w:rPr>
              <w:fldChar w:fldCharType="end"/>
            </w:r>
          </w:hyperlink>
        </w:p>
        <w:p w14:paraId="2A65EE54" w14:textId="6F408088"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28" w:history="1">
            <w:r w:rsidRPr="002F4822">
              <w:rPr>
                <w:rStyle w:val="Hipervnculo"/>
                <w:rFonts w:eastAsia="Calibri"/>
                <w:noProof/>
                <w:lang w:val="es-DO"/>
              </w:rPr>
              <w:t xml:space="preserve">2.3 </w:t>
            </w:r>
            <w:r w:rsidRPr="002F4822">
              <w:rPr>
                <w:rStyle w:val="Hipervnculo"/>
                <w:noProof/>
              </w:rPr>
              <w:t>Estructura organizativa</w:t>
            </w:r>
            <w:r>
              <w:rPr>
                <w:noProof/>
                <w:webHidden/>
              </w:rPr>
              <w:tab/>
            </w:r>
            <w:r>
              <w:rPr>
                <w:noProof/>
                <w:webHidden/>
              </w:rPr>
              <w:fldChar w:fldCharType="begin"/>
            </w:r>
            <w:r>
              <w:rPr>
                <w:noProof/>
                <w:webHidden/>
              </w:rPr>
              <w:instrText xml:space="preserve"> PAGEREF _Toc217035428 \h </w:instrText>
            </w:r>
            <w:r>
              <w:rPr>
                <w:noProof/>
                <w:webHidden/>
              </w:rPr>
            </w:r>
            <w:r>
              <w:rPr>
                <w:noProof/>
                <w:webHidden/>
              </w:rPr>
              <w:fldChar w:fldCharType="separate"/>
            </w:r>
            <w:r w:rsidR="0041775C">
              <w:rPr>
                <w:noProof/>
                <w:webHidden/>
              </w:rPr>
              <w:t>12</w:t>
            </w:r>
            <w:r>
              <w:rPr>
                <w:noProof/>
                <w:webHidden/>
              </w:rPr>
              <w:fldChar w:fldCharType="end"/>
            </w:r>
          </w:hyperlink>
        </w:p>
        <w:p w14:paraId="2374E409" w14:textId="622F10E2" w:rsidR="001936BA" w:rsidRDefault="001936BA" w:rsidP="00340DF1">
          <w:pPr>
            <w:pStyle w:val="TDC1"/>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29" w:history="1">
            <w:r w:rsidRPr="002F4822">
              <w:rPr>
                <w:rStyle w:val="Hipervnculo"/>
                <w:noProof/>
                <w:lang w:val="es-DO"/>
              </w:rPr>
              <w:t>RESULTADOS MISIONALES</w:t>
            </w:r>
            <w:r>
              <w:rPr>
                <w:noProof/>
                <w:webHidden/>
              </w:rPr>
              <w:tab/>
            </w:r>
            <w:r>
              <w:rPr>
                <w:noProof/>
                <w:webHidden/>
              </w:rPr>
              <w:fldChar w:fldCharType="begin"/>
            </w:r>
            <w:r>
              <w:rPr>
                <w:noProof/>
                <w:webHidden/>
              </w:rPr>
              <w:instrText xml:space="preserve"> PAGEREF _Toc217035429 \h </w:instrText>
            </w:r>
            <w:r>
              <w:rPr>
                <w:noProof/>
                <w:webHidden/>
              </w:rPr>
            </w:r>
            <w:r>
              <w:rPr>
                <w:noProof/>
                <w:webHidden/>
              </w:rPr>
              <w:fldChar w:fldCharType="separate"/>
            </w:r>
            <w:r w:rsidR="0041775C">
              <w:rPr>
                <w:noProof/>
                <w:webHidden/>
              </w:rPr>
              <w:t>16</w:t>
            </w:r>
            <w:r>
              <w:rPr>
                <w:noProof/>
                <w:webHidden/>
              </w:rPr>
              <w:fldChar w:fldCharType="end"/>
            </w:r>
          </w:hyperlink>
        </w:p>
        <w:p w14:paraId="565CE6BD" w14:textId="250D9F33" w:rsidR="001936BA" w:rsidRDefault="001936BA" w:rsidP="00340DF1">
          <w:pPr>
            <w:pStyle w:val="TDC1"/>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30" w:history="1">
            <w:r w:rsidRPr="002F4822">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_Toc217035430 \h </w:instrText>
            </w:r>
            <w:r>
              <w:rPr>
                <w:noProof/>
                <w:webHidden/>
              </w:rPr>
            </w:r>
            <w:r>
              <w:rPr>
                <w:noProof/>
                <w:webHidden/>
              </w:rPr>
              <w:fldChar w:fldCharType="separate"/>
            </w:r>
            <w:r w:rsidR="0041775C">
              <w:rPr>
                <w:noProof/>
                <w:webHidden/>
              </w:rPr>
              <w:t>33</w:t>
            </w:r>
            <w:r>
              <w:rPr>
                <w:noProof/>
                <w:webHidden/>
              </w:rPr>
              <w:fldChar w:fldCharType="end"/>
            </w:r>
          </w:hyperlink>
        </w:p>
        <w:p w14:paraId="450CC6B6" w14:textId="7BF84290"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31" w:history="1">
            <w:r w:rsidRPr="002F4822">
              <w:rPr>
                <w:rStyle w:val="Hipervnculo"/>
                <w:noProof/>
              </w:rPr>
              <w:t>4.1 Desempeño administrativo y financiero</w:t>
            </w:r>
            <w:r>
              <w:rPr>
                <w:noProof/>
                <w:webHidden/>
              </w:rPr>
              <w:tab/>
            </w:r>
            <w:r>
              <w:rPr>
                <w:noProof/>
                <w:webHidden/>
              </w:rPr>
              <w:fldChar w:fldCharType="begin"/>
            </w:r>
            <w:r>
              <w:rPr>
                <w:noProof/>
                <w:webHidden/>
              </w:rPr>
              <w:instrText xml:space="preserve"> PAGEREF _Toc217035431 \h </w:instrText>
            </w:r>
            <w:r>
              <w:rPr>
                <w:noProof/>
                <w:webHidden/>
              </w:rPr>
            </w:r>
            <w:r>
              <w:rPr>
                <w:noProof/>
                <w:webHidden/>
              </w:rPr>
              <w:fldChar w:fldCharType="separate"/>
            </w:r>
            <w:r w:rsidR="0041775C">
              <w:rPr>
                <w:noProof/>
                <w:webHidden/>
              </w:rPr>
              <w:t>34</w:t>
            </w:r>
            <w:r>
              <w:rPr>
                <w:noProof/>
                <w:webHidden/>
              </w:rPr>
              <w:fldChar w:fldCharType="end"/>
            </w:r>
          </w:hyperlink>
        </w:p>
        <w:p w14:paraId="16301D18" w14:textId="590FA549"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32" w:history="1">
            <w:r w:rsidRPr="002F4822">
              <w:rPr>
                <w:rStyle w:val="Hipervnculo"/>
                <w:noProof/>
              </w:rPr>
              <w:t>4.2 Desempeño de los recursos humanos</w:t>
            </w:r>
            <w:r>
              <w:rPr>
                <w:noProof/>
                <w:webHidden/>
              </w:rPr>
              <w:tab/>
            </w:r>
            <w:r>
              <w:rPr>
                <w:noProof/>
                <w:webHidden/>
              </w:rPr>
              <w:fldChar w:fldCharType="begin"/>
            </w:r>
            <w:r>
              <w:rPr>
                <w:noProof/>
                <w:webHidden/>
              </w:rPr>
              <w:instrText xml:space="preserve"> PAGEREF _Toc217035432 \h </w:instrText>
            </w:r>
            <w:r>
              <w:rPr>
                <w:noProof/>
                <w:webHidden/>
              </w:rPr>
            </w:r>
            <w:r>
              <w:rPr>
                <w:noProof/>
                <w:webHidden/>
              </w:rPr>
              <w:fldChar w:fldCharType="separate"/>
            </w:r>
            <w:r w:rsidR="0041775C">
              <w:rPr>
                <w:noProof/>
                <w:webHidden/>
              </w:rPr>
              <w:t>36</w:t>
            </w:r>
            <w:r>
              <w:rPr>
                <w:noProof/>
                <w:webHidden/>
              </w:rPr>
              <w:fldChar w:fldCharType="end"/>
            </w:r>
          </w:hyperlink>
        </w:p>
        <w:p w14:paraId="4ED8E78D" w14:textId="1A4EAB46"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33" w:history="1">
            <w:r w:rsidRPr="002F4822">
              <w:rPr>
                <w:rStyle w:val="Hipervnculo"/>
                <w:noProof/>
                <w:lang w:val="es-DO"/>
              </w:rPr>
              <w:t>4. 3 Desempeño de la tecnología</w:t>
            </w:r>
            <w:r>
              <w:rPr>
                <w:noProof/>
                <w:webHidden/>
              </w:rPr>
              <w:tab/>
            </w:r>
            <w:r>
              <w:rPr>
                <w:noProof/>
                <w:webHidden/>
              </w:rPr>
              <w:fldChar w:fldCharType="begin"/>
            </w:r>
            <w:r>
              <w:rPr>
                <w:noProof/>
                <w:webHidden/>
              </w:rPr>
              <w:instrText xml:space="preserve"> PAGEREF _Toc217035433 \h </w:instrText>
            </w:r>
            <w:r>
              <w:rPr>
                <w:noProof/>
                <w:webHidden/>
              </w:rPr>
            </w:r>
            <w:r>
              <w:rPr>
                <w:noProof/>
                <w:webHidden/>
              </w:rPr>
              <w:fldChar w:fldCharType="separate"/>
            </w:r>
            <w:r w:rsidR="0041775C">
              <w:rPr>
                <w:noProof/>
                <w:webHidden/>
              </w:rPr>
              <w:t>42</w:t>
            </w:r>
            <w:r>
              <w:rPr>
                <w:noProof/>
                <w:webHidden/>
              </w:rPr>
              <w:fldChar w:fldCharType="end"/>
            </w:r>
          </w:hyperlink>
        </w:p>
        <w:p w14:paraId="7237F126" w14:textId="35A38A6A"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34" w:history="1">
            <w:r w:rsidRPr="002F4822">
              <w:rPr>
                <w:rStyle w:val="Hipervnculo"/>
                <w:noProof/>
                <w:lang w:val="es-DO"/>
              </w:rPr>
              <w:t>4.4 Desempeño del Sistema de Planificación y Desarrollo Institucional</w:t>
            </w:r>
            <w:r>
              <w:rPr>
                <w:noProof/>
                <w:webHidden/>
              </w:rPr>
              <w:tab/>
            </w:r>
            <w:r>
              <w:rPr>
                <w:noProof/>
                <w:webHidden/>
              </w:rPr>
              <w:fldChar w:fldCharType="begin"/>
            </w:r>
            <w:r>
              <w:rPr>
                <w:noProof/>
                <w:webHidden/>
              </w:rPr>
              <w:instrText xml:space="preserve"> PAGEREF _Toc217035434 \h </w:instrText>
            </w:r>
            <w:r>
              <w:rPr>
                <w:noProof/>
                <w:webHidden/>
              </w:rPr>
            </w:r>
            <w:r>
              <w:rPr>
                <w:noProof/>
                <w:webHidden/>
              </w:rPr>
              <w:fldChar w:fldCharType="separate"/>
            </w:r>
            <w:r w:rsidR="0041775C">
              <w:rPr>
                <w:noProof/>
                <w:webHidden/>
              </w:rPr>
              <w:t>46</w:t>
            </w:r>
            <w:r>
              <w:rPr>
                <w:noProof/>
                <w:webHidden/>
              </w:rPr>
              <w:fldChar w:fldCharType="end"/>
            </w:r>
          </w:hyperlink>
        </w:p>
        <w:p w14:paraId="672B3258" w14:textId="5AA1705F"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35" w:history="1">
            <w:r w:rsidRPr="002F4822">
              <w:rPr>
                <w:rStyle w:val="Hipervnculo"/>
                <w:noProof/>
                <w:lang w:val="es-DO"/>
              </w:rPr>
              <w:t>4.5 Desempeño las comunicaciones</w:t>
            </w:r>
            <w:r>
              <w:rPr>
                <w:noProof/>
                <w:webHidden/>
              </w:rPr>
              <w:tab/>
            </w:r>
            <w:r>
              <w:rPr>
                <w:noProof/>
                <w:webHidden/>
              </w:rPr>
              <w:fldChar w:fldCharType="begin"/>
            </w:r>
            <w:r>
              <w:rPr>
                <w:noProof/>
                <w:webHidden/>
              </w:rPr>
              <w:instrText xml:space="preserve"> PAGEREF _Toc217035435 \h </w:instrText>
            </w:r>
            <w:r>
              <w:rPr>
                <w:noProof/>
                <w:webHidden/>
              </w:rPr>
            </w:r>
            <w:r>
              <w:rPr>
                <w:noProof/>
                <w:webHidden/>
              </w:rPr>
              <w:fldChar w:fldCharType="separate"/>
            </w:r>
            <w:r w:rsidR="0041775C">
              <w:rPr>
                <w:noProof/>
                <w:webHidden/>
              </w:rPr>
              <w:t>51</w:t>
            </w:r>
            <w:r>
              <w:rPr>
                <w:noProof/>
                <w:webHidden/>
              </w:rPr>
              <w:fldChar w:fldCharType="end"/>
            </w:r>
          </w:hyperlink>
        </w:p>
        <w:p w14:paraId="7F373767" w14:textId="1212EACF" w:rsidR="001936BA" w:rsidRDefault="001936BA" w:rsidP="00340DF1">
          <w:pPr>
            <w:pStyle w:val="TDC1"/>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36" w:history="1">
            <w:r w:rsidRPr="002F4822">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_Toc217035436 \h </w:instrText>
            </w:r>
            <w:r>
              <w:rPr>
                <w:noProof/>
                <w:webHidden/>
              </w:rPr>
            </w:r>
            <w:r>
              <w:rPr>
                <w:noProof/>
                <w:webHidden/>
              </w:rPr>
              <w:fldChar w:fldCharType="separate"/>
            </w:r>
            <w:r w:rsidR="0041775C">
              <w:rPr>
                <w:noProof/>
                <w:webHidden/>
              </w:rPr>
              <w:t>55</w:t>
            </w:r>
            <w:r>
              <w:rPr>
                <w:noProof/>
                <w:webHidden/>
              </w:rPr>
              <w:fldChar w:fldCharType="end"/>
            </w:r>
          </w:hyperlink>
        </w:p>
        <w:p w14:paraId="045557AB" w14:textId="348C84AB"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37" w:history="1">
            <w:r w:rsidRPr="002F4822">
              <w:rPr>
                <w:rStyle w:val="Hipervnculo"/>
                <w:noProof/>
                <w:lang w:val="es-DO"/>
              </w:rPr>
              <w:t>5.1 Nivel de satisfacción con el servicio</w:t>
            </w:r>
            <w:r>
              <w:rPr>
                <w:noProof/>
                <w:webHidden/>
              </w:rPr>
              <w:tab/>
            </w:r>
            <w:r>
              <w:rPr>
                <w:noProof/>
                <w:webHidden/>
              </w:rPr>
              <w:fldChar w:fldCharType="begin"/>
            </w:r>
            <w:r>
              <w:rPr>
                <w:noProof/>
                <w:webHidden/>
              </w:rPr>
              <w:instrText xml:space="preserve"> PAGEREF _Toc217035437 \h </w:instrText>
            </w:r>
            <w:r>
              <w:rPr>
                <w:noProof/>
                <w:webHidden/>
              </w:rPr>
            </w:r>
            <w:r>
              <w:rPr>
                <w:noProof/>
                <w:webHidden/>
              </w:rPr>
              <w:fldChar w:fldCharType="separate"/>
            </w:r>
            <w:r w:rsidR="0041775C">
              <w:rPr>
                <w:noProof/>
                <w:webHidden/>
              </w:rPr>
              <w:t>55</w:t>
            </w:r>
            <w:r>
              <w:rPr>
                <w:noProof/>
                <w:webHidden/>
              </w:rPr>
              <w:fldChar w:fldCharType="end"/>
            </w:r>
          </w:hyperlink>
        </w:p>
        <w:p w14:paraId="5910E84D" w14:textId="0584845C"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38" w:history="1">
            <w:r w:rsidRPr="002F4822">
              <w:rPr>
                <w:rStyle w:val="Hipervnculo"/>
                <w:noProof/>
                <w:lang w:val="es-DO"/>
              </w:rPr>
              <w:t>5.2 Nivel de cumplimiento de acceso a la información</w:t>
            </w:r>
            <w:r>
              <w:rPr>
                <w:noProof/>
                <w:webHidden/>
              </w:rPr>
              <w:tab/>
            </w:r>
            <w:r>
              <w:rPr>
                <w:noProof/>
                <w:webHidden/>
              </w:rPr>
              <w:fldChar w:fldCharType="begin"/>
            </w:r>
            <w:r>
              <w:rPr>
                <w:noProof/>
                <w:webHidden/>
              </w:rPr>
              <w:instrText xml:space="preserve"> PAGEREF _Toc217035438 \h </w:instrText>
            </w:r>
            <w:r>
              <w:rPr>
                <w:noProof/>
                <w:webHidden/>
              </w:rPr>
            </w:r>
            <w:r>
              <w:rPr>
                <w:noProof/>
                <w:webHidden/>
              </w:rPr>
              <w:fldChar w:fldCharType="separate"/>
            </w:r>
            <w:r w:rsidR="0041775C">
              <w:rPr>
                <w:noProof/>
                <w:webHidden/>
              </w:rPr>
              <w:t>57</w:t>
            </w:r>
            <w:r>
              <w:rPr>
                <w:noProof/>
                <w:webHidden/>
              </w:rPr>
              <w:fldChar w:fldCharType="end"/>
            </w:r>
          </w:hyperlink>
        </w:p>
        <w:p w14:paraId="78ACC01D" w14:textId="69356DCE"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39" w:history="1">
            <w:r w:rsidRPr="002F4822">
              <w:rPr>
                <w:rStyle w:val="Hipervnculo"/>
                <w:noProof/>
                <w:lang w:val="es-DO"/>
              </w:rPr>
              <w:t>5.3 Resultado de sistema de Quejas, Reclamos y Sugerencias</w:t>
            </w:r>
            <w:r>
              <w:rPr>
                <w:noProof/>
                <w:webHidden/>
              </w:rPr>
              <w:tab/>
            </w:r>
            <w:r>
              <w:rPr>
                <w:noProof/>
                <w:webHidden/>
              </w:rPr>
              <w:fldChar w:fldCharType="begin"/>
            </w:r>
            <w:r>
              <w:rPr>
                <w:noProof/>
                <w:webHidden/>
              </w:rPr>
              <w:instrText xml:space="preserve"> PAGEREF _Toc217035439 \h </w:instrText>
            </w:r>
            <w:r>
              <w:rPr>
                <w:noProof/>
                <w:webHidden/>
              </w:rPr>
            </w:r>
            <w:r>
              <w:rPr>
                <w:noProof/>
                <w:webHidden/>
              </w:rPr>
              <w:fldChar w:fldCharType="separate"/>
            </w:r>
            <w:r w:rsidR="0041775C">
              <w:rPr>
                <w:noProof/>
                <w:webHidden/>
              </w:rPr>
              <w:t>59</w:t>
            </w:r>
            <w:r>
              <w:rPr>
                <w:noProof/>
                <w:webHidden/>
              </w:rPr>
              <w:fldChar w:fldCharType="end"/>
            </w:r>
          </w:hyperlink>
        </w:p>
        <w:p w14:paraId="16531931" w14:textId="7D2EE557" w:rsidR="001936BA" w:rsidRDefault="001936BA" w:rsidP="00340DF1">
          <w:pPr>
            <w:pStyle w:val="TDC2"/>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40" w:history="1">
            <w:r w:rsidRPr="002F4822">
              <w:rPr>
                <w:rStyle w:val="Hipervnculo"/>
                <w:noProof/>
                <w:lang w:val="es-DO"/>
              </w:rPr>
              <w:t>5.4 Resultados de meidciones del portal de transparencia</w:t>
            </w:r>
            <w:r>
              <w:rPr>
                <w:noProof/>
                <w:webHidden/>
              </w:rPr>
              <w:tab/>
            </w:r>
            <w:r>
              <w:rPr>
                <w:noProof/>
                <w:webHidden/>
              </w:rPr>
              <w:fldChar w:fldCharType="begin"/>
            </w:r>
            <w:r>
              <w:rPr>
                <w:noProof/>
                <w:webHidden/>
              </w:rPr>
              <w:instrText xml:space="preserve"> PAGEREF _Toc217035440 \h </w:instrText>
            </w:r>
            <w:r>
              <w:rPr>
                <w:noProof/>
                <w:webHidden/>
              </w:rPr>
            </w:r>
            <w:r>
              <w:rPr>
                <w:noProof/>
                <w:webHidden/>
              </w:rPr>
              <w:fldChar w:fldCharType="separate"/>
            </w:r>
            <w:r w:rsidR="0041775C">
              <w:rPr>
                <w:noProof/>
                <w:webHidden/>
              </w:rPr>
              <w:t>60</w:t>
            </w:r>
            <w:r>
              <w:rPr>
                <w:noProof/>
                <w:webHidden/>
              </w:rPr>
              <w:fldChar w:fldCharType="end"/>
            </w:r>
          </w:hyperlink>
        </w:p>
        <w:p w14:paraId="0CFA1BA2" w14:textId="005979CE" w:rsidR="001936BA" w:rsidRDefault="001936BA" w:rsidP="00340DF1">
          <w:pPr>
            <w:pStyle w:val="TDC1"/>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41" w:history="1">
            <w:r w:rsidRPr="002F4822">
              <w:rPr>
                <w:rStyle w:val="Hipervnculo"/>
                <w:noProof/>
                <w:lang w:val="es-DO"/>
              </w:rPr>
              <w:t>PROYECCIONES AL PRÓXIMO AÑO</w:t>
            </w:r>
            <w:r>
              <w:rPr>
                <w:noProof/>
                <w:webHidden/>
              </w:rPr>
              <w:tab/>
            </w:r>
            <w:r>
              <w:rPr>
                <w:noProof/>
                <w:webHidden/>
              </w:rPr>
              <w:fldChar w:fldCharType="begin"/>
            </w:r>
            <w:r>
              <w:rPr>
                <w:noProof/>
                <w:webHidden/>
              </w:rPr>
              <w:instrText xml:space="preserve"> PAGEREF _Toc217035441 \h </w:instrText>
            </w:r>
            <w:r>
              <w:rPr>
                <w:noProof/>
                <w:webHidden/>
              </w:rPr>
            </w:r>
            <w:r>
              <w:rPr>
                <w:noProof/>
                <w:webHidden/>
              </w:rPr>
              <w:fldChar w:fldCharType="separate"/>
            </w:r>
            <w:r w:rsidR="0041775C">
              <w:rPr>
                <w:noProof/>
                <w:webHidden/>
              </w:rPr>
              <w:t>61</w:t>
            </w:r>
            <w:r>
              <w:rPr>
                <w:noProof/>
                <w:webHidden/>
              </w:rPr>
              <w:fldChar w:fldCharType="end"/>
            </w:r>
          </w:hyperlink>
        </w:p>
        <w:p w14:paraId="7202DD7B" w14:textId="7D9B926B" w:rsidR="001936BA" w:rsidRDefault="001936BA" w:rsidP="00340DF1">
          <w:pPr>
            <w:pStyle w:val="TDC1"/>
            <w:tabs>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42" w:history="1">
            <w:r w:rsidRPr="002F4822">
              <w:rPr>
                <w:rStyle w:val="Hipervnculo"/>
                <w:noProof/>
                <w:lang w:val="pt-BR"/>
              </w:rPr>
              <w:t>ANEXOS</w:t>
            </w:r>
            <w:r>
              <w:rPr>
                <w:noProof/>
                <w:webHidden/>
              </w:rPr>
              <w:tab/>
            </w:r>
            <w:r>
              <w:rPr>
                <w:noProof/>
                <w:webHidden/>
              </w:rPr>
              <w:fldChar w:fldCharType="begin"/>
            </w:r>
            <w:r>
              <w:rPr>
                <w:noProof/>
                <w:webHidden/>
              </w:rPr>
              <w:instrText xml:space="preserve"> PAGEREF _Toc217035442 \h </w:instrText>
            </w:r>
            <w:r>
              <w:rPr>
                <w:noProof/>
                <w:webHidden/>
              </w:rPr>
            </w:r>
            <w:r>
              <w:rPr>
                <w:noProof/>
                <w:webHidden/>
              </w:rPr>
              <w:fldChar w:fldCharType="separate"/>
            </w:r>
            <w:r w:rsidR="0041775C">
              <w:rPr>
                <w:noProof/>
                <w:webHidden/>
              </w:rPr>
              <w:t>63</w:t>
            </w:r>
            <w:r>
              <w:rPr>
                <w:noProof/>
                <w:webHidden/>
              </w:rPr>
              <w:fldChar w:fldCharType="end"/>
            </w:r>
          </w:hyperlink>
        </w:p>
        <w:p w14:paraId="72F7AA65" w14:textId="72E87C48" w:rsidR="001936BA" w:rsidRDefault="0041775C" w:rsidP="00340DF1">
          <w:pPr>
            <w:pStyle w:val="TDC1"/>
            <w:tabs>
              <w:tab w:val="left" w:pos="480"/>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r>
            <w:rPr>
              <w:rStyle w:val="Hipervnculo"/>
            </w:rPr>
            <w:t xml:space="preserve">   </w:t>
          </w:r>
          <w:hyperlink w:anchor="_Toc217035443" w:history="1">
            <w:r w:rsidR="001936BA" w:rsidRPr="002F4822">
              <w:rPr>
                <w:rStyle w:val="Hipervnculo"/>
                <w:noProof/>
              </w:rPr>
              <w:t>a.</w:t>
            </w:r>
            <w:r w:rsidR="001936BA">
              <w:rPr>
                <w:rFonts w:asciiTheme="minorHAnsi" w:eastAsiaTheme="minorEastAsia" w:hAnsiTheme="minorHAnsi" w:cstheme="minorBidi"/>
                <w:noProof/>
                <w:color w:val="auto"/>
                <w:spacing w:val="0"/>
                <w:kern w:val="2"/>
                <w:lang w:val="es-DO" w:eastAsia="es-DO"/>
                <w14:ligatures w14:val="standardContextual"/>
              </w:rPr>
              <w:tab/>
            </w:r>
            <w:r w:rsidR="001936BA" w:rsidRPr="002F4822">
              <w:rPr>
                <w:rStyle w:val="Hipervnculo"/>
                <w:noProof/>
              </w:rPr>
              <w:t>Matríz de logros relevantes</w:t>
            </w:r>
            <w:r w:rsidR="001936BA">
              <w:rPr>
                <w:noProof/>
                <w:webHidden/>
              </w:rPr>
              <w:tab/>
            </w:r>
            <w:r w:rsidR="001936BA">
              <w:rPr>
                <w:noProof/>
                <w:webHidden/>
              </w:rPr>
              <w:fldChar w:fldCharType="begin"/>
            </w:r>
            <w:r w:rsidR="001936BA">
              <w:rPr>
                <w:noProof/>
                <w:webHidden/>
              </w:rPr>
              <w:instrText xml:space="preserve"> PAGEREF _Toc217035443 \h </w:instrText>
            </w:r>
            <w:r w:rsidR="001936BA">
              <w:rPr>
                <w:noProof/>
                <w:webHidden/>
              </w:rPr>
            </w:r>
            <w:r w:rsidR="001936BA">
              <w:rPr>
                <w:noProof/>
                <w:webHidden/>
              </w:rPr>
              <w:fldChar w:fldCharType="separate"/>
            </w:r>
            <w:r>
              <w:rPr>
                <w:noProof/>
                <w:webHidden/>
              </w:rPr>
              <w:t>63</w:t>
            </w:r>
            <w:r w:rsidR="001936BA">
              <w:rPr>
                <w:noProof/>
                <w:webHidden/>
              </w:rPr>
              <w:fldChar w:fldCharType="end"/>
            </w:r>
          </w:hyperlink>
        </w:p>
        <w:p w14:paraId="14F3F0BC" w14:textId="7A0B4FE8" w:rsidR="001936BA" w:rsidRDefault="001936BA" w:rsidP="00340DF1">
          <w:pPr>
            <w:pStyle w:val="TDC2"/>
            <w:tabs>
              <w:tab w:val="left" w:pos="720"/>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45" w:history="1">
            <w:r w:rsidRPr="002F4822">
              <w:rPr>
                <w:rStyle w:val="Hipervnculo"/>
                <w:noProof/>
              </w:rPr>
              <w:t>b.</w:t>
            </w:r>
            <w:r>
              <w:rPr>
                <w:rFonts w:asciiTheme="minorHAnsi" w:eastAsiaTheme="minorEastAsia" w:hAnsiTheme="minorHAnsi" w:cstheme="minorBidi"/>
                <w:noProof/>
                <w:color w:val="auto"/>
                <w:spacing w:val="0"/>
                <w:kern w:val="2"/>
                <w:lang w:val="es-DO" w:eastAsia="es-DO"/>
                <w14:ligatures w14:val="standardContextual"/>
              </w:rPr>
              <w:tab/>
            </w:r>
            <w:r w:rsidRPr="002F4822">
              <w:rPr>
                <w:rStyle w:val="Hipervnculo"/>
                <w:noProof/>
              </w:rPr>
              <w:t>Matríz de Ejecución Presupuestaria</w:t>
            </w:r>
            <w:r>
              <w:rPr>
                <w:noProof/>
                <w:webHidden/>
              </w:rPr>
              <w:tab/>
            </w:r>
            <w:r>
              <w:rPr>
                <w:noProof/>
                <w:webHidden/>
              </w:rPr>
              <w:fldChar w:fldCharType="begin"/>
            </w:r>
            <w:r>
              <w:rPr>
                <w:noProof/>
                <w:webHidden/>
              </w:rPr>
              <w:instrText xml:space="preserve"> PAGEREF _Toc217035445 \h </w:instrText>
            </w:r>
            <w:r>
              <w:rPr>
                <w:noProof/>
                <w:webHidden/>
              </w:rPr>
            </w:r>
            <w:r>
              <w:rPr>
                <w:noProof/>
                <w:webHidden/>
              </w:rPr>
              <w:fldChar w:fldCharType="separate"/>
            </w:r>
            <w:r w:rsidR="0041775C">
              <w:rPr>
                <w:noProof/>
                <w:webHidden/>
              </w:rPr>
              <w:t>64</w:t>
            </w:r>
            <w:r>
              <w:rPr>
                <w:noProof/>
                <w:webHidden/>
              </w:rPr>
              <w:fldChar w:fldCharType="end"/>
            </w:r>
          </w:hyperlink>
        </w:p>
        <w:p w14:paraId="6D67104B" w14:textId="460738D9" w:rsidR="001936BA" w:rsidRDefault="001936BA" w:rsidP="00340DF1">
          <w:pPr>
            <w:pStyle w:val="TDC2"/>
            <w:tabs>
              <w:tab w:val="left" w:pos="720"/>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46" w:history="1">
            <w:r w:rsidRPr="002F4822">
              <w:rPr>
                <w:rStyle w:val="Hipervnculo"/>
                <w:noProof/>
                <w:lang w:val="es-DO"/>
              </w:rPr>
              <w:t>c.</w:t>
            </w:r>
            <w:r>
              <w:rPr>
                <w:rFonts w:asciiTheme="minorHAnsi" w:eastAsiaTheme="minorEastAsia" w:hAnsiTheme="minorHAnsi" w:cstheme="minorBidi"/>
                <w:noProof/>
                <w:color w:val="auto"/>
                <w:spacing w:val="0"/>
                <w:kern w:val="2"/>
                <w:lang w:val="es-DO" w:eastAsia="es-DO"/>
                <w14:ligatures w14:val="standardContextual"/>
              </w:rPr>
              <w:tab/>
            </w:r>
            <w:r w:rsidRPr="002F4822">
              <w:rPr>
                <w:rStyle w:val="Hipervnculo"/>
                <w:noProof/>
                <w:lang w:val="es-DO"/>
              </w:rPr>
              <w:t>Matriz de principales indicadores del POA 2025.</w:t>
            </w:r>
            <w:r>
              <w:rPr>
                <w:noProof/>
                <w:webHidden/>
              </w:rPr>
              <w:tab/>
            </w:r>
            <w:r>
              <w:rPr>
                <w:noProof/>
                <w:webHidden/>
              </w:rPr>
              <w:fldChar w:fldCharType="begin"/>
            </w:r>
            <w:r>
              <w:rPr>
                <w:noProof/>
                <w:webHidden/>
              </w:rPr>
              <w:instrText xml:space="preserve"> PAGEREF _Toc217035446 \h </w:instrText>
            </w:r>
            <w:r>
              <w:rPr>
                <w:noProof/>
                <w:webHidden/>
              </w:rPr>
            </w:r>
            <w:r>
              <w:rPr>
                <w:noProof/>
                <w:webHidden/>
              </w:rPr>
              <w:fldChar w:fldCharType="separate"/>
            </w:r>
            <w:r w:rsidR="0041775C">
              <w:rPr>
                <w:noProof/>
                <w:webHidden/>
              </w:rPr>
              <w:t>65</w:t>
            </w:r>
            <w:r>
              <w:rPr>
                <w:noProof/>
                <w:webHidden/>
              </w:rPr>
              <w:fldChar w:fldCharType="end"/>
            </w:r>
          </w:hyperlink>
        </w:p>
        <w:p w14:paraId="25E90FB3" w14:textId="6B59D3DA" w:rsidR="001936BA" w:rsidRDefault="001936BA" w:rsidP="00340DF1">
          <w:pPr>
            <w:pStyle w:val="TDC2"/>
            <w:tabs>
              <w:tab w:val="left" w:pos="720"/>
              <w:tab w:val="right" w:leader="dot" w:pos="9350"/>
            </w:tabs>
            <w:spacing w:line="360" w:lineRule="auto"/>
            <w:rPr>
              <w:rFonts w:asciiTheme="minorHAnsi" w:eastAsiaTheme="minorEastAsia" w:hAnsiTheme="minorHAnsi" w:cstheme="minorBidi"/>
              <w:noProof/>
              <w:color w:val="auto"/>
              <w:spacing w:val="0"/>
              <w:kern w:val="2"/>
              <w:lang w:val="es-DO" w:eastAsia="es-DO"/>
              <w14:ligatures w14:val="standardContextual"/>
            </w:rPr>
          </w:pPr>
          <w:hyperlink w:anchor="_Toc217035447" w:history="1">
            <w:r w:rsidRPr="002F4822">
              <w:rPr>
                <w:rStyle w:val="Hipervnculo"/>
                <w:noProof/>
                <w:lang w:val="es-DO"/>
              </w:rPr>
              <w:t>d.</w:t>
            </w:r>
            <w:r>
              <w:rPr>
                <w:rFonts w:asciiTheme="minorHAnsi" w:eastAsiaTheme="minorEastAsia" w:hAnsiTheme="minorHAnsi" w:cstheme="minorBidi"/>
                <w:noProof/>
                <w:color w:val="auto"/>
                <w:spacing w:val="0"/>
                <w:kern w:val="2"/>
                <w:lang w:val="es-DO" w:eastAsia="es-DO"/>
                <w14:ligatures w14:val="standardContextual"/>
              </w:rPr>
              <w:tab/>
            </w:r>
            <w:r w:rsidRPr="002F4822">
              <w:rPr>
                <w:rStyle w:val="Hipervnculo"/>
                <w:noProof/>
                <w:lang w:val="es-DO"/>
              </w:rPr>
              <w:t>Resumen del Plan Anual de Compras y Contrataciones (PACC).</w:t>
            </w:r>
            <w:r>
              <w:rPr>
                <w:noProof/>
                <w:webHidden/>
              </w:rPr>
              <w:tab/>
            </w:r>
            <w:r>
              <w:rPr>
                <w:noProof/>
                <w:webHidden/>
              </w:rPr>
              <w:fldChar w:fldCharType="begin"/>
            </w:r>
            <w:r>
              <w:rPr>
                <w:noProof/>
                <w:webHidden/>
              </w:rPr>
              <w:instrText xml:space="preserve"> PAGEREF _Toc217035447 \h </w:instrText>
            </w:r>
            <w:r>
              <w:rPr>
                <w:noProof/>
                <w:webHidden/>
              </w:rPr>
            </w:r>
            <w:r>
              <w:rPr>
                <w:noProof/>
                <w:webHidden/>
              </w:rPr>
              <w:fldChar w:fldCharType="separate"/>
            </w:r>
            <w:r w:rsidR="0041775C">
              <w:rPr>
                <w:noProof/>
                <w:webHidden/>
              </w:rPr>
              <w:t>68</w:t>
            </w:r>
            <w:r>
              <w:rPr>
                <w:noProof/>
                <w:webHidden/>
              </w:rPr>
              <w:fldChar w:fldCharType="end"/>
            </w:r>
          </w:hyperlink>
        </w:p>
        <w:p w14:paraId="4D9BE3A9" w14:textId="5BE036EB" w:rsidR="00920A80" w:rsidRPr="001936BA" w:rsidRDefault="00A630BC" w:rsidP="00340DF1">
          <w:pPr>
            <w:spacing w:line="360" w:lineRule="auto"/>
            <w:rPr>
              <w:color w:val="4C4747"/>
            </w:rPr>
          </w:pPr>
          <w:r w:rsidRPr="00473793">
            <w:rPr>
              <w:rFonts w:eastAsia="Calibri"/>
              <w:noProof/>
              <w:color w:val="4C4747"/>
            </w:rPr>
            <w:fldChar w:fldCharType="end"/>
          </w:r>
        </w:p>
      </w:sdtContent>
    </w:sdt>
    <w:p w14:paraId="06171E0A" w14:textId="77777777" w:rsidR="00920A80" w:rsidRPr="0058331C" w:rsidRDefault="00920A80" w:rsidP="00340DF1">
      <w:pPr>
        <w:spacing w:line="360" w:lineRule="auto"/>
        <w:ind w:left="567"/>
        <w:rPr>
          <w:b/>
          <w:bCs/>
          <w:noProof/>
          <w:color w:val="4C4747"/>
          <w:lang w:val="es-DO"/>
        </w:rPr>
      </w:pPr>
    </w:p>
    <w:p w14:paraId="1DBDA006" w14:textId="4D806799" w:rsidR="001240D0" w:rsidRPr="0058331C" w:rsidRDefault="001240D0" w:rsidP="00340DF1">
      <w:pPr>
        <w:spacing w:line="360" w:lineRule="auto"/>
        <w:rPr>
          <w:color w:val="4C4747"/>
          <w:lang w:val="es-DO"/>
        </w:rPr>
        <w:sectPr w:rsidR="001240D0" w:rsidRPr="0058331C" w:rsidSect="009904DB">
          <w:footerReference w:type="first" r:id="rId13"/>
          <w:pgSz w:w="12240" w:h="15840"/>
          <w:pgMar w:top="1440" w:right="1440" w:bottom="1440" w:left="1440" w:header="720" w:footer="720" w:gutter="0"/>
          <w:cols w:space="720"/>
          <w:docGrid w:linePitch="360"/>
        </w:sectPr>
      </w:pPr>
    </w:p>
    <w:p w14:paraId="649D29AD" w14:textId="5849EA87" w:rsidR="001240D0" w:rsidRPr="0050380F" w:rsidRDefault="001240D0" w:rsidP="00340DF1">
      <w:pPr>
        <w:pStyle w:val="Ttulo1"/>
        <w:rPr>
          <w:rFonts w:cs="Times New Roman"/>
          <w:color w:val="4C4747"/>
          <w:lang w:val="es-DO"/>
        </w:rPr>
      </w:pPr>
      <w:bookmarkStart w:id="2" w:name="_Toc217035425"/>
      <w:bookmarkStart w:id="3" w:name="_Hlk86403204"/>
      <w:r w:rsidRPr="0050380F">
        <w:rPr>
          <w:rFonts w:cs="Times New Roman"/>
          <w:color w:val="4C4747"/>
          <w:lang w:val="es-DO"/>
        </w:rPr>
        <w:lastRenderedPageBreak/>
        <w:t>RESUMEN EJECUTIVO</w:t>
      </w:r>
      <w:bookmarkEnd w:id="2"/>
    </w:p>
    <w:p w14:paraId="7C54AF21" w14:textId="26B7214D" w:rsidR="001240D0" w:rsidRPr="0050380F" w:rsidRDefault="00125D46" w:rsidP="00340DF1">
      <w:pPr>
        <w:spacing w:line="360" w:lineRule="auto"/>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5168"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B2E59" id="Straight Connector 21"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90831F1" w14:textId="3541B19D" w:rsidR="002B7F59" w:rsidRPr="00841917" w:rsidRDefault="00654164" w:rsidP="00841917">
      <w:pPr>
        <w:spacing w:line="360" w:lineRule="auto"/>
        <w:jc w:val="center"/>
        <w:rPr>
          <w:rFonts w:eastAsia="Calibri"/>
          <w:color w:val="4C4747"/>
          <w:szCs w:val="36"/>
          <w:lang w:val="es-DO"/>
        </w:rPr>
      </w:pPr>
      <w:r w:rsidRPr="0050380F">
        <w:rPr>
          <w:rFonts w:eastAsia="Calibri"/>
          <w:color w:val="4C4747"/>
          <w:szCs w:val="36"/>
          <w:lang w:val="es-DO"/>
        </w:rPr>
        <w:t xml:space="preserve">Memoria </w:t>
      </w:r>
      <w:r w:rsidR="004A515E" w:rsidRPr="0050380F">
        <w:rPr>
          <w:rFonts w:eastAsia="Calibri"/>
          <w:color w:val="4C4747"/>
          <w:szCs w:val="36"/>
          <w:lang w:val="es-DO"/>
        </w:rPr>
        <w:t>Institu</w:t>
      </w:r>
      <w:r w:rsidR="009A466A" w:rsidRPr="0050380F">
        <w:rPr>
          <w:rFonts w:eastAsia="Calibri"/>
          <w:color w:val="4C4747"/>
          <w:szCs w:val="36"/>
          <w:lang w:val="es-DO"/>
        </w:rPr>
        <w:t>c</w:t>
      </w:r>
      <w:r w:rsidR="004A515E" w:rsidRPr="0050380F">
        <w:rPr>
          <w:rFonts w:eastAsia="Calibri"/>
          <w:color w:val="4C4747"/>
          <w:szCs w:val="36"/>
          <w:lang w:val="es-DO"/>
        </w:rPr>
        <w:t>ional</w:t>
      </w:r>
      <w:r w:rsidR="001240D0" w:rsidRPr="0050380F">
        <w:rPr>
          <w:rFonts w:eastAsia="Calibri"/>
          <w:color w:val="4C4747"/>
          <w:szCs w:val="36"/>
          <w:lang w:val="es-DO"/>
        </w:rPr>
        <w:t xml:space="preserve"> </w:t>
      </w:r>
      <w:r w:rsidR="007471AC" w:rsidRPr="0050380F">
        <w:rPr>
          <w:rFonts w:eastAsia="Calibri"/>
          <w:color w:val="4C4747"/>
          <w:szCs w:val="36"/>
          <w:lang w:val="es-DO"/>
        </w:rPr>
        <w:t>202</w:t>
      </w:r>
      <w:r w:rsidR="0051332F" w:rsidRPr="0050380F">
        <w:rPr>
          <w:rFonts w:eastAsia="Calibri"/>
          <w:color w:val="4C4747"/>
          <w:szCs w:val="36"/>
          <w:lang w:val="es-DO"/>
        </w:rPr>
        <w:t>5</w:t>
      </w:r>
    </w:p>
    <w:p w14:paraId="05834A5E" w14:textId="4D9B4739" w:rsidR="004F6417" w:rsidRPr="00A03E20" w:rsidRDefault="004F6417" w:rsidP="00340DF1">
      <w:pPr>
        <w:spacing w:line="360" w:lineRule="auto"/>
        <w:jc w:val="both"/>
        <w:rPr>
          <w:rFonts w:eastAsiaTheme="minorEastAsia"/>
          <w:noProof/>
          <w:color w:val="4C4747"/>
          <w:lang w:val="es-DO"/>
        </w:rPr>
      </w:pPr>
      <w:r w:rsidRPr="00EC6B29">
        <w:rPr>
          <w:rFonts w:eastAsiaTheme="minorEastAsia"/>
          <w:noProof/>
          <w:color w:val="4C4747"/>
          <w:lang w:val="es-DO"/>
        </w:rPr>
        <w:t xml:space="preserve">Durante el año 2025, ProCompetencia alcanzó avances institucionales de alto impacto orientados al fortalecimiento del sistema de competencia en la República Dominicana, consolidando su rol como autoridad técnica, independiente y garante del orden público económico. </w:t>
      </w:r>
      <w:r w:rsidRPr="00A03E20">
        <w:rPr>
          <w:rFonts w:eastAsiaTheme="minorEastAsia"/>
          <w:noProof/>
          <w:color w:val="4C4747"/>
          <w:lang w:val="es-DO"/>
        </w:rPr>
        <w:t>La gestión institucional estuvo enfocada en tres pilares estratégicos: el fortalecimiento del marco normativo y de políticas públicas, la aplicación efectiva de la Ley General de Defensa de la Competencia núm. 42-08 y el robustecimiento de las capacidades institucionales para la prevención y detección de prácticas anticompetitivas.</w:t>
      </w:r>
    </w:p>
    <w:p w14:paraId="7D607AF2" w14:textId="62FDF245" w:rsidR="00A03E20" w:rsidRPr="00A03E20" w:rsidRDefault="00F30178" w:rsidP="00340DF1">
      <w:pPr>
        <w:spacing w:line="360" w:lineRule="auto"/>
        <w:jc w:val="both"/>
        <w:rPr>
          <w:rFonts w:eastAsiaTheme="minorEastAsia"/>
          <w:noProof/>
          <w:color w:val="4C4747"/>
          <w:lang w:val="es-DO"/>
        </w:rPr>
      </w:pPr>
      <w:r w:rsidRPr="00F30178">
        <w:rPr>
          <w:rFonts w:eastAsiaTheme="minorEastAsia"/>
          <w:noProof/>
          <w:color w:val="4C4747"/>
          <w:lang w:val="es-DO"/>
        </w:rPr>
        <w:t xml:space="preserve">La aprobación de la Política Nacional de Competencia mediante el Decreto núm. 196-25 constituye un hito institucional y un avance estructural del Estado dominicano, posicionando a la República Dominicana como el primer país de América Latina con una política integral en esta materia, asegurando coherencia regulatoria, coordinación interinstitucional y sostenibilidad en el tiempo. </w:t>
      </w:r>
      <w:r w:rsidR="00A03E20" w:rsidRPr="00A03E20">
        <w:rPr>
          <w:rFonts w:eastAsiaTheme="minorEastAsia"/>
          <w:noProof/>
          <w:color w:val="4C4747"/>
          <w:lang w:val="es-DO"/>
        </w:rPr>
        <w:t>Este instrumento estratégico designa a Pro-Competencia como entidad ejecutora principal y permitió la conformación de la Comisión Gestora y mesas técnicas interinstitucionales, articuladas con 34 entidades del Estado, sentando las bases para una acción pública coordinada en favor de mercados más competitivos, eficientes e inclusivos. </w:t>
      </w:r>
    </w:p>
    <w:p w14:paraId="4E9625A5" w14:textId="26A75B26" w:rsidR="00320F1A" w:rsidRPr="00EC6B29" w:rsidRDefault="004F6417" w:rsidP="00340DF1">
      <w:pPr>
        <w:spacing w:line="360" w:lineRule="auto"/>
        <w:jc w:val="both"/>
        <w:rPr>
          <w:rFonts w:eastAsiaTheme="minorEastAsia"/>
          <w:noProof/>
          <w:color w:val="4C4747"/>
          <w:lang w:val="es-DO"/>
        </w:rPr>
      </w:pPr>
      <w:r w:rsidRPr="00EC6B29">
        <w:rPr>
          <w:rFonts w:eastAsiaTheme="minorEastAsia"/>
          <w:noProof/>
          <w:color w:val="4C4747"/>
          <w:lang w:val="es-DO"/>
        </w:rPr>
        <w:t xml:space="preserve">En el marco de la visión de desarrollo del Estado dominicano, ProCompetencia se integró activamente a la iniciativa Meta RD 2036, participando en el Comité de Comercio, donde aporta análisis </w:t>
      </w:r>
      <w:r w:rsidRPr="00EC6B29">
        <w:rPr>
          <w:rFonts w:eastAsiaTheme="minorEastAsia"/>
          <w:noProof/>
          <w:color w:val="4C4747"/>
          <w:lang w:val="es-DO"/>
        </w:rPr>
        <w:lastRenderedPageBreak/>
        <w:t xml:space="preserve">técnicos y recomendaciones de política pública en sectores estratégicos. </w:t>
      </w:r>
    </w:p>
    <w:p w14:paraId="39D39509" w14:textId="361A2C01" w:rsidR="004F6417" w:rsidRPr="00EC6B29" w:rsidRDefault="004F6417" w:rsidP="00340DF1">
      <w:pPr>
        <w:spacing w:line="360" w:lineRule="auto"/>
        <w:jc w:val="both"/>
        <w:rPr>
          <w:rFonts w:eastAsiaTheme="minorEastAsia"/>
          <w:noProof/>
          <w:color w:val="4C4747"/>
          <w:lang w:val="es-DO"/>
        </w:rPr>
      </w:pPr>
      <w:r w:rsidRPr="00A03E20">
        <w:rPr>
          <w:rFonts w:eastAsiaTheme="minorEastAsia"/>
          <w:noProof/>
          <w:color w:val="4C4747"/>
          <w:lang w:val="es-DO"/>
        </w:rPr>
        <w:t>Entre los principales aportes se destacan los trabajos vinculados a la formalización de las pacas</w:t>
      </w:r>
      <w:r w:rsidR="00122FCC" w:rsidRPr="00A03E20">
        <w:rPr>
          <w:rFonts w:eastAsiaTheme="minorEastAsia"/>
          <w:noProof/>
          <w:color w:val="4C4747"/>
          <w:lang w:val="es-DO"/>
        </w:rPr>
        <w:t xml:space="preserve">, </w:t>
      </w:r>
      <w:r w:rsidRPr="00A03E20">
        <w:rPr>
          <w:rFonts w:eastAsiaTheme="minorEastAsia"/>
          <w:noProof/>
          <w:color w:val="4C4747"/>
          <w:lang w:val="es-DO"/>
        </w:rPr>
        <w:t>mudanceras, el análisis del monotributo y otros temas relevantes para la competitividad y la equidad del sistema productivo nacional.</w:t>
      </w:r>
      <w:r w:rsidR="002B7F59">
        <w:rPr>
          <w:rFonts w:eastAsiaTheme="minorEastAsia"/>
          <w:noProof/>
          <w:color w:val="4C4747"/>
          <w:lang w:val="es-DO"/>
        </w:rPr>
        <w:t xml:space="preserve"> </w:t>
      </w:r>
      <w:r w:rsidR="00320F1A" w:rsidRPr="00A03E20">
        <w:rPr>
          <w:rFonts w:eastAsiaTheme="minorEastAsia"/>
          <w:noProof/>
          <w:color w:val="4C4747"/>
          <w:lang w:val="es-DO"/>
        </w:rPr>
        <w:t xml:space="preserve">Se </w:t>
      </w:r>
      <w:r w:rsidRPr="00A03E20">
        <w:rPr>
          <w:rFonts w:eastAsiaTheme="minorEastAsia"/>
          <w:noProof/>
          <w:color w:val="4C4747"/>
          <w:lang w:val="es-DO"/>
        </w:rPr>
        <w:t xml:space="preserve">consolidaron precedentes relevantes en materia de debido proceso administrativo, manejo de pruebas y ejecutoriedad de las sanciones, fortaleciendo la seguridad jurídica del sistema de competencia. </w:t>
      </w:r>
      <w:r w:rsidRPr="00EC6B29">
        <w:rPr>
          <w:rFonts w:eastAsiaTheme="minorEastAsia"/>
          <w:noProof/>
          <w:color w:val="4C4747"/>
          <w:lang w:val="es-DO"/>
        </w:rPr>
        <w:t>Asimismo, los tribunales ratificaron criterios esenciales como la competencia transversal de ProCompetencia, la validez de los plazos razonados de investigación, la inadmisibilidad de recursos contra informes de abogacía y la ejecutoriedad inmediata de las multas, reforzando el carácter disuasorio del régimen sancionador.</w:t>
      </w:r>
    </w:p>
    <w:p w14:paraId="002D997C" w14:textId="1FE7BE27" w:rsidR="00320F1A" w:rsidRPr="00A03E20" w:rsidRDefault="00A03E20" w:rsidP="00340DF1">
      <w:pPr>
        <w:spacing w:line="360" w:lineRule="auto"/>
        <w:jc w:val="both"/>
        <w:rPr>
          <w:rFonts w:eastAsiaTheme="minorEastAsia"/>
          <w:noProof/>
          <w:color w:val="4C4747"/>
          <w:lang w:val="es-DO"/>
        </w:rPr>
      </w:pPr>
      <w:r w:rsidRPr="00A03E20">
        <w:rPr>
          <w:rFonts w:eastAsiaTheme="minorEastAsia"/>
          <w:noProof/>
          <w:color w:val="4C4747"/>
          <w:lang w:val="es-DO"/>
        </w:rPr>
        <w:t>La abogacía de la competencia operó como un mecanismo preventivo de alto impacto regulatorio, permitiendo corregir fallas normativas ants de su materialización en restricciones estructurales a la competencia</w:t>
      </w:r>
      <w:r w:rsidR="004F6417" w:rsidRPr="00A03E20">
        <w:rPr>
          <w:rFonts w:eastAsiaTheme="minorEastAsia"/>
          <w:noProof/>
          <w:color w:val="4C4747"/>
          <w:lang w:val="es-DO"/>
        </w:rPr>
        <w:t xml:space="preserve">. </w:t>
      </w:r>
      <w:r w:rsidR="004F6417" w:rsidRPr="00EC6B29">
        <w:rPr>
          <w:rFonts w:eastAsiaTheme="minorEastAsia"/>
          <w:noProof/>
          <w:color w:val="4C4747"/>
          <w:lang w:val="es-DO"/>
        </w:rPr>
        <w:t xml:space="preserve">Durante 2025, ProCompetencia emitió 10 informes de recomendación, destacándose su participación activa en los procesos legislativos de alto impacto. </w:t>
      </w:r>
      <w:r w:rsidR="004F6417" w:rsidRPr="00A03E20">
        <w:rPr>
          <w:rFonts w:eastAsiaTheme="minorEastAsia"/>
          <w:noProof/>
          <w:color w:val="4C4747"/>
          <w:lang w:val="es-DO"/>
        </w:rPr>
        <w:t xml:space="preserve">Entre ellos, </w:t>
      </w:r>
      <w:r w:rsidR="00656B2A" w:rsidRPr="00A03E20">
        <w:rPr>
          <w:rFonts w:eastAsiaTheme="minorEastAsia"/>
          <w:noProof/>
          <w:color w:val="4C4747"/>
          <w:lang w:val="es-DO"/>
        </w:rPr>
        <w:t xml:space="preserve">están las </w:t>
      </w:r>
      <w:r w:rsidR="00D623AD" w:rsidRPr="00A03E20">
        <w:rPr>
          <w:rFonts w:eastAsiaTheme="minorEastAsia"/>
          <w:noProof/>
          <w:color w:val="4C4747"/>
          <w:lang w:val="es-DO"/>
        </w:rPr>
        <w:t>recomendaciones técnicas al proyecto de modificación de la Ley 225-20 sobre gestión integral de residuos sólidos, alertando sobre disposiciones que podían generar monopolios legales y restricciones innecesarias a la competencia. Estas observaciones fueron posteriormente acogidas por el Poder Ejecutivo, evidenciando la incidencia efectiva de la abogacía de la competencia en la formulación de un marco normativo más equilibrado y eficiente.</w:t>
      </w:r>
    </w:p>
    <w:p w14:paraId="05094CD8" w14:textId="2A70DB65" w:rsidR="004F6417" w:rsidRPr="001936BA" w:rsidRDefault="00656B2A" w:rsidP="00340DF1">
      <w:pPr>
        <w:spacing w:line="360" w:lineRule="auto"/>
        <w:jc w:val="both"/>
        <w:rPr>
          <w:rFonts w:eastAsiaTheme="minorEastAsia"/>
          <w:noProof/>
          <w:color w:val="4C4747"/>
          <w:lang w:val="es-DO"/>
        </w:rPr>
      </w:pPr>
      <w:r w:rsidRPr="00EC6B29">
        <w:rPr>
          <w:rFonts w:eastAsiaTheme="minorEastAsia"/>
          <w:noProof/>
          <w:color w:val="4C4747"/>
          <w:lang w:val="es-DO"/>
        </w:rPr>
        <w:t>De igual forma, ProCompetencia presentó</w:t>
      </w:r>
      <w:r w:rsidR="0064500F" w:rsidRPr="00EC6B29">
        <w:rPr>
          <w:rFonts w:eastAsiaTheme="minorEastAsia"/>
          <w:noProof/>
          <w:color w:val="4C4747"/>
          <w:lang w:val="es-DO"/>
        </w:rPr>
        <w:t xml:space="preserve"> </w:t>
      </w:r>
      <w:r w:rsidR="004F6417" w:rsidRPr="00EC6B29">
        <w:rPr>
          <w:rFonts w:eastAsiaTheme="minorEastAsia"/>
          <w:noProof/>
          <w:color w:val="4C4747"/>
          <w:lang w:val="es-DO"/>
        </w:rPr>
        <w:t xml:space="preserve">el informe técnico presentado ante la Cámara de Diputados sobre el Proyecto de Ley General de </w:t>
      </w:r>
      <w:r w:rsidR="004F6417" w:rsidRPr="00EC6B29">
        <w:rPr>
          <w:rFonts w:eastAsiaTheme="minorEastAsia"/>
          <w:noProof/>
          <w:color w:val="4C4747"/>
          <w:lang w:val="es-DO"/>
        </w:rPr>
        <w:lastRenderedPageBreak/>
        <w:t xml:space="preserve">Contrataciones Públicas, cuyas recomendaciones contribuyeron a la incorporación de disposiciones relevantes en la Ley núm. 47-25, incluyendo el reconocimiento expreso de las prácticas colusorias, la exigencia de la Declaración Jurada de Oferta </w:t>
      </w:r>
      <w:r w:rsidR="004F6417" w:rsidRPr="001936BA">
        <w:rPr>
          <w:rFonts w:eastAsiaTheme="minorEastAsia"/>
          <w:noProof/>
          <w:color w:val="4C4747"/>
          <w:lang w:val="es-DO"/>
        </w:rPr>
        <w:t>Libre de Colusión y mecanismos para fortalecer la transparencia y la competencia en las compras del Estado.</w:t>
      </w:r>
    </w:p>
    <w:p w14:paraId="31762377" w14:textId="463617E8" w:rsidR="004F6417" w:rsidRPr="00A03E20" w:rsidRDefault="004F6417" w:rsidP="00340DF1">
      <w:pPr>
        <w:spacing w:line="360" w:lineRule="auto"/>
        <w:jc w:val="both"/>
        <w:rPr>
          <w:rFonts w:eastAsiaTheme="minorEastAsia"/>
          <w:noProof/>
          <w:color w:val="4C4747"/>
          <w:lang w:val="es-DO"/>
        </w:rPr>
      </w:pPr>
      <w:r w:rsidRPr="00EC6B29">
        <w:rPr>
          <w:rFonts w:eastAsiaTheme="minorEastAsia"/>
          <w:noProof/>
          <w:color w:val="4C4747"/>
          <w:lang w:val="es-DO"/>
        </w:rPr>
        <w:t xml:space="preserve">En el ámbito de la prevención de la colusión en compras públicas, ProCompetencia suscribió un acuerdo de cooperación interinstitucional con la Dirección General de Ética e Integridad Gubernamental (DIGEIG), mediante el cual ambas instituciones desarrollaron un amplio programa de formación en libre competencia dirigido a Oficiales de Integridad y Ética Gubernamental y servidores públicos vinculados a los procesos de compras y contrataciones. </w:t>
      </w:r>
      <w:r w:rsidRPr="00A03E20">
        <w:rPr>
          <w:rFonts w:eastAsiaTheme="minorEastAsia"/>
          <w:noProof/>
          <w:color w:val="4C4747"/>
          <w:lang w:val="es-DO"/>
        </w:rPr>
        <w:t>Como resultado de esta iniciativa, fueron capacitados cerca de 900 servidores públicos, fortaleciendo la capacidad preventiva del Estado y promoviendo pliegos de condiciones más competitivos. Asimismo, se lanzó la Guía Metodológica para la Detección de Colusión, concebida como una herramienta práctica para identificar riesgos y alertas tempranas en las licitaciones públicas.</w:t>
      </w:r>
    </w:p>
    <w:p w14:paraId="0C2D0F2C" w14:textId="77777777" w:rsidR="00320F1A" w:rsidRPr="00A03E20" w:rsidRDefault="004F6417"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El avance técnico de la institución se vio reflejado en el fortalecimiento del Observatorio de Condiciones de Competencia y del Observatorio de Compras Públicas, herramientas que permiten el monitoreo sistemático de los mercados y el análisis de riesgos de prácticas anticompetitivas mediante metodologías econométricas. </w:t>
      </w:r>
    </w:p>
    <w:p w14:paraId="1C3B5C7B" w14:textId="243FF813" w:rsidR="004F6417" w:rsidRPr="00EC6B29" w:rsidRDefault="004F6417" w:rsidP="00340DF1">
      <w:pPr>
        <w:spacing w:line="360" w:lineRule="auto"/>
        <w:jc w:val="both"/>
        <w:rPr>
          <w:rFonts w:eastAsiaTheme="minorEastAsia"/>
          <w:noProof/>
          <w:color w:val="4C4747"/>
          <w:lang w:val="es-DO"/>
        </w:rPr>
      </w:pPr>
      <w:r w:rsidRPr="00EC6B29">
        <w:rPr>
          <w:rFonts w:eastAsiaTheme="minorEastAsia"/>
          <w:noProof/>
          <w:color w:val="4C4747"/>
          <w:lang w:val="es-DO"/>
        </w:rPr>
        <w:t>Estas iniciativas fueron presentadas en foros internacionales y reconocidas como buenas prácticas por organismos como la</w:t>
      </w:r>
      <w:r w:rsidR="00E70D85" w:rsidRPr="00EC6B29">
        <w:rPr>
          <w:rFonts w:eastAsiaTheme="minorEastAsia"/>
          <w:noProof/>
          <w:color w:val="4C4747"/>
          <w:lang w:val="es-DO"/>
        </w:rPr>
        <w:t xml:space="preserve"> Organización de Estados Americanos</w:t>
      </w:r>
      <w:r w:rsidRPr="00EC6B29">
        <w:rPr>
          <w:rFonts w:eastAsiaTheme="minorEastAsia"/>
          <w:noProof/>
          <w:color w:val="4C4747"/>
          <w:lang w:val="es-DO"/>
        </w:rPr>
        <w:t xml:space="preserve"> </w:t>
      </w:r>
      <w:r w:rsidR="00E70D85" w:rsidRPr="00EC6B29">
        <w:rPr>
          <w:rFonts w:eastAsiaTheme="minorEastAsia"/>
          <w:noProof/>
          <w:color w:val="4C4747"/>
          <w:lang w:val="es-DO"/>
        </w:rPr>
        <w:t>(</w:t>
      </w:r>
      <w:r w:rsidRPr="00EC6B29">
        <w:rPr>
          <w:rFonts w:eastAsiaTheme="minorEastAsia"/>
          <w:noProof/>
          <w:color w:val="4C4747"/>
          <w:lang w:val="es-DO"/>
        </w:rPr>
        <w:t>OEA</w:t>
      </w:r>
      <w:r w:rsidR="00E70D85" w:rsidRPr="00EC6B29">
        <w:rPr>
          <w:rFonts w:eastAsiaTheme="minorEastAsia"/>
          <w:noProof/>
          <w:color w:val="4C4747"/>
          <w:lang w:val="es-DO"/>
        </w:rPr>
        <w:t>)</w:t>
      </w:r>
      <w:r w:rsidRPr="00EC6B29">
        <w:rPr>
          <w:rFonts w:eastAsiaTheme="minorEastAsia"/>
          <w:noProof/>
          <w:color w:val="4C4747"/>
          <w:lang w:val="es-DO"/>
        </w:rPr>
        <w:t xml:space="preserve"> y la</w:t>
      </w:r>
      <w:r w:rsidR="00E70D85" w:rsidRPr="00EC6B29">
        <w:rPr>
          <w:rFonts w:eastAsiaTheme="minorEastAsia"/>
          <w:noProof/>
          <w:color w:val="4C4747"/>
          <w:lang w:val="es-DO"/>
        </w:rPr>
        <w:t xml:space="preserve"> Organización para la Cooperación y Desarrollo Económico</w:t>
      </w:r>
      <w:r w:rsidRPr="00EC6B29">
        <w:rPr>
          <w:rFonts w:eastAsiaTheme="minorEastAsia"/>
          <w:noProof/>
          <w:color w:val="4C4747"/>
          <w:lang w:val="es-DO"/>
        </w:rPr>
        <w:t xml:space="preserve"> </w:t>
      </w:r>
      <w:r w:rsidR="00E70D85" w:rsidRPr="00EC6B29">
        <w:rPr>
          <w:rFonts w:eastAsiaTheme="minorEastAsia"/>
          <w:noProof/>
          <w:color w:val="4C4747"/>
          <w:lang w:val="es-DO"/>
        </w:rPr>
        <w:t>(</w:t>
      </w:r>
      <w:r w:rsidRPr="00EC6B29">
        <w:rPr>
          <w:rFonts w:eastAsiaTheme="minorEastAsia"/>
          <w:noProof/>
          <w:color w:val="4C4747"/>
          <w:lang w:val="es-DO"/>
        </w:rPr>
        <w:t>OCDE</w:t>
      </w:r>
      <w:r w:rsidR="00E70D85" w:rsidRPr="00EC6B29">
        <w:rPr>
          <w:rFonts w:eastAsiaTheme="minorEastAsia"/>
          <w:noProof/>
          <w:color w:val="4C4747"/>
          <w:lang w:val="es-DO"/>
        </w:rPr>
        <w:t>)</w:t>
      </w:r>
      <w:r w:rsidRPr="00EC6B29">
        <w:rPr>
          <w:rFonts w:eastAsiaTheme="minorEastAsia"/>
          <w:noProof/>
          <w:color w:val="4C4747"/>
          <w:lang w:val="es-DO"/>
        </w:rPr>
        <w:t>, consolidando el liderazgo técnico de ProCompetencia en la región.</w:t>
      </w:r>
    </w:p>
    <w:p w14:paraId="2C57A2C4" w14:textId="5BE923E7" w:rsidR="004F6417" w:rsidRPr="00A03E20" w:rsidRDefault="004F6417"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 xml:space="preserve">Durante 2025, la institución gestionó expedientes relevantes y abrió nuevas investigaciones relacionadas con presuntas prácticas colusorias, particularmente en el ámbito de las compras públicas, reafirmando su compromiso con la aplicación efectiva de la Ley 42-08. </w:t>
      </w:r>
      <w:r w:rsidR="008B23AD" w:rsidRPr="00A03E20">
        <w:rPr>
          <w:rFonts w:eastAsiaTheme="minorEastAsia"/>
          <w:noProof/>
          <w:color w:val="4C4747"/>
          <w:lang w:val="es-DO"/>
        </w:rPr>
        <w:t>Paralelamente, se desarrollaron estudios técnicos de alto impacto, entre los que se destacan el análisis de las condiciones de competencia en el mercado de las Administradoras de Riesgos de Salud (ARS), así como la evaluación del impacto de la Ley núm. 108-10 de Cine y los estudios sobre la industria cinematográfica, estos últimos actualmente en proceso de revisión por las máximas autoridades.</w:t>
      </w:r>
    </w:p>
    <w:p w14:paraId="3FE2D5C2" w14:textId="77777777" w:rsidR="00320F1A" w:rsidRPr="00A03E20" w:rsidRDefault="004F6417" w:rsidP="00340DF1">
      <w:pPr>
        <w:spacing w:line="360" w:lineRule="auto"/>
        <w:jc w:val="both"/>
        <w:rPr>
          <w:rFonts w:eastAsiaTheme="minorEastAsia"/>
          <w:noProof/>
          <w:color w:val="4C4747"/>
          <w:lang w:val="es-DO"/>
        </w:rPr>
      </w:pPr>
      <w:r w:rsidRPr="00A03E20">
        <w:rPr>
          <w:rFonts w:eastAsiaTheme="minorEastAsia"/>
          <w:noProof/>
          <w:color w:val="4C4747"/>
          <w:lang w:val="es-DO"/>
        </w:rPr>
        <w:t>Las acciones de formación y sensibilización mantuvieron un ritmo histórico. Durante el período se impartieron 43 capacitaciones, impactando a más de 15,000 personas, incluyendo servidores públicos, estudiantes universitarios, periodistas y actores del sector productivo. Se celebró la III Semana de la Competencia, la III edición del Anuario de Libre Competencia 2025, dedicada a los mercados digitales, y el Concurso Escribiendo por la Competencia, fortaleciendo la cultura de competencia y el vínculo con la academia y la juventud</w:t>
      </w:r>
      <w:r w:rsidR="008B23AD" w:rsidRPr="00A03E20">
        <w:rPr>
          <w:rFonts w:eastAsiaTheme="minorEastAsia"/>
          <w:noProof/>
          <w:color w:val="4C4747"/>
          <w:lang w:val="es-DO"/>
        </w:rPr>
        <w:t>, en este 2025 se llevó a cabo el primer concurso de ensayos dirigido a profesionales, concebido como una iniciativa estratégica para promover el talento joven y fortalecer la cultura de la libre competencia, fomentando el análisis jurídico y económico de los principios que rigen los mercados competitivos.</w:t>
      </w:r>
    </w:p>
    <w:p w14:paraId="390C0901" w14:textId="7F356EA6" w:rsidR="004F6417" w:rsidRPr="00A03E20" w:rsidRDefault="008B23AD"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 Esta actividad contribuyó a la formación de capacidades técnicas especializadas, incentivó la reflexión crítica sobre el marco normativo de la competencia y reforzó el compromiso institucional con la difusión del conocimiento y la construcción de una comunidad profesional alineada con los valores de legalidad, eficiencia y bienestar económico.</w:t>
      </w:r>
    </w:p>
    <w:p w14:paraId="4BF0E337" w14:textId="469D7A4C" w:rsidR="004F6417" w:rsidRPr="00A03E20" w:rsidRDefault="004F6417" w:rsidP="00340DF1">
      <w:pPr>
        <w:spacing w:line="360" w:lineRule="auto"/>
        <w:jc w:val="both"/>
        <w:rPr>
          <w:rFonts w:eastAsiaTheme="minorEastAsia"/>
          <w:noProof/>
          <w:color w:val="4C4747"/>
          <w:lang w:val="es-DO"/>
        </w:rPr>
      </w:pPr>
      <w:r w:rsidRPr="00EC6B29">
        <w:rPr>
          <w:rFonts w:eastAsiaTheme="minorEastAsia"/>
          <w:noProof/>
          <w:color w:val="4C4747"/>
          <w:lang w:val="es-DO"/>
        </w:rPr>
        <w:lastRenderedPageBreak/>
        <w:t xml:space="preserve">En materia de fortalecimiento institucional, ProCompetencia puso en circulación por primera vez la Carta Compromiso al Ciudadano, </w:t>
      </w:r>
      <w:r w:rsidRPr="00A03E20">
        <w:rPr>
          <w:rFonts w:eastAsiaTheme="minorEastAsia"/>
          <w:noProof/>
          <w:color w:val="4C4747"/>
          <w:lang w:val="es-DO"/>
        </w:rPr>
        <w:t xml:space="preserve">alcanzando un cumplimiento del 100 % en los indicadores evaluados por el Ministerio de Administración Pública (MAP). Asimismo, se implementó el Sistema de Gestión de la Calidad bajo la norma ISO 9001:2015, sentando las bases para la certificación internacional de servicios estratégicos y consolidando procesos más eficientes, predecibles y transparentes.Estos esfuerzos se reflejaron en el desempeño sobresaliente de la institución en los sistemas nacionales de gestión pública, con puntuaciones destacadas en transparencia, gestión presupuestaria, control interno y planificación. </w:t>
      </w:r>
    </w:p>
    <w:p w14:paraId="3DB8322A" w14:textId="78423EBE" w:rsidR="004F6417" w:rsidRPr="00EC6B29" w:rsidRDefault="004F6417" w:rsidP="00340DF1">
      <w:pPr>
        <w:spacing w:line="360" w:lineRule="auto"/>
        <w:jc w:val="both"/>
        <w:rPr>
          <w:rFonts w:eastAsiaTheme="minorEastAsia"/>
          <w:noProof/>
          <w:color w:val="4C4747"/>
          <w:lang w:val="es-DO"/>
        </w:rPr>
      </w:pPr>
      <w:r w:rsidRPr="00EC6B29">
        <w:rPr>
          <w:rFonts w:eastAsiaTheme="minorEastAsia"/>
          <w:noProof/>
          <w:color w:val="4C4747"/>
          <w:lang w:val="es-DO"/>
        </w:rPr>
        <w:t>Al cierre del año, ProCompetencia avanzó significativamente en innovación y transformación digital, con el lanzamiento de la App ProCompetenciaRD, el chatbot institucional “Libera” y la renovación integral del portal web, fortaleciendo el acceso ciudadano y la trazabilidad de los servicios.</w:t>
      </w:r>
    </w:p>
    <w:p w14:paraId="1032D200" w14:textId="206DEE5F" w:rsidR="00122FCC" w:rsidRPr="00A03E20" w:rsidRDefault="00122FCC" w:rsidP="00340DF1">
      <w:pPr>
        <w:spacing w:line="360" w:lineRule="auto"/>
        <w:jc w:val="both"/>
        <w:rPr>
          <w:rFonts w:eastAsiaTheme="minorEastAsia"/>
          <w:noProof/>
          <w:color w:val="4C4747"/>
          <w:lang w:val="es-DO"/>
        </w:rPr>
      </w:pPr>
      <w:r w:rsidRPr="00EC6B29">
        <w:rPr>
          <w:rFonts w:eastAsiaTheme="minorEastAsia"/>
          <w:noProof/>
          <w:color w:val="4C4747"/>
          <w:lang w:val="es-DO"/>
        </w:rPr>
        <w:t>En el plano internacional, ProCompetencia participó en importantes espacios de cooperación y capacitación técnica, incluyendo el Foro Latinoamericano y del Caribe de Competencia, el Foro Global sobre Competencia de la OCDE, la reunión del</w:t>
      </w:r>
      <w:r w:rsidR="008B23AD" w:rsidRPr="00EC6B29">
        <w:rPr>
          <w:rFonts w:eastAsiaTheme="minorEastAsia"/>
          <w:noProof/>
          <w:color w:val="4C4747"/>
          <w:lang w:val="es-DO"/>
        </w:rPr>
        <w:t xml:space="preserve"> Mecanismo de Seguimiento de la Implementación de la Convención Interamericana contra la Corrupción</w:t>
      </w:r>
      <w:r w:rsidRPr="00EC6B29">
        <w:rPr>
          <w:rFonts w:eastAsiaTheme="minorEastAsia"/>
          <w:noProof/>
          <w:color w:val="4C4747"/>
          <w:lang w:val="es-DO"/>
        </w:rPr>
        <w:t xml:space="preserve"> </w:t>
      </w:r>
      <w:r w:rsidR="008B23AD" w:rsidRPr="00EC6B29">
        <w:rPr>
          <w:rFonts w:eastAsiaTheme="minorEastAsia"/>
          <w:noProof/>
          <w:color w:val="4C4747"/>
          <w:lang w:val="es-DO"/>
        </w:rPr>
        <w:t>(</w:t>
      </w:r>
      <w:r w:rsidRPr="00EC6B29">
        <w:rPr>
          <w:rFonts w:eastAsiaTheme="minorEastAsia"/>
          <w:noProof/>
          <w:color w:val="4C4747"/>
          <w:lang w:val="es-DO"/>
        </w:rPr>
        <w:t>MESICIC</w:t>
      </w:r>
      <w:r w:rsidR="008B23AD" w:rsidRPr="00EC6B29">
        <w:rPr>
          <w:rFonts w:eastAsiaTheme="minorEastAsia"/>
          <w:noProof/>
          <w:color w:val="4C4747"/>
          <w:lang w:val="es-DO"/>
        </w:rPr>
        <w:t>)</w:t>
      </w:r>
      <w:r w:rsidRPr="00EC6B29">
        <w:rPr>
          <w:rFonts w:eastAsiaTheme="minorEastAsia"/>
          <w:noProof/>
          <w:color w:val="4C4747"/>
          <w:lang w:val="es-DO"/>
        </w:rPr>
        <w:t xml:space="preserve"> en la OEA</w:t>
      </w:r>
      <w:r w:rsidR="008B23AD" w:rsidRPr="00EC6B29">
        <w:rPr>
          <w:rFonts w:eastAsiaTheme="minorEastAsia"/>
          <w:noProof/>
          <w:color w:val="4C4747"/>
          <w:lang w:val="es-DO"/>
        </w:rPr>
        <w:t xml:space="preserve">, </w:t>
      </w:r>
      <w:r w:rsidRPr="00EC6B29">
        <w:rPr>
          <w:rFonts w:eastAsiaTheme="minorEastAsia"/>
          <w:noProof/>
          <w:color w:val="4C4747"/>
          <w:lang w:val="es-DO"/>
        </w:rPr>
        <w:t>donde se presentó el Observatorio de Compras Públicas, la Conferencia de la</w:t>
      </w:r>
      <w:r w:rsidR="008B23AD" w:rsidRPr="00EC6B29">
        <w:rPr>
          <w:rFonts w:eastAsiaTheme="minorEastAsia"/>
          <w:noProof/>
          <w:color w:val="4C4747"/>
          <w:lang w:val="es-DO"/>
        </w:rPr>
        <w:t xml:space="preserve"> Conferencia de las Naciones Unidas sobre Comercio y</w:t>
      </w:r>
      <w:r w:rsidR="00320F1A" w:rsidRPr="00EC6B29">
        <w:rPr>
          <w:rFonts w:eastAsiaTheme="minorEastAsia"/>
          <w:noProof/>
          <w:color w:val="4C4747"/>
          <w:lang w:val="es-DO"/>
        </w:rPr>
        <w:t xml:space="preserve"> </w:t>
      </w:r>
      <w:r w:rsidR="008B23AD" w:rsidRPr="00EC6B29">
        <w:rPr>
          <w:rFonts w:eastAsiaTheme="minorEastAsia"/>
          <w:noProof/>
          <w:color w:val="4C4747"/>
          <w:lang w:val="es-DO"/>
        </w:rPr>
        <w:t>Desarrollo</w:t>
      </w:r>
      <w:r w:rsidR="008B23AD" w:rsidRPr="00EC6B29">
        <w:rPr>
          <w:rFonts w:eastAsiaTheme="minorEastAsia"/>
          <w:noProof/>
          <w:color w:val="4C4747"/>
          <w:lang w:val="es-DO"/>
        </w:rPr>
        <w:br/>
        <w:t>(United Nations Conference on Trade and Development) (</w:t>
      </w:r>
      <w:r w:rsidRPr="00EC6B29">
        <w:rPr>
          <w:rFonts w:eastAsiaTheme="minorEastAsia"/>
          <w:noProof/>
          <w:color w:val="4C4747"/>
          <w:lang w:val="es-DO"/>
        </w:rPr>
        <w:t>UNCTAD</w:t>
      </w:r>
      <w:r w:rsidR="008B23AD" w:rsidRPr="00EC6B29">
        <w:rPr>
          <w:rFonts w:eastAsiaTheme="minorEastAsia"/>
          <w:noProof/>
          <w:color w:val="4C4747"/>
          <w:lang w:val="es-DO"/>
        </w:rPr>
        <w:t>)</w:t>
      </w:r>
      <w:r w:rsidRPr="00EC6B29">
        <w:rPr>
          <w:rFonts w:eastAsiaTheme="minorEastAsia"/>
          <w:noProof/>
          <w:color w:val="4C4747"/>
          <w:lang w:val="es-DO"/>
        </w:rPr>
        <w:t xml:space="preserve"> en Ginebra y el taller regional OCDE-INDECOPI en Lima. </w:t>
      </w:r>
      <w:r w:rsidRPr="00A03E20">
        <w:rPr>
          <w:rFonts w:eastAsiaTheme="minorEastAsia"/>
          <w:noProof/>
          <w:color w:val="4C4747"/>
          <w:lang w:val="es-DO"/>
        </w:rPr>
        <w:t>Estas intervenciones fortalecieron la proyección regional de la institución y permitieron presentar innovaciones desarrolladas en el país como ejemplos de buenas prácticas.</w:t>
      </w:r>
    </w:p>
    <w:p w14:paraId="7507B1BB" w14:textId="3007324A" w:rsidR="00F30178" w:rsidRPr="00A03E20" w:rsidRDefault="00F30178" w:rsidP="00340DF1">
      <w:pPr>
        <w:spacing w:line="360" w:lineRule="auto"/>
        <w:jc w:val="both"/>
        <w:rPr>
          <w:rFonts w:eastAsiaTheme="minorEastAsia"/>
          <w:noProof/>
          <w:color w:val="4C4747"/>
          <w:lang w:val="es-DO"/>
        </w:rPr>
      </w:pPr>
    </w:p>
    <w:bookmarkEnd w:id="3"/>
    <w:p w14:paraId="6384D0D4" w14:textId="1B8D07DB" w:rsidR="00654164" w:rsidRPr="006945E0" w:rsidRDefault="00411FFE" w:rsidP="00340DF1">
      <w:pPr>
        <w:spacing w:line="360" w:lineRule="auto"/>
        <w:jc w:val="center"/>
        <w:rPr>
          <w:color w:val="4C4747"/>
          <w:lang w:val="es-DO"/>
        </w:rPr>
      </w:pPr>
      <w:r>
        <w:rPr>
          <w:rFonts w:eastAsiaTheme="majorEastAsia"/>
          <w:b/>
          <w:color w:val="4C4747"/>
          <w:sz w:val="28"/>
          <w:szCs w:val="32"/>
          <w:lang w:val="es-DO"/>
        </w:rPr>
        <w:lastRenderedPageBreak/>
        <w:t>I</w:t>
      </w:r>
      <w:r w:rsidR="00654164" w:rsidRPr="006945E0">
        <w:rPr>
          <w:rFonts w:eastAsiaTheme="majorEastAsia"/>
          <w:b/>
          <w:color w:val="4C4747"/>
          <w:sz w:val="28"/>
          <w:szCs w:val="32"/>
          <w:lang w:val="es-DO"/>
        </w:rPr>
        <w:t>NFORMACIÓN INSTITUCIONAL</w:t>
      </w:r>
    </w:p>
    <w:p w14:paraId="794C2FD3" w14:textId="73C7B9AC" w:rsidR="00654164" w:rsidRPr="006945E0" w:rsidRDefault="00654164" w:rsidP="00340DF1">
      <w:pPr>
        <w:spacing w:line="360" w:lineRule="auto"/>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824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D5321" id="Straight Connector 8"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1BCC3800" w:rsidR="00654164" w:rsidRPr="006945E0" w:rsidRDefault="00654164" w:rsidP="00340DF1">
      <w:pPr>
        <w:spacing w:line="360" w:lineRule="auto"/>
        <w:jc w:val="center"/>
        <w:rPr>
          <w:rFonts w:eastAsia="Calibri"/>
          <w:color w:val="4C4747"/>
          <w:szCs w:val="36"/>
          <w:lang w:val="es-DO"/>
        </w:rPr>
      </w:pPr>
      <w:r w:rsidRPr="006945E0">
        <w:rPr>
          <w:rFonts w:eastAsia="Calibri"/>
          <w:color w:val="4C4747"/>
          <w:szCs w:val="36"/>
          <w:lang w:val="es-DO"/>
        </w:rPr>
        <w:t xml:space="preserve">Memoria </w:t>
      </w:r>
      <w:r w:rsidR="009547F0" w:rsidRPr="006945E0">
        <w:rPr>
          <w:rFonts w:eastAsia="Calibri"/>
          <w:color w:val="4C4747"/>
          <w:szCs w:val="36"/>
          <w:lang w:val="es-DO"/>
        </w:rPr>
        <w:t>I</w:t>
      </w:r>
      <w:r w:rsidRPr="006945E0">
        <w:rPr>
          <w:rFonts w:eastAsia="Calibri"/>
          <w:color w:val="4C4747"/>
          <w:szCs w:val="36"/>
          <w:lang w:val="es-DO"/>
        </w:rPr>
        <w:t xml:space="preserve">nstitucional </w:t>
      </w:r>
      <w:r w:rsidR="007471AC" w:rsidRPr="006945E0">
        <w:rPr>
          <w:rFonts w:eastAsia="Calibri"/>
          <w:color w:val="4C4747"/>
          <w:szCs w:val="36"/>
          <w:lang w:val="es-DO"/>
        </w:rPr>
        <w:t>202</w:t>
      </w:r>
      <w:r w:rsidR="0051332F" w:rsidRPr="006945E0">
        <w:rPr>
          <w:rFonts w:eastAsia="Calibri"/>
          <w:color w:val="4C4747"/>
          <w:szCs w:val="36"/>
          <w:lang w:val="es-DO"/>
        </w:rPr>
        <w:t>5</w:t>
      </w:r>
    </w:p>
    <w:p w14:paraId="367ED8A1" w14:textId="77777777" w:rsidR="00BA2267" w:rsidRPr="006945E0" w:rsidRDefault="00BA2267" w:rsidP="00340DF1">
      <w:pPr>
        <w:spacing w:line="360" w:lineRule="auto"/>
        <w:rPr>
          <w:noProof/>
          <w:color w:val="4C4747"/>
          <w:lang w:val="es-DO"/>
        </w:rPr>
      </w:pPr>
    </w:p>
    <w:p w14:paraId="4E72D8F0" w14:textId="1EDCBABE" w:rsidR="00794DC0" w:rsidRPr="00A03E20" w:rsidRDefault="00A36ABF" w:rsidP="00340DF1">
      <w:pPr>
        <w:spacing w:line="360" w:lineRule="auto"/>
        <w:jc w:val="both"/>
        <w:rPr>
          <w:rFonts w:eastAsiaTheme="minorEastAsia"/>
          <w:noProof/>
          <w:color w:val="4C4747"/>
          <w:lang w:val="es-DO"/>
        </w:rPr>
      </w:pPr>
      <w:r w:rsidRPr="00A03E20">
        <w:rPr>
          <w:rFonts w:eastAsiaTheme="minorEastAsia"/>
          <w:noProof/>
          <w:color w:val="4C4747"/>
          <w:lang w:val="es-DO"/>
        </w:rPr>
        <w:t>Toda gestión institucional eficaz debe apoyarse en un marco rector que brinde dirección, coherencia y propósito, asegurando que nuestras acciones se alineen con los objetivos estratégicos establecidos.</w:t>
      </w:r>
      <w:r w:rsidR="0008069B" w:rsidRPr="00A03E20">
        <w:rPr>
          <w:rFonts w:eastAsiaTheme="minorEastAsia"/>
          <w:noProof/>
          <w:color w:val="4C4747"/>
          <w:lang w:val="es-DO"/>
        </w:rPr>
        <w:t xml:space="preserve"> </w:t>
      </w:r>
      <w:r w:rsidR="00794DC0" w:rsidRPr="00A03E20">
        <w:rPr>
          <w:rFonts w:eastAsiaTheme="minorEastAsia"/>
          <w:noProof/>
          <w:color w:val="4C4747"/>
          <w:lang w:val="es-DO"/>
        </w:rPr>
        <w:t>En ese sentido, se presentan a continuación los componentes esenciales que conforman el eje rector de nuestra institución: el marco filosófico, la base legal, la estructura organizativa y la planificación estratégica.</w:t>
      </w:r>
    </w:p>
    <w:p w14:paraId="26F94BBA" w14:textId="3F0C0DD1" w:rsidR="00794DC0" w:rsidRPr="00A03E20" w:rsidRDefault="00794DC0" w:rsidP="00340DF1">
      <w:pPr>
        <w:spacing w:line="360" w:lineRule="auto"/>
        <w:jc w:val="both"/>
        <w:rPr>
          <w:rFonts w:eastAsiaTheme="minorEastAsia"/>
          <w:noProof/>
          <w:color w:val="4C4747"/>
          <w:lang w:val="es-DO"/>
        </w:rPr>
      </w:pPr>
      <w:r w:rsidRPr="00A03E20">
        <w:rPr>
          <w:rFonts w:eastAsiaTheme="minorEastAsia"/>
          <w:noProof/>
          <w:color w:val="4C4747"/>
          <w:lang w:val="es-DO"/>
        </w:rPr>
        <w:t>El marco filosófico define los principios que sustentan nuestra misión, visión y valores institucionales, reafirmando nuestro compromiso con la transparencia, la integridad y la responsabilidad pública. A través de la misión y la visión, establecemos con claridad nuestro propósito institucional y la dirección estratégica que guiar</w:t>
      </w:r>
      <w:r w:rsidR="0008069B" w:rsidRPr="00A03E20">
        <w:rPr>
          <w:rFonts w:eastAsiaTheme="minorEastAsia"/>
          <w:noProof/>
          <w:color w:val="4C4747"/>
          <w:lang w:val="es-DO"/>
        </w:rPr>
        <w:t xml:space="preserve"> </w:t>
      </w:r>
      <w:r w:rsidRPr="00A03E20">
        <w:rPr>
          <w:rFonts w:eastAsiaTheme="minorEastAsia"/>
          <w:noProof/>
          <w:color w:val="4C4747"/>
          <w:lang w:val="es-DO"/>
        </w:rPr>
        <w:t>nuestro quehacer. Asimismo, nuestros valores institucionales definidos para el período 2025-2028 constituyen los cimientos de la cultura organizacional, orientando la conducta de todos los colaboradores y garantizando la coherencia entre nuestras acciones y los principios que rigen el servicio público.</w:t>
      </w:r>
    </w:p>
    <w:p w14:paraId="2A6D9062" w14:textId="345E62FE" w:rsidR="000F4C96" w:rsidRPr="00EC6B29" w:rsidRDefault="000F4C96" w:rsidP="00340DF1">
      <w:pPr>
        <w:spacing w:line="360" w:lineRule="auto"/>
        <w:jc w:val="both"/>
        <w:rPr>
          <w:rFonts w:eastAsiaTheme="minorEastAsia"/>
          <w:noProof/>
          <w:color w:val="4C4747"/>
          <w:lang w:val="es-DO"/>
        </w:rPr>
      </w:pPr>
      <w:r w:rsidRPr="00EC6B29">
        <w:rPr>
          <w:rFonts w:eastAsiaTheme="minorEastAsia"/>
          <w:noProof/>
          <w:color w:val="4C4747"/>
          <w:lang w:val="es-DO"/>
        </w:rPr>
        <w:t xml:space="preserve">La base legal  de la Comisión Nacional de Defensa de la </w:t>
      </w:r>
      <w:r w:rsidR="0093288E" w:rsidRPr="00EC6B29">
        <w:rPr>
          <w:rFonts w:eastAsiaTheme="minorEastAsia"/>
          <w:noProof/>
          <w:color w:val="4C4747"/>
          <w:lang w:val="es-DO"/>
        </w:rPr>
        <w:t xml:space="preserve">Competencia </w:t>
      </w:r>
      <w:r w:rsidR="00100D08" w:rsidRPr="00EC6B29">
        <w:rPr>
          <w:rFonts w:eastAsiaTheme="minorEastAsia"/>
          <w:noProof/>
          <w:color w:val="4C4747"/>
          <w:lang w:val="es-DO"/>
        </w:rPr>
        <w:t>(</w:t>
      </w:r>
      <w:r w:rsidRPr="00EC6B29">
        <w:rPr>
          <w:rFonts w:eastAsiaTheme="minorEastAsia"/>
          <w:noProof/>
          <w:color w:val="4C4747"/>
          <w:lang w:val="es-DO"/>
        </w:rPr>
        <w:t>ProCompetencia</w:t>
      </w:r>
      <w:r w:rsidR="00100D08" w:rsidRPr="00EC6B29">
        <w:rPr>
          <w:rFonts w:eastAsiaTheme="minorEastAsia"/>
          <w:noProof/>
          <w:color w:val="4C4747"/>
          <w:lang w:val="es-DO"/>
        </w:rPr>
        <w:t>)</w:t>
      </w:r>
      <w:r w:rsidRPr="00EC6B29">
        <w:rPr>
          <w:rFonts w:eastAsiaTheme="minorEastAsia"/>
          <w:noProof/>
          <w:color w:val="4C4747"/>
          <w:lang w:val="es-DO"/>
        </w:rPr>
        <w:t xml:space="preserve">, establece el contexto normativo que regula nuestras acciones, asegurando que </w:t>
      </w:r>
      <w:r w:rsidR="0002254B" w:rsidRPr="00EC6B29">
        <w:rPr>
          <w:rFonts w:eastAsiaTheme="minorEastAsia"/>
          <w:noProof/>
          <w:color w:val="4C4747"/>
          <w:lang w:val="es-DO"/>
        </w:rPr>
        <w:t xml:space="preserve">las </w:t>
      </w:r>
      <w:r w:rsidRPr="00EC6B29">
        <w:rPr>
          <w:rFonts w:eastAsiaTheme="minorEastAsia"/>
          <w:noProof/>
          <w:color w:val="4C4747"/>
          <w:lang w:val="es-DO"/>
        </w:rPr>
        <w:t xml:space="preserve">actividades se desarrollen dentro del marco jurídico correspondiente. </w:t>
      </w:r>
    </w:p>
    <w:p w14:paraId="4848CEBA"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La estructura organizativa describe cómo nos organizamos para gestionar eficientemente los recursos humanos y materiales, promoviendo la colaboración y el trabajo en equipo.</w:t>
      </w:r>
    </w:p>
    <w:p w14:paraId="2C2F8838"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Finalmente, la planificación estratégica es el instrumento donde tenemos plasmadas las  metas y estrategias a ser alcanzadas, garantizando la alineación de todas las áreas hacia el cumplimiento de nuestra visión institucional.</w:t>
      </w:r>
    </w:p>
    <w:p w14:paraId="36898D3C" w14:textId="77777777" w:rsidR="000F4C96" w:rsidRPr="00A03E20" w:rsidRDefault="000F4C96" w:rsidP="00340DF1">
      <w:pPr>
        <w:spacing w:line="360" w:lineRule="auto"/>
        <w:jc w:val="both"/>
        <w:rPr>
          <w:rFonts w:eastAsiaTheme="minorEastAsia"/>
          <w:noProof/>
          <w:color w:val="4C4747"/>
          <w:lang w:val="es-DO"/>
        </w:rPr>
      </w:pPr>
    </w:p>
    <w:p w14:paraId="55FBF5D0" w14:textId="77777777" w:rsidR="000F4C96" w:rsidRPr="00A03E20" w:rsidRDefault="000F4C96" w:rsidP="00340DF1">
      <w:pPr>
        <w:pStyle w:val="Ttulo2"/>
        <w:spacing w:line="360" w:lineRule="auto"/>
        <w:rPr>
          <w:noProof/>
          <w:lang w:val="es-DO"/>
        </w:rPr>
      </w:pPr>
      <w:bookmarkStart w:id="4" w:name="_Toc217035426"/>
      <w:r w:rsidRPr="00A03E20">
        <w:rPr>
          <w:noProof/>
          <w:lang w:val="es-DO"/>
        </w:rPr>
        <w:t>2.1Marco filosófico institucional</w:t>
      </w:r>
      <w:bookmarkEnd w:id="4"/>
    </w:p>
    <w:p w14:paraId="7459F640" w14:textId="77777777" w:rsidR="00D14B3E" w:rsidRPr="00A03E20" w:rsidRDefault="00D14B3E" w:rsidP="00340DF1">
      <w:pPr>
        <w:spacing w:line="360" w:lineRule="auto"/>
        <w:rPr>
          <w:lang w:val="es-DO"/>
        </w:rPr>
      </w:pPr>
    </w:p>
    <w:p w14:paraId="3E11FD30"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a.Misión</w:t>
      </w:r>
    </w:p>
    <w:p w14:paraId="532ADEFF"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Garantizar la libre competencia entre los agentes económicos de la República Dominicana, mediante la promoción, abogacía y defensa de una efectiva y leal competencia.</w:t>
      </w:r>
    </w:p>
    <w:p w14:paraId="2EB9BE32"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b.Visión</w:t>
      </w:r>
    </w:p>
    <w:p w14:paraId="26C24AAC"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Ser reconocida como la autoridad que vela por la libre competencia de los mercados, garante del cumplimiento de las leyes y normativas que la regulan y que favorecen el bienestar del consumidor.</w:t>
      </w:r>
    </w:p>
    <w:p w14:paraId="06B77F68"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c.Valores</w:t>
      </w:r>
    </w:p>
    <w:p w14:paraId="489F60DE"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Compromiso:</w:t>
      </w:r>
    </w:p>
    <w:p w14:paraId="2554054F"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Realizamos, con dedicación y esmero, las responsabilidades que asumimos, excediendo siempre las expectativas.</w:t>
      </w:r>
    </w:p>
    <w:p w14:paraId="235C6751"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Integridad: </w:t>
      </w:r>
    </w:p>
    <w:p w14:paraId="2AF44A12" w14:textId="77777777" w:rsidR="000F4C96"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Actuamos apegados a los principios de la moral y la ética en el ejercicio de nuestras funciones, responsabilidades y en el comportamiento que modelamos.</w:t>
      </w:r>
    </w:p>
    <w:p w14:paraId="3DE8F068" w14:textId="77777777" w:rsidR="00841917" w:rsidRDefault="00841917" w:rsidP="00340DF1">
      <w:pPr>
        <w:spacing w:line="360" w:lineRule="auto"/>
        <w:jc w:val="both"/>
        <w:rPr>
          <w:rFonts w:eastAsiaTheme="minorEastAsia"/>
          <w:noProof/>
          <w:color w:val="4C4747"/>
          <w:lang w:val="es-DO"/>
        </w:rPr>
      </w:pPr>
    </w:p>
    <w:p w14:paraId="53DED339" w14:textId="77777777" w:rsidR="00841917" w:rsidRPr="00A03E20" w:rsidRDefault="00841917" w:rsidP="00340DF1">
      <w:pPr>
        <w:spacing w:line="360" w:lineRule="auto"/>
        <w:jc w:val="both"/>
        <w:rPr>
          <w:rFonts w:eastAsiaTheme="minorEastAsia"/>
          <w:noProof/>
          <w:color w:val="4C4747"/>
          <w:lang w:val="es-DO"/>
        </w:rPr>
      </w:pPr>
    </w:p>
    <w:p w14:paraId="78CA5E7D"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Transparencia:</w:t>
      </w:r>
    </w:p>
    <w:p w14:paraId="0D52235E" w14:textId="38536639"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Tratamos calidéz y calidad a nuestros usuarios, nos de</w:t>
      </w:r>
      <w:r w:rsidR="0008069B" w:rsidRPr="00A03E20">
        <w:rPr>
          <w:rFonts w:eastAsiaTheme="minorEastAsia"/>
          <w:noProof/>
          <w:color w:val="4C4747"/>
          <w:lang w:val="es-DO"/>
        </w:rPr>
        <w:t>s</w:t>
      </w:r>
      <w:r w:rsidRPr="00A03E20">
        <w:rPr>
          <w:rFonts w:eastAsiaTheme="minorEastAsia"/>
          <w:noProof/>
          <w:color w:val="4C4747"/>
          <w:lang w:val="es-DO"/>
        </w:rPr>
        <w:t>velamos para satisfacer sus necesidades.</w:t>
      </w:r>
    </w:p>
    <w:p w14:paraId="23238040" w14:textId="7777777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Vocación de servicio:</w:t>
      </w:r>
    </w:p>
    <w:p w14:paraId="23FBEC72" w14:textId="52B7FE27" w:rsidR="000F4C96" w:rsidRPr="00A03E20" w:rsidRDefault="000F4C96" w:rsidP="00340DF1">
      <w:pPr>
        <w:spacing w:line="360" w:lineRule="auto"/>
        <w:jc w:val="both"/>
        <w:rPr>
          <w:rFonts w:eastAsiaTheme="minorEastAsia"/>
          <w:noProof/>
          <w:color w:val="4C4747"/>
          <w:lang w:val="es-DO"/>
        </w:rPr>
      </w:pPr>
      <w:r w:rsidRPr="00A03E20">
        <w:rPr>
          <w:rFonts w:eastAsiaTheme="minorEastAsia"/>
          <w:noProof/>
          <w:color w:val="4C4747"/>
          <w:lang w:val="es-DO"/>
        </w:rPr>
        <w:t>Manejamos, con pulcritud y honestidad, los procesos y recursos de que disponemos, abiertos siempre al escrutinio público.</w:t>
      </w:r>
    </w:p>
    <w:p w14:paraId="12AA990C" w14:textId="77777777" w:rsidR="000F4C96" w:rsidRPr="00A03E20" w:rsidRDefault="000F4C96" w:rsidP="00340DF1">
      <w:pPr>
        <w:spacing w:line="360" w:lineRule="auto"/>
        <w:rPr>
          <w:rFonts w:eastAsiaTheme="minorEastAsia"/>
          <w:noProof/>
          <w:color w:val="4C4747"/>
          <w:lang w:val="es-DO"/>
        </w:rPr>
      </w:pPr>
    </w:p>
    <w:p w14:paraId="00B42ED5" w14:textId="77777777" w:rsidR="00020C86" w:rsidRPr="00A03E20" w:rsidRDefault="00020C86" w:rsidP="00340DF1">
      <w:pPr>
        <w:pStyle w:val="Ttulo2"/>
        <w:spacing w:line="360" w:lineRule="auto"/>
        <w:rPr>
          <w:noProof/>
          <w:lang w:val="es-DO"/>
        </w:rPr>
      </w:pPr>
      <w:bookmarkStart w:id="5" w:name="_Toc217035427"/>
      <w:r w:rsidRPr="00A03E20">
        <w:rPr>
          <w:noProof/>
          <w:lang w:val="es-DO"/>
        </w:rPr>
        <w:t>2.2 Base legal</w:t>
      </w:r>
      <w:bookmarkEnd w:id="5"/>
    </w:p>
    <w:p w14:paraId="784B3F42" w14:textId="77777777" w:rsidR="00D14B3E" w:rsidRPr="00A03E20" w:rsidRDefault="00D14B3E" w:rsidP="00340DF1">
      <w:pPr>
        <w:spacing w:line="360" w:lineRule="auto"/>
        <w:rPr>
          <w:lang w:val="es-DO"/>
        </w:rPr>
      </w:pPr>
    </w:p>
    <w:p w14:paraId="1B7549C5" w14:textId="77777777" w:rsidR="00020C86" w:rsidRPr="00A03E20"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En la República Dominicana, el punto de partida del derecho de la competencia se encuentra en el artículo 50.1 y 217 de la Constitución. La carta magna recoge el derecho a la libertad de empresa bajo la sombrilla de la economía de mercado y la garantía y protección de la misma por los poderes públicos como, por ejemplo, la prohibición de los monopolios como regla general y la prohibición de prácticas anticompetitivas como el abuso de posición dominante. </w:t>
      </w:r>
    </w:p>
    <w:p w14:paraId="7D9BBA5E" w14:textId="53F96293" w:rsidR="00020C86"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En el ámbito nacional, el marco normativo parte de la Ley núm. 42-08 sobre la Defensa de la Competencia y su reglamento de aplicación contenido en el Decreto núm. 252-20 complementándose con la Ley núm. 107-13 sobre los derechos de las personas en sus relaciones con la administración y de procedimiento administrativo, así como todas aquellas que deben ser observadas para el quehacer de sus actuaciones, incluyendo los precedentes vinculantes. </w:t>
      </w:r>
    </w:p>
    <w:p w14:paraId="699BF2F5" w14:textId="77777777" w:rsidR="00841917" w:rsidRDefault="00841917" w:rsidP="00340DF1">
      <w:pPr>
        <w:spacing w:line="360" w:lineRule="auto"/>
        <w:jc w:val="both"/>
        <w:rPr>
          <w:rFonts w:eastAsiaTheme="minorEastAsia"/>
          <w:noProof/>
          <w:color w:val="4C4747"/>
          <w:lang w:val="es-DO"/>
        </w:rPr>
      </w:pPr>
    </w:p>
    <w:p w14:paraId="75FC5BDB" w14:textId="77777777" w:rsidR="00841917" w:rsidRDefault="00841917" w:rsidP="00340DF1">
      <w:pPr>
        <w:spacing w:line="360" w:lineRule="auto"/>
        <w:jc w:val="both"/>
        <w:rPr>
          <w:rFonts w:eastAsiaTheme="minorEastAsia"/>
          <w:noProof/>
          <w:color w:val="4C4747"/>
          <w:lang w:val="es-DO"/>
        </w:rPr>
      </w:pPr>
    </w:p>
    <w:p w14:paraId="20411DEA" w14:textId="77777777" w:rsidR="00841917" w:rsidRDefault="00841917" w:rsidP="00340DF1">
      <w:pPr>
        <w:spacing w:line="360" w:lineRule="auto"/>
        <w:jc w:val="both"/>
        <w:rPr>
          <w:rFonts w:eastAsiaTheme="minorEastAsia"/>
          <w:noProof/>
          <w:color w:val="4C4747"/>
          <w:lang w:val="es-DO"/>
        </w:rPr>
      </w:pPr>
    </w:p>
    <w:p w14:paraId="1ECEF50B" w14:textId="77777777" w:rsidR="00841917" w:rsidRPr="00A03E20" w:rsidRDefault="00841917" w:rsidP="00340DF1">
      <w:pPr>
        <w:spacing w:line="360" w:lineRule="auto"/>
        <w:jc w:val="both"/>
        <w:rPr>
          <w:rFonts w:eastAsiaTheme="minorEastAsia"/>
          <w:noProof/>
          <w:color w:val="4C4747"/>
          <w:lang w:val="es-DO"/>
        </w:rPr>
      </w:pPr>
    </w:p>
    <w:p w14:paraId="5E7EDFF3" w14:textId="6F7D7121" w:rsidR="00D54B70" w:rsidRPr="00A03E20" w:rsidRDefault="00D54B70"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El decreto 196-25 que aprueba la Política Nacional de Competencia de la República Dominicana, como un instrumento estratégico para promover y defender la libre y leal competencia, fortaleciendo el marco normativo e institucional del país y contribuyendo al desarrollo económico sostenible e inclusivo. Designa a la Comisión Nacional de Defensa de la Competencia como la entidad ejecutora principal de la Política Nacional de Competencia. </w:t>
      </w:r>
    </w:p>
    <w:p w14:paraId="1FA1483C" w14:textId="772C9F95" w:rsidR="00F43C8B" w:rsidRPr="00A03E20"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De igual manera,  deben ser tomadas en consideración la  resoluciones del Consejo Directivo  008-2021, 009-2021 y 011-202, que establecen </w:t>
      </w:r>
      <w:r w:rsidR="008B23AD" w:rsidRPr="00A03E20">
        <w:rPr>
          <w:rFonts w:eastAsiaTheme="minorEastAsia"/>
          <w:noProof/>
          <w:color w:val="4C4747"/>
          <w:lang w:val="es-DO"/>
        </w:rPr>
        <w:t>la</w:t>
      </w:r>
      <w:r w:rsidRPr="00A03E20">
        <w:rPr>
          <w:rFonts w:eastAsiaTheme="minorEastAsia"/>
          <w:noProof/>
          <w:color w:val="4C4747"/>
          <w:lang w:val="es-DO"/>
        </w:rPr>
        <w:t xml:space="preserve"> reducción de  sanciones por  colaboración en el marco del procedimiento de investigación de prácticas concertadas y/o acuerdos anticompetitivos (carteles), el  reglamento que establece el procedimiento simplificado aplicable en casos de indicios de entrega de información falsa en el marco de los procedimientos de investigación de la Dirección Ejecutiva y el reglamento para el sometimiento y aprobación de compromisos de cese en el marco de las investigaciones, respectivamente. </w:t>
      </w:r>
    </w:p>
    <w:p w14:paraId="5A49AF81" w14:textId="180AD34D" w:rsidR="00020C86"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Por último, la Ley úm. 01-12 que aprueba la Ley Orgánica de la Estrategia Nacional de Desarrollo de la República Dominicana.</w:t>
      </w:r>
    </w:p>
    <w:p w14:paraId="5A0401EF" w14:textId="77777777" w:rsidR="00841917" w:rsidRDefault="00841917" w:rsidP="00340DF1">
      <w:pPr>
        <w:spacing w:line="360" w:lineRule="auto"/>
        <w:jc w:val="both"/>
        <w:rPr>
          <w:rFonts w:eastAsiaTheme="minorEastAsia"/>
          <w:noProof/>
          <w:color w:val="4C4747"/>
          <w:lang w:val="es-DO"/>
        </w:rPr>
      </w:pPr>
    </w:p>
    <w:p w14:paraId="17E5FFEE" w14:textId="77777777" w:rsidR="00841917" w:rsidRDefault="00841917" w:rsidP="00340DF1">
      <w:pPr>
        <w:spacing w:line="360" w:lineRule="auto"/>
        <w:jc w:val="both"/>
        <w:rPr>
          <w:rFonts w:eastAsiaTheme="minorEastAsia"/>
          <w:noProof/>
          <w:color w:val="4C4747"/>
          <w:lang w:val="es-DO"/>
        </w:rPr>
      </w:pPr>
    </w:p>
    <w:p w14:paraId="7D1DB533" w14:textId="77777777" w:rsidR="00841917" w:rsidRDefault="00841917" w:rsidP="00340DF1">
      <w:pPr>
        <w:spacing w:line="360" w:lineRule="auto"/>
        <w:jc w:val="both"/>
        <w:rPr>
          <w:rFonts w:eastAsiaTheme="minorEastAsia"/>
          <w:noProof/>
          <w:color w:val="4C4747"/>
          <w:lang w:val="es-DO"/>
        </w:rPr>
      </w:pPr>
    </w:p>
    <w:p w14:paraId="36061EED" w14:textId="77777777" w:rsidR="00841917" w:rsidRDefault="00841917" w:rsidP="00340DF1">
      <w:pPr>
        <w:spacing w:line="360" w:lineRule="auto"/>
        <w:jc w:val="both"/>
        <w:rPr>
          <w:rFonts w:eastAsiaTheme="minorEastAsia"/>
          <w:noProof/>
          <w:color w:val="4C4747"/>
          <w:lang w:val="es-DO"/>
        </w:rPr>
      </w:pPr>
    </w:p>
    <w:p w14:paraId="787EB723" w14:textId="77777777" w:rsidR="00841917" w:rsidRPr="00A03E20" w:rsidRDefault="00841917" w:rsidP="00340DF1">
      <w:pPr>
        <w:spacing w:line="360" w:lineRule="auto"/>
        <w:jc w:val="both"/>
        <w:rPr>
          <w:rFonts w:eastAsiaTheme="minorEastAsia"/>
          <w:noProof/>
          <w:color w:val="4C4747"/>
          <w:lang w:val="es-DO"/>
        </w:rPr>
      </w:pPr>
    </w:p>
    <w:p w14:paraId="1B62FDE8" w14:textId="77777777" w:rsidR="00020C86" w:rsidRPr="00506A10" w:rsidRDefault="00020C86" w:rsidP="00340DF1">
      <w:pPr>
        <w:spacing w:line="360" w:lineRule="auto"/>
        <w:rPr>
          <w:lang w:val="es-D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409"/>
        <w:gridCol w:w="5103"/>
      </w:tblGrid>
      <w:tr w:rsidR="00020C86" w:rsidRPr="00116DFC" w14:paraId="5F65C637" w14:textId="77777777">
        <w:trPr>
          <w:trHeight w:val="416"/>
          <w:tblHeader/>
          <w:jc w:val="center"/>
        </w:trPr>
        <w:tc>
          <w:tcPr>
            <w:tcW w:w="9634" w:type="dxa"/>
            <w:gridSpan w:val="3"/>
            <w:tcBorders>
              <w:top w:val="single" w:sz="4" w:space="0" w:color="auto"/>
              <w:left w:val="single" w:sz="4" w:space="0" w:color="auto"/>
              <w:bottom w:val="single" w:sz="4" w:space="0" w:color="auto"/>
              <w:right w:val="single" w:sz="4" w:space="0" w:color="auto"/>
            </w:tcBorders>
            <w:shd w:val="clear" w:color="auto" w:fill="002060"/>
            <w:hideMark/>
          </w:tcPr>
          <w:p w14:paraId="3FB35F8F" w14:textId="240871C2" w:rsidR="00020C86" w:rsidRPr="000A349F" w:rsidRDefault="00020C86" w:rsidP="00340DF1">
            <w:pPr>
              <w:spacing w:line="360" w:lineRule="auto"/>
              <w:jc w:val="center"/>
              <w:rPr>
                <w:color w:val="FFFFFF" w:themeColor="background1"/>
                <w:lang w:val="es-DO"/>
              </w:rPr>
            </w:pPr>
            <w:r w:rsidRPr="000A349F">
              <w:rPr>
                <w:color w:val="FFFFFF" w:themeColor="background1"/>
                <w:lang w:val="es-DO"/>
              </w:rPr>
              <w:lastRenderedPageBreak/>
              <w:t>Tabla 1. Documentación de la base legal de ProCompetencia</w:t>
            </w:r>
          </w:p>
        </w:tc>
      </w:tr>
      <w:tr w:rsidR="00020C86" w:rsidRPr="00506A10" w14:paraId="10F2D21B" w14:textId="77777777" w:rsidTr="005230A3">
        <w:trPr>
          <w:jc w:val="center"/>
        </w:trPr>
        <w:tc>
          <w:tcPr>
            <w:tcW w:w="2122" w:type="dxa"/>
            <w:tcBorders>
              <w:top w:val="single" w:sz="4" w:space="0" w:color="auto"/>
              <w:left w:val="single" w:sz="4" w:space="0" w:color="auto"/>
              <w:bottom w:val="single" w:sz="4" w:space="0" w:color="auto"/>
              <w:right w:val="single" w:sz="4" w:space="0" w:color="auto"/>
            </w:tcBorders>
            <w:shd w:val="clear" w:color="auto" w:fill="002060"/>
            <w:hideMark/>
          </w:tcPr>
          <w:p w14:paraId="5E7220F1" w14:textId="77777777" w:rsidR="00020C86" w:rsidRPr="000A349F" w:rsidRDefault="00020C86" w:rsidP="00340DF1">
            <w:pPr>
              <w:spacing w:line="360" w:lineRule="auto"/>
              <w:jc w:val="center"/>
              <w:rPr>
                <w:color w:val="FFFFFF" w:themeColor="background1"/>
                <w:lang w:val="es-DO"/>
              </w:rPr>
            </w:pPr>
            <w:r w:rsidRPr="000A349F">
              <w:rPr>
                <w:color w:val="FFFFFF" w:themeColor="background1"/>
                <w:lang w:val="es-DO"/>
              </w:rPr>
              <w:t>Documento</w:t>
            </w:r>
          </w:p>
        </w:tc>
        <w:tc>
          <w:tcPr>
            <w:tcW w:w="2409" w:type="dxa"/>
            <w:tcBorders>
              <w:top w:val="single" w:sz="4" w:space="0" w:color="auto"/>
              <w:left w:val="single" w:sz="4" w:space="0" w:color="auto"/>
              <w:bottom w:val="single" w:sz="4" w:space="0" w:color="auto"/>
              <w:right w:val="single" w:sz="4" w:space="0" w:color="auto"/>
            </w:tcBorders>
            <w:shd w:val="clear" w:color="auto" w:fill="002060"/>
            <w:hideMark/>
          </w:tcPr>
          <w:p w14:paraId="5B66AC25" w14:textId="77777777" w:rsidR="00020C86" w:rsidRPr="000A349F" w:rsidRDefault="00020C86" w:rsidP="00340DF1">
            <w:pPr>
              <w:spacing w:line="360" w:lineRule="auto"/>
              <w:jc w:val="center"/>
              <w:rPr>
                <w:color w:val="FFFFFF" w:themeColor="background1"/>
                <w:lang w:val="es-DO"/>
              </w:rPr>
            </w:pPr>
            <w:r w:rsidRPr="000A349F">
              <w:rPr>
                <w:color w:val="FFFFFF" w:themeColor="background1"/>
                <w:lang w:val="es-DO"/>
              </w:rPr>
              <w:t>Fecha</w:t>
            </w:r>
          </w:p>
        </w:tc>
        <w:tc>
          <w:tcPr>
            <w:tcW w:w="5103" w:type="dxa"/>
            <w:tcBorders>
              <w:top w:val="single" w:sz="4" w:space="0" w:color="auto"/>
              <w:left w:val="single" w:sz="4" w:space="0" w:color="auto"/>
              <w:bottom w:val="single" w:sz="4" w:space="0" w:color="auto"/>
              <w:right w:val="single" w:sz="4" w:space="0" w:color="auto"/>
            </w:tcBorders>
            <w:shd w:val="clear" w:color="auto" w:fill="002060"/>
            <w:hideMark/>
          </w:tcPr>
          <w:p w14:paraId="0CE6E52E" w14:textId="77777777" w:rsidR="00020C86" w:rsidRPr="000A349F" w:rsidRDefault="00020C86" w:rsidP="00340DF1">
            <w:pPr>
              <w:spacing w:line="360" w:lineRule="auto"/>
              <w:jc w:val="center"/>
              <w:rPr>
                <w:color w:val="FFFFFF" w:themeColor="background1"/>
                <w:lang w:val="es-DO"/>
              </w:rPr>
            </w:pPr>
            <w:r w:rsidRPr="000A349F">
              <w:rPr>
                <w:color w:val="FFFFFF" w:themeColor="background1"/>
                <w:lang w:val="es-DO"/>
              </w:rPr>
              <w:t>Contexto</w:t>
            </w:r>
          </w:p>
        </w:tc>
      </w:tr>
      <w:tr w:rsidR="00020C86" w:rsidRPr="00116DFC" w14:paraId="70089075" w14:textId="77777777" w:rsidTr="005230A3">
        <w:trPr>
          <w:jc w:val="center"/>
        </w:trPr>
        <w:tc>
          <w:tcPr>
            <w:tcW w:w="2122" w:type="dxa"/>
            <w:tcBorders>
              <w:top w:val="single" w:sz="4" w:space="0" w:color="auto"/>
              <w:left w:val="single" w:sz="4" w:space="0" w:color="auto"/>
              <w:bottom w:val="single" w:sz="4" w:space="0" w:color="auto"/>
              <w:right w:val="single" w:sz="4" w:space="0" w:color="auto"/>
            </w:tcBorders>
            <w:hideMark/>
          </w:tcPr>
          <w:p w14:paraId="4E7318B8"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Constitución dominicana</w:t>
            </w:r>
          </w:p>
        </w:tc>
        <w:tc>
          <w:tcPr>
            <w:tcW w:w="2409" w:type="dxa"/>
            <w:tcBorders>
              <w:top w:val="single" w:sz="4" w:space="0" w:color="auto"/>
              <w:left w:val="single" w:sz="4" w:space="0" w:color="auto"/>
              <w:bottom w:val="single" w:sz="4" w:space="0" w:color="auto"/>
              <w:right w:val="single" w:sz="4" w:space="0" w:color="auto"/>
            </w:tcBorders>
            <w:hideMark/>
          </w:tcPr>
          <w:p w14:paraId="30882C8D"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13 de junio de 2015</w:t>
            </w:r>
          </w:p>
        </w:tc>
        <w:tc>
          <w:tcPr>
            <w:tcW w:w="5103" w:type="dxa"/>
            <w:tcBorders>
              <w:top w:val="single" w:sz="4" w:space="0" w:color="auto"/>
              <w:left w:val="single" w:sz="4" w:space="0" w:color="auto"/>
              <w:bottom w:val="single" w:sz="4" w:space="0" w:color="auto"/>
              <w:right w:val="single" w:sz="4" w:space="0" w:color="auto"/>
            </w:tcBorders>
            <w:hideMark/>
          </w:tcPr>
          <w:p w14:paraId="7321F1AA" w14:textId="77777777" w:rsidR="00020C86" w:rsidRPr="00A03E20"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Artículo 50.1 sobre la libertad de empresa, que establece la prohibición de los monopolios y prácticas como el abuso de posición dominante. </w:t>
            </w:r>
          </w:p>
          <w:p w14:paraId="7840FBCB" w14:textId="77777777" w:rsidR="00020C86" w:rsidRPr="00A03E20"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Artículo 217 sobre el fundamento del régimen económico, en el que se resalta que la libre competencia es parte fundamental del régimen y crecimiento económico de la República Dominicana. </w:t>
            </w:r>
          </w:p>
        </w:tc>
      </w:tr>
      <w:tr w:rsidR="00020C86" w:rsidRPr="00116DFC" w14:paraId="7F2F8684" w14:textId="77777777" w:rsidTr="005230A3">
        <w:trPr>
          <w:jc w:val="center"/>
        </w:trPr>
        <w:tc>
          <w:tcPr>
            <w:tcW w:w="2122" w:type="dxa"/>
            <w:tcBorders>
              <w:top w:val="single" w:sz="4" w:space="0" w:color="auto"/>
              <w:left w:val="single" w:sz="4" w:space="0" w:color="auto"/>
              <w:bottom w:val="single" w:sz="4" w:space="0" w:color="auto"/>
              <w:right w:val="single" w:sz="4" w:space="0" w:color="auto"/>
            </w:tcBorders>
            <w:hideMark/>
          </w:tcPr>
          <w:p w14:paraId="139AC022"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Ley núm. 42-08</w:t>
            </w:r>
          </w:p>
        </w:tc>
        <w:tc>
          <w:tcPr>
            <w:tcW w:w="2409" w:type="dxa"/>
            <w:tcBorders>
              <w:top w:val="single" w:sz="4" w:space="0" w:color="auto"/>
              <w:left w:val="single" w:sz="4" w:space="0" w:color="auto"/>
              <w:bottom w:val="single" w:sz="4" w:space="0" w:color="auto"/>
              <w:right w:val="single" w:sz="4" w:space="0" w:color="auto"/>
            </w:tcBorders>
            <w:hideMark/>
          </w:tcPr>
          <w:p w14:paraId="32C993EC" w14:textId="77777777" w:rsidR="00020C86" w:rsidRPr="00A03E20"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6 de enero 12 de 2008, y en vigor a partir del 6 de enero de 2017.</w:t>
            </w:r>
          </w:p>
        </w:tc>
        <w:tc>
          <w:tcPr>
            <w:tcW w:w="5103" w:type="dxa"/>
            <w:tcBorders>
              <w:top w:val="single" w:sz="4" w:space="0" w:color="auto"/>
              <w:left w:val="single" w:sz="4" w:space="0" w:color="auto"/>
              <w:bottom w:val="single" w:sz="4" w:space="0" w:color="auto"/>
              <w:right w:val="single" w:sz="4" w:space="0" w:color="auto"/>
            </w:tcBorders>
            <w:hideMark/>
          </w:tcPr>
          <w:p w14:paraId="7A3C87B8" w14:textId="7300DDE4" w:rsidR="00020C86" w:rsidRPr="00EC6B29" w:rsidRDefault="00020C86" w:rsidP="00340DF1">
            <w:pPr>
              <w:spacing w:line="360" w:lineRule="auto"/>
              <w:jc w:val="both"/>
              <w:rPr>
                <w:rFonts w:eastAsiaTheme="minorEastAsia"/>
                <w:noProof/>
                <w:color w:val="4C4747"/>
                <w:lang w:val="es-DO"/>
              </w:rPr>
            </w:pPr>
            <w:r w:rsidRPr="00EC6B29">
              <w:rPr>
                <w:rFonts w:eastAsiaTheme="minorEastAsia"/>
                <w:noProof/>
                <w:color w:val="4C4747"/>
                <w:lang w:val="es-DO"/>
              </w:rPr>
              <w:t xml:space="preserve">Ley General de Defensa de la Competencia que crea ProCompetencia y tipifica las prácticas anticompetitivas. </w:t>
            </w:r>
          </w:p>
        </w:tc>
      </w:tr>
      <w:tr w:rsidR="00020C86" w:rsidRPr="00116DFC" w14:paraId="49292D10" w14:textId="77777777" w:rsidTr="005230A3">
        <w:trPr>
          <w:trHeight w:val="1173"/>
          <w:jc w:val="center"/>
        </w:trPr>
        <w:tc>
          <w:tcPr>
            <w:tcW w:w="2122" w:type="dxa"/>
            <w:tcBorders>
              <w:top w:val="single" w:sz="4" w:space="0" w:color="auto"/>
              <w:left w:val="single" w:sz="4" w:space="0" w:color="auto"/>
              <w:bottom w:val="single" w:sz="4" w:space="0" w:color="auto"/>
              <w:right w:val="single" w:sz="4" w:space="0" w:color="auto"/>
            </w:tcBorders>
            <w:hideMark/>
          </w:tcPr>
          <w:p w14:paraId="5D486CB7"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Ley núm. 107-13</w:t>
            </w:r>
          </w:p>
        </w:tc>
        <w:tc>
          <w:tcPr>
            <w:tcW w:w="2409" w:type="dxa"/>
            <w:tcBorders>
              <w:top w:val="single" w:sz="4" w:space="0" w:color="auto"/>
              <w:left w:val="single" w:sz="4" w:space="0" w:color="auto"/>
              <w:bottom w:val="single" w:sz="4" w:space="0" w:color="auto"/>
              <w:right w:val="single" w:sz="4" w:space="0" w:color="auto"/>
            </w:tcBorders>
          </w:tcPr>
          <w:p w14:paraId="3E7F7E93"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8 de agosto de 2013</w:t>
            </w:r>
          </w:p>
          <w:p w14:paraId="3C279BEE" w14:textId="77777777" w:rsidR="00020C86" w:rsidRPr="00D866F4" w:rsidRDefault="00020C86" w:rsidP="00340DF1">
            <w:pPr>
              <w:spacing w:line="360" w:lineRule="auto"/>
              <w:jc w:val="both"/>
              <w:rPr>
                <w:rFonts w:eastAsiaTheme="minorEastAsia"/>
                <w:noProof/>
                <w:color w:val="4C4747"/>
              </w:rPr>
            </w:pPr>
          </w:p>
        </w:tc>
        <w:tc>
          <w:tcPr>
            <w:tcW w:w="5103" w:type="dxa"/>
            <w:tcBorders>
              <w:top w:val="single" w:sz="4" w:space="0" w:color="auto"/>
              <w:left w:val="single" w:sz="4" w:space="0" w:color="auto"/>
              <w:bottom w:val="single" w:sz="4" w:space="0" w:color="auto"/>
              <w:right w:val="single" w:sz="4" w:space="0" w:color="auto"/>
            </w:tcBorders>
            <w:hideMark/>
          </w:tcPr>
          <w:p w14:paraId="5695BAB9" w14:textId="77777777" w:rsidR="00020C86" w:rsidRPr="00A03E20"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Sobre los derechos de las personas en sus relaciones con la administración y de procedimiento administrativo.</w:t>
            </w:r>
          </w:p>
        </w:tc>
      </w:tr>
      <w:tr w:rsidR="00020C86" w:rsidRPr="00116DFC" w14:paraId="758D65F9" w14:textId="77777777" w:rsidTr="005230A3">
        <w:trPr>
          <w:trHeight w:val="1888"/>
          <w:jc w:val="center"/>
        </w:trPr>
        <w:tc>
          <w:tcPr>
            <w:tcW w:w="2122" w:type="dxa"/>
            <w:tcBorders>
              <w:top w:val="single" w:sz="4" w:space="0" w:color="auto"/>
              <w:left w:val="single" w:sz="4" w:space="0" w:color="auto"/>
              <w:bottom w:val="single" w:sz="4" w:space="0" w:color="auto"/>
              <w:right w:val="single" w:sz="4" w:space="0" w:color="auto"/>
            </w:tcBorders>
            <w:hideMark/>
          </w:tcPr>
          <w:p w14:paraId="4BB2A131"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Ley núm. 01-12</w:t>
            </w:r>
          </w:p>
        </w:tc>
        <w:tc>
          <w:tcPr>
            <w:tcW w:w="2409" w:type="dxa"/>
            <w:tcBorders>
              <w:top w:val="single" w:sz="4" w:space="0" w:color="auto"/>
              <w:left w:val="single" w:sz="4" w:space="0" w:color="auto"/>
              <w:bottom w:val="single" w:sz="4" w:space="0" w:color="auto"/>
              <w:right w:val="single" w:sz="4" w:space="0" w:color="auto"/>
            </w:tcBorders>
            <w:hideMark/>
          </w:tcPr>
          <w:p w14:paraId="1EDEC199"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25 de enero de 2012</w:t>
            </w:r>
          </w:p>
        </w:tc>
        <w:tc>
          <w:tcPr>
            <w:tcW w:w="5103" w:type="dxa"/>
            <w:tcBorders>
              <w:top w:val="single" w:sz="4" w:space="0" w:color="auto"/>
              <w:left w:val="single" w:sz="4" w:space="0" w:color="auto"/>
              <w:bottom w:val="single" w:sz="4" w:space="0" w:color="auto"/>
              <w:right w:val="single" w:sz="4" w:space="0" w:color="auto"/>
            </w:tcBorders>
            <w:hideMark/>
          </w:tcPr>
          <w:p w14:paraId="62B5DA87" w14:textId="77777777" w:rsidR="00020C86" w:rsidRPr="00A03E20"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La Estrategia Nacional de Desarrollo (END), contempla entre sus líneas de acción el impulso del funcionamiento de los mercados en condiciones de competencia. </w:t>
            </w:r>
          </w:p>
        </w:tc>
      </w:tr>
      <w:tr w:rsidR="00020C86" w:rsidRPr="00116DFC" w14:paraId="1A73A73B" w14:textId="77777777" w:rsidTr="005230A3">
        <w:trPr>
          <w:jc w:val="center"/>
        </w:trPr>
        <w:tc>
          <w:tcPr>
            <w:tcW w:w="2122" w:type="dxa"/>
            <w:tcBorders>
              <w:top w:val="single" w:sz="4" w:space="0" w:color="auto"/>
              <w:left w:val="single" w:sz="4" w:space="0" w:color="auto"/>
              <w:bottom w:val="single" w:sz="4" w:space="0" w:color="auto"/>
              <w:right w:val="single" w:sz="4" w:space="0" w:color="auto"/>
            </w:tcBorders>
            <w:hideMark/>
          </w:tcPr>
          <w:p w14:paraId="4C8E081A"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Decreto núm. 252-20</w:t>
            </w:r>
          </w:p>
        </w:tc>
        <w:tc>
          <w:tcPr>
            <w:tcW w:w="2409" w:type="dxa"/>
            <w:tcBorders>
              <w:top w:val="single" w:sz="4" w:space="0" w:color="auto"/>
              <w:left w:val="single" w:sz="4" w:space="0" w:color="auto"/>
              <w:bottom w:val="single" w:sz="4" w:space="0" w:color="auto"/>
              <w:right w:val="single" w:sz="4" w:space="0" w:color="auto"/>
            </w:tcBorders>
            <w:hideMark/>
          </w:tcPr>
          <w:p w14:paraId="7FD9B704"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15 de julio de 2020</w:t>
            </w:r>
          </w:p>
        </w:tc>
        <w:tc>
          <w:tcPr>
            <w:tcW w:w="5103" w:type="dxa"/>
            <w:tcBorders>
              <w:top w:val="single" w:sz="4" w:space="0" w:color="auto"/>
              <w:left w:val="single" w:sz="4" w:space="0" w:color="auto"/>
              <w:bottom w:val="single" w:sz="4" w:space="0" w:color="auto"/>
              <w:right w:val="single" w:sz="4" w:space="0" w:color="auto"/>
            </w:tcBorders>
            <w:hideMark/>
          </w:tcPr>
          <w:p w14:paraId="5E4F1208" w14:textId="77777777" w:rsidR="00020C86" w:rsidRPr="00A03E20"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Reglamento de Aplicación, aprobado mediante el Decreto núm. 252 -20 de julio del 2020.</w:t>
            </w:r>
          </w:p>
        </w:tc>
      </w:tr>
      <w:tr w:rsidR="00F322E7" w:rsidRPr="00116DFC" w14:paraId="47616120" w14:textId="77777777" w:rsidTr="005230A3">
        <w:trPr>
          <w:jc w:val="center"/>
        </w:trPr>
        <w:tc>
          <w:tcPr>
            <w:tcW w:w="2122" w:type="dxa"/>
            <w:tcBorders>
              <w:top w:val="single" w:sz="4" w:space="0" w:color="auto"/>
              <w:left w:val="single" w:sz="4" w:space="0" w:color="auto"/>
              <w:bottom w:val="single" w:sz="4" w:space="0" w:color="auto"/>
              <w:right w:val="single" w:sz="4" w:space="0" w:color="auto"/>
            </w:tcBorders>
          </w:tcPr>
          <w:p w14:paraId="52698AE4" w14:textId="16250EAB" w:rsidR="00F322E7" w:rsidRPr="00A03E20" w:rsidRDefault="00357E1B"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Decreto 196-25, que aprueba la Política Nacional de Competencia</w:t>
            </w:r>
          </w:p>
        </w:tc>
        <w:tc>
          <w:tcPr>
            <w:tcW w:w="2409" w:type="dxa"/>
            <w:tcBorders>
              <w:top w:val="single" w:sz="4" w:space="0" w:color="auto"/>
              <w:left w:val="single" w:sz="4" w:space="0" w:color="auto"/>
              <w:bottom w:val="single" w:sz="4" w:space="0" w:color="auto"/>
              <w:right w:val="single" w:sz="4" w:space="0" w:color="auto"/>
            </w:tcBorders>
          </w:tcPr>
          <w:p w14:paraId="36022F96" w14:textId="30E46C06" w:rsidR="00F322E7" w:rsidRPr="00D866F4" w:rsidRDefault="00031263" w:rsidP="00340DF1">
            <w:pPr>
              <w:spacing w:line="360" w:lineRule="auto"/>
              <w:jc w:val="both"/>
              <w:rPr>
                <w:rFonts w:eastAsiaTheme="minorEastAsia"/>
                <w:noProof/>
                <w:color w:val="4C4747"/>
              </w:rPr>
            </w:pPr>
            <w:r w:rsidRPr="00D866F4">
              <w:rPr>
                <w:rFonts w:eastAsiaTheme="minorEastAsia"/>
                <w:noProof/>
                <w:color w:val="4C4747"/>
              </w:rPr>
              <w:t xml:space="preserve">10 de abril de </w:t>
            </w:r>
            <w:r w:rsidR="00410661" w:rsidRPr="00D866F4">
              <w:rPr>
                <w:rFonts w:eastAsiaTheme="minorEastAsia"/>
                <w:noProof/>
                <w:color w:val="4C4747"/>
              </w:rPr>
              <w:t>2025</w:t>
            </w:r>
          </w:p>
        </w:tc>
        <w:tc>
          <w:tcPr>
            <w:tcW w:w="5103" w:type="dxa"/>
            <w:tcBorders>
              <w:top w:val="single" w:sz="4" w:space="0" w:color="auto"/>
              <w:left w:val="single" w:sz="4" w:space="0" w:color="auto"/>
              <w:bottom w:val="single" w:sz="4" w:space="0" w:color="auto"/>
              <w:right w:val="single" w:sz="4" w:space="0" w:color="auto"/>
            </w:tcBorders>
          </w:tcPr>
          <w:p w14:paraId="0CE85068" w14:textId="730B784E" w:rsidR="00F322E7" w:rsidRPr="00A03E20" w:rsidRDefault="00E46B0E" w:rsidP="00340DF1">
            <w:pPr>
              <w:spacing w:line="360" w:lineRule="auto"/>
              <w:jc w:val="both"/>
              <w:rPr>
                <w:rFonts w:eastAsiaTheme="minorEastAsia"/>
                <w:noProof/>
                <w:color w:val="4C4747"/>
                <w:lang w:val="es-DO"/>
              </w:rPr>
            </w:pPr>
            <w:r w:rsidRPr="00A03E20">
              <w:rPr>
                <w:rFonts w:eastAsiaTheme="minorEastAsia"/>
                <w:noProof/>
                <w:color w:val="4C4747"/>
                <w:lang w:val="es-DO"/>
              </w:rPr>
              <w:t>Establecer los lineamientos estratégicos, objetivos generales y prioridades de acción del Estado dominicano para promover, proteger y fortalecer la competencia en los mercados nacionales, como medio para mejorar la productividad, eficiencia económica y bienestar del consumidor.</w:t>
            </w:r>
          </w:p>
        </w:tc>
      </w:tr>
      <w:tr w:rsidR="00020C86" w:rsidRPr="00116DFC" w14:paraId="0BF24ED0" w14:textId="77777777" w:rsidTr="005230A3">
        <w:trPr>
          <w:jc w:val="center"/>
        </w:trPr>
        <w:tc>
          <w:tcPr>
            <w:tcW w:w="2122" w:type="dxa"/>
            <w:tcBorders>
              <w:top w:val="single" w:sz="4" w:space="0" w:color="auto"/>
              <w:left w:val="single" w:sz="4" w:space="0" w:color="auto"/>
              <w:bottom w:val="single" w:sz="4" w:space="0" w:color="auto"/>
              <w:right w:val="single" w:sz="4" w:space="0" w:color="auto"/>
            </w:tcBorders>
            <w:hideMark/>
          </w:tcPr>
          <w:p w14:paraId="61E3529B"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Resolución del Consejo Directivo 008-2021</w:t>
            </w:r>
          </w:p>
        </w:tc>
        <w:tc>
          <w:tcPr>
            <w:tcW w:w="2409" w:type="dxa"/>
            <w:tcBorders>
              <w:top w:val="single" w:sz="4" w:space="0" w:color="auto"/>
              <w:left w:val="single" w:sz="4" w:space="0" w:color="auto"/>
              <w:bottom w:val="single" w:sz="4" w:space="0" w:color="auto"/>
              <w:right w:val="single" w:sz="4" w:space="0" w:color="auto"/>
            </w:tcBorders>
            <w:hideMark/>
          </w:tcPr>
          <w:p w14:paraId="68E4EBC8"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1 de junio de 2021</w:t>
            </w:r>
          </w:p>
        </w:tc>
        <w:tc>
          <w:tcPr>
            <w:tcW w:w="5103" w:type="dxa"/>
            <w:tcBorders>
              <w:top w:val="single" w:sz="4" w:space="0" w:color="auto"/>
              <w:left w:val="single" w:sz="4" w:space="0" w:color="auto"/>
              <w:bottom w:val="single" w:sz="4" w:space="0" w:color="auto"/>
              <w:right w:val="single" w:sz="4" w:space="0" w:color="auto"/>
            </w:tcBorders>
            <w:hideMark/>
          </w:tcPr>
          <w:p w14:paraId="313651F1" w14:textId="77777777" w:rsidR="00020C86" w:rsidRPr="00A03E20"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Régimen de Reducción de Sanciones por Colaboración en el Marco del Procedimiento de Investigación de Prácticas Concertadas y/o Acuerdos Anticompetitivos (carteles).</w:t>
            </w:r>
          </w:p>
        </w:tc>
      </w:tr>
      <w:tr w:rsidR="00020C86" w:rsidRPr="00116DFC" w14:paraId="112A3612" w14:textId="77777777" w:rsidTr="005230A3">
        <w:trPr>
          <w:jc w:val="center"/>
        </w:trPr>
        <w:tc>
          <w:tcPr>
            <w:tcW w:w="2122" w:type="dxa"/>
            <w:tcBorders>
              <w:top w:val="single" w:sz="4" w:space="0" w:color="auto"/>
              <w:left w:val="single" w:sz="4" w:space="0" w:color="auto"/>
              <w:bottom w:val="single" w:sz="4" w:space="0" w:color="auto"/>
              <w:right w:val="single" w:sz="4" w:space="0" w:color="auto"/>
            </w:tcBorders>
            <w:hideMark/>
          </w:tcPr>
          <w:p w14:paraId="69C6473E"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Resolución del Consejo Directivo 009-2021</w:t>
            </w:r>
          </w:p>
        </w:tc>
        <w:tc>
          <w:tcPr>
            <w:tcW w:w="2409" w:type="dxa"/>
            <w:tcBorders>
              <w:top w:val="single" w:sz="4" w:space="0" w:color="auto"/>
              <w:left w:val="single" w:sz="4" w:space="0" w:color="auto"/>
              <w:bottom w:val="single" w:sz="4" w:space="0" w:color="auto"/>
              <w:right w:val="single" w:sz="4" w:space="0" w:color="auto"/>
            </w:tcBorders>
            <w:hideMark/>
          </w:tcPr>
          <w:p w14:paraId="76A812E0"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1 de junio de 2021</w:t>
            </w:r>
          </w:p>
        </w:tc>
        <w:tc>
          <w:tcPr>
            <w:tcW w:w="5103" w:type="dxa"/>
            <w:tcBorders>
              <w:top w:val="single" w:sz="4" w:space="0" w:color="auto"/>
              <w:left w:val="single" w:sz="4" w:space="0" w:color="auto"/>
              <w:bottom w:val="single" w:sz="4" w:space="0" w:color="auto"/>
              <w:right w:val="single" w:sz="4" w:space="0" w:color="auto"/>
            </w:tcBorders>
            <w:hideMark/>
          </w:tcPr>
          <w:p w14:paraId="28E91729" w14:textId="77777777" w:rsidR="00020C86" w:rsidRPr="00A03E20"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Reglamento que establece el procedimiento simplificado aplicable en casos de Indicios de Entrega de información falsa en el marco de los procedimientos de investigación de la Dirección Ejecutiva.</w:t>
            </w:r>
          </w:p>
        </w:tc>
      </w:tr>
      <w:tr w:rsidR="00020C86" w:rsidRPr="00116DFC" w14:paraId="1071C18B" w14:textId="77777777" w:rsidTr="005230A3">
        <w:trPr>
          <w:jc w:val="center"/>
        </w:trPr>
        <w:tc>
          <w:tcPr>
            <w:tcW w:w="2122" w:type="dxa"/>
            <w:tcBorders>
              <w:top w:val="single" w:sz="4" w:space="0" w:color="auto"/>
              <w:left w:val="single" w:sz="4" w:space="0" w:color="auto"/>
              <w:bottom w:val="single" w:sz="4" w:space="0" w:color="auto"/>
              <w:right w:val="single" w:sz="4" w:space="0" w:color="auto"/>
            </w:tcBorders>
            <w:hideMark/>
          </w:tcPr>
          <w:p w14:paraId="1B691088"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Resolución del Consejo Directivo 011-2021</w:t>
            </w:r>
          </w:p>
        </w:tc>
        <w:tc>
          <w:tcPr>
            <w:tcW w:w="2409" w:type="dxa"/>
            <w:tcBorders>
              <w:top w:val="single" w:sz="4" w:space="0" w:color="auto"/>
              <w:left w:val="single" w:sz="4" w:space="0" w:color="auto"/>
              <w:bottom w:val="single" w:sz="4" w:space="0" w:color="auto"/>
              <w:right w:val="single" w:sz="4" w:space="0" w:color="auto"/>
            </w:tcBorders>
            <w:hideMark/>
          </w:tcPr>
          <w:p w14:paraId="28ABE987" w14:textId="77777777" w:rsidR="00020C86" w:rsidRPr="00D866F4" w:rsidRDefault="00020C86" w:rsidP="00340DF1">
            <w:pPr>
              <w:spacing w:line="360" w:lineRule="auto"/>
              <w:jc w:val="both"/>
              <w:rPr>
                <w:rFonts w:eastAsiaTheme="minorEastAsia"/>
                <w:noProof/>
                <w:color w:val="4C4747"/>
              </w:rPr>
            </w:pPr>
            <w:r w:rsidRPr="00D866F4">
              <w:rPr>
                <w:rFonts w:eastAsiaTheme="minorEastAsia"/>
                <w:noProof/>
                <w:color w:val="4C4747"/>
              </w:rPr>
              <w:t>24 de junio de 2021</w:t>
            </w:r>
          </w:p>
        </w:tc>
        <w:tc>
          <w:tcPr>
            <w:tcW w:w="5103" w:type="dxa"/>
            <w:tcBorders>
              <w:top w:val="single" w:sz="4" w:space="0" w:color="auto"/>
              <w:left w:val="single" w:sz="4" w:space="0" w:color="auto"/>
              <w:bottom w:val="single" w:sz="4" w:space="0" w:color="auto"/>
              <w:right w:val="single" w:sz="4" w:space="0" w:color="auto"/>
            </w:tcBorders>
            <w:hideMark/>
          </w:tcPr>
          <w:p w14:paraId="662ABBC1" w14:textId="77777777" w:rsidR="00020C86" w:rsidRPr="00A03E20" w:rsidRDefault="00020C86"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Reglamento para el sometimiento y aprobación de compromisos de cese en el marco de las investigaciones, respectivamente. </w:t>
            </w:r>
          </w:p>
        </w:tc>
      </w:tr>
      <w:tr w:rsidR="00D54B70" w:rsidRPr="00116DFC" w14:paraId="35E9C015" w14:textId="77777777" w:rsidTr="005230A3">
        <w:trPr>
          <w:jc w:val="center"/>
        </w:trPr>
        <w:tc>
          <w:tcPr>
            <w:tcW w:w="2122" w:type="dxa"/>
            <w:tcBorders>
              <w:top w:val="single" w:sz="4" w:space="0" w:color="auto"/>
              <w:left w:val="single" w:sz="4" w:space="0" w:color="auto"/>
              <w:bottom w:val="single" w:sz="4" w:space="0" w:color="auto"/>
              <w:right w:val="single" w:sz="4" w:space="0" w:color="auto"/>
            </w:tcBorders>
          </w:tcPr>
          <w:p w14:paraId="2EC27FB8" w14:textId="4D017011" w:rsidR="00D54B70" w:rsidRPr="00D866F4" w:rsidRDefault="00D54B70" w:rsidP="00340DF1">
            <w:pPr>
              <w:spacing w:line="360" w:lineRule="auto"/>
              <w:jc w:val="both"/>
              <w:rPr>
                <w:rFonts w:eastAsiaTheme="minorEastAsia"/>
                <w:noProof/>
                <w:color w:val="4C4747"/>
              </w:rPr>
            </w:pPr>
            <w:r w:rsidRPr="00D866F4">
              <w:rPr>
                <w:rFonts w:eastAsiaTheme="minorEastAsia"/>
                <w:noProof/>
                <w:color w:val="4C4747"/>
              </w:rPr>
              <w:t>Decreto núm. 196-25</w:t>
            </w:r>
          </w:p>
        </w:tc>
        <w:tc>
          <w:tcPr>
            <w:tcW w:w="2409" w:type="dxa"/>
            <w:tcBorders>
              <w:top w:val="single" w:sz="4" w:space="0" w:color="auto"/>
              <w:left w:val="single" w:sz="4" w:space="0" w:color="auto"/>
              <w:bottom w:val="single" w:sz="4" w:space="0" w:color="auto"/>
              <w:right w:val="single" w:sz="4" w:space="0" w:color="auto"/>
            </w:tcBorders>
          </w:tcPr>
          <w:p w14:paraId="76AA8903" w14:textId="7CEAD485" w:rsidR="00D54B70" w:rsidRPr="00D866F4" w:rsidRDefault="00D54B70" w:rsidP="00340DF1">
            <w:pPr>
              <w:spacing w:line="360" w:lineRule="auto"/>
              <w:jc w:val="both"/>
              <w:rPr>
                <w:rFonts w:eastAsiaTheme="minorEastAsia"/>
                <w:noProof/>
                <w:color w:val="4C4747"/>
              </w:rPr>
            </w:pPr>
            <w:r w:rsidRPr="00D866F4">
              <w:rPr>
                <w:rFonts w:eastAsiaTheme="minorEastAsia"/>
                <w:noProof/>
                <w:color w:val="4C4747"/>
              </w:rPr>
              <w:t>15 de abril del 2025</w:t>
            </w:r>
          </w:p>
        </w:tc>
        <w:tc>
          <w:tcPr>
            <w:tcW w:w="5103" w:type="dxa"/>
            <w:tcBorders>
              <w:top w:val="single" w:sz="4" w:space="0" w:color="auto"/>
              <w:left w:val="single" w:sz="4" w:space="0" w:color="auto"/>
              <w:bottom w:val="single" w:sz="4" w:space="0" w:color="auto"/>
              <w:right w:val="single" w:sz="4" w:space="0" w:color="auto"/>
            </w:tcBorders>
          </w:tcPr>
          <w:p w14:paraId="075729C3" w14:textId="7C8E5877" w:rsidR="00D54B70" w:rsidRPr="00A03E20" w:rsidRDefault="00D54B70" w:rsidP="00340DF1">
            <w:pPr>
              <w:spacing w:line="360" w:lineRule="auto"/>
              <w:jc w:val="both"/>
              <w:rPr>
                <w:rFonts w:eastAsiaTheme="minorEastAsia"/>
                <w:noProof/>
                <w:color w:val="4C4747"/>
                <w:lang w:val="es-DO"/>
              </w:rPr>
            </w:pPr>
            <w:r w:rsidRPr="00A03E20">
              <w:rPr>
                <w:rFonts w:eastAsiaTheme="minorEastAsia"/>
                <w:noProof/>
                <w:color w:val="4C4747"/>
                <w:lang w:val="es-DO"/>
              </w:rPr>
              <w:t>Decreto que ordena la implementación de la Política Nacional de Competencia.</w:t>
            </w:r>
          </w:p>
        </w:tc>
      </w:tr>
      <w:tr w:rsidR="00020C86" w:rsidRPr="00D866F4" w14:paraId="55F54215" w14:textId="77777777" w:rsidTr="005230A3">
        <w:trPr>
          <w:trHeight w:val="273"/>
          <w:jc w:val="center"/>
        </w:trPr>
        <w:tc>
          <w:tcPr>
            <w:tcW w:w="9634" w:type="dxa"/>
            <w:gridSpan w:val="3"/>
            <w:tcBorders>
              <w:top w:val="single" w:sz="4" w:space="0" w:color="auto"/>
              <w:left w:val="nil"/>
              <w:bottom w:val="nil"/>
              <w:right w:val="nil"/>
            </w:tcBorders>
            <w:hideMark/>
          </w:tcPr>
          <w:p w14:paraId="771AB095" w14:textId="77777777" w:rsidR="00020C86" w:rsidRPr="005230A3" w:rsidRDefault="00020C86" w:rsidP="00340DF1">
            <w:pPr>
              <w:spacing w:line="360" w:lineRule="auto"/>
              <w:jc w:val="both"/>
              <w:rPr>
                <w:rFonts w:eastAsiaTheme="minorEastAsia"/>
                <w:i/>
                <w:iCs/>
                <w:noProof/>
                <w:color w:val="4C4747"/>
                <w:sz w:val="18"/>
                <w:szCs w:val="18"/>
              </w:rPr>
            </w:pPr>
            <w:r w:rsidRPr="005230A3">
              <w:rPr>
                <w:rFonts w:eastAsiaTheme="minorEastAsia"/>
                <w:i/>
                <w:iCs/>
                <w:noProof/>
                <w:color w:val="4C4747"/>
                <w:sz w:val="18"/>
                <w:szCs w:val="18"/>
              </w:rPr>
              <w:t>Fuente: Plan Estratégico Institucional 2025-2028</w:t>
            </w:r>
          </w:p>
        </w:tc>
      </w:tr>
    </w:tbl>
    <w:p w14:paraId="3CF50682" w14:textId="77777777" w:rsidR="00020C86" w:rsidRPr="00D866F4" w:rsidRDefault="00020C86" w:rsidP="00340DF1">
      <w:pPr>
        <w:spacing w:line="360" w:lineRule="auto"/>
        <w:jc w:val="both"/>
        <w:rPr>
          <w:rFonts w:eastAsiaTheme="minorEastAsia"/>
          <w:noProof/>
          <w:color w:val="4C4747"/>
        </w:rPr>
      </w:pPr>
    </w:p>
    <w:p w14:paraId="63BF90E7" w14:textId="77777777" w:rsidR="00D14794" w:rsidRDefault="00D14794" w:rsidP="00340DF1">
      <w:pPr>
        <w:pStyle w:val="Ttulo2"/>
        <w:spacing w:line="360" w:lineRule="auto"/>
        <w:rPr>
          <w:noProof/>
        </w:rPr>
      </w:pPr>
      <w:bookmarkStart w:id="6" w:name="_Toc217035428"/>
      <w:r w:rsidRPr="00D14794">
        <w:rPr>
          <w:rFonts w:eastAsia="Calibri"/>
          <w:lang w:val="es-DO"/>
        </w:rPr>
        <w:lastRenderedPageBreak/>
        <w:t xml:space="preserve">2.3 </w:t>
      </w:r>
      <w:r w:rsidRPr="00D866F4">
        <w:rPr>
          <w:noProof/>
        </w:rPr>
        <w:t>Estructura organizativa</w:t>
      </w:r>
      <w:bookmarkEnd w:id="6"/>
    </w:p>
    <w:p w14:paraId="1463AC8B" w14:textId="5138E919" w:rsidR="00793D99" w:rsidRPr="00793D99" w:rsidRDefault="00793D99" w:rsidP="00793D99">
      <w:pPr>
        <w:spacing w:after="0" w:line="360" w:lineRule="auto"/>
        <w:jc w:val="both"/>
        <w:rPr>
          <w:rFonts w:eastAsiaTheme="minorEastAsia"/>
          <w:noProof/>
          <w:color w:val="4C4747"/>
          <w:lang w:val="es-DO"/>
        </w:rPr>
      </w:pPr>
      <w:r w:rsidRPr="00EC6B29">
        <w:rPr>
          <w:rFonts w:eastAsiaTheme="minorEastAsia"/>
          <w:noProof/>
          <w:color w:val="4C4747"/>
          <w:lang w:val="es-DO"/>
        </w:rPr>
        <w:t xml:space="preserve">La presentación de la estructura organizativa de ProCompetencia tiene como propósito proporcionar una visión clara de los principales funcionarios de la institución. </w:t>
      </w:r>
    </w:p>
    <w:tbl>
      <w:tblPr>
        <w:tblStyle w:val="Tablaconcuadrcula"/>
        <w:tblpPr w:leftFromText="141" w:rightFromText="141" w:vertAnchor="page" w:horzAnchor="margin" w:tblpXSpec="center" w:tblpY="3343"/>
        <w:tblW w:w="10333" w:type="dxa"/>
        <w:tblLook w:val="04A0" w:firstRow="1" w:lastRow="0" w:firstColumn="1" w:lastColumn="0" w:noHBand="0" w:noVBand="1"/>
      </w:tblPr>
      <w:tblGrid>
        <w:gridCol w:w="4291"/>
        <w:gridCol w:w="1423"/>
        <w:gridCol w:w="4619"/>
      </w:tblGrid>
      <w:tr w:rsidR="005230A3" w:rsidRPr="00D14B3E" w14:paraId="4E076067" w14:textId="77777777" w:rsidTr="00793D99">
        <w:trPr>
          <w:tblHeader/>
        </w:trPr>
        <w:tc>
          <w:tcPr>
            <w:tcW w:w="10333" w:type="dxa"/>
            <w:gridSpan w:val="3"/>
            <w:tcBorders>
              <w:top w:val="single" w:sz="12" w:space="0" w:color="767171"/>
              <w:left w:val="single" w:sz="12" w:space="0" w:color="767171"/>
              <w:right w:val="single" w:sz="12" w:space="0" w:color="767171"/>
            </w:tcBorders>
            <w:shd w:val="clear" w:color="auto" w:fill="002060"/>
          </w:tcPr>
          <w:p w14:paraId="69752488" w14:textId="627D9E60" w:rsidR="005230A3" w:rsidRPr="00D14B3E" w:rsidRDefault="005230A3" w:rsidP="005230A3">
            <w:pPr>
              <w:spacing w:line="360" w:lineRule="auto"/>
              <w:jc w:val="center"/>
              <w:rPr>
                <w:rFonts w:eastAsiaTheme="minorEastAsia"/>
                <w:noProof/>
                <w:color w:val="FFFFFF" w:themeColor="background1"/>
              </w:rPr>
            </w:pPr>
            <w:r w:rsidRPr="00D14B3E">
              <w:rPr>
                <w:rFonts w:eastAsiaTheme="minorEastAsia"/>
                <w:noProof/>
                <w:color w:val="FFFFFF" w:themeColor="background1"/>
              </w:rPr>
              <w:t>Tabla</w:t>
            </w:r>
            <w:r w:rsidR="00793D99">
              <w:rPr>
                <w:rFonts w:eastAsiaTheme="minorEastAsia"/>
                <w:noProof/>
                <w:color w:val="FFFFFF" w:themeColor="background1"/>
              </w:rPr>
              <w:t xml:space="preserve"> 2</w:t>
            </w:r>
            <w:r w:rsidRPr="00D14B3E">
              <w:rPr>
                <w:rFonts w:eastAsiaTheme="minorEastAsia"/>
                <w:noProof/>
                <w:color w:val="FFFFFF" w:themeColor="background1"/>
              </w:rPr>
              <w:t xml:space="preserve"> . Principales funcionarios de ProCompetencia</w:t>
            </w:r>
          </w:p>
        </w:tc>
      </w:tr>
      <w:tr w:rsidR="005230A3" w:rsidRPr="00D14B3E" w14:paraId="226F01B5" w14:textId="77777777" w:rsidTr="005230A3">
        <w:trPr>
          <w:cantSplit/>
        </w:trPr>
        <w:tc>
          <w:tcPr>
            <w:tcW w:w="4291" w:type="dxa"/>
            <w:tcBorders>
              <w:left w:val="single" w:sz="12" w:space="0" w:color="767171"/>
              <w:bottom w:val="single" w:sz="4" w:space="0" w:color="auto"/>
            </w:tcBorders>
            <w:shd w:val="clear" w:color="auto" w:fill="002060"/>
          </w:tcPr>
          <w:p w14:paraId="0C0A37F2" w14:textId="77777777" w:rsidR="005230A3" w:rsidRPr="00D14B3E" w:rsidRDefault="005230A3" w:rsidP="005230A3">
            <w:pPr>
              <w:spacing w:line="360" w:lineRule="auto"/>
              <w:jc w:val="center"/>
              <w:rPr>
                <w:rFonts w:eastAsiaTheme="minorEastAsia"/>
                <w:noProof/>
                <w:color w:val="FFFFFF" w:themeColor="background1"/>
              </w:rPr>
            </w:pPr>
            <w:r w:rsidRPr="00D14B3E">
              <w:rPr>
                <w:rFonts w:eastAsiaTheme="minorEastAsia"/>
                <w:noProof/>
                <w:color w:val="FFFFFF" w:themeColor="background1"/>
              </w:rPr>
              <w:t>Nombre</w:t>
            </w:r>
          </w:p>
        </w:tc>
        <w:tc>
          <w:tcPr>
            <w:tcW w:w="1423" w:type="dxa"/>
            <w:tcBorders>
              <w:bottom w:val="single" w:sz="4" w:space="0" w:color="auto"/>
            </w:tcBorders>
            <w:shd w:val="clear" w:color="auto" w:fill="002060"/>
          </w:tcPr>
          <w:p w14:paraId="7F11014C" w14:textId="77777777" w:rsidR="005230A3" w:rsidRPr="00D14B3E" w:rsidRDefault="005230A3" w:rsidP="005230A3">
            <w:pPr>
              <w:spacing w:line="360" w:lineRule="auto"/>
              <w:jc w:val="center"/>
              <w:rPr>
                <w:rFonts w:eastAsiaTheme="minorEastAsia"/>
                <w:noProof/>
                <w:color w:val="FFFFFF" w:themeColor="background1"/>
              </w:rPr>
            </w:pPr>
            <w:r w:rsidRPr="00D14B3E">
              <w:rPr>
                <w:rFonts w:eastAsiaTheme="minorEastAsia"/>
                <w:noProof/>
                <w:color w:val="FFFFFF" w:themeColor="background1"/>
              </w:rPr>
              <w:t>Cargo</w:t>
            </w:r>
          </w:p>
        </w:tc>
        <w:tc>
          <w:tcPr>
            <w:tcW w:w="4619" w:type="dxa"/>
            <w:tcBorders>
              <w:bottom w:val="single" w:sz="4" w:space="0" w:color="auto"/>
              <w:right w:val="single" w:sz="12" w:space="0" w:color="767171"/>
            </w:tcBorders>
            <w:shd w:val="clear" w:color="auto" w:fill="002060"/>
          </w:tcPr>
          <w:p w14:paraId="4A6BBE44" w14:textId="77777777" w:rsidR="005230A3" w:rsidRPr="00D14B3E" w:rsidRDefault="005230A3" w:rsidP="005230A3">
            <w:pPr>
              <w:spacing w:line="360" w:lineRule="auto"/>
              <w:jc w:val="center"/>
              <w:rPr>
                <w:rFonts w:eastAsiaTheme="minorEastAsia"/>
                <w:noProof/>
                <w:color w:val="FFFFFF" w:themeColor="background1"/>
              </w:rPr>
            </w:pPr>
            <w:r w:rsidRPr="00D14B3E">
              <w:rPr>
                <w:rFonts w:eastAsiaTheme="minorEastAsia"/>
                <w:noProof/>
                <w:color w:val="FFFFFF" w:themeColor="background1"/>
              </w:rPr>
              <w:t>Unidad</w:t>
            </w:r>
          </w:p>
        </w:tc>
      </w:tr>
      <w:tr w:rsidR="005230A3" w:rsidRPr="00D14B3E" w14:paraId="2B222A1E" w14:textId="77777777" w:rsidTr="005230A3">
        <w:trPr>
          <w:trHeight w:val="685"/>
        </w:trPr>
        <w:tc>
          <w:tcPr>
            <w:tcW w:w="4291" w:type="dxa"/>
            <w:tcBorders>
              <w:top w:val="single" w:sz="4" w:space="0" w:color="auto"/>
              <w:left w:val="single" w:sz="4" w:space="0" w:color="auto"/>
              <w:bottom w:val="single" w:sz="4" w:space="0" w:color="auto"/>
              <w:right w:val="single" w:sz="4" w:space="0" w:color="auto"/>
            </w:tcBorders>
          </w:tcPr>
          <w:p w14:paraId="17A14FC7"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María Elena Vásquez Taveras </w:t>
            </w:r>
          </w:p>
        </w:tc>
        <w:tc>
          <w:tcPr>
            <w:tcW w:w="1423" w:type="dxa"/>
            <w:tcBorders>
              <w:top w:val="single" w:sz="4" w:space="0" w:color="auto"/>
              <w:left w:val="single" w:sz="4" w:space="0" w:color="auto"/>
              <w:bottom w:val="single" w:sz="4" w:space="0" w:color="auto"/>
              <w:right w:val="single" w:sz="4" w:space="0" w:color="auto"/>
            </w:tcBorders>
          </w:tcPr>
          <w:p w14:paraId="227E42A9"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Presidenta</w:t>
            </w:r>
          </w:p>
        </w:tc>
        <w:tc>
          <w:tcPr>
            <w:tcW w:w="4619" w:type="dxa"/>
            <w:vMerge w:val="restart"/>
            <w:tcBorders>
              <w:top w:val="single" w:sz="4" w:space="0" w:color="auto"/>
              <w:left w:val="single" w:sz="4" w:space="0" w:color="auto"/>
              <w:bottom w:val="single" w:sz="4" w:space="0" w:color="auto"/>
              <w:right w:val="single" w:sz="4" w:space="0" w:color="auto"/>
            </w:tcBorders>
            <w:vAlign w:val="center"/>
          </w:tcPr>
          <w:p w14:paraId="60D01E2A"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Consejo Directivo</w:t>
            </w:r>
          </w:p>
        </w:tc>
      </w:tr>
      <w:tr w:rsidR="005230A3" w:rsidRPr="00D14B3E" w14:paraId="0952B807" w14:textId="77777777" w:rsidTr="005230A3">
        <w:tc>
          <w:tcPr>
            <w:tcW w:w="4291" w:type="dxa"/>
            <w:tcBorders>
              <w:top w:val="single" w:sz="4" w:space="0" w:color="auto"/>
              <w:left w:val="single" w:sz="4" w:space="0" w:color="auto"/>
              <w:bottom w:val="single" w:sz="4" w:space="0" w:color="auto"/>
              <w:right w:val="single" w:sz="4" w:space="0" w:color="auto"/>
            </w:tcBorders>
          </w:tcPr>
          <w:p w14:paraId="58B69A36"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Keryma Marra </w:t>
            </w:r>
          </w:p>
        </w:tc>
        <w:tc>
          <w:tcPr>
            <w:tcW w:w="1423" w:type="dxa"/>
            <w:tcBorders>
              <w:top w:val="single" w:sz="4" w:space="0" w:color="auto"/>
              <w:left w:val="single" w:sz="4" w:space="0" w:color="auto"/>
              <w:bottom w:val="single" w:sz="4" w:space="0" w:color="auto"/>
              <w:right w:val="single" w:sz="4" w:space="0" w:color="auto"/>
            </w:tcBorders>
          </w:tcPr>
          <w:p w14:paraId="7046F73C"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 xml:space="preserve">Miembro </w:t>
            </w:r>
          </w:p>
        </w:tc>
        <w:tc>
          <w:tcPr>
            <w:tcW w:w="4619" w:type="dxa"/>
            <w:vMerge/>
            <w:tcBorders>
              <w:top w:val="single" w:sz="4" w:space="0" w:color="auto"/>
              <w:left w:val="single" w:sz="4" w:space="0" w:color="auto"/>
              <w:bottom w:val="single" w:sz="4" w:space="0" w:color="auto"/>
              <w:right w:val="single" w:sz="4" w:space="0" w:color="auto"/>
            </w:tcBorders>
          </w:tcPr>
          <w:p w14:paraId="6D87AF08" w14:textId="77777777" w:rsidR="005230A3" w:rsidRPr="00D14B3E" w:rsidRDefault="005230A3" w:rsidP="005230A3">
            <w:pPr>
              <w:spacing w:line="360" w:lineRule="auto"/>
              <w:jc w:val="center"/>
              <w:rPr>
                <w:rFonts w:eastAsiaTheme="minorEastAsia"/>
                <w:noProof/>
                <w:color w:val="4C4747"/>
              </w:rPr>
            </w:pPr>
          </w:p>
        </w:tc>
      </w:tr>
      <w:tr w:rsidR="005230A3" w:rsidRPr="00D14B3E" w14:paraId="214B7664" w14:textId="77777777" w:rsidTr="005230A3">
        <w:tc>
          <w:tcPr>
            <w:tcW w:w="4291" w:type="dxa"/>
            <w:tcBorders>
              <w:top w:val="single" w:sz="4" w:space="0" w:color="auto"/>
              <w:left w:val="single" w:sz="4" w:space="0" w:color="auto"/>
              <w:bottom w:val="single" w:sz="4" w:space="0" w:color="auto"/>
              <w:right w:val="single" w:sz="4" w:space="0" w:color="auto"/>
            </w:tcBorders>
          </w:tcPr>
          <w:p w14:paraId="456A8A3B"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María Elisa Holguín López</w:t>
            </w:r>
          </w:p>
        </w:tc>
        <w:tc>
          <w:tcPr>
            <w:tcW w:w="1423" w:type="dxa"/>
            <w:tcBorders>
              <w:top w:val="single" w:sz="4" w:space="0" w:color="auto"/>
              <w:left w:val="single" w:sz="4" w:space="0" w:color="auto"/>
              <w:bottom w:val="single" w:sz="4" w:space="0" w:color="auto"/>
              <w:right w:val="single" w:sz="4" w:space="0" w:color="auto"/>
            </w:tcBorders>
          </w:tcPr>
          <w:p w14:paraId="2345E149"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 xml:space="preserve">Miembro </w:t>
            </w:r>
          </w:p>
        </w:tc>
        <w:tc>
          <w:tcPr>
            <w:tcW w:w="4619" w:type="dxa"/>
            <w:vMerge/>
            <w:tcBorders>
              <w:top w:val="single" w:sz="4" w:space="0" w:color="auto"/>
              <w:left w:val="single" w:sz="4" w:space="0" w:color="auto"/>
              <w:bottom w:val="single" w:sz="4" w:space="0" w:color="auto"/>
              <w:right w:val="single" w:sz="4" w:space="0" w:color="auto"/>
            </w:tcBorders>
          </w:tcPr>
          <w:p w14:paraId="4AE07DEB" w14:textId="77777777" w:rsidR="005230A3" w:rsidRPr="00D14B3E" w:rsidRDefault="005230A3" w:rsidP="005230A3">
            <w:pPr>
              <w:spacing w:line="360" w:lineRule="auto"/>
              <w:jc w:val="center"/>
              <w:rPr>
                <w:rFonts w:eastAsiaTheme="minorEastAsia"/>
                <w:noProof/>
                <w:color w:val="4C4747"/>
              </w:rPr>
            </w:pPr>
          </w:p>
        </w:tc>
      </w:tr>
      <w:tr w:rsidR="005230A3" w:rsidRPr="00D14B3E" w14:paraId="4CD3E70A" w14:textId="77777777" w:rsidTr="005230A3">
        <w:tc>
          <w:tcPr>
            <w:tcW w:w="4291" w:type="dxa"/>
            <w:tcBorders>
              <w:top w:val="single" w:sz="4" w:space="0" w:color="auto"/>
              <w:left w:val="single" w:sz="4" w:space="0" w:color="auto"/>
              <w:bottom w:val="single" w:sz="4" w:space="0" w:color="auto"/>
              <w:right w:val="single" w:sz="4" w:space="0" w:color="auto"/>
            </w:tcBorders>
          </w:tcPr>
          <w:p w14:paraId="6709A1E2"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Francisco Pimentel </w:t>
            </w:r>
          </w:p>
        </w:tc>
        <w:tc>
          <w:tcPr>
            <w:tcW w:w="1423" w:type="dxa"/>
            <w:tcBorders>
              <w:top w:val="single" w:sz="4" w:space="0" w:color="auto"/>
              <w:left w:val="single" w:sz="4" w:space="0" w:color="auto"/>
              <w:bottom w:val="single" w:sz="4" w:space="0" w:color="auto"/>
              <w:right w:val="single" w:sz="4" w:space="0" w:color="auto"/>
            </w:tcBorders>
          </w:tcPr>
          <w:p w14:paraId="779446D8"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 xml:space="preserve">Miembro </w:t>
            </w:r>
          </w:p>
        </w:tc>
        <w:tc>
          <w:tcPr>
            <w:tcW w:w="4619" w:type="dxa"/>
            <w:vMerge/>
            <w:tcBorders>
              <w:top w:val="single" w:sz="4" w:space="0" w:color="auto"/>
              <w:left w:val="single" w:sz="4" w:space="0" w:color="auto"/>
              <w:bottom w:val="single" w:sz="4" w:space="0" w:color="auto"/>
              <w:right w:val="single" w:sz="4" w:space="0" w:color="auto"/>
            </w:tcBorders>
          </w:tcPr>
          <w:p w14:paraId="0E6ED451" w14:textId="77777777" w:rsidR="005230A3" w:rsidRPr="00D14B3E" w:rsidRDefault="005230A3" w:rsidP="005230A3">
            <w:pPr>
              <w:spacing w:line="360" w:lineRule="auto"/>
              <w:jc w:val="center"/>
              <w:rPr>
                <w:rFonts w:eastAsiaTheme="minorEastAsia"/>
                <w:noProof/>
                <w:color w:val="4C4747"/>
              </w:rPr>
            </w:pPr>
          </w:p>
        </w:tc>
      </w:tr>
      <w:tr w:rsidR="005230A3" w:rsidRPr="00D14B3E" w14:paraId="40881FF0" w14:textId="77777777" w:rsidTr="005230A3">
        <w:tc>
          <w:tcPr>
            <w:tcW w:w="4291" w:type="dxa"/>
            <w:tcBorders>
              <w:top w:val="single" w:sz="4" w:space="0" w:color="auto"/>
              <w:left w:val="single" w:sz="4" w:space="0" w:color="auto"/>
              <w:bottom w:val="single" w:sz="4" w:space="0" w:color="auto"/>
              <w:right w:val="single" w:sz="4" w:space="0" w:color="auto"/>
            </w:tcBorders>
          </w:tcPr>
          <w:p w14:paraId="78534CA3" w14:textId="77777777" w:rsidR="005230A3" w:rsidRPr="00D14B3E" w:rsidRDefault="005230A3" w:rsidP="005230A3">
            <w:pPr>
              <w:spacing w:line="360" w:lineRule="auto"/>
              <w:rPr>
                <w:rFonts w:eastAsiaTheme="minorEastAsia"/>
                <w:noProof/>
                <w:color w:val="4C4747"/>
              </w:rPr>
            </w:pPr>
            <w:hyperlink r:id="rId14" w:history="1">
              <w:r w:rsidRPr="00D14B3E">
                <w:rPr>
                  <w:rFonts w:eastAsiaTheme="minorEastAsia"/>
                  <w:noProof/>
                  <w:color w:val="4C4747"/>
                </w:rPr>
                <w:t>Víctor Rogelio Benavides Valerio</w:t>
              </w:r>
            </w:hyperlink>
          </w:p>
        </w:tc>
        <w:tc>
          <w:tcPr>
            <w:tcW w:w="1423" w:type="dxa"/>
            <w:tcBorders>
              <w:top w:val="single" w:sz="4" w:space="0" w:color="auto"/>
              <w:left w:val="single" w:sz="4" w:space="0" w:color="auto"/>
              <w:bottom w:val="single" w:sz="4" w:space="0" w:color="auto"/>
              <w:right w:val="single" w:sz="4" w:space="0" w:color="auto"/>
            </w:tcBorders>
          </w:tcPr>
          <w:p w14:paraId="2EAFF989"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Director</w:t>
            </w:r>
          </w:p>
        </w:tc>
        <w:tc>
          <w:tcPr>
            <w:tcW w:w="4619" w:type="dxa"/>
            <w:tcBorders>
              <w:top w:val="single" w:sz="4" w:space="0" w:color="auto"/>
              <w:left w:val="single" w:sz="4" w:space="0" w:color="auto"/>
              <w:bottom w:val="single" w:sz="4" w:space="0" w:color="auto"/>
              <w:right w:val="single" w:sz="4" w:space="0" w:color="auto"/>
            </w:tcBorders>
          </w:tcPr>
          <w:p w14:paraId="3004BB09"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Dirección Ejecutiva</w:t>
            </w:r>
          </w:p>
        </w:tc>
      </w:tr>
      <w:tr w:rsidR="005230A3" w:rsidRPr="00116DFC" w14:paraId="467905DC" w14:textId="77777777" w:rsidTr="005230A3">
        <w:tc>
          <w:tcPr>
            <w:tcW w:w="4291" w:type="dxa"/>
            <w:tcBorders>
              <w:top w:val="single" w:sz="4" w:space="0" w:color="auto"/>
              <w:left w:val="single" w:sz="4" w:space="0" w:color="auto"/>
            </w:tcBorders>
          </w:tcPr>
          <w:p w14:paraId="413E0198"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José Augusto Beltré </w:t>
            </w:r>
          </w:p>
        </w:tc>
        <w:tc>
          <w:tcPr>
            <w:tcW w:w="1423" w:type="dxa"/>
            <w:tcBorders>
              <w:top w:val="single" w:sz="4" w:space="0" w:color="auto"/>
            </w:tcBorders>
          </w:tcPr>
          <w:p w14:paraId="02D00208"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Director</w:t>
            </w:r>
          </w:p>
        </w:tc>
        <w:tc>
          <w:tcPr>
            <w:tcW w:w="4619" w:type="dxa"/>
            <w:tcBorders>
              <w:top w:val="single" w:sz="4" w:space="0" w:color="auto"/>
              <w:right w:val="single" w:sz="4" w:space="0" w:color="auto"/>
            </w:tcBorders>
          </w:tcPr>
          <w:p w14:paraId="00EAB045" w14:textId="77777777" w:rsidR="005230A3" w:rsidRPr="00A03E20" w:rsidRDefault="005230A3" w:rsidP="005230A3">
            <w:pPr>
              <w:spacing w:line="360" w:lineRule="auto"/>
              <w:jc w:val="center"/>
              <w:rPr>
                <w:rFonts w:eastAsiaTheme="minorEastAsia"/>
                <w:noProof/>
                <w:color w:val="4C4747"/>
                <w:lang w:val="es-DO"/>
              </w:rPr>
            </w:pPr>
            <w:r w:rsidRPr="00A03E20">
              <w:rPr>
                <w:rFonts w:eastAsiaTheme="minorEastAsia"/>
                <w:noProof/>
                <w:color w:val="4C4747"/>
                <w:lang w:val="es-DO"/>
              </w:rPr>
              <w:t>Dirección de Promoción y Abogacía de la Competencia</w:t>
            </w:r>
          </w:p>
        </w:tc>
      </w:tr>
      <w:tr w:rsidR="005230A3" w:rsidRPr="00116DFC" w14:paraId="6D32BC01" w14:textId="77777777" w:rsidTr="005230A3">
        <w:tc>
          <w:tcPr>
            <w:tcW w:w="4291" w:type="dxa"/>
            <w:tcBorders>
              <w:top w:val="single" w:sz="18" w:space="0" w:color="767171"/>
              <w:left w:val="single" w:sz="12" w:space="0" w:color="767171"/>
            </w:tcBorders>
          </w:tcPr>
          <w:p w14:paraId="2BE29BA3"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Liverca Gómez </w:t>
            </w:r>
          </w:p>
        </w:tc>
        <w:tc>
          <w:tcPr>
            <w:tcW w:w="1423" w:type="dxa"/>
            <w:tcBorders>
              <w:top w:val="single" w:sz="18" w:space="0" w:color="767171"/>
            </w:tcBorders>
          </w:tcPr>
          <w:p w14:paraId="2F799754"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Encargada</w:t>
            </w:r>
          </w:p>
        </w:tc>
        <w:tc>
          <w:tcPr>
            <w:tcW w:w="4619" w:type="dxa"/>
            <w:tcBorders>
              <w:top w:val="single" w:sz="18" w:space="0" w:color="767171"/>
              <w:right w:val="single" w:sz="12" w:space="0" w:color="767171"/>
            </w:tcBorders>
          </w:tcPr>
          <w:p w14:paraId="66AF468F" w14:textId="77777777" w:rsidR="005230A3" w:rsidRPr="00A03E20" w:rsidRDefault="005230A3" w:rsidP="005230A3">
            <w:pPr>
              <w:spacing w:line="360" w:lineRule="auto"/>
              <w:jc w:val="center"/>
              <w:rPr>
                <w:rFonts w:eastAsiaTheme="minorEastAsia"/>
                <w:noProof/>
                <w:color w:val="4C4747"/>
                <w:lang w:val="es-DO"/>
              </w:rPr>
            </w:pPr>
            <w:r w:rsidRPr="00A03E20">
              <w:rPr>
                <w:rFonts w:eastAsiaTheme="minorEastAsia"/>
                <w:noProof/>
                <w:color w:val="4C4747"/>
                <w:lang w:val="es-DO"/>
              </w:rPr>
              <w:t>Departamento de Estudios Económicos y de Mercado</w:t>
            </w:r>
          </w:p>
        </w:tc>
      </w:tr>
      <w:tr w:rsidR="005230A3" w:rsidRPr="00116DFC" w14:paraId="508B3C21" w14:textId="77777777" w:rsidTr="005230A3">
        <w:tc>
          <w:tcPr>
            <w:tcW w:w="4291" w:type="dxa"/>
            <w:tcBorders>
              <w:left w:val="single" w:sz="12" w:space="0" w:color="767171"/>
            </w:tcBorders>
          </w:tcPr>
          <w:p w14:paraId="4E636D52"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Rey Angel Fernández Liranzo </w:t>
            </w:r>
          </w:p>
        </w:tc>
        <w:tc>
          <w:tcPr>
            <w:tcW w:w="1423" w:type="dxa"/>
          </w:tcPr>
          <w:p w14:paraId="5765BF79"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Encargado</w:t>
            </w:r>
          </w:p>
        </w:tc>
        <w:tc>
          <w:tcPr>
            <w:tcW w:w="4619" w:type="dxa"/>
            <w:tcBorders>
              <w:right w:val="single" w:sz="12" w:space="0" w:color="767171"/>
            </w:tcBorders>
          </w:tcPr>
          <w:p w14:paraId="756F793E" w14:textId="77777777" w:rsidR="005230A3" w:rsidRPr="00A03E20" w:rsidRDefault="005230A3" w:rsidP="005230A3">
            <w:pPr>
              <w:spacing w:line="360" w:lineRule="auto"/>
              <w:jc w:val="center"/>
              <w:rPr>
                <w:rFonts w:eastAsiaTheme="minorEastAsia"/>
                <w:noProof/>
                <w:color w:val="4C4747"/>
                <w:lang w:val="es-DO"/>
              </w:rPr>
            </w:pPr>
            <w:r w:rsidRPr="00A03E20">
              <w:rPr>
                <w:rFonts w:eastAsiaTheme="minorEastAsia"/>
                <w:noProof/>
                <w:color w:val="4C4747"/>
                <w:lang w:val="es-DO"/>
              </w:rPr>
              <w:t>Departamento de Gestión Técnica del Consejo Directivo</w:t>
            </w:r>
          </w:p>
        </w:tc>
      </w:tr>
      <w:tr w:rsidR="005230A3" w:rsidRPr="00D14B3E" w14:paraId="720B1A0A" w14:textId="77777777" w:rsidTr="005230A3">
        <w:tc>
          <w:tcPr>
            <w:tcW w:w="4291" w:type="dxa"/>
            <w:tcBorders>
              <w:left w:val="single" w:sz="12" w:space="0" w:color="767171"/>
            </w:tcBorders>
          </w:tcPr>
          <w:p w14:paraId="088E9A87"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Eduardo Fernández</w:t>
            </w:r>
          </w:p>
        </w:tc>
        <w:tc>
          <w:tcPr>
            <w:tcW w:w="1423" w:type="dxa"/>
          </w:tcPr>
          <w:p w14:paraId="61CAED08"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Encargado</w:t>
            </w:r>
          </w:p>
        </w:tc>
        <w:tc>
          <w:tcPr>
            <w:tcW w:w="4619" w:type="dxa"/>
            <w:tcBorders>
              <w:right w:val="single" w:sz="12" w:space="0" w:color="767171"/>
            </w:tcBorders>
          </w:tcPr>
          <w:p w14:paraId="40F42A64"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Departamento Administrativo y Financiero</w:t>
            </w:r>
          </w:p>
        </w:tc>
      </w:tr>
      <w:tr w:rsidR="005230A3" w:rsidRPr="00D14B3E" w14:paraId="68F7C8EB" w14:textId="77777777" w:rsidTr="005230A3">
        <w:tc>
          <w:tcPr>
            <w:tcW w:w="4291" w:type="dxa"/>
            <w:tcBorders>
              <w:left w:val="single" w:sz="12" w:space="0" w:color="767171"/>
            </w:tcBorders>
          </w:tcPr>
          <w:p w14:paraId="2EF2D810"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Claritza Barreiro </w:t>
            </w:r>
          </w:p>
        </w:tc>
        <w:tc>
          <w:tcPr>
            <w:tcW w:w="1423" w:type="dxa"/>
          </w:tcPr>
          <w:p w14:paraId="35579CFA"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Encargada</w:t>
            </w:r>
          </w:p>
        </w:tc>
        <w:tc>
          <w:tcPr>
            <w:tcW w:w="4619" w:type="dxa"/>
            <w:tcBorders>
              <w:right w:val="single" w:sz="12" w:space="0" w:color="767171"/>
            </w:tcBorders>
          </w:tcPr>
          <w:p w14:paraId="7D2E0160"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Departamento de Recursos Humanos</w:t>
            </w:r>
          </w:p>
        </w:tc>
      </w:tr>
      <w:tr w:rsidR="005230A3" w:rsidRPr="00116DFC" w14:paraId="7ECFC0C4" w14:textId="77777777" w:rsidTr="005230A3">
        <w:tc>
          <w:tcPr>
            <w:tcW w:w="4291" w:type="dxa"/>
            <w:tcBorders>
              <w:left w:val="single" w:sz="12" w:space="0" w:color="767171"/>
            </w:tcBorders>
          </w:tcPr>
          <w:p w14:paraId="04E3C1C2"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Visaes Coronado </w:t>
            </w:r>
          </w:p>
        </w:tc>
        <w:tc>
          <w:tcPr>
            <w:tcW w:w="1423" w:type="dxa"/>
          </w:tcPr>
          <w:p w14:paraId="308CCF8C"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Encargada</w:t>
            </w:r>
          </w:p>
        </w:tc>
        <w:tc>
          <w:tcPr>
            <w:tcW w:w="4619" w:type="dxa"/>
            <w:tcBorders>
              <w:right w:val="single" w:sz="12" w:space="0" w:color="767171"/>
            </w:tcBorders>
          </w:tcPr>
          <w:p w14:paraId="2502FDCF" w14:textId="77777777" w:rsidR="005230A3" w:rsidRPr="00A03E20" w:rsidRDefault="005230A3" w:rsidP="005230A3">
            <w:pPr>
              <w:spacing w:line="360" w:lineRule="auto"/>
              <w:jc w:val="center"/>
              <w:rPr>
                <w:rFonts w:eastAsiaTheme="minorEastAsia"/>
                <w:noProof/>
                <w:color w:val="4C4747"/>
                <w:lang w:val="es-DO"/>
              </w:rPr>
            </w:pPr>
            <w:r w:rsidRPr="00A03E20">
              <w:rPr>
                <w:rFonts w:eastAsiaTheme="minorEastAsia"/>
                <w:noProof/>
                <w:color w:val="4C4747"/>
                <w:lang w:val="es-DO"/>
              </w:rPr>
              <w:t>Departamento de Planificación y Desarrollo</w:t>
            </w:r>
          </w:p>
        </w:tc>
      </w:tr>
      <w:tr w:rsidR="005230A3" w:rsidRPr="00D14B3E" w14:paraId="23078B0A" w14:textId="77777777" w:rsidTr="005230A3">
        <w:tc>
          <w:tcPr>
            <w:tcW w:w="4291" w:type="dxa"/>
            <w:tcBorders>
              <w:left w:val="single" w:sz="12" w:space="0" w:color="767171"/>
            </w:tcBorders>
          </w:tcPr>
          <w:p w14:paraId="032325DA"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José Miguel García </w:t>
            </w:r>
          </w:p>
        </w:tc>
        <w:tc>
          <w:tcPr>
            <w:tcW w:w="1423" w:type="dxa"/>
          </w:tcPr>
          <w:p w14:paraId="766FDF67"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Encargado</w:t>
            </w:r>
          </w:p>
        </w:tc>
        <w:tc>
          <w:tcPr>
            <w:tcW w:w="4619" w:type="dxa"/>
            <w:tcBorders>
              <w:right w:val="single" w:sz="12" w:space="0" w:color="767171"/>
            </w:tcBorders>
          </w:tcPr>
          <w:p w14:paraId="3CDA7000"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Departamento de Comunicaciones</w:t>
            </w:r>
          </w:p>
        </w:tc>
      </w:tr>
      <w:tr w:rsidR="005230A3" w:rsidRPr="00D14B3E" w14:paraId="7A61ADFF" w14:textId="77777777" w:rsidTr="005230A3">
        <w:tc>
          <w:tcPr>
            <w:tcW w:w="4291" w:type="dxa"/>
            <w:tcBorders>
              <w:left w:val="single" w:sz="12" w:space="0" w:color="767171"/>
              <w:bottom w:val="single" w:sz="18" w:space="0" w:color="767171"/>
            </w:tcBorders>
          </w:tcPr>
          <w:p w14:paraId="736DCCB5"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Ana Rossina Troncoso </w:t>
            </w:r>
          </w:p>
        </w:tc>
        <w:tc>
          <w:tcPr>
            <w:tcW w:w="1423" w:type="dxa"/>
            <w:tcBorders>
              <w:bottom w:val="single" w:sz="18" w:space="0" w:color="767171"/>
            </w:tcBorders>
          </w:tcPr>
          <w:p w14:paraId="56531FEF"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Encargada</w:t>
            </w:r>
          </w:p>
        </w:tc>
        <w:tc>
          <w:tcPr>
            <w:tcW w:w="4619" w:type="dxa"/>
            <w:tcBorders>
              <w:bottom w:val="single" w:sz="18" w:space="0" w:color="767171"/>
              <w:right w:val="single" w:sz="12" w:space="0" w:color="767171"/>
            </w:tcBorders>
          </w:tcPr>
          <w:p w14:paraId="4DFCE81E"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Departamento de Relaciones Interinstitucionales</w:t>
            </w:r>
          </w:p>
        </w:tc>
      </w:tr>
      <w:tr w:rsidR="005230A3" w:rsidRPr="00D14B3E" w14:paraId="034FE635" w14:textId="77777777" w:rsidTr="005230A3">
        <w:tc>
          <w:tcPr>
            <w:tcW w:w="4291" w:type="dxa"/>
            <w:tcBorders>
              <w:top w:val="single" w:sz="18" w:space="0" w:color="767171"/>
              <w:left w:val="single" w:sz="12" w:space="0" w:color="767171"/>
            </w:tcBorders>
          </w:tcPr>
          <w:p w14:paraId="105D0D72"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Jorge Espinosa  </w:t>
            </w:r>
          </w:p>
        </w:tc>
        <w:tc>
          <w:tcPr>
            <w:tcW w:w="1423" w:type="dxa"/>
            <w:tcBorders>
              <w:top w:val="single" w:sz="18" w:space="0" w:color="767171"/>
            </w:tcBorders>
          </w:tcPr>
          <w:p w14:paraId="5CD980FD"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Encargada</w:t>
            </w:r>
          </w:p>
        </w:tc>
        <w:tc>
          <w:tcPr>
            <w:tcW w:w="4619" w:type="dxa"/>
            <w:tcBorders>
              <w:top w:val="single" w:sz="18" w:space="0" w:color="767171"/>
              <w:right w:val="single" w:sz="12" w:space="0" w:color="767171"/>
            </w:tcBorders>
          </w:tcPr>
          <w:p w14:paraId="1F365B0E"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División de Publicidad</w:t>
            </w:r>
          </w:p>
        </w:tc>
      </w:tr>
      <w:tr w:rsidR="005230A3" w:rsidRPr="00116DFC" w14:paraId="60876DF4" w14:textId="77777777" w:rsidTr="005230A3">
        <w:tc>
          <w:tcPr>
            <w:tcW w:w="4291" w:type="dxa"/>
            <w:tcBorders>
              <w:left w:val="single" w:sz="12" w:space="0" w:color="767171"/>
            </w:tcBorders>
          </w:tcPr>
          <w:p w14:paraId="2B3F229F"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Johandy Jiménez </w:t>
            </w:r>
          </w:p>
        </w:tc>
        <w:tc>
          <w:tcPr>
            <w:tcW w:w="1423" w:type="dxa"/>
          </w:tcPr>
          <w:p w14:paraId="301FFD6A"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Encargado</w:t>
            </w:r>
          </w:p>
        </w:tc>
        <w:tc>
          <w:tcPr>
            <w:tcW w:w="4619" w:type="dxa"/>
            <w:tcBorders>
              <w:right w:val="single" w:sz="12" w:space="0" w:color="767171"/>
            </w:tcBorders>
          </w:tcPr>
          <w:p w14:paraId="56499935" w14:textId="77777777" w:rsidR="005230A3" w:rsidRPr="00A03E20" w:rsidRDefault="005230A3" w:rsidP="005230A3">
            <w:pPr>
              <w:spacing w:line="360" w:lineRule="auto"/>
              <w:jc w:val="center"/>
              <w:rPr>
                <w:rFonts w:eastAsiaTheme="minorEastAsia"/>
                <w:noProof/>
                <w:color w:val="4C4747"/>
                <w:lang w:val="es-DO"/>
              </w:rPr>
            </w:pPr>
            <w:r w:rsidRPr="00A03E20">
              <w:rPr>
                <w:rFonts w:eastAsiaTheme="minorEastAsia"/>
                <w:noProof/>
                <w:color w:val="4C4747"/>
                <w:lang w:val="es-DO"/>
              </w:rPr>
              <w:t>División de Tecnología de la Información</w:t>
            </w:r>
          </w:p>
        </w:tc>
      </w:tr>
      <w:tr w:rsidR="005230A3" w:rsidRPr="00116DFC" w14:paraId="7FBF0DA1" w14:textId="77777777" w:rsidTr="005230A3">
        <w:tc>
          <w:tcPr>
            <w:tcW w:w="4291" w:type="dxa"/>
            <w:tcBorders>
              <w:left w:val="single" w:sz="12" w:space="0" w:color="767171"/>
            </w:tcBorders>
          </w:tcPr>
          <w:p w14:paraId="46921277"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lastRenderedPageBreak/>
              <w:t xml:space="preserve">Rafael Díaz </w:t>
            </w:r>
          </w:p>
        </w:tc>
        <w:tc>
          <w:tcPr>
            <w:tcW w:w="1423" w:type="dxa"/>
          </w:tcPr>
          <w:p w14:paraId="6CDB3D7D"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 xml:space="preserve">Encargado </w:t>
            </w:r>
          </w:p>
        </w:tc>
        <w:tc>
          <w:tcPr>
            <w:tcW w:w="4619" w:type="dxa"/>
            <w:tcBorders>
              <w:right w:val="single" w:sz="12" w:space="0" w:color="767171"/>
            </w:tcBorders>
          </w:tcPr>
          <w:p w14:paraId="31D2D195" w14:textId="77777777" w:rsidR="005230A3" w:rsidRPr="00A03E20" w:rsidRDefault="005230A3" w:rsidP="005230A3">
            <w:pPr>
              <w:spacing w:line="360" w:lineRule="auto"/>
              <w:jc w:val="center"/>
              <w:rPr>
                <w:rFonts w:eastAsiaTheme="minorEastAsia"/>
                <w:noProof/>
                <w:color w:val="4C4747"/>
                <w:lang w:val="es-DO"/>
              </w:rPr>
            </w:pPr>
            <w:r w:rsidRPr="00A03E20">
              <w:rPr>
                <w:rFonts w:eastAsiaTheme="minorEastAsia"/>
                <w:noProof/>
                <w:color w:val="4C4747"/>
                <w:lang w:val="es-DO"/>
              </w:rPr>
              <w:t>División de Compras y Contrataciones</w:t>
            </w:r>
          </w:p>
        </w:tc>
      </w:tr>
      <w:tr w:rsidR="005230A3" w:rsidRPr="00D14B3E" w14:paraId="4E5D5B7C" w14:textId="77777777" w:rsidTr="005230A3">
        <w:tc>
          <w:tcPr>
            <w:tcW w:w="4291" w:type="dxa"/>
            <w:tcBorders>
              <w:left w:val="single" w:sz="12" w:space="0" w:color="767171"/>
            </w:tcBorders>
          </w:tcPr>
          <w:p w14:paraId="5F7AC4C9" w14:textId="77777777" w:rsidR="005230A3" w:rsidRPr="00D14B3E" w:rsidRDefault="005230A3" w:rsidP="005230A3">
            <w:pPr>
              <w:spacing w:line="360" w:lineRule="auto"/>
              <w:rPr>
                <w:rFonts w:eastAsiaTheme="minorEastAsia"/>
                <w:noProof/>
                <w:color w:val="4C4747"/>
              </w:rPr>
            </w:pPr>
            <w:r w:rsidRPr="00D14B3E">
              <w:rPr>
                <w:rFonts w:eastAsiaTheme="minorEastAsia"/>
                <w:noProof/>
                <w:color w:val="4C4747"/>
              </w:rPr>
              <w:t xml:space="preserve">Manuel Oleaga </w:t>
            </w:r>
          </w:p>
        </w:tc>
        <w:tc>
          <w:tcPr>
            <w:tcW w:w="1423" w:type="dxa"/>
          </w:tcPr>
          <w:p w14:paraId="03DC310F"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Encargado</w:t>
            </w:r>
          </w:p>
        </w:tc>
        <w:tc>
          <w:tcPr>
            <w:tcW w:w="4619" w:type="dxa"/>
            <w:tcBorders>
              <w:right w:val="single" w:sz="12" w:space="0" w:color="767171"/>
            </w:tcBorders>
          </w:tcPr>
          <w:p w14:paraId="3152BE5A" w14:textId="77777777" w:rsidR="005230A3" w:rsidRPr="00D14B3E" w:rsidRDefault="005230A3" w:rsidP="005230A3">
            <w:pPr>
              <w:spacing w:line="360" w:lineRule="auto"/>
              <w:jc w:val="center"/>
              <w:rPr>
                <w:rFonts w:eastAsiaTheme="minorEastAsia"/>
                <w:noProof/>
                <w:color w:val="4C4747"/>
              </w:rPr>
            </w:pPr>
            <w:r w:rsidRPr="00D14B3E">
              <w:rPr>
                <w:rFonts w:eastAsiaTheme="minorEastAsia"/>
                <w:noProof/>
                <w:color w:val="4C4747"/>
              </w:rPr>
              <w:t>División de Contabilidad</w:t>
            </w:r>
          </w:p>
        </w:tc>
      </w:tr>
      <w:tr w:rsidR="005230A3" w:rsidRPr="00D14B3E" w14:paraId="79D08EF8" w14:textId="77777777" w:rsidTr="005230A3">
        <w:tc>
          <w:tcPr>
            <w:tcW w:w="10333" w:type="dxa"/>
            <w:gridSpan w:val="3"/>
            <w:tcBorders>
              <w:left w:val="single" w:sz="12" w:space="0" w:color="767171"/>
              <w:bottom w:val="single" w:sz="12" w:space="0" w:color="767171"/>
              <w:right w:val="single" w:sz="12" w:space="0" w:color="767171"/>
            </w:tcBorders>
          </w:tcPr>
          <w:p w14:paraId="6E8B8740" w14:textId="77777777" w:rsidR="005230A3" w:rsidRPr="00D14B3E" w:rsidRDefault="005230A3" w:rsidP="005230A3">
            <w:pPr>
              <w:spacing w:line="360" w:lineRule="auto"/>
              <w:jc w:val="both"/>
              <w:rPr>
                <w:rFonts w:eastAsiaTheme="minorEastAsia"/>
                <w:i/>
                <w:iCs/>
                <w:noProof/>
                <w:color w:val="4C4747"/>
                <w:sz w:val="20"/>
                <w:szCs w:val="20"/>
              </w:rPr>
            </w:pPr>
            <w:r w:rsidRPr="00D14B3E">
              <w:rPr>
                <w:rFonts w:eastAsiaTheme="minorEastAsia"/>
                <w:i/>
                <w:iCs/>
                <w:noProof/>
                <w:color w:val="4C4747"/>
                <w:sz w:val="20"/>
                <w:szCs w:val="20"/>
              </w:rPr>
              <w:t xml:space="preserve">Fuente: Departamento de Recursos Humanos </w:t>
            </w:r>
          </w:p>
        </w:tc>
      </w:tr>
    </w:tbl>
    <w:p w14:paraId="7B8CA820" w14:textId="77777777" w:rsidR="00166F7F" w:rsidRDefault="00166F7F" w:rsidP="00340DF1">
      <w:pPr>
        <w:spacing w:line="360" w:lineRule="auto"/>
        <w:jc w:val="both"/>
        <w:rPr>
          <w:lang w:val="es-DO"/>
        </w:rPr>
      </w:pPr>
    </w:p>
    <w:p w14:paraId="081899E8" w14:textId="7A47B227" w:rsidR="00365820" w:rsidRPr="00A03E20" w:rsidRDefault="009A04C7" w:rsidP="00340DF1">
      <w:pPr>
        <w:spacing w:line="360" w:lineRule="auto"/>
        <w:jc w:val="both"/>
        <w:rPr>
          <w:rFonts w:eastAsiaTheme="minorEastAsia"/>
          <w:noProof/>
          <w:color w:val="4C4747"/>
          <w:lang w:val="es-DO"/>
        </w:rPr>
      </w:pPr>
      <w:r w:rsidRPr="00A03E20">
        <w:rPr>
          <w:rFonts w:eastAsiaTheme="minorEastAsia"/>
          <w:noProof/>
          <w:color w:val="4C4747"/>
          <w:lang w:val="es-DO"/>
        </w:rPr>
        <w:t>A</w:t>
      </w:r>
      <w:r w:rsidR="00365820" w:rsidRPr="00A03E20">
        <w:rPr>
          <w:rFonts w:eastAsiaTheme="minorEastAsia"/>
          <w:noProof/>
          <w:color w:val="4C4747"/>
          <w:lang w:val="es-DO"/>
        </w:rPr>
        <w:t xml:space="preserve"> continuación, se presenta la estructura organizativa aprobada por el Ministerio de Administración Pública (MAP), la cual se encuentra publicada y disponible para consulta en el portal web institucional.</w:t>
      </w:r>
    </w:p>
    <w:p w14:paraId="6B0BE606" w14:textId="2B8A8239" w:rsidR="00365820" w:rsidRPr="00A03E20" w:rsidRDefault="009A04C7" w:rsidP="00340DF1">
      <w:pPr>
        <w:spacing w:line="360" w:lineRule="auto"/>
        <w:jc w:val="center"/>
        <w:rPr>
          <w:rFonts w:eastAsiaTheme="minorEastAsia"/>
          <w:noProof/>
          <w:color w:val="4C4747"/>
          <w:lang w:val="es-DO"/>
        </w:rPr>
      </w:pPr>
      <w:r w:rsidRPr="00D14B3E">
        <w:rPr>
          <w:rFonts w:eastAsiaTheme="minorEastAsia"/>
          <w:noProof/>
          <w:color w:val="4C4747"/>
        </w:rPr>
        <w:drawing>
          <wp:anchor distT="0" distB="0" distL="114300" distR="114300" simplePos="0" relativeHeight="251660288" behindDoc="0" locked="0" layoutInCell="1" allowOverlap="1" wp14:anchorId="7BB28884" wp14:editId="65599582">
            <wp:simplePos x="0" y="0"/>
            <wp:positionH relativeFrom="margin">
              <wp:align>center</wp:align>
            </wp:positionH>
            <wp:positionV relativeFrom="paragraph">
              <wp:posOffset>361315</wp:posOffset>
            </wp:positionV>
            <wp:extent cx="5873823" cy="4545722"/>
            <wp:effectExtent l="0" t="0" r="0" b="7620"/>
            <wp:wrapThrough wrapText="bothSides">
              <wp:wrapPolygon edited="0">
                <wp:start x="0" y="0"/>
                <wp:lineTo x="0" y="21546"/>
                <wp:lineTo x="21507" y="21546"/>
                <wp:lineTo x="21507" y="0"/>
                <wp:lineTo x="0" y="0"/>
              </wp:wrapPolygon>
            </wp:wrapThrough>
            <wp:docPr id="16953160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1603" name="Imagen 16953160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73823" cy="4545722"/>
                    </a:xfrm>
                    <a:prstGeom prst="rect">
                      <a:avLst/>
                    </a:prstGeom>
                  </pic:spPr>
                </pic:pic>
              </a:graphicData>
            </a:graphic>
          </wp:anchor>
        </w:drawing>
      </w:r>
    </w:p>
    <w:p w14:paraId="6A35F62D" w14:textId="77777777" w:rsidR="00365820" w:rsidRDefault="00365820" w:rsidP="00340DF1">
      <w:pPr>
        <w:spacing w:line="360" w:lineRule="auto"/>
        <w:jc w:val="both"/>
        <w:rPr>
          <w:noProof/>
          <w:color w:val="4C4747"/>
          <w:lang w:val="es-DO"/>
        </w:rPr>
      </w:pPr>
    </w:p>
    <w:p w14:paraId="23A0C8DB" w14:textId="77777777" w:rsidR="00365820" w:rsidRDefault="00365820" w:rsidP="00340DF1">
      <w:pPr>
        <w:spacing w:line="360" w:lineRule="auto"/>
        <w:jc w:val="both"/>
        <w:rPr>
          <w:noProof/>
          <w:color w:val="4C4747"/>
          <w:lang w:val="es-DO"/>
        </w:rPr>
      </w:pPr>
    </w:p>
    <w:p w14:paraId="312CC929" w14:textId="77777777" w:rsidR="00B24ACD" w:rsidRPr="00B24ACD" w:rsidRDefault="00B24ACD" w:rsidP="00340DF1">
      <w:pPr>
        <w:spacing w:line="360" w:lineRule="auto"/>
        <w:jc w:val="both"/>
        <w:rPr>
          <w:rFonts w:eastAsia="Calibri"/>
          <w:color w:val="4C4747"/>
          <w:lang w:val="es-DO"/>
        </w:rPr>
      </w:pPr>
      <w:r w:rsidRPr="00B24ACD">
        <w:rPr>
          <w:rFonts w:eastAsia="Calibri"/>
          <w:color w:val="4C4747"/>
          <w:lang w:val="es-DO"/>
        </w:rPr>
        <w:lastRenderedPageBreak/>
        <w:t>2.4 Planificación estratégica institucional</w:t>
      </w:r>
    </w:p>
    <w:p w14:paraId="0D6FBF25" w14:textId="77777777" w:rsidR="00977A5D" w:rsidRPr="00A03E20" w:rsidRDefault="00977A5D" w:rsidP="00340DF1">
      <w:pPr>
        <w:spacing w:line="360" w:lineRule="auto"/>
        <w:jc w:val="both"/>
        <w:rPr>
          <w:rFonts w:eastAsiaTheme="minorEastAsia"/>
          <w:noProof/>
          <w:color w:val="4C4747"/>
          <w:lang w:val="es-DO"/>
        </w:rPr>
      </w:pPr>
      <w:r w:rsidRPr="00A03E20">
        <w:rPr>
          <w:rFonts w:eastAsiaTheme="minorEastAsia"/>
          <w:noProof/>
          <w:color w:val="4C4747"/>
          <w:lang w:val="es-DO"/>
        </w:rPr>
        <w:t>La Planificación Estratégica Institucional constituye la herramienta que articula nuestra visión de futuro y orienta, con rigor y claridad, cada una de las acciones que emprendemos para cumplir con la misión que la sociedad nos ha encomendado.</w:t>
      </w:r>
    </w:p>
    <w:p w14:paraId="13049A0E" w14:textId="6AA1B7F8" w:rsidR="00977A5D" w:rsidRPr="00A03E20" w:rsidRDefault="00977A5D" w:rsidP="00340DF1">
      <w:pPr>
        <w:spacing w:line="360" w:lineRule="auto"/>
        <w:jc w:val="both"/>
        <w:rPr>
          <w:rFonts w:eastAsiaTheme="minorEastAsia"/>
          <w:noProof/>
          <w:color w:val="4C4747"/>
          <w:lang w:val="es-DO"/>
        </w:rPr>
      </w:pPr>
      <w:r w:rsidRPr="00EC6B29">
        <w:rPr>
          <w:rFonts w:eastAsiaTheme="minorEastAsia"/>
          <w:noProof/>
          <w:color w:val="4C4747"/>
          <w:lang w:val="es-DO"/>
        </w:rPr>
        <w:t xml:space="preserve">Mediante estrategias definidas con precisión y plenamente alineadas con nuestros valores institucionales, fortalecemos la capacidad operativa de ProCompetencia y garantizamos que nuestros esfuerzos se traduzcan en resultados concretos para el país. </w:t>
      </w:r>
      <w:r w:rsidRPr="00A03E20">
        <w:rPr>
          <w:rFonts w:eastAsiaTheme="minorEastAsia"/>
          <w:noProof/>
          <w:color w:val="4C4747"/>
          <w:lang w:val="es-DO"/>
        </w:rPr>
        <w:t>El Plan Estratégico Institucional (PEI) establece los ejes y objetivos que guían nuestro</w:t>
      </w:r>
      <w:r w:rsidRPr="00977A5D">
        <w:rPr>
          <w:rFonts w:eastAsia="Calibri"/>
          <w:color w:val="4C4747"/>
          <w:lang w:val="es-DO"/>
        </w:rPr>
        <w:t xml:space="preserve"> </w:t>
      </w:r>
      <w:r w:rsidRPr="00A03E20">
        <w:rPr>
          <w:rFonts w:eastAsiaTheme="minorEastAsia"/>
          <w:noProof/>
          <w:color w:val="4C4747"/>
          <w:lang w:val="es-DO"/>
        </w:rPr>
        <w:t>quehacer durante su período de vigencia, asegurando la coordinación armónica entre todas las áreas y unidades de la institución.</w:t>
      </w:r>
    </w:p>
    <w:p w14:paraId="36D1D9EB" w14:textId="77777777" w:rsidR="00632255" w:rsidRPr="00A03E20" w:rsidRDefault="00632255" w:rsidP="00340DF1">
      <w:pPr>
        <w:spacing w:line="360" w:lineRule="auto"/>
        <w:jc w:val="both"/>
        <w:rPr>
          <w:rFonts w:eastAsiaTheme="minorEastAsia"/>
          <w:noProof/>
          <w:color w:val="4C4747"/>
          <w:lang w:val="es-DO"/>
        </w:rPr>
      </w:pPr>
      <w:r w:rsidRPr="00A03E20">
        <w:rPr>
          <w:rFonts w:eastAsiaTheme="minorEastAsia"/>
          <w:noProof/>
          <w:color w:val="4C4747"/>
          <w:lang w:val="es-DO"/>
        </w:rPr>
        <w:t>Los ejes y objetivos estratégicos del período 2025-2028 ya han sido definidos y constituyen la hoja de ruta que guiará nuestra gestión en los próximos años. Su formulación se realizó conforme a la metodología establecida por el Ministerio de Hacienda y Economía, garantizando un enfoque técnico, riguroso y plenamente alineado con los estándares del Sistema Nacional de Planificación.</w:t>
      </w:r>
    </w:p>
    <w:p w14:paraId="2BA1EE9B" w14:textId="77777777" w:rsidR="00632255" w:rsidRPr="00A03E20" w:rsidRDefault="00632255" w:rsidP="00340DF1">
      <w:pPr>
        <w:spacing w:line="360" w:lineRule="auto"/>
        <w:jc w:val="both"/>
        <w:rPr>
          <w:rFonts w:eastAsiaTheme="minorEastAsia"/>
          <w:noProof/>
          <w:color w:val="4C4747"/>
          <w:lang w:val="es-DO"/>
        </w:rPr>
      </w:pPr>
      <w:r w:rsidRPr="00A03E20">
        <w:rPr>
          <w:rFonts w:eastAsiaTheme="minorEastAsia"/>
          <w:noProof/>
          <w:color w:val="4C4747"/>
          <w:lang w:val="es-DO"/>
        </w:rPr>
        <w:t>Este nuevo Plan Estratégico Institucional (PEI 2025-2028) será publicado próximamente en nuestro portal institucional, reafirmando nuestro compromiso con la transparencia, la rendición de cuentas y la consolidación de una gestión pública orientada a resultados.</w:t>
      </w:r>
    </w:p>
    <w:p w14:paraId="5B199F7F" w14:textId="77777777" w:rsidR="00486B04" w:rsidRPr="00A03E20" w:rsidRDefault="00486B04" w:rsidP="00340DF1">
      <w:pPr>
        <w:spacing w:line="360" w:lineRule="auto"/>
        <w:jc w:val="both"/>
        <w:rPr>
          <w:rFonts w:eastAsiaTheme="minorEastAsia"/>
          <w:noProof/>
          <w:color w:val="4C4747"/>
          <w:lang w:val="es-DO"/>
        </w:rPr>
      </w:pPr>
    </w:p>
    <w:p w14:paraId="6C337750" w14:textId="77777777" w:rsidR="00632255" w:rsidRDefault="00632255" w:rsidP="00340DF1">
      <w:pPr>
        <w:spacing w:line="360" w:lineRule="auto"/>
        <w:jc w:val="both"/>
        <w:rPr>
          <w:rFonts w:eastAsia="Calibri"/>
          <w:color w:val="4C4747"/>
          <w:lang w:val="es-DO"/>
        </w:rPr>
      </w:pPr>
    </w:p>
    <w:p w14:paraId="658C13FB" w14:textId="77777777" w:rsidR="00632255" w:rsidRDefault="00632255" w:rsidP="00340DF1">
      <w:pPr>
        <w:spacing w:line="360" w:lineRule="auto"/>
        <w:jc w:val="both"/>
        <w:rPr>
          <w:rFonts w:eastAsia="Calibri"/>
          <w:color w:val="4C4747"/>
          <w:lang w:val="es-DO"/>
        </w:rPr>
      </w:pPr>
    </w:p>
    <w:p w14:paraId="70C1FA6E" w14:textId="77777777" w:rsidR="00DD1495" w:rsidRDefault="00DD1495" w:rsidP="00340DF1">
      <w:pPr>
        <w:spacing w:line="360" w:lineRule="auto"/>
        <w:jc w:val="both"/>
        <w:rPr>
          <w:rFonts w:eastAsia="Calibri"/>
          <w:color w:val="4C4747"/>
          <w:lang w:val="es-DO"/>
        </w:rPr>
      </w:pPr>
    </w:p>
    <w:p w14:paraId="58256CA2" w14:textId="77777777" w:rsidR="00DD1495" w:rsidRDefault="00DD1495" w:rsidP="00340DF1">
      <w:pPr>
        <w:spacing w:line="360" w:lineRule="auto"/>
        <w:jc w:val="both"/>
        <w:rPr>
          <w:rFonts w:eastAsia="Calibri"/>
          <w:color w:val="4C4747"/>
          <w:lang w:val="es-DO"/>
        </w:rPr>
      </w:pPr>
    </w:p>
    <w:tbl>
      <w:tblPr>
        <w:tblStyle w:val="Tablaconcuadrcula"/>
        <w:tblW w:w="8270" w:type="dxa"/>
        <w:jc w:val="center"/>
        <w:tblLook w:val="04A0" w:firstRow="1" w:lastRow="0" w:firstColumn="1" w:lastColumn="0" w:noHBand="0" w:noVBand="1"/>
      </w:tblPr>
      <w:tblGrid>
        <w:gridCol w:w="3145"/>
        <w:gridCol w:w="5125"/>
      </w:tblGrid>
      <w:tr w:rsidR="00486B04" w:rsidRPr="00116DFC" w14:paraId="68AB37DD" w14:textId="77777777" w:rsidTr="001B0374">
        <w:trPr>
          <w:trHeight w:val="416"/>
          <w:jc w:val="center"/>
        </w:trPr>
        <w:tc>
          <w:tcPr>
            <w:tcW w:w="8270" w:type="dxa"/>
            <w:gridSpan w:val="2"/>
            <w:shd w:val="clear" w:color="auto" w:fill="002060"/>
          </w:tcPr>
          <w:p w14:paraId="7F4DD9D8" w14:textId="55C964B5" w:rsidR="00486B04" w:rsidRPr="00486B04" w:rsidRDefault="00486B04" w:rsidP="00340DF1">
            <w:pPr>
              <w:spacing w:line="360" w:lineRule="auto"/>
              <w:rPr>
                <w:rFonts w:eastAsia="Calibri"/>
                <w:color w:val="FFFFFF" w:themeColor="background1"/>
                <w:lang w:val="es-DO"/>
              </w:rPr>
            </w:pPr>
            <w:r w:rsidRPr="00486B04">
              <w:rPr>
                <w:rFonts w:eastAsia="Calibri"/>
                <w:color w:val="FFFFFF" w:themeColor="background1"/>
                <w:lang w:val="es-DO"/>
              </w:rPr>
              <w:lastRenderedPageBreak/>
              <w:t xml:space="preserve">Tabla </w:t>
            </w:r>
            <w:r>
              <w:rPr>
                <w:rFonts w:eastAsia="Calibri"/>
                <w:color w:val="FFFFFF" w:themeColor="background1"/>
                <w:lang w:val="es-DO"/>
              </w:rPr>
              <w:t>3</w:t>
            </w:r>
            <w:r w:rsidRPr="00486B04">
              <w:rPr>
                <w:rFonts w:eastAsia="Calibri"/>
                <w:color w:val="FFFFFF" w:themeColor="background1"/>
                <w:lang w:val="es-DO"/>
              </w:rPr>
              <w:t xml:space="preserve">. </w:t>
            </w:r>
            <w:r w:rsidR="005A7ED5">
              <w:rPr>
                <w:rFonts w:eastAsia="Calibri"/>
                <w:color w:val="FFFFFF" w:themeColor="background1"/>
                <w:lang w:val="es-DO"/>
              </w:rPr>
              <w:t xml:space="preserve">Ejes </w:t>
            </w:r>
            <w:r w:rsidR="005A7ED5" w:rsidRPr="00486B04">
              <w:rPr>
                <w:rFonts w:eastAsia="Calibri"/>
                <w:color w:val="FFFFFF" w:themeColor="background1"/>
                <w:lang w:val="es-DO"/>
              </w:rPr>
              <w:t>y</w:t>
            </w:r>
            <w:r w:rsidRPr="00486B04">
              <w:rPr>
                <w:rFonts w:eastAsia="Calibri"/>
                <w:color w:val="FFFFFF" w:themeColor="background1"/>
                <w:lang w:val="es-DO"/>
              </w:rPr>
              <w:t xml:space="preserve"> </w:t>
            </w:r>
            <w:r w:rsidR="0006023F">
              <w:rPr>
                <w:rFonts w:eastAsia="Calibri"/>
                <w:color w:val="FFFFFF" w:themeColor="background1"/>
                <w:lang w:val="es-DO"/>
              </w:rPr>
              <w:t>Objetivos</w:t>
            </w:r>
            <w:r w:rsidRPr="00486B04">
              <w:rPr>
                <w:rFonts w:eastAsia="Calibri"/>
                <w:color w:val="FFFFFF" w:themeColor="background1"/>
                <w:lang w:val="es-DO"/>
              </w:rPr>
              <w:t xml:space="preserve"> de la Planificación Estratégica 202</w:t>
            </w:r>
            <w:r w:rsidR="00632255">
              <w:rPr>
                <w:rFonts w:eastAsia="Calibri"/>
                <w:color w:val="FFFFFF" w:themeColor="background1"/>
                <w:lang w:val="es-DO"/>
              </w:rPr>
              <w:t>5</w:t>
            </w:r>
            <w:r w:rsidRPr="00486B04">
              <w:rPr>
                <w:rFonts w:eastAsia="Calibri"/>
                <w:color w:val="FFFFFF" w:themeColor="background1"/>
                <w:lang w:val="es-DO"/>
              </w:rPr>
              <w:t>-202</w:t>
            </w:r>
            <w:r w:rsidR="00632255">
              <w:rPr>
                <w:rFonts w:eastAsia="Calibri"/>
                <w:color w:val="FFFFFF" w:themeColor="background1"/>
                <w:lang w:val="es-DO"/>
              </w:rPr>
              <w:t>8</w:t>
            </w:r>
          </w:p>
        </w:tc>
      </w:tr>
      <w:tr w:rsidR="001B0374" w:rsidRPr="002E6DBA" w14:paraId="57DF1F0F" w14:textId="77777777" w:rsidTr="001B0374">
        <w:trPr>
          <w:trHeight w:val="422"/>
          <w:jc w:val="center"/>
        </w:trPr>
        <w:tc>
          <w:tcPr>
            <w:tcW w:w="3145" w:type="dxa"/>
          </w:tcPr>
          <w:p w14:paraId="0B8B17FE" w14:textId="542DC2D4" w:rsidR="001B0374" w:rsidRPr="00D14B3E" w:rsidRDefault="001B0374" w:rsidP="00340DF1">
            <w:pPr>
              <w:spacing w:after="160" w:line="360" w:lineRule="auto"/>
              <w:jc w:val="both"/>
              <w:rPr>
                <w:rFonts w:eastAsiaTheme="minorEastAsia"/>
                <w:noProof/>
                <w:color w:val="4C4747"/>
              </w:rPr>
            </w:pPr>
            <w:r w:rsidRPr="00D14B3E">
              <w:rPr>
                <w:rFonts w:eastAsiaTheme="minorEastAsia"/>
                <w:noProof/>
                <w:color w:val="4C4747"/>
              </w:rPr>
              <w:t>EJES ESTRATÉGICOS</w:t>
            </w:r>
          </w:p>
        </w:tc>
        <w:tc>
          <w:tcPr>
            <w:tcW w:w="5125" w:type="dxa"/>
          </w:tcPr>
          <w:p w14:paraId="722424AA" w14:textId="03FDABB3" w:rsidR="001B0374" w:rsidRPr="00D14B3E" w:rsidRDefault="001B0374" w:rsidP="00340DF1">
            <w:pPr>
              <w:spacing w:after="160" w:line="360" w:lineRule="auto"/>
              <w:jc w:val="both"/>
              <w:rPr>
                <w:rFonts w:eastAsiaTheme="minorEastAsia"/>
                <w:noProof/>
                <w:color w:val="4C4747"/>
              </w:rPr>
            </w:pPr>
            <w:r w:rsidRPr="00D14B3E">
              <w:rPr>
                <w:rFonts w:eastAsiaTheme="minorEastAsia"/>
                <w:noProof/>
                <w:color w:val="4C4747"/>
              </w:rPr>
              <w:t>OBJET</w:t>
            </w:r>
            <w:r w:rsidR="00C60B6F" w:rsidRPr="00D14B3E">
              <w:rPr>
                <w:rFonts w:eastAsiaTheme="minorEastAsia"/>
                <w:noProof/>
                <w:color w:val="4C4747"/>
              </w:rPr>
              <w:t>I</w:t>
            </w:r>
            <w:r w:rsidRPr="00D14B3E">
              <w:rPr>
                <w:rFonts w:eastAsiaTheme="minorEastAsia"/>
                <w:noProof/>
                <w:color w:val="4C4747"/>
              </w:rPr>
              <w:t>VOS ESTRATÉGICOS</w:t>
            </w:r>
          </w:p>
        </w:tc>
      </w:tr>
      <w:tr w:rsidR="001B0374" w:rsidRPr="00116DFC" w14:paraId="0D705BB2" w14:textId="77777777" w:rsidTr="00AD4DAC">
        <w:trPr>
          <w:trHeight w:val="2100"/>
          <w:jc w:val="center"/>
        </w:trPr>
        <w:tc>
          <w:tcPr>
            <w:tcW w:w="3145" w:type="dxa"/>
          </w:tcPr>
          <w:p w14:paraId="346A5CDA" w14:textId="650DEFF6" w:rsidR="001B0374" w:rsidRPr="00A03E20" w:rsidRDefault="00F13DE4" w:rsidP="00340DF1">
            <w:pPr>
              <w:spacing w:after="160" w:line="360" w:lineRule="auto"/>
              <w:jc w:val="both"/>
              <w:rPr>
                <w:rFonts w:eastAsiaTheme="minorEastAsia"/>
                <w:noProof/>
                <w:color w:val="4C4747"/>
                <w:lang w:val="es-DO"/>
              </w:rPr>
            </w:pPr>
            <w:r w:rsidRPr="00A03E20">
              <w:rPr>
                <w:rFonts w:eastAsiaTheme="minorEastAsia"/>
                <w:noProof/>
                <w:color w:val="4C4747"/>
                <w:lang w:val="es-DO"/>
              </w:rPr>
              <w:t>Eje 1 Aplicación efectiva de la Ley General de Defensa de la Competencia</w:t>
            </w:r>
          </w:p>
        </w:tc>
        <w:tc>
          <w:tcPr>
            <w:tcW w:w="5125" w:type="dxa"/>
          </w:tcPr>
          <w:p w14:paraId="6F78EEDC" w14:textId="3353B9CE" w:rsidR="007F522D" w:rsidRPr="00A03E20" w:rsidRDefault="007F522D" w:rsidP="00340DF1">
            <w:pPr>
              <w:spacing w:after="160" w:line="360" w:lineRule="auto"/>
              <w:jc w:val="both"/>
              <w:rPr>
                <w:rFonts w:eastAsiaTheme="minorEastAsia"/>
                <w:noProof/>
                <w:color w:val="4C4747"/>
                <w:lang w:val="es-DO"/>
              </w:rPr>
            </w:pPr>
            <w:r w:rsidRPr="00A03E20">
              <w:rPr>
                <w:rFonts w:eastAsiaTheme="minorEastAsia"/>
                <w:noProof/>
                <w:color w:val="4C4747"/>
                <w:lang w:val="es-DO"/>
              </w:rPr>
              <w:t>Garantizar la aplicación efectiva de la Ley 42-08 mediante procesos técnicos, independientes y oportunos que aseguren la existencia de mercados competitivos y el bienestar de los consumidores.</w:t>
            </w:r>
          </w:p>
        </w:tc>
      </w:tr>
      <w:tr w:rsidR="001B0374" w:rsidRPr="00116DFC" w14:paraId="4D6DF52A" w14:textId="77777777" w:rsidTr="001B0374">
        <w:trPr>
          <w:trHeight w:val="422"/>
          <w:jc w:val="center"/>
        </w:trPr>
        <w:tc>
          <w:tcPr>
            <w:tcW w:w="3145" w:type="dxa"/>
          </w:tcPr>
          <w:p w14:paraId="76B9BA3B" w14:textId="63578F35" w:rsidR="001B0374" w:rsidRPr="00A03E20" w:rsidRDefault="00AD4DAC" w:rsidP="00340DF1">
            <w:pPr>
              <w:spacing w:after="160" w:line="360" w:lineRule="auto"/>
              <w:jc w:val="both"/>
              <w:rPr>
                <w:rFonts w:eastAsiaTheme="minorEastAsia"/>
                <w:noProof/>
                <w:color w:val="4C4747"/>
                <w:lang w:val="es-DO"/>
              </w:rPr>
            </w:pPr>
            <w:r w:rsidRPr="00A03E20">
              <w:rPr>
                <w:rFonts w:eastAsiaTheme="minorEastAsia"/>
                <w:noProof/>
                <w:color w:val="4C4747"/>
                <w:lang w:val="es-DO"/>
              </w:rPr>
              <w:t>Eje 2 Fortalecimiento de la institucionalidad del sistema de competencia</w:t>
            </w:r>
          </w:p>
        </w:tc>
        <w:tc>
          <w:tcPr>
            <w:tcW w:w="5125" w:type="dxa"/>
          </w:tcPr>
          <w:p w14:paraId="4E2A7241" w14:textId="611D3B9F" w:rsidR="001B0374" w:rsidRPr="00A03E20" w:rsidRDefault="000F0F7A" w:rsidP="00340DF1">
            <w:pPr>
              <w:spacing w:after="160" w:line="360" w:lineRule="auto"/>
              <w:jc w:val="both"/>
              <w:rPr>
                <w:rFonts w:eastAsiaTheme="minorEastAsia"/>
                <w:noProof/>
                <w:color w:val="4C4747"/>
                <w:lang w:val="es-DO"/>
              </w:rPr>
            </w:pPr>
            <w:r w:rsidRPr="00A03E20">
              <w:rPr>
                <w:rFonts w:eastAsiaTheme="minorEastAsia"/>
                <w:noProof/>
                <w:color w:val="4C4747"/>
                <w:lang w:val="es-DO"/>
              </w:rPr>
              <w:t>Fortalecer la institucionalidad del sistema de competencia mediante la mejora del marco normativo, el desarrollo de capacidades técnicas y la articulación interinstitucional, asegurando una gestión eficiente, transparente y orientada a resultados.</w:t>
            </w:r>
          </w:p>
        </w:tc>
      </w:tr>
      <w:tr w:rsidR="001B0374" w:rsidRPr="00116DFC" w14:paraId="6499A0BD" w14:textId="77777777" w:rsidTr="001B0374">
        <w:trPr>
          <w:trHeight w:val="422"/>
          <w:jc w:val="center"/>
        </w:trPr>
        <w:tc>
          <w:tcPr>
            <w:tcW w:w="3145" w:type="dxa"/>
            <w:tcBorders>
              <w:bottom w:val="single" w:sz="4" w:space="0" w:color="auto"/>
            </w:tcBorders>
          </w:tcPr>
          <w:p w14:paraId="502E819D" w14:textId="0C690862" w:rsidR="001B0374" w:rsidRPr="00A03E20" w:rsidRDefault="00CC449A" w:rsidP="00340DF1">
            <w:pPr>
              <w:spacing w:after="160" w:line="360" w:lineRule="auto"/>
              <w:jc w:val="both"/>
              <w:rPr>
                <w:rFonts w:eastAsiaTheme="minorEastAsia"/>
                <w:noProof/>
                <w:color w:val="4C4747"/>
                <w:lang w:val="es-DO"/>
              </w:rPr>
            </w:pPr>
            <w:r w:rsidRPr="00A03E20">
              <w:rPr>
                <w:rFonts w:eastAsiaTheme="minorEastAsia"/>
                <w:noProof/>
                <w:color w:val="4C4747"/>
                <w:lang w:val="es-DO"/>
              </w:rPr>
              <w:t>Eje 3 Promoción de una cultura de competencia y mejora del entorno competitivo</w:t>
            </w:r>
          </w:p>
        </w:tc>
        <w:tc>
          <w:tcPr>
            <w:tcW w:w="5125" w:type="dxa"/>
            <w:tcBorders>
              <w:bottom w:val="single" w:sz="4" w:space="0" w:color="auto"/>
            </w:tcBorders>
          </w:tcPr>
          <w:p w14:paraId="232F31E3" w14:textId="499D72E9" w:rsidR="001B0374" w:rsidRPr="00A03E20" w:rsidRDefault="00F76E22" w:rsidP="00340DF1">
            <w:pPr>
              <w:tabs>
                <w:tab w:val="left" w:pos="1690"/>
              </w:tabs>
              <w:spacing w:after="160" w:line="360" w:lineRule="auto"/>
              <w:jc w:val="both"/>
              <w:rPr>
                <w:rFonts w:eastAsiaTheme="minorEastAsia"/>
                <w:noProof/>
                <w:color w:val="4C4747"/>
                <w:lang w:val="es-DO"/>
              </w:rPr>
            </w:pPr>
            <w:r w:rsidRPr="00A03E20">
              <w:rPr>
                <w:rFonts w:eastAsiaTheme="minorEastAsia"/>
                <w:noProof/>
                <w:color w:val="4C4747"/>
                <w:lang w:val="es-DO"/>
              </w:rPr>
              <w:t>Posicionar la cultura de libre y leal competencia en los grupos de interés nacionales a través de la aplicación efectiva de las normativas de competencia.</w:t>
            </w:r>
          </w:p>
        </w:tc>
      </w:tr>
    </w:tbl>
    <w:p w14:paraId="30A67720" w14:textId="74B8533D" w:rsidR="0081247B" w:rsidRPr="00A03E20" w:rsidRDefault="001B0374" w:rsidP="00340DF1">
      <w:pPr>
        <w:spacing w:line="360" w:lineRule="auto"/>
        <w:jc w:val="both"/>
        <w:rPr>
          <w:rFonts w:eastAsiaTheme="minorEastAsia"/>
          <w:i/>
          <w:iCs/>
          <w:noProof/>
          <w:color w:val="4C4747"/>
          <w:sz w:val="20"/>
          <w:szCs w:val="20"/>
          <w:lang w:val="es-DO"/>
        </w:rPr>
      </w:pPr>
      <w:r w:rsidRPr="00A03E20">
        <w:rPr>
          <w:rFonts w:eastAsiaTheme="minorEastAsia"/>
          <w:i/>
          <w:iCs/>
          <w:noProof/>
          <w:color w:val="4C4747"/>
          <w:sz w:val="20"/>
          <w:szCs w:val="20"/>
          <w:lang w:val="es-DO"/>
        </w:rPr>
        <w:t>Fuente: Plan Estratégico Institucional 2025-2028</w:t>
      </w:r>
    </w:p>
    <w:p w14:paraId="7057A99E" w14:textId="77777777" w:rsidR="0081247B" w:rsidRDefault="0081247B" w:rsidP="00340DF1">
      <w:pPr>
        <w:spacing w:line="360" w:lineRule="auto"/>
        <w:jc w:val="both"/>
        <w:rPr>
          <w:rFonts w:eastAsia="Calibri"/>
          <w:color w:val="4C4747"/>
          <w:lang w:val="es-DO"/>
        </w:rPr>
      </w:pPr>
    </w:p>
    <w:p w14:paraId="6867E19C" w14:textId="77777777" w:rsidR="0081247B" w:rsidRDefault="0081247B" w:rsidP="00340DF1">
      <w:pPr>
        <w:spacing w:line="360" w:lineRule="auto"/>
        <w:jc w:val="both"/>
        <w:rPr>
          <w:rFonts w:eastAsia="Calibri"/>
          <w:color w:val="4C4747"/>
          <w:lang w:val="es-DO"/>
        </w:rPr>
      </w:pPr>
    </w:p>
    <w:p w14:paraId="653B4419" w14:textId="77777777" w:rsidR="0081247B" w:rsidRDefault="0081247B" w:rsidP="00340DF1">
      <w:pPr>
        <w:spacing w:line="360" w:lineRule="auto"/>
        <w:jc w:val="both"/>
        <w:rPr>
          <w:rFonts w:eastAsia="Calibri"/>
          <w:color w:val="4C4747"/>
          <w:lang w:val="es-DO"/>
        </w:rPr>
      </w:pPr>
    </w:p>
    <w:p w14:paraId="65158B42" w14:textId="77777777" w:rsidR="0081247B" w:rsidRPr="00033248" w:rsidRDefault="0081247B" w:rsidP="00340DF1">
      <w:pPr>
        <w:spacing w:line="360" w:lineRule="auto"/>
        <w:jc w:val="both"/>
        <w:rPr>
          <w:rFonts w:eastAsia="Calibri"/>
          <w:color w:val="4C4747"/>
          <w:lang w:val="es-DO"/>
        </w:rPr>
      </w:pPr>
    </w:p>
    <w:p w14:paraId="4BA504E5" w14:textId="77777777" w:rsidR="00365820" w:rsidRDefault="00365820" w:rsidP="00340DF1">
      <w:pPr>
        <w:spacing w:line="360" w:lineRule="auto"/>
        <w:jc w:val="both"/>
        <w:rPr>
          <w:noProof/>
          <w:color w:val="4C4747"/>
          <w:lang w:val="es-DO"/>
        </w:rPr>
      </w:pPr>
    </w:p>
    <w:p w14:paraId="34A4CB3C" w14:textId="77777777" w:rsidR="0006023F" w:rsidRDefault="0006023F" w:rsidP="00340DF1">
      <w:pPr>
        <w:spacing w:line="360" w:lineRule="auto"/>
        <w:jc w:val="both"/>
        <w:rPr>
          <w:noProof/>
          <w:color w:val="4C4747"/>
          <w:lang w:val="es-DO"/>
        </w:rPr>
      </w:pPr>
    </w:p>
    <w:p w14:paraId="247A3A4D" w14:textId="77777777" w:rsidR="0006023F" w:rsidRDefault="0006023F" w:rsidP="00340DF1">
      <w:pPr>
        <w:spacing w:line="360" w:lineRule="auto"/>
        <w:jc w:val="both"/>
        <w:rPr>
          <w:noProof/>
          <w:color w:val="4C4747"/>
          <w:lang w:val="es-DO"/>
        </w:rPr>
      </w:pPr>
    </w:p>
    <w:p w14:paraId="2E3C7CEB" w14:textId="77777777" w:rsidR="00365820" w:rsidRDefault="00365820" w:rsidP="00340DF1">
      <w:pPr>
        <w:spacing w:line="360" w:lineRule="auto"/>
        <w:jc w:val="both"/>
        <w:rPr>
          <w:noProof/>
          <w:color w:val="4C4747"/>
          <w:lang w:val="es-DO"/>
        </w:rPr>
      </w:pPr>
    </w:p>
    <w:p w14:paraId="5E396B73" w14:textId="77777777" w:rsidR="00654164" w:rsidRPr="00F13DE4" w:rsidRDefault="00654164" w:rsidP="00340DF1">
      <w:pPr>
        <w:pStyle w:val="Ttulo1"/>
        <w:rPr>
          <w:rFonts w:cs="Times New Roman"/>
          <w:color w:val="4C4747"/>
          <w:lang w:val="es-DO"/>
        </w:rPr>
      </w:pPr>
      <w:bookmarkStart w:id="7" w:name="_Toc217035429"/>
      <w:r w:rsidRPr="00F13DE4">
        <w:rPr>
          <w:rFonts w:cs="Times New Roman"/>
          <w:color w:val="4C4747"/>
          <w:lang w:val="es-DO"/>
        </w:rPr>
        <w:t>RESULTADOS MISIONALES</w:t>
      </w:r>
      <w:bookmarkEnd w:id="7"/>
    </w:p>
    <w:p w14:paraId="5BDBF66A" w14:textId="77777777" w:rsidR="00654164" w:rsidRPr="00F13DE4" w:rsidRDefault="00654164" w:rsidP="00340DF1">
      <w:pPr>
        <w:spacing w:line="360" w:lineRule="auto"/>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8247"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47CDC" id="Straight Connector 14"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68844286" w:rsidR="00654164" w:rsidRPr="006945E0" w:rsidRDefault="00654164" w:rsidP="00340DF1">
      <w:pPr>
        <w:spacing w:line="360" w:lineRule="auto"/>
        <w:jc w:val="center"/>
        <w:rPr>
          <w:rFonts w:eastAsia="Calibri"/>
          <w:color w:val="4C4747"/>
          <w:szCs w:val="36"/>
          <w:lang w:val="es-DO"/>
        </w:rPr>
      </w:pPr>
      <w:r w:rsidRPr="006945E0">
        <w:rPr>
          <w:rFonts w:eastAsia="Calibri"/>
          <w:color w:val="4C4747"/>
          <w:szCs w:val="36"/>
          <w:lang w:val="es-DO"/>
        </w:rPr>
        <w:t xml:space="preserve">Memoria </w:t>
      </w:r>
      <w:r w:rsidR="009547F0" w:rsidRPr="006945E0">
        <w:rPr>
          <w:rFonts w:eastAsia="Calibri"/>
          <w:color w:val="4C4747"/>
          <w:szCs w:val="36"/>
          <w:lang w:val="es-DO"/>
        </w:rPr>
        <w:t>I</w:t>
      </w:r>
      <w:r w:rsidRPr="006945E0">
        <w:rPr>
          <w:rFonts w:eastAsia="Calibri"/>
          <w:color w:val="4C4747"/>
          <w:szCs w:val="36"/>
          <w:lang w:val="es-DO"/>
        </w:rPr>
        <w:t xml:space="preserve">nstitucional </w:t>
      </w:r>
      <w:r w:rsidR="007471AC" w:rsidRPr="006945E0">
        <w:rPr>
          <w:rFonts w:eastAsia="Calibri"/>
          <w:color w:val="4C4747"/>
          <w:szCs w:val="36"/>
          <w:lang w:val="es-DO"/>
        </w:rPr>
        <w:t>202</w:t>
      </w:r>
      <w:r w:rsidR="0051332F" w:rsidRPr="006945E0">
        <w:rPr>
          <w:rFonts w:eastAsia="Calibri"/>
          <w:color w:val="4C4747"/>
          <w:szCs w:val="36"/>
          <w:lang w:val="es-DO"/>
        </w:rPr>
        <w:t>5</w:t>
      </w:r>
    </w:p>
    <w:p w14:paraId="38838488" w14:textId="69F5F643" w:rsidR="00654164" w:rsidRPr="006945E0" w:rsidRDefault="00654164" w:rsidP="00340DF1">
      <w:pPr>
        <w:pStyle w:val="Ttulo1"/>
        <w:jc w:val="left"/>
        <w:rPr>
          <w:rFonts w:cs="Times New Roman"/>
          <w:noProof/>
          <w:color w:val="4C4747"/>
          <w:lang w:val="es-DO"/>
        </w:rPr>
      </w:pPr>
    </w:p>
    <w:p w14:paraId="31E38E04" w14:textId="591B9EC7" w:rsidR="008F3174" w:rsidRPr="00EC6B29"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El Consejo Directivo ha desempeñado un rol clave en la gobernanza institucional, asegurando la toma de decisiones estratégicas y el cumplimiento de la Ley 42-08. Durante este período, el Consejo ha validado lineamientos de política pública, supervisado la ejecución de proyectos de alto impacto y fortalecido la transparencia en la gestión. </w:t>
      </w:r>
      <w:r w:rsidRPr="00EC6B29">
        <w:rPr>
          <w:rFonts w:eastAsiaTheme="minorEastAsia"/>
          <w:noProof/>
          <w:color w:val="4C4747"/>
          <w:lang w:val="es-DO"/>
        </w:rPr>
        <w:t xml:space="preserve">Su labor ha permitido consolidar la credibilidad de ProCompetencia como autoridad reguladora y referente regional en materia de competencia. </w:t>
      </w:r>
    </w:p>
    <w:p w14:paraId="01CBFA63" w14:textId="2F1E55FB"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El Consejo Directivo ha avanzado en la consolidación de su rol de garante del debido proceso administrativo, destacando los siguientes hitos. </w:t>
      </w:r>
    </w:p>
    <w:p w14:paraId="09514DA8"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De igual manera, reforzó su apego estricto al principio de legalidad al rechazar una solicitud conjunta de las partes para suspender el plazo de admisión a trámite, argumentando fundadamente que ni la Ley núm. 42-08 ni su reglamento contemplan la figura de la suspensión para esa etapa específica del procedimiento.  </w:t>
      </w:r>
    </w:p>
    <w:p w14:paraId="673A89B4" w14:textId="77777777" w:rsidR="00002F86"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También estableció un precedente crucial sobre el manejo de pruebas en procedimientos sancionadores, al ponderar el derecho de defensa frente a la protección de información sensible, afirmando que la confidencialidad no puede convertirse en un obstáculo para el ejercicio del derecho de defensa, concluyendo ordenando la entrega de la totalidad de los documentos solicitados (informes de entrevista y actas de interrogatorio) a las empresas imputadas; armonizando los </w:t>
      </w:r>
    </w:p>
    <w:p w14:paraId="0F1CE786" w14:textId="7703C8C8"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 xml:space="preserve">derechos envueltos en conflicto al condicionar la entrega a que toda la información confidencial contenida en dichos documentos sea debidamente tachada (redactada) conforme a las directrices señaladas en la norma.  </w:t>
      </w:r>
    </w:p>
    <w:p w14:paraId="62EAC0B5" w14:textId="08E04C54"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Se ha protegido y legitimado </w:t>
      </w:r>
      <w:r w:rsidR="004C0DE9" w:rsidRPr="00A03E20">
        <w:rPr>
          <w:rFonts w:eastAsiaTheme="minorEastAsia"/>
          <w:noProof/>
          <w:color w:val="4C4747"/>
          <w:lang w:val="es-DO"/>
        </w:rPr>
        <w:t xml:space="preserve">la </w:t>
      </w:r>
      <w:r w:rsidRPr="00A03E20">
        <w:rPr>
          <w:rFonts w:eastAsiaTheme="minorEastAsia"/>
          <w:noProof/>
          <w:color w:val="4C4747"/>
          <w:lang w:val="es-DO"/>
        </w:rPr>
        <w:t xml:space="preserve">capacidad </w:t>
      </w:r>
      <w:r w:rsidR="004C0DE9" w:rsidRPr="00A03E20">
        <w:rPr>
          <w:rFonts w:eastAsiaTheme="minorEastAsia"/>
          <w:noProof/>
          <w:color w:val="4C4747"/>
          <w:lang w:val="es-DO"/>
        </w:rPr>
        <w:t xml:space="preserve">de dicho órgano </w:t>
      </w:r>
      <w:r w:rsidRPr="00A03E20">
        <w:rPr>
          <w:rFonts w:eastAsiaTheme="minorEastAsia"/>
          <w:noProof/>
          <w:color w:val="4C4747"/>
          <w:lang w:val="es-DO"/>
        </w:rPr>
        <w:t xml:space="preserve">para dictar recomendaciones e informes de Abogacía que buscan promover una cultura de competencia, reconociendo los mismos como no recurribles por su carácter consultivo. Esto permite utilizar la persuasión y la orientación como una poderosa herramienta de bajo costo para inducir cambios pro-competitivos, sin temor a litigios dilatorios.  </w:t>
      </w:r>
    </w:p>
    <w:p w14:paraId="62EFC3D2" w14:textId="1FDCF355"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En cuanto al rol de la ejecución de las multas dictadas por el Consejo Directivo, la jurisdicción contencioso-administrativa ha sentado el precedente de que estas sanciones son ejecutables de forma inmediata. Esto es un cambio de juego que fortalece exponencialmente el poder disuasorio de nuestras sanciones. Neutraliza la táctica de impugnar y pretender en sede cautelar la suspensión solo para diferir el impacto financiero por años. La multa se convierte en un impacto tangible y presente en el flujo de caja, obligando a las empresas a integrar el cumplimiento de la normativa en su gestión de riesgos financieros cotidiana.  </w:t>
      </w:r>
    </w:p>
    <w:p w14:paraId="23382C34" w14:textId="2E3EA4A5" w:rsidR="008F3174" w:rsidRPr="00EC6B29" w:rsidRDefault="008F3174" w:rsidP="00340DF1">
      <w:pPr>
        <w:spacing w:line="360" w:lineRule="auto"/>
        <w:jc w:val="both"/>
        <w:rPr>
          <w:rFonts w:eastAsiaTheme="minorEastAsia"/>
          <w:noProof/>
          <w:color w:val="4C4747"/>
          <w:lang w:val="es-DO"/>
        </w:rPr>
      </w:pPr>
      <w:r w:rsidRPr="00EC6B29">
        <w:rPr>
          <w:rFonts w:eastAsiaTheme="minorEastAsia"/>
          <w:noProof/>
          <w:color w:val="4C4747"/>
          <w:lang w:val="es-DO"/>
        </w:rPr>
        <w:t xml:space="preserve">La Suprema Corte de Justicia ha blindado </w:t>
      </w:r>
      <w:r w:rsidR="00F9678F" w:rsidRPr="00EC6B29">
        <w:rPr>
          <w:rFonts w:eastAsiaTheme="minorEastAsia"/>
          <w:noProof/>
          <w:color w:val="4C4747"/>
          <w:lang w:val="es-DO"/>
        </w:rPr>
        <w:t xml:space="preserve">la </w:t>
      </w:r>
      <w:r w:rsidRPr="00EC6B29">
        <w:rPr>
          <w:rFonts w:eastAsiaTheme="minorEastAsia"/>
          <w:noProof/>
          <w:color w:val="4C4747"/>
          <w:lang w:val="es-DO"/>
        </w:rPr>
        <w:t>función investigadora</w:t>
      </w:r>
      <w:r w:rsidR="00F9678F" w:rsidRPr="00EC6B29">
        <w:rPr>
          <w:rFonts w:eastAsiaTheme="minorEastAsia"/>
          <w:noProof/>
          <w:color w:val="4C4747"/>
          <w:lang w:val="es-DO"/>
        </w:rPr>
        <w:t xml:space="preserve"> de ProCompetencia</w:t>
      </w:r>
      <w:r w:rsidRPr="00EC6B29">
        <w:rPr>
          <w:rFonts w:eastAsiaTheme="minorEastAsia"/>
          <w:noProof/>
          <w:color w:val="4C4747"/>
          <w:lang w:val="es-DO"/>
        </w:rPr>
        <w:t xml:space="preserve">, dictaminando que la obligación de colaborar y proveer información veraz es un deber legal fundamental, y que su incumplimiento -proveer información falsa- es una infracción grave y autónoma, sancionable con independencia del resultado de la investigación principal.   </w:t>
      </w:r>
    </w:p>
    <w:p w14:paraId="3D04835C"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Se ha elevado la "integridad del proceso investigativo" a la categoría de un bien jurídico autónomo. El mensaje es inequívoco: obstaculizar </w:t>
      </w:r>
      <w:r w:rsidRPr="00A03E20">
        <w:rPr>
          <w:rFonts w:eastAsiaTheme="minorEastAsia"/>
          <w:noProof/>
          <w:color w:val="4C4747"/>
          <w:lang w:val="es-DO"/>
        </w:rPr>
        <w:lastRenderedPageBreak/>
        <w:t xml:space="preserve">o mentir en una investigación de naturaleza económica es una ofensa directa contra el orden público económico.  </w:t>
      </w:r>
    </w:p>
    <w:p w14:paraId="71302A4C" w14:textId="2B8947D8"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En el caso de cárteles duros, la Suprema Corte</w:t>
      </w:r>
      <w:r w:rsidR="00F9678F" w:rsidRPr="00A03E20">
        <w:rPr>
          <w:rFonts w:eastAsiaTheme="minorEastAsia"/>
          <w:noProof/>
          <w:color w:val="4C4747"/>
          <w:lang w:val="es-DO"/>
        </w:rPr>
        <w:t xml:space="preserve"> de Justicia</w:t>
      </w:r>
      <w:r w:rsidRPr="00A03E20">
        <w:rPr>
          <w:rFonts w:eastAsiaTheme="minorEastAsia"/>
          <w:noProof/>
          <w:color w:val="4C4747"/>
          <w:lang w:val="es-DO"/>
        </w:rPr>
        <w:t xml:space="preserve"> ha consagrado la "regla per se". Este es, posiblemente, el hito doctrinal más trascendental, ya que simplifica radicalmente la carga probatoria. </w:t>
      </w:r>
      <w:r w:rsidR="00F44A9B" w:rsidRPr="00A03E20">
        <w:rPr>
          <w:rFonts w:eastAsiaTheme="minorEastAsia"/>
          <w:noProof/>
          <w:color w:val="4C4747"/>
          <w:lang w:val="es-DO"/>
        </w:rPr>
        <w:t xml:space="preserve">Con esta decisión se </w:t>
      </w:r>
      <w:r w:rsidRPr="00A03E20">
        <w:rPr>
          <w:rFonts w:eastAsiaTheme="minorEastAsia"/>
          <w:noProof/>
          <w:color w:val="4C4747"/>
          <w:lang w:val="es-DO"/>
        </w:rPr>
        <w:t xml:space="preserve">libera </w:t>
      </w:r>
      <w:r w:rsidR="00F44A9B" w:rsidRPr="00A03E20">
        <w:rPr>
          <w:rFonts w:eastAsiaTheme="minorEastAsia"/>
          <w:noProof/>
          <w:color w:val="4C4747"/>
          <w:lang w:val="es-DO"/>
        </w:rPr>
        <w:t xml:space="preserve">a la institución </w:t>
      </w:r>
      <w:r w:rsidRPr="00A03E20">
        <w:rPr>
          <w:rFonts w:eastAsiaTheme="minorEastAsia"/>
          <w:noProof/>
          <w:color w:val="4C4747"/>
          <w:lang w:val="es-DO"/>
        </w:rPr>
        <w:t xml:space="preserve">de tener que demostrar los efectos negativos con modelos econométricos complejos; ahora, la prueba se centra en demostrar la existencia del acuerdo. Esto hace que la persecución de los cárteles sea más rápida, eficiente y con una probabilidad de éxito judicial significativamente mayor.  </w:t>
      </w:r>
    </w:p>
    <w:p w14:paraId="5FD3A98E" w14:textId="72429F3A"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La abogacía de la competencia constituye una de las herramientas más efectivas para promover cambios estructurales en favor de mercados más competitivos. Durante este período, </w:t>
      </w:r>
      <w:r w:rsidR="005547A1" w:rsidRPr="00A03E20">
        <w:rPr>
          <w:rFonts w:eastAsiaTheme="minorEastAsia"/>
          <w:noProof/>
          <w:color w:val="4C4747"/>
          <w:lang w:val="es-DO"/>
        </w:rPr>
        <w:t xml:space="preserve">ProCompetencia ha </w:t>
      </w:r>
      <w:r w:rsidRPr="00A03E20">
        <w:rPr>
          <w:rFonts w:eastAsiaTheme="minorEastAsia"/>
          <w:noProof/>
          <w:color w:val="4C4747"/>
          <w:lang w:val="es-DO"/>
        </w:rPr>
        <w:t xml:space="preserve">emitido importantes informes de recomendación a diversas instancias del Estado. </w:t>
      </w:r>
      <w:r w:rsidR="005547A1" w:rsidRPr="00A03E20">
        <w:rPr>
          <w:rFonts w:eastAsiaTheme="minorEastAsia"/>
          <w:noProof/>
          <w:color w:val="4C4747"/>
          <w:lang w:val="es-DO"/>
        </w:rPr>
        <w:t xml:space="preserve">Estos informes, de carácter público, se encuentran disponibles para la ciudadanía en el portal web </w:t>
      </w:r>
      <w:r w:rsidR="00A91042" w:rsidRPr="00A03E20">
        <w:rPr>
          <w:rFonts w:eastAsiaTheme="minorEastAsia"/>
          <w:noProof/>
          <w:color w:val="4C4747"/>
          <w:lang w:val="es-DO"/>
        </w:rPr>
        <w:t>constituy</w:t>
      </w:r>
      <w:r w:rsidR="00A91042" w:rsidRPr="00A03E20">
        <w:rPr>
          <w:rFonts w:eastAsiaTheme="minorEastAsia" w:hint="eastAsia"/>
          <w:noProof/>
          <w:color w:val="4C4747"/>
          <w:lang w:val="es-DO"/>
        </w:rPr>
        <w:t>é</w:t>
      </w:r>
      <w:r w:rsidR="00A91042" w:rsidRPr="00A03E20">
        <w:rPr>
          <w:rFonts w:eastAsiaTheme="minorEastAsia"/>
          <w:noProof/>
          <w:color w:val="4C4747"/>
          <w:lang w:val="es-DO"/>
        </w:rPr>
        <w:t>ndose como un instrumento fundamental para el fortalecimiento de la transparencia y el libre acceso a la informaci</w:t>
      </w:r>
      <w:r w:rsidR="00A91042" w:rsidRPr="00A03E20">
        <w:rPr>
          <w:rFonts w:eastAsiaTheme="minorEastAsia" w:hint="eastAsia"/>
          <w:noProof/>
          <w:color w:val="4C4747"/>
          <w:lang w:val="es-DO"/>
        </w:rPr>
        <w:t>ó</w:t>
      </w:r>
      <w:r w:rsidR="00A91042" w:rsidRPr="00A03E20">
        <w:rPr>
          <w:rFonts w:eastAsiaTheme="minorEastAsia"/>
          <w:noProof/>
          <w:color w:val="4C4747"/>
          <w:lang w:val="es-DO"/>
        </w:rPr>
        <w:t>n</w:t>
      </w:r>
      <w:r w:rsidR="00857C84" w:rsidRPr="00A03E20">
        <w:rPr>
          <w:rFonts w:eastAsiaTheme="minorEastAsia"/>
          <w:noProof/>
          <w:color w:val="4C4747"/>
          <w:lang w:val="es-DO"/>
        </w:rPr>
        <w:t>, y, con ello, dando cumplimiento a los m</w:t>
      </w:r>
      <w:r w:rsidR="00857C84" w:rsidRPr="00A03E20">
        <w:rPr>
          <w:rFonts w:eastAsiaTheme="minorEastAsia" w:hint="eastAsia"/>
          <w:noProof/>
          <w:color w:val="4C4747"/>
          <w:lang w:val="es-DO"/>
        </w:rPr>
        <w:t>á</w:t>
      </w:r>
      <w:r w:rsidR="00857C84" w:rsidRPr="00A03E20">
        <w:rPr>
          <w:rFonts w:eastAsiaTheme="minorEastAsia"/>
          <w:noProof/>
          <w:color w:val="4C4747"/>
          <w:lang w:val="es-DO"/>
        </w:rPr>
        <w:t>s altos est</w:t>
      </w:r>
      <w:r w:rsidR="00857C84" w:rsidRPr="00A03E20">
        <w:rPr>
          <w:rFonts w:eastAsiaTheme="minorEastAsia" w:hint="eastAsia"/>
          <w:noProof/>
          <w:color w:val="4C4747"/>
          <w:lang w:val="es-DO"/>
        </w:rPr>
        <w:t>á</w:t>
      </w:r>
      <w:r w:rsidR="00857C84" w:rsidRPr="00A03E20">
        <w:rPr>
          <w:rFonts w:eastAsiaTheme="minorEastAsia"/>
          <w:noProof/>
          <w:color w:val="4C4747"/>
          <w:lang w:val="es-DO"/>
        </w:rPr>
        <w:t>ndares de rendici</w:t>
      </w:r>
      <w:r w:rsidR="00857C84" w:rsidRPr="00A03E20">
        <w:rPr>
          <w:rFonts w:eastAsiaTheme="minorEastAsia" w:hint="eastAsia"/>
          <w:noProof/>
          <w:color w:val="4C4747"/>
          <w:lang w:val="es-DO"/>
        </w:rPr>
        <w:t>ó</w:t>
      </w:r>
      <w:r w:rsidR="00857C84" w:rsidRPr="00A03E20">
        <w:rPr>
          <w:rFonts w:eastAsiaTheme="minorEastAsia"/>
          <w:noProof/>
          <w:color w:val="4C4747"/>
          <w:lang w:val="es-DO"/>
        </w:rPr>
        <w:t>n de cuentas</w:t>
      </w:r>
      <w:r w:rsidR="005547A1" w:rsidRPr="00A03E20">
        <w:rPr>
          <w:rFonts w:eastAsiaTheme="minorEastAsia"/>
          <w:noProof/>
          <w:color w:val="4C4747"/>
          <w:lang w:val="es-DO"/>
        </w:rPr>
        <w:t>.</w:t>
      </w:r>
    </w:p>
    <w:p w14:paraId="60CB3522" w14:textId="77777777" w:rsidR="00002F86"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Entre estos</w:t>
      </w:r>
      <w:r w:rsidR="003E0989" w:rsidRPr="00A03E20">
        <w:rPr>
          <w:rFonts w:eastAsiaTheme="minorEastAsia"/>
          <w:noProof/>
          <w:color w:val="4C4747"/>
          <w:lang w:val="es-DO"/>
        </w:rPr>
        <w:t xml:space="preserve"> informes se</w:t>
      </w:r>
      <w:r w:rsidRPr="00A03E20">
        <w:rPr>
          <w:rFonts w:eastAsiaTheme="minorEastAsia"/>
          <w:noProof/>
          <w:color w:val="4C4747"/>
          <w:lang w:val="es-DO"/>
        </w:rPr>
        <w:t xml:space="preserve"> destac</w:t>
      </w:r>
      <w:r w:rsidR="003E0989" w:rsidRPr="00A03E20">
        <w:rPr>
          <w:rFonts w:eastAsiaTheme="minorEastAsia"/>
          <w:noProof/>
          <w:color w:val="4C4747"/>
          <w:lang w:val="es-DO"/>
        </w:rPr>
        <w:t>a</w:t>
      </w:r>
      <w:r w:rsidRPr="00A03E20">
        <w:rPr>
          <w:rFonts w:eastAsiaTheme="minorEastAsia"/>
          <w:noProof/>
          <w:color w:val="4C4747"/>
          <w:lang w:val="es-DO"/>
        </w:rPr>
        <w:t xml:space="preserve"> el Informe público de recomendaciones al proyecto de Ley de Contrataciones Públicas. </w:t>
      </w:r>
      <w:r w:rsidRPr="00EC6B29">
        <w:rPr>
          <w:rFonts w:eastAsiaTheme="minorEastAsia"/>
          <w:noProof/>
          <w:color w:val="4C4747"/>
          <w:lang w:val="es-DO"/>
        </w:rPr>
        <w:t>Una delegación de ProCompetencia, presentó ante la Cámara de Diputados un conjunto de recomendaciones técnicas al Proyecto de Ley General de Contrataciones Públicas, con el propósito de fortalecer la libre competencia y la transparencia en los procesos de compras del Estado.</w:t>
      </w:r>
    </w:p>
    <w:p w14:paraId="561CA7D8" w14:textId="4BC1B1B4" w:rsidR="008F3174" w:rsidRPr="00A03E20" w:rsidRDefault="008F3174" w:rsidP="00340DF1">
      <w:pPr>
        <w:spacing w:line="360" w:lineRule="auto"/>
        <w:jc w:val="both"/>
        <w:rPr>
          <w:rFonts w:eastAsiaTheme="minorEastAsia"/>
          <w:noProof/>
          <w:color w:val="4C4747"/>
          <w:lang w:val="es-DO"/>
        </w:rPr>
      </w:pPr>
      <w:r w:rsidRPr="00EC6B29">
        <w:rPr>
          <w:rFonts w:eastAsiaTheme="minorEastAsia"/>
          <w:noProof/>
          <w:color w:val="4C4747"/>
          <w:lang w:val="es-DO"/>
        </w:rPr>
        <w:lastRenderedPageBreak/>
        <w:t xml:space="preserve"> </w:t>
      </w:r>
      <w:r w:rsidRPr="00A03E20">
        <w:rPr>
          <w:rFonts w:eastAsiaTheme="minorEastAsia"/>
          <w:noProof/>
          <w:color w:val="4C4747"/>
          <w:lang w:val="es-DO"/>
        </w:rPr>
        <w:t xml:space="preserve">Destacamos que esta reforma representa una oportunidad para modernizar el régimen de contrataciones y consolidar un Estado más eficiente, equitativo y competitivo. </w:t>
      </w:r>
    </w:p>
    <w:p w14:paraId="245FDB98" w14:textId="00E36C56" w:rsidR="008F3174" w:rsidRPr="00A03E20" w:rsidRDefault="008F3174" w:rsidP="00340DF1">
      <w:pPr>
        <w:spacing w:line="360" w:lineRule="auto"/>
        <w:jc w:val="both"/>
        <w:rPr>
          <w:rFonts w:eastAsiaTheme="minorEastAsia"/>
          <w:noProof/>
          <w:color w:val="4C4747"/>
          <w:lang w:val="es-DO"/>
        </w:rPr>
      </w:pPr>
      <w:r w:rsidRPr="00EC6B29">
        <w:rPr>
          <w:rFonts w:eastAsiaTheme="minorEastAsia"/>
          <w:noProof/>
          <w:color w:val="4C4747"/>
          <w:lang w:val="es-DO"/>
        </w:rPr>
        <w:t xml:space="preserve">Entre las principales propuestas, ProCompetencia sugirió incorporar el reconocimiento expreso de las prácticas colusorias definidas en la Ley 42-08, establecer mecanismos de confidencialidad en la información de precios, promover consultas técnicas virtuales que eviten acuerdos anticompetitivos y requerir una Declaración Jurada de Oferta Libre de Colusión. </w:t>
      </w:r>
      <w:r w:rsidRPr="00A03E20">
        <w:rPr>
          <w:rFonts w:eastAsiaTheme="minorEastAsia"/>
          <w:noProof/>
          <w:color w:val="4C4747"/>
          <w:lang w:val="es-DO"/>
        </w:rPr>
        <w:t xml:space="preserve">Estas medidas buscan prevenir la colusión en licitaciones, reforzar la coordinación interinstitucional y garantizar un marco normativo que promueva la innovación, la eficiencia y la competencia en beneficio de la ciudadanía y el sector productivo nacional. </w:t>
      </w:r>
    </w:p>
    <w:p w14:paraId="0C780CB2"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Durante este año, varias de las recomendaciones técnicas fueron incorporadas en la nueva Ley 47-25 de Contrataciones Públicas, un hito en la lucha contra la colusión y la promoción de la libre competencia en los procesos de compras del Estado. Entre los avances destaca la inclusión de la declaración jurada de oferta libre de colusión, la exclusión de oferentes por prácticas prohibidas y el reconocimiento expreso de las licitaciones colusorias en la Ley 42-08. Asimismo, la nueva normativa mantiene la libre competencia como principio rector, fomentando la participación de más oferentes y eliminando obstáculos que afecten a las MIPYMES. </w:t>
      </w:r>
    </w:p>
    <w:p w14:paraId="2DDED1B2" w14:textId="77777777" w:rsidR="00002F86"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De igual forma, </w:t>
      </w:r>
      <w:r w:rsidR="0006203F" w:rsidRPr="00A03E20">
        <w:rPr>
          <w:rFonts w:eastAsiaTheme="minorEastAsia"/>
          <w:noProof/>
          <w:color w:val="4C4747"/>
          <w:lang w:val="es-DO"/>
        </w:rPr>
        <w:t xml:space="preserve">se </w:t>
      </w:r>
      <w:r w:rsidRPr="00A03E20">
        <w:rPr>
          <w:rFonts w:eastAsiaTheme="minorEastAsia"/>
          <w:noProof/>
          <w:color w:val="4C4747"/>
          <w:lang w:val="es-DO"/>
        </w:rPr>
        <w:t>present</w:t>
      </w:r>
      <w:r w:rsidR="0006203F" w:rsidRPr="00A03E20">
        <w:rPr>
          <w:rFonts w:eastAsiaTheme="minorEastAsia"/>
          <w:noProof/>
          <w:color w:val="4C4747"/>
          <w:lang w:val="es-DO"/>
        </w:rPr>
        <w:t xml:space="preserve">ó </w:t>
      </w:r>
      <w:r w:rsidRPr="00A03E20">
        <w:rPr>
          <w:rFonts w:eastAsiaTheme="minorEastAsia"/>
          <w:noProof/>
          <w:color w:val="4C4747"/>
          <w:lang w:val="es-DO"/>
        </w:rPr>
        <w:t xml:space="preserve">ante la Cámara de Diputados un informe técnico con recomendaciones al proyecto de modificación de la Ley 225-20 sobre gestión integral de residuos sólidos, con el objetivo de garantizar la libre competencia y la libertad de empresa en el sector. </w:t>
      </w:r>
    </w:p>
    <w:p w14:paraId="464C13D1" w14:textId="77777777" w:rsidR="00002F86" w:rsidRDefault="00002F86" w:rsidP="00340DF1">
      <w:pPr>
        <w:spacing w:line="360" w:lineRule="auto"/>
        <w:jc w:val="both"/>
        <w:rPr>
          <w:rFonts w:eastAsiaTheme="minorEastAsia"/>
          <w:noProof/>
          <w:color w:val="4C4747"/>
          <w:lang w:val="es-DO"/>
        </w:rPr>
      </w:pPr>
    </w:p>
    <w:p w14:paraId="748BBE29" w14:textId="581F5D53"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 xml:space="preserve">Entre </w:t>
      </w:r>
      <w:r w:rsidR="0006203F" w:rsidRPr="00A03E20">
        <w:rPr>
          <w:rFonts w:eastAsiaTheme="minorEastAsia"/>
          <w:noProof/>
          <w:color w:val="4C4747"/>
          <w:lang w:val="es-DO"/>
        </w:rPr>
        <w:t xml:space="preserve">las </w:t>
      </w:r>
      <w:r w:rsidRPr="00A03E20">
        <w:rPr>
          <w:rFonts w:eastAsiaTheme="minorEastAsia"/>
          <w:noProof/>
          <w:color w:val="4C4747"/>
          <w:lang w:val="es-DO"/>
        </w:rPr>
        <w:t>observaciones</w:t>
      </w:r>
      <w:r w:rsidR="0006203F" w:rsidRPr="00A03E20">
        <w:rPr>
          <w:rFonts w:eastAsiaTheme="minorEastAsia"/>
          <w:noProof/>
          <w:color w:val="4C4747"/>
          <w:lang w:val="es-DO"/>
        </w:rPr>
        <w:t xml:space="preserve"> se</w:t>
      </w:r>
      <w:r w:rsidRPr="00A03E20">
        <w:rPr>
          <w:rFonts w:eastAsiaTheme="minorEastAsia"/>
          <w:noProof/>
          <w:color w:val="4C4747"/>
          <w:lang w:val="es-DO"/>
        </w:rPr>
        <w:t xml:space="preserve"> propus</w:t>
      </w:r>
      <w:r w:rsidR="0006203F" w:rsidRPr="00A03E20">
        <w:rPr>
          <w:rFonts w:eastAsiaTheme="minorEastAsia"/>
          <w:noProof/>
          <w:color w:val="4C4747"/>
          <w:lang w:val="es-DO"/>
        </w:rPr>
        <w:t xml:space="preserve">o la </w:t>
      </w:r>
      <w:r w:rsidRPr="00A03E20">
        <w:rPr>
          <w:rFonts w:eastAsiaTheme="minorEastAsia"/>
          <w:noProof/>
          <w:color w:val="4C4747"/>
          <w:lang w:val="es-DO"/>
        </w:rPr>
        <w:t>elimina</w:t>
      </w:r>
      <w:r w:rsidR="0006203F" w:rsidRPr="00A03E20">
        <w:rPr>
          <w:rFonts w:eastAsiaTheme="minorEastAsia"/>
          <w:noProof/>
          <w:color w:val="4C4747"/>
          <w:lang w:val="es-DO"/>
        </w:rPr>
        <w:t>ción</w:t>
      </w:r>
      <w:r w:rsidRPr="00A03E20">
        <w:rPr>
          <w:rFonts w:eastAsiaTheme="minorEastAsia"/>
          <w:noProof/>
          <w:color w:val="4C4747"/>
          <w:lang w:val="es-DO"/>
        </w:rPr>
        <w:t xml:space="preserve"> </w:t>
      </w:r>
      <w:r w:rsidR="0006203F" w:rsidRPr="00A03E20">
        <w:rPr>
          <w:rFonts w:eastAsiaTheme="minorEastAsia"/>
          <w:noProof/>
          <w:color w:val="4C4747"/>
          <w:lang w:val="es-DO"/>
        </w:rPr>
        <w:t xml:space="preserve">de </w:t>
      </w:r>
      <w:r w:rsidRPr="00A03E20">
        <w:rPr>
          <w:rFonts w:eastAsiaTheme="minorEastAsia"/>
          <w:noProof/>
          <w:color w:val="4C4747"/>
          <w:lang w:val="es-DO"/>
        </w:rPr>
        <w:t xml:space="preserve">la disposición que limita a un solo relleno sanitario por región, por considerar que crea un monopolio legal en favor de un particular, así como suprimir restricciones que afectan la operación de plantas de valorización y reciclaje, reducir la duración de los contratos y realizar estudios de impacto económico antes de aplicar nuevos cargos. </w:t>
      </w:r>
    </w:p>
    <w:p w14:paraId="300B1F42" w14:textId="2FBFC0E3" w:rsidR="008F3174" w:rsidRPr="00A03E20" w:rsidRDefault="008F3174" w:rsidP="00340DF1">
      <w:pPr>
        <w:spacing w:line="360" w:lineRule="auto"/>
        <w:jc w:val="both"/>
        <w:rPr>
          <w:rFonts w:eastAsiaTheme="minorEastAsia"/>
          <w:noProof/>
          <w:color w:val="4C4747"/>
          <w:lang w:val="es-DO"/>
        </w:rPr>
      </w:pPr>
      <w:r w:rsidRPr="00EC6B29">
        <w:rPr>
          <w:rFonts w:eastAsiaTheme="minorEastAsia"/>
          <w:noProof/>
          <w:color w:val="4C4747"/>
          <w:lang w:val="es-DO"/>
        </w:rPr>
        <w:t xml:space="preserve">Si bien el proyecto de ley fue aprobado en ambas cámaras, el Presiente Luis Abinader anunció que observaría la misma en base a varias observaciones realizadas por ProCompetencia, reafirmando el compromiso del Estado con un marco normativo competitivo, transparente y sostenible. </w:t>
      </w:r>
      <w:r w:rsidRPr="00A03E20">
        <w:rPr>
          <w:rFonts w:eastAsiaTheme="minorEastAsia"/>
          <w:noProof/>
          <w:color w:val="4C4747"/>
          <w:lang w:val="es-DO"/>
        </w:rPr>
        <w:t xml:space="preserve">Este es un ejemplo claro de cómo la abogacía de la competencia puede incidir positivamente en la formulación de políticas públicas. </w:t>
      </w:r>
    </w:p>
    <w:p w14:paraId="36634264" w14:textId="77777777" w:rsidR="00F30178" w:rsidRDefault="00EA75C7" w:rsidP="00340DF1">
      <w:pPr>
        <w:spacing w:line="360" w:lineRule="auto"/>
        <w:jc w:val="both"/>
        <w:rPr>
          <w:rFonts w:eastAsiaTheme="minorEastAsia"/>
          <w:noProof/>
          <w:color w:val="4C4747"/>
          <w:lang w:val="es-DO"/>
        </w:rPr>
      </w:pPr>
      <w:r w:rsidRPr="00EC6B29">
        <w:rPr>
          <w:rFonts w:eastAsiaTheme="minorEastAsia"/>
          <w:noProof/>
          <w:color w:val="4C4747"/>
          <w:lang w:val="es-DO"/>
        </w:rPr>
        <w:t>En el transcurso del año, ProCompetencia emitió diez (10) informes de recomendación, evidenciando la continuidad y solidez de su producción técnica.</w:t>
      </w:r>
    </w:p>
    <w:p w14:paraId="629F5DA6" w14:textId="500A4E1B" w:rsidR="008F3174" w:rsidRPr="00A03E20" w:rsidRDefault="00F30178" w:rsidP="00340DF1">
      <w:pPr>
        <w:spacing w:line="360" w:lineRule="auto"/>
        <w:jc w:val="both"/>
        <w:rPr>
          <w:rFonts w:eastAsiaTheme="minorEastAsia"/>
          <w:noProof/>
          <w:color w:val="4C4747"/>
          <w:lang w:val="es-DO"/>
        </w:rPr>
      </w:pPr>
      <w:r>
        <w:rPr>
          <w:rFonts w:eastAsiaTheme="minorEastAsia"/>
          <w:noProof/>
          <w:color w:val="4C4747"/>
          <w:lang w:val="es-DO"/>
        </w:rPr>
        <w:t xml:space="preserve"> </w:t>
      </w:r>
      <w:r w:rsidR="008F3174" w:rsidRPr="00EC6B29">
        <w:rPr>
          <w:rFonts w:eastAsiaTheme="minorEastAsia"/>
          <w:noProof/>
          <w:color w:val="4C4747"/>
          <w:lang w:val="es-DO"/>
        </w:rPr>
        <w:t xml:space="preserve">En este año, la República Dominicana se convirtió en el primer país de América Latina en lanzar una Política Nacional de Competencia. </w:t>
      </w:r>
      <w:r w:rsidR="008F3174" w:rsidRPr="00A03E20">
        <w:rPr>
          <w:rFonts w:eastAsiaTheme="minorEastAsia"/>
          <w:noProof/>
          <w:color w:val="4C4747"/>
          <w:lang w:val="es-DO"/>
        </w:rPr>
        <w:t xml:space="preserve">Este instrumento, sustentado en el Decreto 196-25 del 15 de abril del 2025, promulgado por el presidente Luis Abinader, marca un hito histórico al establecer un marco estratégico para impulsar el crecimiento económico sostenible, garantizar igualdad de condiciones entre los agentes del mercado y fortalecer la protección de los consumidores. </w:t>
      </w:r>
    </w:p>
    <w:p w14:paraId="16D884F2"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El lanzamiento se realizó en el Palacio Nacional, con la participación de organismos internacionales y representantes de más de 30 instituciones nacionales vinculadas al desarrollo económico y la transparencia.  </w:t>
      </w:r>
    </w:p>
    <w:p w14:paraId="0B70F103" w14:textId="39E3BEF8" w:rsidR="008F3174" w:rsidRPr="00EC6B29" w:rsidRDefault="008F3174" w:rsidP="00340DF1">
      <w:pPr>
        <w:spacing w:line="360" w:lineRule="auto"/>
        <w:jc w:val="both"/>
        <w:rPr>
          <w:rFonts w:eastAsiaTheme="minorEastAsia"/>
          <w:noProof/>
          <w:color w:val="4C4747"/>
          <w:lang w:val="es-DO"/>
        </w:rPr>
      </w:pPr>
      <w:r w:rsidRPr="00EC6B29">
        <w:rPr>
          <w:rFonts w:eastAsiaTheme="minorEastAsia"/>
          <w:noProof/>
          <w:color w:val="4C4747"/>
          <w:lang w:val="es-DO"/>
        </w:rPr>
        <w:lastRenderedPageBreak/>
        <w:t>En el marco de la visión estratégica del Gobierno dominicano, ProCompetencia se integra de manera activa a la iniciativa Meta RD 2036, un plan integral que tiene como propósito duplicar el Producto Interno Bruto (PIB) real del país en un horizonte de 12 años, con el objetivo de erradicar la pobreza extrema, aumentar el salario medio, generar más empleos y mejorar la calidad de vida de los ciudadanos.</w:t>
      </w:r>
    </w:p>
    <w:p w14:paraId="06DAC34E" w14:textId="6A89FFC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Esta estrategia nacional, presentada por el presidente Luis Abinader y coordinada por el Consejo Nacional de Competitividad, se fundamenta en la modernización institucional, la inversión en infraestructura, la innovación tecnológica y la sostenibilidad ambiental, creando un entorno favorable para la productividad y la competitividad.</w:t>
      </w:r>
      <w:r w:rsidR="0099372B" w:rsidRPr="00A03E20">
        <w:rPr>
          <w:rFonts w:eastAsiaTheme="minorEastAsia"/>
          <w:noProof/>
          <w:color w:val="4C4747"/>
          <w:lang w:val="es-DO"/>
        </w:rPr>
        <w:t xml:space="preserve"> Está compuesta por </w:t>
      </w:r>
      <w:r w:rsidR="00FC0479" w:rsidRPr="00A03E20">
        <w:rPr>
          <w:rFonts w:eastAsiaTheme="minorEastAsia"/>
          <w:noProof/>
          <w:color w:val="4C4747"/>
          <w:lang w:val="es-DO"/>
        </w:rPr>
        <w:t>u</w:t>
      </w:r>
      <w:r w:rsidR="0099372B" w:rsidRPr="00A03E20">
        <w:rPr>
          <w:rFonts w:eastAsiaTheme="minorEastAsia"/>
          <w:noProof/>
          <w:color w:val="4C4747"/>
          <w:lang w:val="es-DO"/>
        </w:rPr>
        <w:t xml:space="preserve">n (1) comité tranversal y doce (12) comités que responden a los sectores de la economía: comercio, agropecuaria, construcción e inmobiliario, energia, financiero, industria local, minería, tecnologia y telecomunicaciones, transporte y logística, turismo, zona franca y MIPYMES. </w:t>
      </w:r>
    </w:p>
    <w:p w14:paraId="720F73C2" w14:textId="5D313EBB"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En este contexto, ProCompetencia forma parte del Comité de Comercio de la Meta 2036, donde mantiene una participación activa en mesas de trabajo sectoriales orientadas a promover la libre y leal competencia en sectores estratégicos de la economía nacional. Su rol es clave para garantizar que las reformas y acciones priorizadas se desarrollen bajo principios de transparencia, equidad y eficiencia, contribuyendo a la construcción de un ecosistema económico más dinámico, inclusivo y resiliente.</w:t>
      </w:r>
    </w:p>
    <w:p w14:paraId="0244E14E" w14:textId="10D7CC76" w:rsidR="008F3174" w:rsidRPr="00A03E20" w:rsidRDefault="008F3174" w:rsidP="00340DF1">
      <w:pPr>
        <w:tabs>
          <w:tab w:val="left" w:pos="2202"/>
        </w:tabs>
        <w:spacing w:line="360" w:lineRule="auto"/>
        <w:jc w:val="both"/>
        <w:rPr>
          <w:rFonts w:eastAsiaTheme="minorEastAsia"/>
          <w:noProof/>
          <w:color w:val="4C4747"/>
          <w:lang w:val="es-DO"/>
        </w:rPr>
      </w:pPr>
      <w:r w:rsidRPr="00A03E20">
        <w:rPr>
          <w:rFonts w:eastAsiaTheme="minorEastAsia"/>
          <w:noProof/>
          <w:color w:val="4C4747"/>
          <w:lang w:val="es-DO"/>
        </w:rPr>
        <w:t>La participación de ProCompetencia en Meta RD 2036 reafirma su compromiso institucional con la gobernanza económica, la rendición de cuentas y la abogacía de la competencia, alineando sus esfuerzos con la visión de convertir a la República Dominicana en un referente regional de desarrollo sostenible y competitivo hacia el año 2036.</w:t>
      </w:r>
    </w:p>
    <w:p w14:paraId="27840EAE"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 xml:space="preserve">En este marco, la institución lidera estudios y propuestas en la Mesa de Formalización de las Pacas y Mudanceras, aportando análisis técnicos, simulaciones de política pública y recomendaciones regulatorias para mejorar la eficiencia de los mercados y mitigar efectos anticompetitivos en dicho sector. En este sentido, desde Procompetencia se han elaborado documentos de trabajo que permitirán tomar decisiones basados en datos, tales como:  </w:t>
      </w:r>
    </w:p>
    <w:p w14:paraId="356BDDA6" w14:textId="078B4F18" w:rsidR="008F3174" w:rsidRPr="00DC7764" w:rsidRDefault="008F3174" w:rsidP="00340DF1">
      <w:pPr>
        <w:spacing w:line="360" w:lineRule="auto"/>
        <w:jc w:val="both"/>
        <w:rPr>
          <w:rFonts w:eastAsiaTheme="minorEastAsia"/>
          <w:noProof/>
          <w:color w:val="4C4747"/>
          <w:lang w:val="es-DO"/>
        </w:rPr>
      </w:pPr>
      <w:r w:rsidRPr="00DC7764">
        <w:rPr>
          <w:rFonts w:eastAsiaTheme="minorEastAsia"/>
          <w:noProof/>
          <w:color w:val="4C4747"/>
          <w:lang w:val="es-DO"/>
        </w:rPr>
        <w:t>Evaluación del Impacto del Régimen Tributario Aplicado a las Importaciones de Ropa Usada (‘Pacas’) en la República Dominicana desde la Óptica Fiscal y de la Competencia;  Perfil de Proyecto: Estudio de Condiciones de Competencia en el Mercado de Importación de Ropa Usada (Pacas) en la República Dominicana, 2014-2025.</w:t>
      </w:r>
    </w:p>
    <w:p w14:paraId="08CC2DA7" w14:textId="7121F57A" w:rsidR="008F3174" w:rsidRPr="00EC6B29" w:rsidRDefault="008F3174" w:rsidP="00340DF1">
      <w:pPr>
        <w:spacing w:line="360" w:lineRule="auto"/>
        <w:jc w:val="both"/>
        <w:rPr>
          <w:rFonts w:eastAsiaTheme="minorEastAsia"/>
          <w:noProof/>
          <w:color w:val="4C4747"/>
          <w:lang w:val="es-DO"/>
        </w:rPr>
      </w:pPr>
      <w:r w:rsidRPr="00EC6B29">
        <w:rPr>
          <w:rFonts w:eastAsiaTheme="minorEastAsia"/>
          <w:noProof/>
          <w:color w:val="4C4747"/>
          <w:lang w:val="es-DO"/>
        </w:rPr>
        <w:t xml:space="preserve">La institución ha desarrollado una agenda activa de promoción y abogacía de la competencia orientada a sensibilizar a los distintos sectores económicos y sociales sobre la importancia de la libre competencia, donde ProCompetencia participó activamente tanto en conferencias nacionales e internacionales, incluyendo el Foro Latinoamericano y del Caribe de Competencia en Paraguay y el Segundo Foro Internacional sobre Género y Competencia donde República Dominicana fue sede, posicionando al país como líder regional en la incorporación de enfoques inclusivos y de equidad en los mercados. </w:t>
      </w:r>
    </w:p>
    <w:p w14:paraId="1153C80D" w14:textId="77777777" w:rsidR="00EA75C7"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A nivel nacional, se ejecutaron programas de capacitación en coordinación con la</w:t>
      </w:r>
      <w:r w:rsidR="00EA75C7" w:rsidRPr="00A03E20">
        <w:rPr>
          <w:rFonts w:eastAsiaTheme="minorEastAsia"/>
          <w:noProof/>
          <w:color w:val="4C4747"/>
          <w:lang w:val="es-DO"/>
        </w:rPr>
        <w:t xml:space="preserve"> DIGEIG</w:t>
      </w:r>
      <w:r w:rsidRPr="00A03E20">
        <w:rPr>
          <w:rFonts w:eastAsiaTheme="minorEastAsia"/>
          <w:noProof/>
          <w:color w:val="4C4747"/>
          <w:lang w:val="es-DO"/>
        </w:rPr>
        <w:t>, alcanzando a más de 800 funcionarios públicos en prevención de colusión en compras públicas.</w:t>
      </w:r>
    </w:p>
    <w:p w14:paraId="1C000476" w14:textId="52C60251"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 Estas acciones multiplican la capacidad de supervisión del Estado y generan beneficios tangibles para la ciudadanía, al garantizar precios más competitivos y servicios públicos de mayor calidad.</w:t>
      </w:r>
    </w:p>
    <w:p w14:paraId="14EA3116" w14:textId="77777777" w:rsidR="00DC7764" w:rsidRPr="00A03E20" w:rsidRDefault="00DC7764" w:rsidP="00340DF1">
      <w:pPr>
        <w:spacing w:line="360" w:lineRule="auto"/>
        <w:jc w:val="both"/>
        <w:rPr>
          <w:rFonts w:eastAsiaTheme="minorEastAsia"/>
          <w:noProof/>
          <w:color w:val="4C4747"/>
          <w:lang w:val="es-DO"/>
        </w:rPr>
      </w:pPr>
    </w:p>
    <w:p w14:paraId="29BBB875"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El área de estudios económicos ha fortalecido la capacidad técnica de la institución mediante el desarrollo de herramientas innovadoras como el Observatorio de Condiciones de Competencia en los Mercados y el Observatorio de Compras Públicas.</w:t>
      </w:r>
    </w:p>
    <w:p w14:paraId="21A02F68"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w:t>
      </w:r>
      <w:r w:rsidRPr="00A03E20">
        <w:rPr>
          <w:rFonts w:eastAsiaTheme="minorEastAsia"/>
          <w:noProof/>
          <w:color w:val="4C4747"/>
          <w:lang w:val="es-DO"/>
        </w:rPr>
        <w:tab/>
        <w:t>El primero permite identificar riesgos de prácticas anticompetitivas en sectores estratégicos, clasificando mercados por nivel de prioridad (alto, medio, bajo).</w:t>
      </w:r>
    </w:p>
    <w:p w14:paraId="19476686"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w:t>
      </w:r>
      <w:r w:rsidRPr="00A03E20">
        <w:rPr>
          <w:rFonts w:eastAsiaTheme="minorEastAsia"/>
          <w:noProof/>
          <w:color w:val="4C4747"/>
          <w:lang w:val="es-DO"/>
        </w:rPr>
        <w:tab/>
        <w:t>El segundo aplica metodologías econométricas para detectar posibles colusiones en licitaciones públicas, constituyéndose en un mecanismo pionero de transparencia reconocido por organismos internacionales como la OEA y la OCDE.</w:t>
      </w:r>
    </w:p>
    <w:p w14:paraId="6334EFEE"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Estos estudios han servido de referencia para otras autoridades de competencia en la región, consolidando el liderazgo técnico de ProCompetencia y aportando evidencia para la formulación de políticas públicas basadas en datos.</w:t>
      </w:r>
    </w:p>
    <w:p w14:paraId="00E561B8" w14:textId="3ED32ACD" w:rsidR="008F3174" w:rsidRDefault="008F3174" w:rsidP="00340DF1">
      <w:pPr>
        <w:spacing w:line="360" w:lineRule="auto"/>
        <w:jc w:val="both"/>
        <w:rPr>
          <w:rFonts w:eastAsiaTheme="minorEastAsia"/>
          <w:noProof/>
          <w:color w:val="4C4747"/>
          <w:lang w:val="es-DO"/>
        </w:rPr>
      </w:pPr>
      <w:r w:rsidRPr="00EC6B29">
        <w:rPr>
          <w:rFonts w:eastAsiaTheme="minorEastAsia"/>
          <w:noProof/>
          <w:color w:val="4C4747"/>
          <w:lang w:val="es-DO"/>
        </w:rPr>
        <w:t xml:space="preserve">El Observatorio que genera ProCompetencia, monitorea las condiciones de competencia en los mercados de la economía dominicana, en atención a la potestad que le confiere la Ley General de Defensa de la Competencia, núm. 42-08. </w:t>
      </w:r>
      <w:r w:rsidRPr="00A03E20">
        <w:rPr>
          <w:rFonts w:eastAsiaTheme="minorEastAsia"/>
          <w:noProof/>
          <w:color w:val="4C4747"/>
          <w:lang w:val="es-DO"/>
        </w:rPr>
        <w:t xml:space="preserve">Dicha herramienta permite identificar riesgos que potencian la posibilidad de prácticas anticompetitivas en los mercados, a través del análisis de 6 criterios de priorización: 1) Precios de los bienes de la canasta familiar; 2) Crecimiento económico; 3) Características y dinámica del Mercado; 4) Insumos intermedios esenciales; 5) Regulaciones de interés; e 6) Inquietudes de la sociedad.  </w:t>
      </w:r>
    </w:p>
    <w:p w14:paraId="19406B4F" w14:textId="77777777" w:rsidR="00002F86" w:rsidRPr="00A03E20" w:rsidRDefault="00002F86" w:rsidP="00340DF1">
      <w:pPr>
        <w:spacing w:line="360" w:lineRule="auto"/>
        <w:jc w:val="both"/>
        <w:rPr>
          <w:rFonts w:eastAsiaTheme="minorEastAsia"/>
          <w:noProof/>
          <w:color w:val="4C4747"/>
          <w:lang w:val="es-DO"/>
        </w:rPr>
      </w:pPr>
    </w:p>
    <w:p w14:paraId="7AE284AA" w14:textId="5DEA90FA"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 xml:space="preserve">De acuerdo con los criterios mencionados, los resultados del observatorio permiten clasificar a los mercados en términos de competencia según orden de prioridades, asignándoles un color según corresponda: rojo (prioridad alta), amarillo (prioridad media) y verde (prioridad baja). Adicional a estos seis (6) criterios, un elemento que clasifica en prioridad alta del semáforo es la apertura de un proceso de investigación en un mercado, ya sea por el Artículo 5 sobre carteles y/o por el Artículo 6 sobre Abuso de Posición Dominante de la Ley 42-08.  </w:t>
      </w:r>
    </w:p>
    <w:p w14:paraId="5F087022" w14:textId="2651AA52"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Durante el 2025, el DEEM publicó dos  (2) Observatorio</w:t>
      </w:r>
      <w:r w:rsidR="00303A3B" w:rsidRPr="00A03E20">
        <w:rPr>
          <w:rFonts w:eastAsiaTheme="minorEastAsia"/>
          <w:noProof/>
          <w:color w:val="4C4747"/>
          <w:lang w:val="es-DO"/>
        </w:rPr>
        <w:t>s</w:t>
      </w:r>
      <w:r w:rsidRPr="00A03E20">
        <w:rPr>
          <w:rFonts w:eastAsiaTheme="minorEastAsia"/>
          <w:noProof/>
          <w:color w:val="4C4747"/>
          <w:lang w:val="es-DO"/>
        </w:rPr>
        <w:t xml:space="preserve"> de Condiciones de Competencia en los mercados.</w:t>
      </w:r>
    </w:p>
    <w:p w14:paraId="61C2AFD3" w14:textId="2DBF5D5C" w:rsidR="008F3174" w:rsidRPr="00A03E20" w:rsidRDefault="00303A3B" w:rsidP="00340DF1">
      <w:pPr>
        <w:spacing w:line="360" w:lineRule="auto"/>
        <w:jc w:val="both"/>
        <w:rPr>
          <w:rFonts w:eastAsiaTheme="minorEastAsia"/>
          <w:noProof/>
          <w:color w:val="4C4747"/>
          <w:lang w:val="es-DO"/>
        </w:rPr>
      </w:pPr>
      <w:r w:rsidRPr="00A03E20">
        <w:rPr>
          <w:rFonts w:eastAsiaTheme="minorEastAsia"/>
          <w:noProof/>
          <w:color w:val="4C4747"/>
          <w:lang w:val="es-DO"/>
        </w:rPr>
        <w:t>En consonancia con los mecanismos de</w:t>
      </w:r>
      <w:r w:rsidRPr="00A03E20">
        <w:rPr>
          <w:rFonts w:eastAsiaTheme="minorEastAsia" w:hint="eastAsia"/>
          <w:noProof/>
          <w:color w:val="4C4747"/>
          <w:lang w:val="es-DO"/>
        </w:rPr>
        <w:t> </w:t>
      </w:r>
      <w:r w:rsidRPr="00A03E20">
        <w:rPr>
          <w:rFonts w:eastAsiaTheme="minorEastAsia"/>
          <w:noProof/>
          <w:color w:val="4C4747"/>
          <w:lang w:val="es-DO"/>
        </w:rPr>
        <w:t>cooperación regional, se ha identificado un creciente inter</w:t>
      </w:r>
      <w:r w:rsidRPr="00A03E20">
        <w:rPr>
          <w:rFonts w:eastAsiaTheme="minorEastAsia" w:hint="eastAsia"/>
          <w:noProof/>
          <w:color w:val="4C4747"/>
          <w:lang w:val="es-DO"/>
        </w:rPr>
        <w:t>é</w:t>
      </w:r>
      <w:r w:rsidRPr="00A03E20">
        <w:rPr>
          <w:rFonts w:eastAsiaTheme="minorEastAsia"/>
          <w:noProof/>
          <w:color w:val="4C4747"/>
          <w:lang w:val="es-DO"/>
        </w:rPr>
        <w:t>s por parte de autoridades hom</w:t>
      </w:r>
      <w:r w:rsidRPr="00A03E20">
        <w:rPr>
          <w:rFonts w:eastAsiaTheme="minorEastAsia" w:hint="eastAsia"/>
          <w:noProof/>
          <w:color w:val="4C4747"/>
          <w:lang w:val="es-DO"/>
        </w:rPr>
        <w:t>ó</w:t>
      </w:r>
      <w:r w:rsidRPr="00A03E20">
        <w:rPr>
          <w:rFonts w:eastAsiaTheme="minorEastAsia"/>
          <w:noProof/>
          <w:color w:val="4C4747"/>
          <w:lang w:val="es-DO"/>
        </w:rPr>
        <w:t>logas para la adopci</w:t>
      </w:r>
      <w:r w:rsidRPr="00A03E20">
        <w:rPr>
          <w:rFonts w:eastAsiaTheme="minorEastAsia" w:hint="eastAsia"/>
          <w:noProof/>
          <w:color w:val="4C4747"/>
          <w:lang w:val="es-DO"/>
        </w:rPr>
        <w:t>ó</w:t>
      </w:r>
      <w:r w:rsidRPr="00A03E20">
        <w:rPr>
          <w:rFonts w:eastAsiaTheme="minorEastAsia"/>
          <w:noProof/>
          <w:color w:val="4C4747"/>
          <w:lang w:val="es-DO"/>
        </w:rPr>
        <w:t>n de metodolog</w:t>
      </w:r>
      <w:r w:rsidRPr="00A03E20">
        <w:rPr>
          <w:rFonts w:eastAsiaTheme="minorEastAsia" w:hint="eastAsia"/>
          <w:noProof/>
          <w:color w:val="4C4747"/>
          <w:lang w:val="es-DO"/>
        </w:rPr>
        <w:t>í</w:t>
      </w:r>
      <w:r w:rsidRPr="00A03E20">
        <w:rPr>
          <w:rFonts w:eastAsiaTheme="minorEastAsia"/>
          <w:noProof/>
          <w:color w:val="4C4747"/>
          <w:lang w:val="es-DO"/>
        </w:rPr>
        <w:t>as an</w:t>
      </w:r>
      <w:r w:rsidRPr="00A03E20">
        <w:rPr>
          <w:rFonts w:eastAsiaTheme="minorEastAsia" w:hint="eastAsia"/>
          <w:noProof/>
          <w:color w:val="4C4747"/>
          <w:lang w:val="es-DO"/>
        </w:rPr>
        <w:t>á</w:t>
      </w:r>
      <w:r w:rsidRPr="00A03E20">
        <w:rPr>
          <w:rFonts w:eastAsiaTheme="minorEastAsia"/>
          <w:noProof/>
          <w:color w:val="4C4747"/>
          <w:lang w:val="es-DO"/>
        </w:rPr>
        <w:t>logas en el an</w:t>
      </w:r>
      <w:r w:rsidRPr="00A03E20">
        <w:rPr>
          <w:rFonts w:eastAsiaTheme="minorEastAsia" w:hint="eastAsia"/>
          <w:noProof/>
          <w:color w:val="4C4747"/>
          <w:lang w:val="es-DO"/>
        </w:rPr>
        <w:t>á</w:t>
      </w:r>
      <w:r w:rsidRPr="00A03E20">
        <w:rPr>
          <w:rFonts w:eastAsiaTheme="minorEastAsia"/>
          <w:noProof/>
          <w:color w:val="4C4747"/>
          <w:lang w:val="es-DO"/>
        </w:rPr>
        <w:t>lisis de mercados. Este proceso de transferencia t</w:t>
      </w:r>
      <w:r w:rsidRPr="00A03E20">
        <w:rPr>
          <w:rFonts w:eastAsiaTheme="minorEastAsia" w:hint="eastAsia"/>
          <w:noProof/>
          <w:color w:val="4C4747"/>
          <w:lang w:val="es-DO"/>
        </w:rPr>
        <w:t>é</w:t>
      </w:r>
      <w:r w:rsidRPr="00A03E20">
        <w:rPr>
          <w:rFonts w:eastAsiaTheme="minorEastAsia"/>
          <w:noProof/>
          <w:color w:val="4C4747"/>
          <w:lang w:val="es-DO"/>
        </w:rPr>
        <w:t>cnica se evidencia en el intercambio con la herramienta</w:t>
      </w:r>
      <w:r w:rsidRPr="00A03E20">
        <w:rPr>
          <w:rFonts w:eastAsiaTheme="minorEastAsia" w:hint="eastAsia"/>
          <w:noProof/>
          <w:color w:val="4C4747"/>
          <w:lang w:val="es-DO"/>
        </w:rPr>
        <w:t> </w:t>
      </w:r>
      <w:r w:rsidRPr="00A03E20">
        <w:rPr>
          <w:rFonts w:eastAsiaTheme="minorEastAsia"/>
          <w:noProof/>
          <w:color w:val="4C4747"/>
          <w:lang w:val="es-DO"/>
        </w:rPr>
        <w:t>Pulso</w:t>
      </w:r>
      <w:r w:rsidRPr="00A03E20">
        <w:rPr>
          <w:rFonts w:eastAsiaTheme="minorEastAsia" w:hint="eastAsia"/>
          <w:noProof/>
          <w:color w:val="4C4747"/>
          <w:lang w:val="es-DO"/>
        </w:rPr>
        <w:t> </w:t>
      </w:r>
      <w:r w:rsidRPr="00A03E20">
        <w:rPr>
          <w:rFonts w:eastAsiaTheme="minorEastAsia"/>
          <w:noProof/>
          <w:color w:val="4C4747"/>
          <w:lang w:val="es-DO"/>
        </w:rPr>
        <w:t>de la autoridad de competencia de la República de El Salvador y la</w:t>
      </w:r>
      <w:r w:rsidRPr="00A03E20">
        <w:rPr>
          <w:rFonts w:eastAsiaTheme="minorEastAsia" w:hint="eastAsia"/>
          <w:noProof/>
          <w:color w:val="4C4747"/>
          <w:lang w:val="es-DO"/>
        </w:rPr>
        <w:t> </w:t>
      </w:r>
      <w:r w:rsidRPr="00A03E20">
        <w:rPr>
          <w:rFonts w:eastAsiaTheme="minorEastAsia"/>
          <w:noProof/>
          <w:color w:val="4C4747"/>
          <w:lang w:val="es-DO"/>
        </w:rPr>
        <w:t>autoridad de competencia de Costa Rica (</w:t>
      </w:r>
      <w:r w:rsidR="00320F1A" w:rsidRPr="00A03E20">
        <w:rPr>
          <w:rFonts w:eastAsiaTheme="minorEastAsia"/>
          <w:noProof/>
          <w:color w:val="4C4747"/>
          <w:lang w:val="es-DO"/>
        </w:rPr>
        <w:t>COPROCOM)</w:t>
      </w:r>
      <w:r w:rsidRPr="00A03E20">
        <w:rPr>
          <w:rFonts w:eastAsiaTheme="minorEastAsia"/>
          <w:noProof/>
          <w:color w:val="4C4747"/>
          <w:lang w:val="es-DO"/>
        </w:rPr>
        <w:t>, promoviendo la convergencia de est</w:t>
      </w:r>
      <w:r w:rsidRPr="00A03E20">
        <w:rPr>
          <w:rFonts w:eastAsiaTheme="minorEastAsia" w:hint="eastAsia"/>
          <w:noProof/>
          <w:color w:val="4C4747"/>
          <w:lang w:val="es-DO"/>
        </w:rPr>
        <w:t>á</w:t>
      </w:r>
      <w:r w:rsidRPr="00A03E20">
        <w:rPr>
          <w:rFonts w:eastAsiaTheme="minorEastAsia"/>
          <w:noProof/>
          <w:color w:val="4C4747"/>
          <w:lang w:val="es-DO"/>
        </w:rPr>
        <w:t>ndares competitivos en la zona.”</w:t>
      </w:r>
    </w:p>
    <w:p w14:paraId="04E02BF0" w14:textId="77777777" w:rsidR="008F3174"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El observatorio de compras públicas es una herramienta interna que viene a dar respuesta a la dinámica desarrollada en el referido mercado, para de manera eficiente y por medio de técnicas específicas desarrolladas y enmarcadas en su documento metodológico, monitorear e identificar las prácticas anticompetitivas (prácticas concertadas y acuerdos anticompetitivos) en los procesos de compras públicas de la República Dominicana, con la información puesta a disposición por la DGCP.  </w:t>
      </w:r>
    </w:p>
    <w:p w14:paraId="509C430B" w14:textId="77777777" w:rsidR="00002F86" w:rsidRPr="00A03E20" w:rsidRDefault="00002F86" w:rsidP="00340DF1">
      <w:pPr>
        <w:spacing w:line="360" w:lineRule="auto"/>
        <w:jc w:val="both"/>
        <w:rPr>
          <w:rFonts w:eastAsiaTheme="minorEastAsia"/>
          <w:noProof/>
          <w:color w:val="4C4747"/>
          <w:lang w:val="es-DO"/>
        </w:rPr>
      </w:pPr>
    </w:p>
    <w:p w14:paraId="27025A73" w14:textId="2BC85864"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 xml:space="preserve">Cabe destacar que, durante la participación en la 43ª reunión del Comité de Expertas y Expertos del MESICIC de la OEA, celebrada en Washington, fue presentado este Observatorio como una herramienta de buena práctica. Destacó que esta herramienta constituye un mecanismo pionero de transparencia y supervisión que utiliza análisis de datos y metodologías econométricas para detectar posibles prácticas colusorias y promover la competencia leal en los procesos de contratación pública. </w:t>
      </w:r>
    </w:p>
    <w:p w14:paraId="2054B377" w14:textId="7D2D6C98"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A la fecha se han elaborado y entregado 2 Observatorios,</w:t>
      </w:r>
      <w:r w:rsidR="001942B2" w:rsidRPr="00A03E20">
        <w:rPr>
          <w:rFonts w:eastAsiaTheme="minorEastAsia"/>
          <w:noProof/>
          <w:color w:val="4C4747"/>
          <w:lang w:val="es-DO"/>
        </w:rPr>
        <w:t xml:space="preserve"> estando la institución en proceso de gestión de las </w:t>
      </w:r>
      <w:r w:rsidRPr="00A03E20">
        <w:rPr>
          <w:rFonts w:eastAsiaTheme="minorEastAsia"/>
          <w:noProof/>
          <w:color w:val="4C4747"/>
          <w:lang w:val="es-DO"/>
        </w:rPr>
        <w:t xml:space="preserve">informaciones correspondientes para la realización del Observatorio de Compras Públicas año completo 2024 y semestre 1, 2025.  </w:t>
      </w:r>
    </w:p>
    <w:p w14:paraId="74A9A956"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Reconocimiento Nacional e Internacional </w:t>
      </w:r>
    </w:p>
    <w:p w14:paraId="2BD24B25" w14:textId="3B029A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Este compromiso con la excelencia en la gestión interna se refleja también en el reconocimiento que la instit</w:t>
      </w:r>
      <w:r w:rsidR="00C025B6" w:rsidRPr="00A03E20">
        <w:rPr>
          <w:rFonts w:eastAsiaTheme="minorEastAsia"/>
          <w:noProof/>
          <w:color w:val="4C4747"/>
          <w:lang w:val="es-DO"/>
        </w:rPr>
        <w:t>ució</w:t>
      </w:r>
      <w:r w:rsidRPr="00A03E20">
        <w:rPr>
          <w:rFonts w:eastAsiaTheme="minorEastAsia"/>
          <w:noProof/>
          <w:color w:val="4C4747"/>
          <w:lang w:val="es-DO"/>
        </w:rPr>
        <w:t xml:space="preserve">n  ha recibido tanto a nivel nacional como internacional. Este periodo ha sido extraordinariamente fructífero en términos de reconocimiento y proyección internacional de ProCompetencia. </w:t>
      </w:r>
      <w:r w:rsidR="003935AD" w:rsidRPr="00A03E20">
        <w:rPr>
          <w:rFonts w:eastAsiaTheme="minorEastAsia"/>
          <w:noProof/>
          <w:color w:val="4C4747"/>
          <w:lang w:val="es-DO"/>
        </w:rPr>
        <w:t xml:space="preserve">La </w:t>
      </w:r>
      <w:r w:rsidRPr="00A03E20">
        <w:rPr>
          <w:rFonts w:eastAsiaTheme="minorEastAsia"/>
          <w:noProof/>
          <w:color w:val="4C4747"/>
          <w:lang w:val="es-DO"/>
        </w:rPr>
        <w:t>participación</w:t>
      </w:r>
      <w:r w:rsidR="003935AD" w:rsidRPr="00A03E20">
        <w:rPr>
          <w:rFonts w:eastAsiaTheme="minorEastAsia"/>
          <w:noProof/>
          <w:color w:val="4C4747"/>
          <w:lang w:val="es-DO"/>
        </w:rPr>
        <w:t xml:space="preserve"> de ProCompetencia</w:t>
      </w:r>
      <w:r w:rsidRPr="00A03E20">
        <w:rPr>
          <w:rFonts w:eastAsiaTheme="minorEastAsia"/>
          <w:noProof/>
          <w:color w:val="4C4747"/>
          <w:lang w:val="es-DO"/>
        </w:rPr>
        <w:t xml:space="preserve"> en foros regionales e internacionales ha consolidado el liderazgo de la República Dominicana en materia de políticas de competencia. </w:t>
      </w:r>
    </w:p>
    <w:p w14:paraId="3D998A81" w14:textId="3BA38CEA" w:rsidR="008F3174" w:rsidRDefault="003935AD"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Así la </w:t>
      </w:r>
      <w:r w:rsidR="008F3174" w:rsidRPr="00A03E20">
        <w:rPr>
          <w:rFonts w:eastAsiaTheme="minorEastAsia"/>
          <w:noProof/>
          <w:color w:val="4C4747"/>
          <w:lang w:val="es-DO"/>
        </w:rPr>
        <w:t xml:space="preserve">participación en el Foro Latinoamericano y del Caribe de Competencia 2025 en Paraguay, organizado por la OCDE y el Banco Interamericano de Desarrollo, reafirmó el compromiso de la República Dominicana con la cooperación regional y la formulación de políticas modernas de competencia. </w:t>
      </w:r>
    </w:p>
    <w:p w14:paraId="7ED1C41A" w14:textId="0BA4A6A0" w:rsidR="00CC027B" w:rsidRPr="00793D99" w:rsidRDefault="00CC027B" w:rsidP="00340DF1">
      <w:pPr>
        <w:spacing w:line="360" w:lineRule="auto"/>
        <w:jc w:val="both"/>
        <w:rPr>
          <w:rFonts w:eastAsiaTheme="minorEastAsia"/>
          <w:i/>
          <w:iCs/>
          <w:noProof/>
          <w:color w:val="4C4747"/>
          <w:lang w:val="es-DO"/>
        </w:rPr>
      </w:pPr>
      <w:r w:rsidRPr="00002F86">
        <w:rPr>
          <w:rFonts w:eastAsiaTheme="minorEastAsia"/>
          <w:noProof/>
          <w:color w:val="4C4747"/>
          <w:lang w:val="es-DO"/>
        </w:rPr>
        <w:t>En el marco del XXXVIII Congreso Latinoamericano “Estrategias para el Fortalecimiento de la Competitividad y la Transformación”, Pro-</w:t>
      </w:r>
      <w:r w:rsidRPr="00002F86">
        <w:rPr>
          <w:rFonts w:eastAsiaTheme="minorEastAsia"/>
          <w:noProof/>
          <w:color w:val="4C4747"/>
          <w:lang w:val="es-DO"/>
        </w:rPr>
        <w:lastRenderedPageBreak/>
        <w:t xml:space="preserve">Competencia estuvo representada por la Presidenta del Consejo Directivo, quien participó en calidad de conferencista con la ponencia titulada </w:t>
      </w:r>
      <w:r w:rsidRPr="00793D99">
        <w:rPr>
          <w:rFonts w:eastAsiaTheme="minorEastAsia"/>
          <w:i/>
          <w:iCs/>
          <w:noProof/>
          <w:color w:val="4C4747"/>
          <w:lang w:val="es-DO"/>
        </w:rPr>
        <w:t>“La Política Nacional de Competencia como factor clave para el fortalecimiento de la competitividad de la República Dominicana”.</w:t>
      </w:r>
    </w:p>
    <w:p w14:paraId="064706C1" w14:textId="77777777" w:rsidR="00592D2D" w:rsidRPr="00002F86" w:rsidRDefault="00CC027B" w:rsidP="00340DF1">
      <w:pPr>
        <w:spacing w:line="360" w:lineRule="auto"/>
        <w:jc w:val="both"/>
        <w:rPr>
          <w:lang w:val="es-DO"/>
        </w:rPr>
      </w:pPr>
      <w:r w:rsidRPr="00002F86">
        <w:rPr>
          <w:rFonts w:eastAsiaTheme="minorEastAsia"/>
          <w:noProof/>
          <w:color w:val="4C4747"/>
          <w:lang w:val="es-DO"/>
        </w:rPr>
        <w:t xml:space="preserve">La  conferencia “El Rol de las Agencias de Competencia en el fomento de las Políticas ESG”, Pro-Competencia estuvo representada por la Presidenta del Consejo Directivo, quien participó en calidad de expositora desarrollando el tema </w:t>
      </w:r>
      <w:r w:rsidRPr="00002F86">
        <w:rPr>
          <w:rFonts w:eastAsiaTheme="minorEastAsia"/>
          <w:i/>
          <w:iCs/>
          <w:noProof/>
          <w:color w:val="4C4747"/>
          <w:lang w:val="es-DO"/>
        </w:rPr>
        <w:t>“El rol de las agencias de competencia en el fomento de las políticas ESG (medio ambiente, bienestar social y gobernanza)”</w:t>
      </w:r>
      <w:r w:rsidRPr="00002F86">
        <w:rPr>
          <w:rFonts w:eastAsiaTheme="minorEastAsia"/>
          <w:noProof/>
          <w:color w:val="4C4747"/>
          <w:lang w:val="es-DO"/>
        </w:rPr>
        <w:t>, resaltando la contribución de la política de competencia al desarrollo sostenible.</w:t>
      </w:r>
      <w:r w:rsidR="00592D2D" w:rsidRPr="00002F86">
        <w:rPr>
          <w:lang w:val="es-DO"/>
        </w:rPr>
        <w:t xml:space="preserve"> </w:t>
      </w:r>
    </w:p>
    <w:p w14:paraId="777A4EC9" w14:textId="7C748D67" w:rsidR="00CC027B" w:rsidRPr="00002F86" w:rsidRDefault="00592D2D" w:rsidP="00340DF1">
      <w:pPr>
        <w:spacing w:line="360" w:lineRule="auto"/>
        <w:jc w:val="both"/>
        <w:rPr>
          <w:rFonts w:eastAsiaTheme="minorEastAsia"/>
          <w:noProof/>
          <w:color w:val="4C4747"/>
          <w:lang w:val="es-DO"/>
        </w:rPr>
      </w:pPr>
      <w:r w:rsidRPr="00002F86">
        <w:rPr>
          <w:rFonts w:eastAsiaTheme="minorEastAsia"/>
          <w:noProof/>
          <w:color w:val="4C4747"/>
          <w:lang w:val="es-DO"/>
        </w:rPr>
        <w:t>Tambien,  participación virtual en el XIX Foro Centroamericano de la Red Centroamericana de Autoridades de Competencia (RECAC): tema “Programas de cumplimiento en materia de competencia; avances y desafíos en la región”.</w:t>
      </w:r>
    </w:p>
    <w:p w14:paraId="3580A15B" w14:textId="4683DF04" w:rsidR="00CC027B" w:rsidRPr="00002F86" w:rsidRDefault="00CC027B" w:rsidP="00340DF1">
      <w:pPr>
        <w:spacing w:line="360" w:lineRule="auto"/>
        <w:jc w:val="both"/>
        <w:rPr>
          <w:rFonts w:eastAsiaTheme="minorEastAsia"/>
          <w:noProof/>
          <w:color w:val="4C4747"/>
          <w:lang w:val="es-DO"/>
        </w:rPr>
      </w:pPr>
      <w:r w:rsidRPr="00002F86">
        <w:rPr>
          <w:rFonts w:eastAsiaTheme="minorEastAsia"/>
          <w:noProof/>
          <w:color w:val="4C4747"/>
          <w:lang w:val="es-DO"/>
        </w:rPr>
        <w:t>En el marco de la Primera Sesión de la Alianza Interamericana de Defensa de la Competencia, ProCompetencia abordó los retos y desafíos derivados de la primera sanción por colusión en compras públicas en la República Dominicana, contenida en la Resolución núm. 009-2024, compartiendo la experiencia nacional y contribuyendo al intercambio técnico regional en materia de aplicación del derecho de la competencia.</w:t>
      </w:r>
    </w:p>
    <w:p w14:paraId="05C7601E" w14:textId="6EB99842" w:rsidR="00CC027B" w:rsidRPr="00CC027B" w:rsidRDefault="00CC027B" w:rsidP="00340DF1">
      <w:pPr>
        <w:spacing w:line="360" w:lineRule="auto"/>
        <w:jc w:val="both"/>
        <w:rPr>
          <w:rFonts w:eastAsiaTheme="minorEastAsia"/>
          <w:noProof/>
          <w:color w:val="4C4747"/>
          <w:lang w:val="es-DO"/>
        </w:rPr>
      </w:pPr>
      <w:r w:rsidRPr="00002F86">
        <w:rPr>
          <w:rFonts w:eastAsiaTheme="minorEastAsia"/>
          <w:noProof/>
          <w:color w:val="4C4747"/>
          <w:lang w:val="es-DO"/>
        </w:rPr>
        <w:t xml:space="preserve">Participación en el  I Congreso Internacional “Tendencias y Desafíos de la Competencia Económica en el Ecuador y el Mundo”, celebrado en Lima, Perú, Pro-Competencia estuvo representada por la Presidenta del  Consejo Directivo, quien participó de manera virtual en calidad de conferencista con la ponencia </w:t>
      </w:r>
      <w:r w:rsidRPr="00002F86">
        <w:rPr>
          <w:rFonts w:eastAsiaTheme="minorEastAsia"/>
          <w:i/>
          <w:iCs/>
          <w:noProof/>
          <w:color w:val="4C4747"/>
          <w:lang w:val="es-DO"/>
        </w:rPr>
        <w:t>“Mercados digitales y desafíos recientes en materia de libre competencia”</w:t>
      </w:r>
      <w:r w:rsidRPr="00002F86">
        <w:rPr>
          <w:rFonts w:eastAsiaTheme="minorEastAsia"/>
          <w:noProof/>
          <w:color w:val="4C4747"/>
          <w:lang w:val="es-DO"/>
        </w:rPr>
        <w:t xml:space="preserve">, contribuyendo </w:t>
      </w:r>
      <w:r w:rsidRPr="00002F86">
        <w:rPr>
          <w:rFonts w:eastAsiaTheme="minorEastAsia"/>
          <w:noProof/>
          <w:color w:val="4C4747"/>
          <w:lang w:val="es-DO"/>
        </w:rPr>
        <w:lastRenderedPageBreak/>
        <w:t>al análisis regional sobre los retos regulatorios y de aplicación del derecho de la competencia en entornos digitales.</w:t>
      </w:r>
    </w:p>
    <w:p w14:paraId="46635C51" w14:textId="42345A2D"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De igual manera, </w:t>
      </w:r>
      <w:r w:rsidR="00C025B6" w:rsidRPr="00A03E20">
        <w:rPr>
          <w:rFonts w:eastAsiaTheme="minorEastAsia"/>
          <w:noProof/>
          <w:color w:val="4C4747"/>
          <w:lang w:val="es-DO"/>
        </w:rPr>
        <w:t>ProCompetencia</w:t>
      </w:r>
      <w:r w:rsidRPr="00A03E20">
        <w:rPr>
          <w:rFonts w:eastAsiaTheme="minorEastAsia"/>
          <w:noProof/>
          <w:color w:val="4C4747"/>
          <w:lang w:val="es-DO"/>
        </w:rPr>
        <w:t xml:space="preserve"> hizo presencia en la cuadragésima tercera reunión del Comité de Expertas y Expertos del Mecanismo de Seguimiento de la Implementación de la Convención Interamericana contra la Corrupción en la sede de la Organización de los Estados Americanos en Washington. Durante este encuentro, presentamos el Observatorio de Condiciones de Competencia en el Sistema Nacional de Compras Públicas, una herramienta desarrollada por la institución para fortalecer la transparencia, prevenir irregularidades y promover la competencia en los procesos de compras y contrataciones públicas. </w:t>
      </w:r>
    </w:p>
    <w:p w14:paraId="6CD96704"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La presentación de esta innovación tecnológica posiciona a la República Dominicana como referente regional en la aplicación de metodologías de análisis de datos y modelos econométricos para la detección de posibles prácticas colusorias y manipulación de precios en licitaciones. </w:t>
      </w:r>
    </w:p>
    <w:p w14:paraId="6B51EB41" w14:textId="209F8D00"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Por igual forma, la participación de </w:t>
      </w:r>
      <w:r w:rsidR="00C025B6" w:rsidRPr="00A03E20">
        <w:rPr>
          <w:rFonts w:eastAsiaTheme="minorEastAsia"/>
          <w:noProof/>
          <w:color w:val="4C4747"/>
          <w:lang w:val="es-DO"/>
        </w:rPr>
        <w:t>ProCompetencia</w:t>
      </w:r>
      <w:r w:rsidRPr="00A03E20">
        <w:rPr>
          <w:rFonts w:eastAsiaTheme="minorEastAsia"/>
          <w:noProof/>
          <w:color w:val="4C4747"/>
          <w:lang w:val="es-DO"/>
        </w:rPr>
        <w:t xml:space="preserve"> en el Taller sobre Promoción de la Competencia: Herramientas y Consejos Prácticos, organizado por la OCDE y el INDECOPI en Lima, Perú, representó una oportunidad estratégica para fortalecer los vínculos de cooperación internacional y visibilizar los avances del país en materia de abogacía y promoción de la competencia. Este espacio reunió a autoridades y expertos de América Latina y el Caribe, así como representantes de organismos internacionales y académicos especializados.  </w:t>
      </w:r>
    </w:p>
    <w:p w14:paraId="40BAFE8B" w14:textId="1BFD8511" w:rsidR="008F3174" w:rsidRPr="00A03E20" w:rsidRDefault="00C025B6" w:rsidP="00340DF1">
      <w:pPr>
        <w:spacing w:line="360" w:lineRule="auto"/>
        <w:jc w:val="both"/>
        <w:rPr>
          <w:rFonts w:eastAsiaTheme="minorEastAsia"/>
          <w:noProof/>
          <w:color w:val="4C4747"/>
          <w:lang w:val="es-DO"/>
        </w:rPr>
      </w:pPr>
      <w:r w:rsidRPr="00A03E20">
        <w:rPr>
          <w:rFonts w:eastAsiaTheme="minorEastAsia"/>
          <w:noProof/>
          <w:color w:val="4C4747"/>
          <w:lang w:val="es-DO"/>
        </w:rPr>
        <w:t>ProCompetencia</w:t>
      </w:r>
      <w:r w:rsidR="008F3174" w:rsidRPr="00A03E20">
        <w:rPr>
          <w:rFonts w:eastAsiaTheme="minorEastAsia"/>
          <w:noProof/>
          <w:color w:val="4C4747"/>
          <w:lang w:val="es-DO"/>
        </w:rPr>
        <w:t xml:space="preserve"> consolidó el liderazgo regional de la República Dominicana al ser sede del Segundo Foro Internacional sobre Género y Competencia, organizado junto al SELA, la OCDE y The George Washington University. Este encuentro reunió a autoridades, </w:t>
      </w:r>
      <w:r w:rsidR="008F3174" w:rsidRPr="00A03E20">
        <w:rPr>
          <w:rFonts w:eastAsiaTheme="minorEastAsia"/>
          <w:noProof/>
          <w:color w:val="4C4747"/>
          <w:lang w:val="es-DO"/>
        </w:rPr>
        <w:lastRenderedPageBreak/>
        <w:t xml:space="preserve">académicos y expertos de más de siete países para analizar la incorporación del enfoque de género en las políticas de competencia y en los mercados, promoviendo una economía más equitativa e inclusiva. La realización de este foro en el país reafirma el compromiso institucional de </w:t>
      </w:r>
      <w:r w:rsidRPr="00A03E20">
        <w:rPr>
          <w:rFonts w:eastAsiaTheme="minorEastAsia"/>
          <w:noProof/>
          <w:color w:val="4C4747"/>
          <w:lang w:val="es-DO"/>
        </w:rPr>
        <w:t xml:space="preserve">ProCompetencia </w:t>
      </w:r>
      <w:r w:rsidR="008F3174" w:rsidRPr="00A03E20">
        <w:rPr>
          <w:rFonts w:eastAsiaTheme="minorEastAsia"/>
          <w:noProof/>
          <w:color w:val="4C4747"/>
          <w:lang w:val="es-DO"/>
        </w:rPr>
        <w:t xml:space="preserve">con la igualdad de oportunidades, la cooperación internacional y la construcción de mercados más justos y transparentes. </w:t>
      </w:r>
    </w:p>
    <w:p w14:paraId="60C403EB" w14:textId="780E426D"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De igual forma, la participación de </w:t>
      </w:r>
      <w:r w:rsidR="00C025B6" w:rsidRPr="00A03E20">
        <w:rPr>
          <w:rFonts w:eastAsiaTheme="minorEastAsia"/>
          <w:noProof/>
          <w:color w:val="4C4747"/>
          <w:lang w:val="es-DO"/>
        </w:rPr>
        <w:t>ProCompetencia</w:t>
      </w:r>
      <w:r w:rsidRPr="00A03E20">
        <w:rPr>
          <w:rFonts w:eastAsiaTheme="minorEastAsia"/>
          <w:noProof/>
          <w:color w:val="4C4747"/>
          <w:lang w:val="es-DO"/>
        </w:rPr>
        <w:t xml:space="preserve"> en la novena Conferencia de las Naciones Unidas sobre Competencia y Protección de los Consumidores, celebrada en Ginebra, Suiza, reafirmó el papel de la República Dominicana como referente regional en la implementación de políticas de competencia.  </w:t>
      </w:r>
    </w:p>
    <w:p w14:paraId="5AD73E03"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En el ámbito nacional,  estuvimos presente en el Wonder Woman Dominicana, donde la Presidenta del Consejo Directivo, fungió como oradora principal. En este evento organizado por la revista el Dinero Mujer, señalamos que promover mercados abiertos y transparentes elimina barreras de entrada, combate los monopolios y amplía las oportunidades para que más mujeres emprendedoras participen en igualdad de condiciones.  </w:t>
      </w:r>
    </w:p>
    <w:p w14:paraId="0E72EBA9"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De igual forma, participamos en el Seminario-Taller Internacional sobre Comercio Ilícito y Competencia Desleal, organizado por la Dirección General de Aduanas, donde advertimos que el comercio ilícito, manifestado en prácticas como el contrabando, la piratería, la falsificación y la evasión fiscal, constituye una grave amenaza para la libre competencia, al colocar en desventaja a las empresas formales, distorsionar los precios y privar al Estado de recursos esenciales para el bienestar social.  </w:t>
      </w:r>
    </w:p>
    <w:p w14:paraId="69C75B74"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En Lima, Perú en el Centro Regional para la Competencia en América Latina y el Caribe ubicado en las instalaciones del Instituto Nacional </w:t>
      </w:r>
      <w:r w:rsidRPr="00A03E20">
        <w:rPr>
          <w:rFonts w:eastAsiaTheme="minorEastAsia"/>
          <w:noProof/>
          <w:color w:val="4C4747"/>
          <w:lang w:val="es-DO"/>
        </w:rPr>
        <w:lastRenderedPageBreak/>
        <w:t xml:space="preserve">de Defensa de la Competencia y de la Protección de la Propiedad Intelectual (INDECOPI), asistiendo al taller "Lucha contra la Colusión en Licitaciones".Acuerdos y Cooperación Interinstitucional  </w:t>
      </w:r>
    </w:p>
    <w:p w14:paraId="200C5FAA" w14:textId="77777777" w:rsidR="008F3174"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Durante este período, hemos suscrito un total de 9 acuerdos de colaboración, para fortalecer nuestra red de cooperación, orientados a promover la libre competencia, la transparencia y la formación técnica especializada. </w:t>
      </w:r>
    </w:p>
    <w:p w14:paraId="577A628D" w14:textId="77777777" w:rsidR="00373FE9" w:rsidRPr="00A03E20" w:rsidRDefault="00373FE9" w:rsidP="00340DF1">
      <w:pPr>
        <w:spacing w:line="360" w:lineRule="auto"/>
        <w:jc w:val="both"/>
        <w:rPr>
          <w:rFonts w:eastAsiaTheme="minorEastAsia"/>
          <w:noProof/>
          <w:color w:val="4C4747"/>
          <w:lang w:val="es-DO"/>
        </w:rPr>
      </w:pPr>
    </w:p>
    <w:p w14:paraId="15BEAD2A"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Entre los acuerdos internacionales, destaca un convenio con la Universidad de Valladolid (España) para fortalecer la cooperación académica, científica y técnica en materia de libre competencia, regulación económica y derecho administrativo, y que incluye la facilidad para que nuestro personal reciba formación en tan prestigiosa universidad.  De igual manera, es necesario resaltar que esta misma semana suscribiremos un acuerdo con la Comisión para la Promoción de la Competencia de Costa Rica (COPROCOM), con el cual afianzamos los lazos en Centroamérica, para la implementación de una política de competencia orientada a la cooperación y a las mejores prácticas internacionales.  </w:t>
      </w:r>
    </w:p>
    <w:p w14:paraId="4F05E4C5" w14:textId="35CDFEE0" w:rsidR="008F3174"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A nivel local, establecimos alianzas con instituciones académicas y entidades del Estado para impulsar una cultura de competencia inclusiva y sostenible. Con la Universidad Católica Nordestana, el I</w:t>
      </w:r>
      <w:r w:rsidR="00EA75C7" w:rsidRPr="00A03E20">
        <w:rPr>
          <w:rFonts w:eastAsiaTheme="minorEastAsia"/>
          <w:noProof/>
          <w:color w:val="4C4747"/>
          <w:lang w:val="es-DO"/>
        </w:rPr>
        <w:t xml:space="preserve">nstituto </w:t>
      </w:r>
      <w:r w:rsidRPr="00A03E20">
        <w:rPr>
          <w:rFonts w:eastAsiaTheme="minorEastAsia"/>
          <w:noProof/>
          <w:color w:val="4C4747"/>
          <w:lang w:val="es-DO"/>
        </w:rPr>
        <w:t>T</w:t>
      </w:r>
      <w:r w:rsidR="00EA75C7" w:rsidRPr="00A03E20">
        <w:rPr>
          <w:rFonts w:eastAsiaTheme="minorEastAsia"/>
          <w:noProof/>
          <w:color w:val="4C4747"/>
          <w:lang w:val="es-DO"/>
        </w:rPr>
        <w:t xml:space="preserve">ecnológico de las </w:t>
      </w:r>
      <w:r w:rsidRPr="00A03E20">
        <w:rPr>
          <w:rFonts w:eastAsiaTheme="minorEastAsia"/>
          <w:noProof/>
          <w:color w:val="4C4747"/>
          <w:lang w:val="es-DO"/>
        </w:rPr>
        <w:t>A</w:t>
      </w:r>
      <w:r w:rsidR="00EA75C7" w:rsidRPr="00A03E20">
        <w:rPr>
          <w:rFonts w:eastAsiaTheme="minorEastAsia"/>
          <w:noProof/>
          <w:color w:val="4C4747"/>
          <w:lang w:val="es-DO"/>
        </w:rPr>
        <w:t>méricas (ITLA)</w:t>
      </w:r>
      <w:r w:rsidRPr="00A03E20">
        <w:rPr>
          <w:rFonts w:eastAsiaTheme="minorEastAsia"/>
          <w:noProof/>
          <w:color w:val="4C4747"/>
          <w:lang w:val="es-DO"/>
        </w:rPr>
        <w:t xml:space="preserve"> y el </w:t>
      </w:r>
      <w:r w:rsidR="00EA75C7" w:rsidRPr="00A03E20">
        <w:rPr>
          <w:rFonts w:eastAsiaTheme="minorEastAsia"/>
          <w:noProof/>
          <w:color w:val="4C4747"/>
          <w:lang w:val="es-DO"/>
        </w:rPr>
        <w:t>Instituto Técnico Superior Comunitario (</w:t>
      </w:r>
      <w:r w:rsidRPr="00A03E20">
        <w:rPr>
          <w:rFonts w:eastAsiaTheme="minorEastAsia"/>
          <w:noProof/>
          <w:color w:val="4C4747"/>
          <w:lang w:val="es-DO"/>
        </w:rPr>
        <w:t>ITSC</w:t>
      </w:r>
      <w:r w:rsidR="00EA75C7" w:rsidRPr="00A03E20">
        <w:rPr>
          <w:rFonts w:eastAsiaTheme="minorEastAsia"/>
          <w:noProof/>
          <w:color w:val="4C4747"/>
          <w:lang w:val="es-DO"/>
        </w:rPr>
        <w:t>)</w:t>
      </w:r>
      <w:r w:rsidRPr="00A03E20">
        <w:rPr>
          <w:rFonts w:eastAsiaTheme="minorEastAsia"/>
          <w:noProof/>
          <w:color w:val="4C4747"/>
          <w:lang w:val="es-DO"/>
        </w:rPr>
        <w:t xml:space="preserve">, en estos acuerdos promovemos la formación académica, técnica y profesional en competencia económica, integrando el tema en los programas universitarios y fomentando proyectos de innovación, pasantías y capacitaciones. </w:t>
      </w:r>
    </w:p>
    <w:p w14:paraId="694B1E03" w14:textId="77777777" w:rsidR="00002F86" w:rsidRPr="00A03E20" w:rsidRDefault="00002F86" w:rsidP="00340DF1">
      <w:pPr>
        <w:spacing w:line="360" w:lineRule="auto"/>
        <w:jc w:val="both"/>
        <w:rPr>
          <w:rFonts w:eastAsiaTheme="minorEastAsia"/>
          <w:noProof/>
          <w:color w:val="4C4747"/>
          <w:lang w:val="es-DO"/>
        </w:rPr>
      </w:pPr>
    </w:p>
    <w:p w14:paraId="30264278" w14:textId="1CA5527C"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 xml:space="preserve">En coordinación con la </w:t>
      </w:r>
      <w:r w:rsidR="00F44388" w:rsidRPr="00A03E20">
        <w:rPr>
          <w:rFonts w:eastAsiaTheme="minorEastAsia"/>
          <w:noProof/>
          <w:color w:val="4C4747"/>
          <w:lang w:val="es-DO"/>
        </w:rPr>
        <w:t>DIGEIG</w:t>
      </w:r>
      <w:r w:rsidRPr="00A03E20">
        <w:rPr>
          <w:rFonts w:eastAsiaTheme="minorEastAsia"/>
          <w:noProof/>
          <w:color w:val="4C4747"/>
          <w:lang w:val="es-DO"/>
        </w:rPr>
        <w:t xml:space="preserve">, implementamos un amplio programa de capacitación sobre transparencia y prevención de prácticas colusorias en compras públicas que representa una inversión directa en la protección del patrimonio de todos los dominicanos. A través de este acuerdo estratégico, hemos capacitado en detección y prevención de colusión a más de 800 funcionarios públicos que forman parte de las Comisiones de Ética e Integridad y los Comités de Compras de 196 instituciones públicas </w:t>
      </w:r>
    </w:p>
    <w:p w14:paraId="46D0B475"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El impacto de esta iniciativa trasciende las cifras: cada funcionario capacitado se convierte en un veedor de la competencia en los procesos de compras y contrataciones públicas de su institución, multiplicando nuestra capacidad de supervisión y prevención en cada rincón del aparato estatal. Esto significa que cuando el Estado dominicano adquiere medicamentos para los hospitales públicos, construye escuelas, compra alimentos para los programas sociales o contrata servicios esenciales, existen ahora cientos de ojos entrenados que pueden identificar señales de alerta, detectar posibles colusiones entre proveedores y garantizar que cada peso del erario público se invierta en condiciones de competencia real. </w:t>
      </w:r>
    </w:p>
    <w:p w14:paraId="74B87562" w14:textId="27A56030" w:rsidR="008F3174"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Para el ciudadano común, esto se traduce en beneficios concretos y tangibles: mejores precios en las compras gubernamentales significan que los recursos públicos rinden más y llegan más lejos. Cuando prevenimos que </w:t>
      </w:r>
      <w:r w:rsidR="00CB483E" w:rsidRPr="00A03E20">
        <w:rPr>
          <w:rFonts w:eastAsiaTheme="minorEastAsia"/>
          <w:noProof/>
          <w:color w:val="4C4747"/>
          <w:lang w:val="es-DO"/>
        </w:rPr>
        <w:t xml:space="preserve">agentes económicos </w:t>
      </w:r>
      <w:r w:rsidRPr="00A03E20">
        <w:rPr>
          <w:rFonts w:eastAsiaTheme="minorEastAsia"/>
          <w:noProof/>
          <w:color w:val="4C4747"/>
          <w:lang w:val="es-DO"/>
        </w:rPr>
        <w:t xml:space="preserve">se pongan de acuerdo para inflar precios o repartirse contratos, estamos defendiendo la capacidad del Estado de brindar más y mejores servicios con el mismo presupuesto. Estamos protegiendo los hospitales, las escuelas, los programas de asistencia social y cada proyecto de infraestructura que impacta directamente la calidad de vida de las familias dominicanas. </w:t>
      </w:r>
    </w:p>
    <w:p w14:paraId="6CE63530" w14:textId="77777777" w:rsidR="00002F86" w:rsidRPr="00A03E20" w:rsidRDefault="00002F86" w:rsidP="00340DF1">
      <w:pPr>
        <w:spacing w:line="360" w:lineRule="auto"/>
        <w:jc w:val="both"/>
        <w:rPr>
          <w:rFonts w:eastAsiaTheme="minorEastAsia"/>
          <w:noProof/>
          <w:color w:val="4C4747"/>
          <w:lang w:val="es-DO"/>
        </w:rPr>
      </w:pPr>
    </w:p>
    <w:p w14:paraId="637C37C5"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 xml:space="preserve">Asimismo, fue suscrito un acuerdo con el Consejo Nacional de Promoción y Apoyo a la Micro, Pequeña y Mediana Empresa (PROMIPYME) para fortalecer la capacidad competitiva y el empoderamiento empresarial de las micro, pequeñas y medianas empresas, que representan más del 85% de las unidades económicas del país. </w:t>
      </w:r>
    </w:p>
    <w:p w14:paraId="2F74747B"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Finalmente, los convenios con el Consejo de Desarrollo Económico y Social de Santo Domingo (CODESSD) y la Asociación Nacional de Mujeres Empresarias, Emprendedoras y Profesionales (ANMEPRO) promueven mercados más equitativos, inclusivos y sostenibles, impulsando la participación de la sociedad civil y el liderazgo femenino en la economía nacional. </w:t>
      </w:r>
    </w:p>
    <w:p w14:paraId="21A56C73"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En el marco de la III Semana de la Competencia 2025, ProCompetencia presentó oficialmente la Guía para la Prevención y Detección de Colusión en la Contratación Pública, un instrumento técnico diseñado para fortalecer la transparencia y la integridad en los procesos de compras del Estado.</w:t>
      </w:r>
    </w:p>
    <w:p w14:paraId="623E427B"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La actividad contó con la participación de autoridades nacionales e internacionales, quienes resaltaron la importancia de esta herramienta como mecanismo de prevención de prácticas anticompetitivas y de apoyo a la gobernanza económica. La guía ofrece metodologías, indicadores y “banderas rojas” que permiten identificar riesgos de colusión en licitaciones, así como recomendaciones para promover una cultura de competencia en la contratación pública.</w:t>
      </w:r>
    </w:p>
    <w:p w14:paraId="6C45BDB5" w14:textId="77777777" w:rsidR="00793D99"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ProCompetencia participó por primera vez en la Feria Internacional del Libro Santo Domingo 2025, marcando un hito en la estrategia de acercamiento ciudadano y promoción de la cultura de la competencia. </w:t>
      </w:r>
    </w:p>
    <w:p w14:paraId="09894633" w14:textId="65042D2B"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La presencia de ProCompetencia en la Feria del Libro 2025 permitió:</w:t>
      </w:r>
    </w:p>
    <w:p w14:paraId="7256BA03"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w:t>
      </w:r>
      <w:r w:rsidRPr="00A03E20">
        <w:rPr>
          <w:rFonts w:eastAsiaTheme="minorEastAsia"/>
          <w:noProof/>
          <w:color w:val="4C4747"/>
          <w:lang w:val="es-DO"/>
        </w:rPr>
        <w:tab/>
        <w:t>Visibilizar la institución en un espacio cultural de gran alcance.</w:t>
      </w:r>
    </w:p>
    <w:p w14:paraId="042AFABB"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w:t>
      </w:r>
      <w:r w:rsidRPr="00A03E20">
        <w:rPr>
          <w:rFonts w:eastAsiaTheme="minorEastAsia"/>
          <w:noProof/>
          <w:color w:val="4C4747"/>
          <w:lang w:val="es-DO"/>
        </w:rPr>
        <w:tab/>
        <w:t>Difundir materiales educativos sobre competencia.</w:t>
      </w:r>
    </w:p>
    <w:p w14:paraId="7FE1924D"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w:t>
      </w:r>
      <w:r w:rsidRPr="00A03E20">
        <w:rPr>
          <w:rFonts w:eastAsiaTheme="minorEastAsia"/>
          <w:noProof/>
          <w:color w:val="4C4747"/>
          <w:lang w:val="es-DO"/>
        </w:rPr>
        <w:tab/>
        <w:t>Fortalecer la relación con la ciudadanía, integrando la competencia como parte de la cultura democrática.</w:t>
      </w:r>
    </w:p>
    <w:p w14:paraId="46FCA768" w14:textId="77777777" w:rsidR="00DC776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La  presidenta del Consejo Directivo, representando al pais y a la institución, participó en el Foro Global sobre Competencia 2025 es organizado por la Organización para la Cooperación y el Desarrollo Económicos (OCDE) y reúne anualmente a altos funcionarios de más de 100 autoridades de competencia alrededor del mundo. </w:t>
      </w:r>
    </w:p>
    <w:p w14:paraId="0BB680EC" w14:textId="14EC4415" w:rsidR="008F3174" w:rsidRPr="00DC7764" w:rsidRDefault="008F3174" w:rsidP="00340DF1">
      <w:pPr>
        <w:spacing w:line="360" w:lineRule="auto"/>
        <w:jc w:val="both"/>
        <w:rPr>
          <w:rFonts w:eastAsiaTheme="minorEastAsia"/>
          <w:noProof/>
          <w:color w:val="4C4747"/>
          <w:lang w:val="es-DO"/>
        </w:rPr>
      </w:pPr>
      <w:r w:rsidRPr="00DC7764">
        <w:rPr>
          <w:rFonts w:eastAsiaTheme="minorEastAsia"/>
          <w:noProof/>
          <w:color w:val="4C4747"/>
          <w:lang w:val="es-DO"/>
        </w:rPr>
        <w:t>Este año, el encuentro se centró en analizar los efectos de la inteligencia artificial en la competencia, el comportamiento de los mercados informales y los desafíos del sector salud.</w:t>
      </w:r>
    </w:p>
    <w:p w14:paraId="737C9567" w14:textId="77777777" w:rsidR="008F3174" w:rsidRPr="00A03E20" w:rsidRDefault="008F3174" w:rsidP="00340DF1">
      <w:pPr>
        <w:spacing w:line="360" w:lineRule="auto"/>
        <w:jc w:val="both"/>
        <w:rPr>
          <w:rFonts w:eastAsiaTheme="minorEastAsia"/>
          <w:noProof/>
          <w:color w:val="4C4747"/>
          <w:lang w:val="es-DO"/>
        </w:rPr>
      </w:pPr>
      <w:r w:rsidRPr="00A03E20">
        <w:rPr>
          <w:rFonts w:eastAsiaTheme="minorEastAsia"/>
          <w:noProof/>
          <w:color w:val="4C4747"/>
          <w:lang w:val="es-DO"/>
        </w:rPr>
        <w:t>ProCompetencia presentó la III Edición del Anuario de Libre Competencia, dedicada al estudio de los mercados digitales. Esta publicación constituye un aporte técnico y académico de gran relevancia, al analizar los retos que plantea la transformación digital, la inteligencia artificial y las plataformas tecnológicas en la dinámica de los mercados contemporáneos. El Anuario 2025 reafirma el compromiso institucional con la investigación aplicada, la transparencia y la rendición de cuentas</w:t>
      </w:r>
    </w:p>
    <w:p w14:paraId="6FA930C0" w14:textId="77777777" w:rsidR="00793D99" w:rsidRDefault="00DC7764" w:rsidP="00340DF1">
      <w:pPr>
        <w:spacing w:line="360" w:lineRule="auto"/>
        <w:jc w:val="both"/>
        <w:rPr>
          <w:rFonts w:eastAsiaTheme="minorEastAsia"/>
          <w:noProof/>
          <w:color w:val="4C4747"/>
          <w:lang w:val="es-DO"/>
        </w:rPr>
      </w:pPr>
      <w:r w:rsidRPr="00002F86">
        <w:rPr>
          <w:rFonts w:eastAsiaTheme="minorEastAsia"/>
          <w:noProof/>
          <w:color w:val="4C4747"/>
          <w:lang w:val="es-DO"/>
        </w:rPr>
        <w:t xml:space="preserve">Los </w:t>
      </w:r>
      <w:r w:rsidR="00A12018" w:rsidRPr="00002F86">
        <w:rPr>
          <w:rFonts w:eastAsiaTheme="minorEastAsia"/>
          <w:noProof/>
          <w:color w:val="4C4747"/>
          <w:lang w:val="es-DO"/>
        </w:rPr>
        <w:t>logros</w:t>
      </w:r>
      <w:r w:rsidRPr="00002F86">
        <w:rPr>
          <w:rFonts w:eastAsiaTheme="minorEastAsia"/>
          <w:noProof/>
          <w:color w:val="4C4747"/>
          <w:lang w:val="es-DO"/>
        </w:rPr>
        <w:t xml:space="preserve"> institucionales han posicionado a la República Dominicana como un referente regional en materia de competencia y contratación pública. </w:t>
      </w:r>
    </w:p>
    <w:p w14:paraId="0C1CFA6E" w14:textId="77777777" w:rsidR="00793D99" w:rsidRDefault="00793D99" w:rsidP="00340DF1">
      <w:pPr>
        <w:spacing w:line="360" w:lineRule="auto"/>
        <w:jc w:val="both"/>
        <w:rPr>
          <w:rFonts w:eastAsiaTheme="minorEastAsia"/>
          <w:noProof/>
          <w:color w:val="4C4747"/>
          <w:lang w:val="es-DO"/>
        </w:rPr>
      </w:pPr>
    </w:p>
    <w:p w14:paraId="7FD26C72" w14:textId="48C0161C" w:rsidR="00237FD7" w:rsidRPr="00DC7764" w:rsidRDefault="00DC7764" w:rsidP="00340DF1">
      <w:pPr>
        <w:spacing w:line="360" w:lineRule="auto"/>
        <w:jc w:val="both"/>
        <w:rPr>
          <w:rFonts w:eastAsiaTheme="minorEastAsia"/>
          <w:noProof/>
          <w:color w:val="4C4747"/>
          <w:lang w:val="es-DO"/>
        </w:rPr>
      </w:pPr>
      <w:r w:rsidRPr="00002F86">
        <w:rPr>
          <w:rFonts w:eastAsiaTheme="minorEastAsia"/>
          <w:noProof/>
          <w:color w:val="4C4747"/>
          <w:lang w:val="es-DO"/>
        </w:rPr>
        <w:lastRenderedPageBreak/>
        <w:t>En reconocimiento a estos logros, el país fue seleccionado como sede del Foro Iberoamericano en Competencia y Contratación Pública (FIDECOP) 2026, organizado por el Instituto de Profesionalización en Competencia y Contratación Pública de Costa Rica, evento que será realizado en coordinación con la Dirección General de Contrataciones Públicas (DGCP) y ProCompetencia. Esta designación reafirma el liderazgo técnico e institucional del país y su compromiso con la promoción de buenas prácticas en favor de mercados más transparentes, competitivos y eficientes.</w:t>
      </w:r>
    </w:p>
    <w:p w14:paraId="35A75D2C" w14:textId="77777777" w:rsidR="00237FD7" w:rsidRPr="00DC7764" w:rsidRDefault="00237FD7" w:rsidP="00340DF1">
      <w:pPr>
        <w:spacing w:line="360" w:lineRule="auto"/>
        <w:jc w:val="both"/>
        <w:rPr>
          <w:rFonts w:eastAsiaTheme="minorEastAsia"/>
          <w:noProof/>
          <w:color w:val="4C4747"/>
          <w:lang w:val="es-DO"/>
        </w:rPr>
      </w:pPr>
    </w:p>
    <w:p w14:paraId="5B05B36B" w14:textId="77777777" w:rsidR="00D14B3E" w:rsidRDefault="00D14B3E" w:rsidP="00340DF1">
      <w:pPr>
        <w:spacing w:line="360" w:lineRule="auto"/>
        <w:jc w:val="both"/>
        <w:rPr>
          <w:rFonts w:eastAsia="Calibri"/>
          <w:noProof/>
          <w:color w:val="4C4747"/>
          <w:lang w:val="es-DO"/>
        </w:rPr>
      </w:pPr>
    </w:p>
    <w:p w14:paraId="7B539470" w14:textId="77777777" w:rsidR="00D14B3E" w:rsidRPr="00256308" w:rsidRDefault="00D14B3E" w:rsidP="00340DF1">
      <w:pPr>
        <w:spacing w:line="360" w:lineRule="auto"/>
        <w:jc w:val="both"/>
        <w:rPr>
          <w:rFonts w:eastAsia="Calibri"/>
          <w:noProof/>
          <w:color w:val="4C4747"/>
          <w:lang w:val="es-DO"/>
        </w:rPr>
      </w:pPr>
    </w:p>
    <w:p w14:paraId="73E64869" w14:textId="77777777" w:rsidR="00237FD7" w:rsidRPr="00256308" w:rsidRDefault="00237FD7" w:rsidP="00340DF1">
      <w:pPr>
        <w:spacing w:line="360" w:lineRule="auto"/>
        <w:jc w:val="both"/>
        <w:rPr>
          <w:rFonts w:eastAsia="Calibri"/>
          <w:noProof/>
          <w:color w:val="4C4747"/>
          <w:lang w:val="es-DO"/>
        </w:rPr>
      </w:pPr>
    </w:p>
    <w:p w14:paraId="71D68E2F" w14:textId="77777777" w:rsidR="00237FD7" w:rsidRDefault="00237FD7" w:rsidP="00340DF1">
      <w:pPr>
        <w:spacing w:line="360" w:lineRule="auto"/>
        <w:jc w:val="both"/>
        <w:rPr>
          <w:rFonts w:eastAsia="Calibri"/>
          <w:noProof/>
          <w:color w:val="4C4747"/>
          <w:lang w:val="es-DO"/>
        </w:rPr>
      </w:pPr>
    </w:p>
    <w:p w14:paraId="71264BE3" w14:textId="77777777" w:rsidR="00002F86" w:rsidRDefault="00002F86" w:rsidP="00340DF1">
      <w:pPr>
        <w:spacing w:line="360" w:lineRule="auto"/>
        <w:jc w:val="both"/>
        <w:rPr>
          <w:rFonts w:eastAsia="Calibri"/>
          <w:noProof/>
          <w:color w:val="4C4747"/>
          <w:lang w:val="es-DO"/>
        </w:rPr>
      </w:pPr>
    </w:p>
    <w:p w14:paraId="04B08690" w14:textId="77777777" w:rsidR="00002F86" w:rsidRDefault="00002F86" w:rsidP="00340DF1">
      <w:pPr>
        <w:spacing w:line="360" w:lineRule="auto"/>
        <w:jc w:val="both"/>
        <w:rPr>
          <w:rFonts w:eastAsia="Calibri"/>
          <w:noProof/>
          <w:color w:val="4C4747"/>
          <w:lang w:val="es-DO"/>
        </w:rPr>
      </w:pPr>
    </w:p>
    <w:p w14:paraId="6EECEF38" w14:textId="77777777" w:rsidR="00002F86" w:rsidRDefault="00002F86" w:rsidP="00340DF1">
      <w:pPr>
        <w:spacing w:line="360" w:lineRule="auto"/>
        <w:jc w:val="both"/>
        <w:rPr>
          <w:rFonts w:eastAsia="Calibri"/>
          <w:noProof/>
          <w:color w:val="4C4747"/>
          <w:lang w:val="es-DO"/>
        </w:rPr>
      </w:pPr>
    </w:p>
    <w:p w14:paraId="6EFFB3E5" w14:textId="77777777" w:rsidR="00002F86" w:rsidRDefault="00002F86" w:rsidP="00340DF1">
      <w:pPr>
        <w:spacing w:line="360" w:lineRule="auto"/>
        <w:jc w:val="both"/>
        <w:rPr>
          <w:rFonts w:eastAsia="Calibri"/>
          <w:noProof/>
          <w:color w:val="4C4747"/>
          <w:lang w:val="es-DO"/>
        </w:rPr>
      </w:pPr>
    </w:p>
    <w:p w14:paraId="1098D65B" w14:textId="77777777" w:rsidR="00002F86" w:rsidRDefault="00002F86" w:rsidP="00340DF1">
      <w:pPr>
        <w:spacing w:line="360" w:lineRule="auto"/>
        <w:jc w:val="both"/>
        <w:rPr>
          <w:rFonts w:eastAsia="Calibri"/>
          <w:noProof/>
          <w:color w:val="4C4747"/>
          <w:lang w:val="es-DO"/>
        </w:rPr>
      </w:pPr>
    </w:p>
    <w:p w14:paraId="0D2E6F37" w14:textId="77777777" w:rsidR="00002F86" w:rsidRDefault="00002F86" w:rsidP="00340DF1">
      <w:pPr>
        <w:spacing w:line="360" w:lineRule="auto"/>
        <w:jc w:val="both"/>
        <w:rPr>
          <w:rFonts w:eastAsia="Calibri"/>
          <w:noProof/>
          <w:color w:val="4C4747"/>
          <w:lang w:val="es-DO"/>
        </w:rPr>
      </w:pPr>
    </w:p>
    <w:p w14:paraId="774F5E1A" w14:textId="77777777" w:rsidR="00002F86" w:rsidRDefault="00002F86" w:rsidP="00340DF1">
      <w:pPr>
        <w:spacing w:line="360" w:lineRule="auto"/>
        <w:jc w:val="both"/>
        <w:rPr>
          <w:rFonts w:eastAsia="Calibri"/>
          <w:noProof/>
          <w:color w:val="4C4747"/>
          <w:lang w:val="es-DO"/>
        </w:rPr>
      </w:pPr>
    </w:p>
    <w:p w14:paraId="0A0C9454" w14:textId="77777777" w:rsidR="00002F86" w:rsidRDefault="00002F86" w:rsidP="00340DF1">
      <w:pPr>
        <w:spacing w:line="360" w:lineRule="auto"/>
        <w:jc w:val="both"/>
        <w:rPr>
          <w:rFonts w:eastAsia="Calibri"/>
          <w:noProof/>
          <w:color w:val="4C4747"/>
          <w:lang w:val="es-DO"/>
        </w:rPr>
      </w:pPr>
    </w:p>
    <w:p w14:paraId="3837CD5E" w14:textId="77777777" w:rsidR="00002F86" w:rsidRDefault="00002F86" w:rsidP="00340DF1">
      <w:pPr>
        <w:spacing w:line="360" w:lineRule="auto"/>
        <w:jc w:val="both"/>
        <w:rPr>
          <w:rFonts w:eastAsia="Calibri"/>
          <w:noProof/>
          <w:color w:val="4C4747"/>
          <w:lang w:val="es-DO"/>
        </w:rPr>
      </w:pPr>
    </w:p>
    <w:p w14:paraId="67AFB34F" w14:textId="77777777" w:rsidR="00002F86" w:rsidRDefault="00002F86" w:rsidP="00340DF1">
      <w:pPr>
        <w:spacing w:line="360" w:lineRule="auto"/>
        <w:jc w:val="both"/>
        <w:rPr>
          <w:rFonts w:eastAsia="Calibri"/>
          <w:noProof/>
          <w:color w:val="4C4747"/>
          <w:lang w:val="es-DO"/>
        </w:rPr>
      </w:pPr>
    </w:p>
    <w:p w14:paraId="200E8014" w14:textId="77777777" w:rsidR="00002F86" w:rsidRDefault="00002F86" w:rsidP="00340DF1">
      <w:pPr>
        <w:spacing w:line="360" w:lineRule="auto"/>
        <w:jc w:val="both"/>
        <w:rPr>
          <w:rFonts w:eastAsia="Calibri"/>
          <w:noProof/>
          <w:color w:val="4C4747"/>
          <w:lang w:val="es-DO"/>
        </w:rPr>
      </w:pPr>
    </w:p>
    <w:p w14:paraId="480AB252" w14:textId="760B2B21" w:rsidR="00654164" w:rsidRPr="00F956F5" w:rsidRDefault="00654164" w:rsidP="00340DF1">
      <w:pPr>
        <w:pStyle w:val="Ttulo1"/>
        <w:rPr>
          <w:rFonts w:cs="Times New Roman"/>
          <w:color w:val="4C4747"/>
          <w:lang w:val="es-DO"/>
        </w:rPr>
      </w:pPr>
      <w:bookmarkStart w:id="8" w:name="_Toc217035430"/>
      <w:r w:rsidRPr="00F956F5">
        <w:rPr>
          <w:rFonts w:cs="Times New Roman"/>
          <w:color w:val="4C4747"/>
          <w:lang w:val="es-DO"/>
        </w:rPr>
        <w:lastRenderedPageBreak/>
        <w:t>RESULTADOS DE LAS ÁREAS TRANSVERSALES Y DE APOYO</w:t>
      </w:r>
      <w:bookmarkEnd w:id="8"/>
    </w:p>
    <w:p w14:paraId="5D67DA4A" w14:textId="77777777" w:rsidR="00654164" w:rsidRPr="00F956F5" w:rsidRDefault="00654164" w:rsidP="00340DF1">
      <w:pPr>
        <w:spacing w:line="360" w:lineRule="auto"/>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8254"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49076" id="Straight Connector 15" o:spid="_x0000_s1026"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5311FEF" w:rsidR="00654164" w:rsidRPr="00F956F5" w:rsidRDefault="00654164" w:rsidP="00340DF1">
      <w:pPr>
        <w:spacing w:line="360" w:lineRule="auto"/>
        <w:jc w:val="center"/>
        <w:rPr>
          <w:rFonts w:eastAsia="Calibri"/>
          <w:color w:val="4C4747"/>
          <w:szCs w:val="36"/>
          <w:lang w:val="es-DO"/>
        </w:rPr>
      </w:pPr>
      <w:r w:rsidRPr="00F956F5">
        <w:rPr>
          <w:rFonts w:eastAsia="Calibri"/>
          <w:color w:val="4C4747"/>
          <w:szCs w:val="36"/>
          <w:lang w:val="es-DO"/>
        </w:rPr>
        <w:t xml:space="preserve">Memoria </w:t>
      </w:r>
      <w:r w:rsidR="009547F0" w:rsidRPr="00F956F5">
        <w:rPr>
          <w:rFonts w:eastAsia="Calibri"/>
          <w:color w:val="4C4747"/>
          <w:szCs w:val="36"/>
          <w:lang w:val="es-DO"/>
        </w:rPr>
        <w:t>I</w:t>
      </w:r>
      <w:r w:rsidRPr="00F956F5">
        <w:rPr>
          <w:rFonts w:eastAsia="Calibri"/>
          <w:color w:val="4C4747"/>
          <w:szCs w:val="36"/>
          <w:lang w:val="es-DO"/>
        </w:rPr>
        <w:t xml:space="preserve">nstitucional </w:t>
      </w:r>
      <w:r w:rsidR="007471AC" w:rsidRPr="00F956F5">
        <w:rPr>
          <w:rFonts w:eastAsia="Calibri"/>
          <w:color w:val="4C4747"/>
          <w:szCs w:val="36"/>
          <w:lang w:val="es-DO"/>
        </w:rPr>
        <w:t>202</w:t>
      </w:r>
      <w:r w:rsidR="0051332F" w:rsidRPr="00F956F5">
        <w:rPr>
          <w:rFonts w:eastAsia="Calibri"/>
          <w:color w:val="4C4747"/>
          <w:szCs w:val="36"/>
          <w:lang w:val="es-DO"/>
        </w:rPr>
        <w:t>5</w:t>
      </w:r>
    </w:p>
    <w:p w14:paraId="2BBFC4CF" w14:textId="77777777" w:rsidR="00654164" w:rsidRPr="00F956F5" w:rsidRDefault="00654164" w:rsidP="00340DF1">
      <w:pPr>
        <w:spacing w:line="360" w:lineRule="auto"/>
        <w:jc w:val="center"/>
        <w:rPr>
          <w:noProof/>
          <w:color w:val="4C4747"/>
          <w:lang w:val="es-DO"/>
        </w:rPr>
      </w:pPr>
    </w:p>
    <w:p w14:paraId="1DA91D93" w14:textId="6E8FFF40" w:rsidR="00297593" w:rsidRPr="00A03E20" w:rsidRDefault="00297593" w:rsidP="00340DF1">
      <w:pPr>
        <w:spacing w:line="360" w:lineRule="auto"/>
        <w:jc w:val="both"/>
        <w:rPr>
          <w:rFonts w:eastAsiaTheme="minorEastAsia"/>
          <w:noProof/>
          <w:color w:val="4C4747"/>
          <w:lang w:val="es-DO"/>
        </w:rPr>
      </w:pPr>
      <w:r w:rsidRPr="00A03E20">
        <w:rPr>
          <w:rFonts w:eastAsiaTheme="minorEastAsia"/>
          <w:noProof/>
          <w:color w:val="4C4747"/>
          <w:lang w:val="es-DO"/>
        </w:rPr>
        <w:t>Este apartado integra los procesos transversales y de apoyo que sostienen la gestión institucional. Se presenta el desempeño de cada área clave, destacando cómo contribuyen de manera coordinada a la ejecución del Plan Operativo Anual y al cumplimiento de los objetivos estratégicos.</w:t>
      </w:r>
    </w:p>
    <w:p w14:paraId="7BE0467F" w14:textId="77777777" w:rsidR="00297593" w:rsidRPr="00A03E20" w:rsidRDefault="00297593" w:rsidP="00340DF1">
      <w:pPr>
        <w:spacing w:line="360" w:lineRule="auto"/>
        <w:jc w:val="both"/>
        <w:rPr>
          <w:rFonts w:eastAsiaTheme="minorEastAsia"/>
          <w:noProof/>
          <w:color w:val="4C4747"/>
          <w:lang w:val="es-DO"/>
        </w:rPr>
      </w:pPr>
      <w:r w:rsidRPr="00A03E20">
        <w:rPr>
          <w:rFonts w:eastAsiaTheme="minorEastAsia"/>
          <w:noProof/>
          <w:color w:val="4C4747"/>
          <w:lang w:val="es-DO"/>
        </w:rPr>
        <w:t>Desde una perspectiva de gestión de proyectos, estos procesos cumplen funciones críticas:</w:t>
      </w:r>
    </w:p>
    <w:p w14:paraId="65FD7BE2" w14:textId="77777777" w:rsidR="00297593" w:rsidRPr="00A03E20" w:rsidRDefault="00297593" w:rsidP="00340DF1">
      <w:pPr>
        <w:numPr>
          <w:ilvl w:val="0"/>
          <w:numId w:val="23"/>
        </w:numPr>
        <w:spacing w:line="360" w:lineRule="auto"/>
        <w:jc w:val="both"/>
        <w:rPr>
          <w:rFonts w:eastAsiaTheme="minorEastAsia"/>
          <w:noProof/>
          <w:color w:val="4C4747"/>
          <w:lang w:val="es-DO"/>
        </w:rPr>
      </w:pPr>
      <w:r w:rsidRPr="00A03E20">
        <w:rPr>
          <w:rFonts w:eastAsiaTheme="minorEastAsia"/>
          <w:noProof/>
          <w:color w:val="4C4747"/>
          <w:lang w:val="es-DO"/>
        </w:rPr>
        <w:t>Definir prioridades estratégicas y asegurar la alineación con la misión y visión institucional.</w:t>
      </w:r>
    </w:p>
    <w:p w14:paraId="48866FC8" w14:textId="77777777" w:rsidR="00297593" w:rsidRPr="00A03E20" w:rsidRDefault="00297593" w:rsidP="00340DF1">
      <w:pPr>
        <w:numPr>
          <w:ilvl w:val="0"/>
          <w:numId w:val="23"/>
        </w:numPr>
        <w:spacing w:line="360" w:lineRule="auto"/>
        <w:jc w:val="both"/>
        <w:rPr>
          <w:rFonts w:eastAsiaTheme="minorEastAsia"/>
          <w:noProof/>
          <w:color w:val="4C4747"/>
          <w:lang w:val="es-DO"/>
        </w:rPr>
      </w:pPr>
      <w:r w:rsidRPr="00A03E20">
        <w:rPr>
          <w:rFonts w:eastAsiaTheme="minorEastAsia"/>
          <w:noProof/>
          <w:color w:val="4C4747"/>
          <w:lang w:val="es-DO"/>
        </w:rPr>
        <w:t>Gestionar recursos humanos, financieros y tecnológicos de forma eficiente, maximizando su impacto en los resultados.</w:t>
      </w:r>
    </w:p>
    <w:p w14:paraId="687B2DF6" w14:textId="77777777" w:rsidR="00297593" w:rsidRPr="00A03E20" w:rsidRDefault="00297593" w:rsidP="00340DF1">
      <w:pPr>
        <w:numPr>
          <w:ilvl w:val="0"/>
          <w:numId w:val="23"/>
        </w:numPr>
        <w:spacing w:line="360" w:lineRule="auto"/>
        <w:jc w:val="both"/>
        <w:rPr>
          <w:rFonts w:eastAsiaTheme="minorEastAsia"/>
          <w:noProof/>
          <w:color w:val="4C4747"/>
          <w:lang w:val="es-DO"/>
        </w:rPr>
      </w:pPr>
      <w:r w:rsidRPr="00A03E20">
        <w:rPr>
          <w:rFonts w:eastAsiaTheme="minorEastAsia"/>
          <w:noProof/>
          <w:color w:val="4C4747"/>
          <w:lang w:val="es-DO"/>
        </w:rPr>
        <w:t>Coordinar acciones interdepartamentales, generando sinergias que fortalecen la ejecución operativa.</w:t>
      </w:r>
    </w:p>
    <w:p w14:paraId="589F1C32" w14:textId="77777777" w:rsidR="00297593" w:rsidRPr="00A03E20" w:rsidRDefault="00297593" w:rsidP="00340DF1">
      <w:pPr>
        <w:numPr>
          <w:ilvl w:val="0"/>
          <w:numId w:val="23"/>
        </w:numPr>
        <w:spacing w:line="360" w:lineRule="auto"/>
        <w:jc w:val="both"/>
        <w:rPr>
          <w:rFonts w:eastAsiaTheme="minorEastAsia"/>
          <w:noProof/>
          <w:color w:val="4C4747"/>
          <w:lang w:val="es-DO"/>
        </w:rPr>
      </w:pPr>
      <w:r w:rsidRPr="00A03E20">
        <w:rPr>
          <w:rFonts w:eastAsiaTheme="minorEastAsia"/>
          <w:noProof/>
          <w:color w:val="4C4747"/>
          <w:lang w:val="es-DO"/>
        </w:rPr>
        <w:t>Monitorear y evaluar indicadores de desempeño, garantizando la trazabilidad y el control de los avances.</w:t>
      </w:r>
    </w:p>
    <w:p w14:paraId="6B097E3B" w14:textId="77777777" w:rsidR="00297593" w:rsidRPr="00A03E20" w:rsidRDefault="00297593" w:rsidP="00340DF1">
      <w:pPr>
        <w:numPr>
          <w:ilvl w:val="0"/>
          <w:numId w:val="23"/>
        </w:numPr>
        <w:spacing w:line="360" w:lineRule="auto"/>
        <w:jc w:val="both"/>
        <w:rPr>
          <w:rFonts w:eastAsiaTheme="minorEastAsia"/>
          <w:noProof/>
          <w:color w:val="4C4747"/>
          <w:lang w:val="es-DO"/>
        </w:rPr>
      </w:pPr>
      <w:r w:rsidRPr="00A03E20">
        <w:rPr>
          <w:rFonts w:eastAsiaTheme="minorEastAsia"/>
          <w:noProof/>
          <w:color w:val="4C4747"/>
          <w:lang w:val="es-DO"/>
        </w:rPr>
        <w:t>Asegurar cumplimiento normativo y transparencia, consolidando la confianza de los actores internos y externos.</w:t>
      </w:r>
    </w:p>
    <w:p w14:paraId="663C95FE" w14:textId="1438B545" w:rsidR="00297593" w:rsidRPr="00A03E20" w:rsidRDefault="00297593" w:rsidP="00340DF1">
      <w:pPr>
        <w:spacing w:line="360" w:lineRule="auto"/>
        <w:jc w:val="both"/>
        <w:rPr>
          <w:rFonts w:eastAsiaTheme="minorEastAsia"/>
          <w:noProof/>
          <w:color w:val="4C4747"/>
          <w:lang w:val="es-DO"/>
        </w:rPr>
      </w:pPr>
      <w:r w:rsidRPr="00A03E20">
        <w:rPr>
          <w:rFonts w:eastAsiaTheme="minorEastAsia"/>
          <w:noProof/>
          <w:color w:val="4C4747"/>
          <w:lang w:val="es-DO"/>
        </w:rPr>
        <w:t xml:space="preserve">En conjunto, estos procesos constituyen la columna vertebral de la </w:t>
      </w:r>
      <w:r w:rsidR="00F11C1B" w:rsidRPr="00A03E20">
        <w:rPr>
          <w:rFonts w:eastAsiaTheme="minorEastAsia"/>
          <w:noProof/>
          <w:color w:val="4C4747"/>
          <w:lang w:val="es-DO"/>
        </w:rPr>
        <w:t>instiución</w:t>
      </w:r>
      <w:r w:rsidRPr="00A03E20">
        <w:rPr>
          <w:rFonts w:eastAsiaTheme="minorEastAsia"/>
          <w:noProof/>
          <w:color w:val="4C4747"/>
          <w:lang w:val="es-DO"/>
        </w:rPr>
        <w:t>, asegurando que cada acción realizada por las áreas transversales y de apoyo se traduzca en resultados medibles, sostenibles y alineados con los objetivos institucionales.</w:t>
      </w:r>
    </w:p>
    <w:p w14:paraId="23885ACA" w14:textId="27095D84" w:rsidR="00D92897" w:rsidRPr="00370F94" w:rsidRDefault="00BE232F" w:rsidP="00340DF1">
      <w:pPr>
        <w:pStyle w:val="Ttulo2"/>
        <w:spacing w:line="360" w:lineRule="auto"/>
        <w:rPr>
          <w:rFonts w:eastAsiaTheme="minorEastAsia" w:cs="Times New Roman"/>
          <w:noProof/>
          <w:color w:val="4C4747"/>
          <w:szCs w:val="24"/>
          <w:lang w:val="es-DO"/>
        </w:rPr>
      </w:pPr>
      <w:bookmarkStart w:id="9" w:name="_Toc217035431"/>
      <w:r w:rsidRPr="00A03E20">
        <w:rPr>
          <w:rFonts w:eastAsiaTheme="minorEastAsia" w:cs="Times New Roman"/>
          <w:noProof/>
          <w:color w:val="4C4747"/>
          <w:szCs w:val="24"/>
          <w:lang w:val="es-DO"/>
        </w:rPr>
        <w:lastRenderedPageBreak/>
        <w:t>4.1 Desempeño administrativo y financiero</w:t>
      </w:r>
      <w:bookmarkEnd w:id="9"/>
    </w:p>
    <w:p w14:paraId="60D7D4A8" w14:textId="461DE073" w:rsidR="00FB0124" w:rsidRPr="00A03E20" w:rsidRDefault="00FB0124" w:rsidP="00340DF1">
      <w:pPr>
        <w:spacing w:line="360" w:lineRule="auto"/>
        <w:jc w:val="both"/>
        <w:rPr>
          <w:rFonts w:eastAsiaTheme="minorEastAsia"/>
          <w:noProof/>
          <w:color w:val="4C4747"/>
          <w:lang w:val="es-DO"/>
        </w:rPr>
      </w:pPr>
      <w:r w:rsidRPr="00EC6B29">
        <w:rPr>
          <w:rFonts w:eastAsiaTheme="minorEastAsia"/>
          <w:noProof/>
          <w:color w:val="4C4747"/>
          <w:lang w:val="es-DO"/>
        </w:rPr>
        <w:t>Al 10 de diciembre del</w:t>
      </w:r>
      <w:r w:rsidR="00D92897" w:rsidRPr="00EC6B29">
        <w:rPr>
          <w:rFonts w:eastAsiaTheme="minorEastAsia"/>
          <w:noProof/>
          <w:color w:val="4C4747"/>
          <w:lang w:val="es-DO"/>
        </w:rPr>
        <w:t xml:space="preserve"> 2025, el desempeño administrativo y financiero de ProCompetencia se caracterizó por una gestión responsable y orientada a resultados. </w:t>
      </w:r>
      <w:r w:rsidR="00D92897" w:rsidRPr="00A03E20">
        <w:rPr>
          <w:rFonts w:eastAsiaTheme="minorEastAsia"/>
          <w:noProof/>
          <w:color w:val="4C4747"/>
          <w:lang w:val="es-DO"/>
        </w:rPr>
        <w:t xml:space="preserve">Con una asignación presupuestaria de RD$193,360,446.00, al corte se ejecutaron RD$122,393,261.50, equivalente al 63% del presupuesto aprobado. </w:t>
      </w:r>
    </w:p>
    <w:p w14:paraId="2D7C54EA" w14:textId="77777777" w:rsidR="00FB0124" w:rsidRPr="00A03E20" w:rsidRDefault="00D92897" w:rsidP="00340DF1">
      <w:pPr>
        <w:spacing w:line="360" w:lineRule="auto"/>
        <w:jc w:val="both"/>
        <w:rPr>
          <w:rFonts w:eastAsiaTheme="minorEastAsia"/>
          <w:noProof/>
          <w:color w:val="4C4747"/>
          <w:lang w:val="es-DO"/>
        </w:rPr>
      </w:pPr>
      <w:r w:rsidRPr="00A03E20">
        <w:rPr>
          <w:rFonts w:eastAsiaTheme="minorEastAsia"/>
          <w:noProof/>
          <w:color w:val="4C4747"/>
          <w:lang w:val="es-DO"/>
        </w:rPr>
        <w:t>Este nivel de ejecución refleja un manejo disciplinado de los recursos, priorizando la eficiencia en los procesos administrativos y la transparencia en la gestión financiera.</w:t>
      </w:r>
    </w:p>
    <w:p w14:paraId="6350CEFF" w14:textId="01F77356" w:rsidR="008D32E2" w:rsidRPr="00370F94" w:rsidRDefault="00D92897" w:rsidP="00340DF1">
      <w:pPr>
        <w:spacing w:line="360" w:lineRule="auto"/>
        <w:jc w:val="both"/>
        <w:rPr>
          <w:rFonts w:eastAsiaTheme="minorEastAsia"/>
          <w:noProof/>
          <w:color w:val="4C4747"/>
          <w:lang w:val="es-DO"/>
        </w:rPr>
      </w:pPr>
      <w:r w:rsidRPr="00A03E20">
        <w:rPr>
          <w:rFonts w:eastAsiaTheme="minorEastAsia"/>
          <w:noProof/>
          <w:color w:val="4C4747"/>
          <w:lang w:val="es-DO"/>
        </w:rPr>
        <w:t>La institución ha demostrado capacidad para alinear la ejecución presupuestaria con los objetivos estratégicos, garantizando que cada inversión contribuya al fortalecimiento institucional y al cumplimiento de su misión, al tiempo que se consolidan prácticas de control interno y rendición de cuentas que refuerzan la confianza ciudadana.</w:t>
      </w:r>
      <w:r w:rsidR="00002F86" w:rsidRPr="00002F86">
        <w:rPr>
          <w:rFonts w:eastAsia="Calibri"/>
          <w:noProof/>
          <w:color w:val="4C4747"/>
          <w:lang w:val="es-DO"/>
        </w:rPr>
        <w:t xml:space="preserve"> </w:t>
      </w:r>
    </w:p>
    <w:p w14:paraId="6FBBDB6E" w14:textId="4940B763" w:rsidR="00370F94" w:rsidRDefault="00EA70F4" w:rsidP="00340DF1">
      <w:pPr>
        <w:spacing w:line="360" w:lineRule="auto"/>
        <w:jc w:val="both"/>
        <w:rPr>
          <w:rFonts w:eastAsiaTheme="minorEastAsia"/>
          <w:noProof/>
          <w:color w:val="4C4747"/>
          <w:lang w:val="es-DO"/>
        </w:rPr>
      </w:pPr>
      <w:r w:rsidRPr="00A03E20">
        <w:rPr>
          <w:rFonts w:eastAsiaTheme="minorEastAsia"/>
          <w:noProof/>
          <w:color w:val="4C4747"/>
          <w:lang w:val="es-DO"/>
        </w:rPr>
        <w:t>Resultado del Indicador: Índice de Gestión Presupuestaria (IGP)</w:t>
      </w:r>
    </w:p>
    <w:p w14:paraId="67AD6913" w14:textId="02A4F677" w:rsidR="00370F94" w:rsidRDefault="00370F94" w:rsidP="00340DF1">
      <w:pPr>
        <w:spacing w:line="360" w:lineRule="auto"/>
        <w:jc w:val="both"/>
        <w:rPr>
          <w:rFonts w:eastAsiaTheme="minorEastAsia"/>
          <w:noProof/>
          <w:color w:val="4C4747"/>
          <w:lang w:val="es-DO"/>
        </w:rPr>
      </w:pPr>
      <w:r w:rsidRPr="006255E8">
        <w:rPr>
          <w:rFonts w:eastAsia="Calibri"/>
          <w:noProof/>
          <w:color w:val="4C4747"/>
          <w:lang w:val="es-DO"/>
        </w:rPr>
        <w:drawing>
          <wp:inline distT="0" distB="0" distL="0" distR="0" wp14:anchorId="0D8FF0AD" wp14:editId="5D36555D">
            <wp:extent cx="4705350" cy="2875492"/>
            <wp:effectExtent l="0" t="0" r="0" b="1270"/>
            <wp:docPr id="12353557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55786" name=""/>
                    <pic:cNvPicPr/>
                  </pic:nvPicPr>
                  <pic:blipFill rotWithShape="1">
                    <a:blip r:embed="rId16"/>
                    <a:srcRect l="3623" t="6130" r="5618"/>
                    <a:stretch>
                      <a:fillRect/>
                    </a:stretch>
                  </pic:blipFill>
                  <pic:spPr bwMode="auto">
                    <a:xfrm>
                      <a:off x="0" y="0"/>
                      <a:ext cx="4708487" cy="2877409"/>
                    </a:xfrm>
                    <a:prstGeom prst="rect">
                      <a:avLst/>
                    </a:prstGeom>
                    <a:ln>
                      <a:noFill/>
                    </a:ln>
                    <a:extLst>
                      <a:ext uri="{53640926-AAD7-44D8-BBD7-CCE9431645EC}">
                        <a14:shadowObscured xmlns:a14="http://schemas.microsoft.com/office/drawing/2010/main"/>
                      </a:ext>
                    </a:extLst>
                  </pic:spPr>
                </pic:pic>
              </a:graphicData>
            </a:graphic>
          </wp:inline>
        </w:drawing>
      </w:r>
    </w:p>
    <w:p w14:paraId="640513AB" w14:textId="7571D4F8" w:rsidR="00370F94" w:rsidRPr="00370F94" w:rsidRDefault="00370F94" w:rsidP="00793D99">
      <w:pPr>
        <w:spacing w:line="360" w:lineRule="auto"/>
        <w:rPr>
          <w:rFonts w:eastAsia="Calibri"/>
          <w:noProof/>
          <w:color w:val="4C4747"/>
          <w:lang w:val="es-DO"/>
        </w:rPr>
      </w:pPr>
      <w:r w:rsidRPr="00AC7586">
        <w:rPr>
          <w:rFonts w:eastAsia="Calibri"/>
          <w:i/>
          <w:iCs/>
          <w:color w:val="4C4747"/>
          <w:sz w:val="18"/>
          <w:szCs w:val="18"/>
          <w:lang w:val="es-DO"/>
        </w:rPr>
        <w:t>Fuente: Sistema de Gestión Financiera (SIGEF</w:t>
      </w:r>
      <w:r>
        <w:rPr>
          <w:rFonts w:eastAsia="Calibri"/>
          <w:i/>
          <w:iCs/>
          <w:color w:val="4C4747"/>
          <w:sz w:val="18"/>
          <w:szCs w:val="18"/>
          <w:lang w:val="es-DO"/>
        </w:rPr>
        <w:t>)</w:t>
      </w:r>
      <w:r w:rsidRPr="00AC7586">
        <w:rPr>
          <w:rFonts w:eastAsia="Calibri"/>
          <w:i/>
          <w:iCs/>
          <w:color w:val="4C4747"/>
          <w:sz w:val="18"/>
          <w:szCs w:val="18"/>
          <w:lang w:val="es-DO"/>
        </w:rPr>
        <w:t xml:space="preserve">. Dirección General de Presupuesto (DIGEPRES) </w:t>
      </w:r>
    </w:p>
    <w:p w14:paraId="666BABE4" w14:textId="77777777" w:rsidR="00EA70F4" w:rsidRPr="00A03E20" w:rsidRDefault="00EA70F4"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En la evaluación trimestral realizada por la Dirección General de Presupuesto (DGP), la institución alcanzó un 100% de cumplimiento en el Índice de Gestión Presupuestaria (IGP) correspondiente al tercer trimestre del año.</w:t>
      </w:r>
    </w:p>
    <w:p w14:paraId="4BAE41F0" w14:textId="77777777" w:rsidR="00EA70F4" w:rsidRPr="00D14B3E" w:rsidRDefault="00EA70F4" w:rsidP="00340DF1">
      <w:pPr>
        <w:spacing w:line="360" w:lineRule="auto"/>
        <w:jc w:val="both"/>
        <w:rPr>
          <w:rFonts w:eastAsiaTheme="minorEastAsia"/>
          <w:noProof/>
          <w:color w:val="4C4747"/>
        </w:rPr>
      </w:pPr>
      <w:r w:rsidRPr="00D14B3E">
        <w:rPr>
          <w:rFonts w:eastAsiaTheme="minorEastAsia"/>
          <w:noProof/>
          <w:color w:val="4C4747"/>
        </w:rPr>
        <w:t>Este desempeño refleja:</w:t>
      </w:r>
    </w:p>
    <w:p w14:paraId="7724748B" w14:textId="77777777" w:rsidR="00EA70F4" w:rsidRPr="00A03E20" w:rsidRDefault="00EA70F4" w:rsidP="00340DF1">
      <w:pPr>
        <w:numPr>
          <w:ilvl w:val="0"/>
          <w:numId w:val="24"/>
        </w:numPr>
        <w:spacing w:line="360" w:lineRule="auto"/>
        <w:jc w:val="both"/>
        <w:rPr>
          <w:rFonts w:eastAsiaTheme="minorEastAsia"/>
          <w:noProof/>
          <w:color w:val="4C4747"/>
          <w:lang w:val="es-DO"/>
        </w:rPr>
      </w:pPr>
      <w:r w:rsidRPr="00A03E20">
        <w:rPr>
          <w:rFonts w:eastAsiaTheme="minorEastAsia"/>
          <w:noProof/>
          <w:color w:val="4C4747"/>
          <w:lang w:val="es-DO"/>
        </w:rPr>
        <w:t>Ejecución financiera sólida, con un manejo responsable y transparente de los recursos asignados.</w:t>
      </w:r>
    </w:p>
    <w:p w14:paraId="4C97E8F7" w14:textId="77777777" w:rsidR="00EA70F4" w:rsidRPr="00A03E20" w:rsidRDefault="00EA70F4" w:rsidP="00340DF1">
      <w:pPr>
        <w:numPr>
          <w:ilvl w:val="0"/>
          <w:numId w:val="24"/>
        </w:numPr>
        <w:spacing w:line="360" w:lineRule="auto"/>
        <w:jc w:val="both"/>
        <w:rPr>
          <w:rFonts w:eastAsiaTheme="minorEastAsia"/>
          <w:noProof/>
          <w:color w:val="4C4747"/>
          <w:lang w:val="es-DO"/>
        </w:rPr>
      </w:pPr>
      <w:r w:rsidRPr="00A03E20">
        <w:rPr>
          <w:rFonts w:eastAsiaTheme="minorEastAsia"/>
          <w:noProof/>
          <w:color w:val="4C4747"/>
          <w:lang w:val="es-DO"/>
        </w:rPr>
        <w:t>Optimización del presupuesto, asegurando que cada partida se utilice de manera eficiente y orientada a resultados.</w:t>
      </w:r>
    </w:p>
    <w:p w14:paraId="7AD117EE" w14:textId="77777777" w:rsidR="00EA70F4" w:rsidRPr="00A03E20" w:rsidRDefault="00EA70F4" w:rsidP="00340DF1">
      <w:pPr>
        <w:numPr>
          <w:ilvl w:val="0"/>
          <w:numId w:val="24"/>
        </w:numPr>
        <w:spacing w:line="360" w:lineRule="auto"/>
        <w:jc w:val="both"/>
        <w:rPr>
          <w:rFonts w:eastAsiaTheme="minorEastAsia"/>
          <w:noProof/>
          <w:color w:val="4C4747"/>
          <w:lang w:val="es-DO"/>
        </w:rPr>
      </w:pPr>
      <w:r w:rsidRPr="00A03E20">
        <w:rPr>
          <w:rFonts w:eastAsiaTheme="minorEastAsia"/>
          <w:noProof/>
          <w:color w:val="4C4747"/>
          <w:lang w:val="es-DO"/>
        </w:rPr>
        <w:t>Cumplimiento pleno de los objetivos institucionales, garantizando la coherencia entre la planificación y la ejecución.</w:t>
      </w:r>
    </w:p>
    <w:p w14:paraId="428FFB40" w14:textId="77777777" w:rsidR="00EA70F4" w:rsidRPr="00A03E20" w:rsidRDefault="00EA70F4" w:rsidP="00340DF1">
      <w:pPr>
        <w:numPr>
          <w:ilvl w:val="0"/>
          <w:numId w:val="24"/>
        </w:numPr>
        <w:spacing w:line="360" w:lineRule="auto"/>
        <w:jc w:val="both"/>
        <w:rPr>
          <w:rFonts w:eastAsiaTheme="minorEastAsia"/>
          <w:noProof/>
          <w:color w:val="4C4747"/>
          <w:lang w:val="es-DO"/>
        </w:rPr>
      </w:pPr>
      <w:r w:rsidRPr="00A03E20">
        <w:rPr>
          <w:rFonts w:eastAsiaTheme="minorEastAsia"/>
          <w:noProof/>
          <w:color w:val="4C4747"/>
          <w:lang w:val="es-DO"/>
        </w:rPr>
        <w:t>Fortalecimiento de la credibilidad institucional, al demostrar capacidad de gestión y disciplina financiera frente a los estándares establecidos por la DGP.</w:t>
      </w:r>
    </w:p>
    <w:p w14:paraId="28A68E68" w14:textId="77777777" w:rsidR="00EA70F4" w:rsidRPr="00A03E20" w:rsidRDefault="00EA70F4" w:rsidP="00340DF1">
      <w:pPr>
        <w:spacing w:line="360" w:lineRule="auto"/>
        <w:jc w:val="both"/>
        <w:rPr>
          <w:rFonts w:eastAsiaTheme="minorEastAsia"/>
          <w:noProof/>
          <w:color w:val="4C4747"/>
          <w:lang w:val="es-DO"/>
        </w:rPr>
      </w:pPr>
      <w:r w:rsidRPr="00A03E20">
        <w:rPr>
          <w:rFonts w:eastAsiaTheme="minorEastAsia"/>
          <w:noProof/>
          <w:color w:val="4C4747"/>
          <w:lang w:val="es-DO"/>
        </w:rPr>
        <w:t>En síntesis, este resultado confirma el compromiso de la institución con la excelencia en la gestión presupuestaria, consolidando su posición como referente en eficiencia y transparencia dentro del sector público.</w:t>
      </w:r>
    </w:p>
    <w:p w14:paraId="766E205E" w14:textId="77777777" w:rsidR="003C6B92" w:rsidRDefault="003C6B92" w:rsidP="00340DF1">
      <w:pPr>
        <w:spacing w:line="360" w:lineRule="auto"/>
        <w:jc w:val="both"/>
        <w:rPr>
          <w:rFonts w:eastAsiaTheme="minorEastAsia"/>
          <w:noProof/>
          <w:color w:val="4C4747"/>
          <w:lang w:val="es-DO"/>
        </w:rPr>
      </w:pPr>
    </w:p>
    <w:p w14:paraId="5A656BDF" w14:textId="77777777" w:rsidR="00370F94" w:rsidRDefault="00370F94" w:rsidP="00340DF1">
      <w:pPr>
        <w:spacing w:line="360" w:lineRule="auto"/>
        <w:jc w:val="both"/>
        <w:rPr>
          <w:rFonts w:eastAsiaTheme="minorEastAsia"/>
          <w:noProof/>
          <w:color w:val="4C4747"/>
          <w:lang w:val="es-DO"/>
        </w:rPr>
      </w:pPr>
    </w:p>
    <w:p w14:paraId="0B26AC2B" w14:textId="77777777" w:rsidR="00370F94" w:rsidRDefault="00370F94" w:rsidP="00340DF1">
      <w:pPr>
        <w:spacing w:line="360" w:lineRule="auto"/>
        <w:jc w:val="both"/>
        <w:rPr>
          <w:rFonts w:eastAsiaTheme="minorEastAsia"/>
          <w:noProof/>
          <w:color w:val="4C4747"/>
          <w:lang w:val="es-DO"/>
        </w:rPr>
      </w:pPr>
    </w:p>
    <w:p w14:paraId="41E6005D" w14:textId="77777777" w:rsidR="00370F94" w:rsidRDefault="00370F94" w:rsidP="00340DF1">
      <w:pPr>
        <w:spacing w:line="360" w:lineRule="auto"/>
        <w:jc w:val="both"/>
        <w:rPr>
          <w:rFonts w:eastAsiaTheme="minorEastAsia"/>
          <w:noProof/>
          <w:color w:val="4C4747"/>
          <w:lang w:val="es-DO"/>
        </w:rPr>
      </w:pPr>
    </w:p>
    <w:p w14:paraId="59892D12" w14:textId="77777777" w:rsidR="00370F94" w:rsidRDefault="00370F94" w:rsidP="00340DF1">
      <w:pPr>
        <w:spacing w:line="360" w:lineRule="auto"/>
        <w:jc w:val="both"/>
        <w:rPr>
          <w:rFonts w:eastAsiaTheme="minorEastAsia"/>
          <w:noProof/>
          <w:color w:val="4C4747"/>
          <w:lang w:val="es-DO"/>
        </w:rPr>
      </w:pPr>
    </w:p>
    <w:p w14:paraId="53C70AA7" w14:textId="77777777" w:rsidR="00370F94" w:rsidRPr="00A03E20" w:rsidRDefault="00370F94" w:rsidP="00340DF1">
      <w:pPr>
        <w:spacing w:line="360" w:lineRule="auto"/>
        <w:jc w:val="both"/>
        <w:rPr>
          <w:rFonts w:eastAsiaTheme="minorEastAsia"/>
          <w:noProof/>
          <w:color w:val="4C4747"/>
          <w:lang w:val="es-DO"/>
        </w:rPr>
      </w:pPr>
    </w:p>
    <w:p w14:paraId="1321CD2B" w14:textId="77777777" w:rsidR="003C6B92" w:rsidRPr="00A03E20" w:rsidRDefault="003C6B92" w:rsidP="00340DF1">
      <w:pPr>
        <w:pStyle w:val="Ttulo2"/>
        <w:spacing w:line="360" w:lineRule="auto"/>
        <w:rPr>
          <w:lang w:val="es-DO"/>
        </w:rPr>
      </w:pPr>
      <w:bookmarkStart w:id="10" w:name="_Toc217035432"/>
      <w:r w:rsidRPr="00A03E20">
        <w:rPr>
          <w:lang w:val="es-DO"/>
        </w:rPr>
        <w:lastRenderedPageBreak/>
        <w:t>4.2 Desempeño de los recursos humanos</w:t>
      </w:r>
      <w:bookmarkEnd w:id="10"/>
    </w:p>
    <w:p w14:paraId="30AAC438" w14:textId="77777777" w:rsidR="00FB0124" w:rsidRDefault="00FB0124" w:rsidP="00340DF1">
      <w:pPr>
        <w:spacing w:line="360" w:lineRule="auto"/>
        <w:jc w:val="both"/>
        <w:rPr>
          <w:rFonts w:eastAsia="Calibri"/>
          <w:noProof/>
          <w:color w:val="4C4747"/>
          <w:lang w:val="es-DO"/>
        </w:rPr>
      </w:pPr>
    </w:p>
    <w:p w14:paraId="1A940B9B" w14:textId="4465C429" w:rsidR="00FB0124" w:rsidRPr="003A076A" w:rsidRDefault="003A076A" w:rsidP="00340DF1">
      <w:pPr>
        <w:spacing w:line="360" w:lineRule="auto"/>
        <w:jc w:val="both"/>
        <w:rPr>
          <w:rFonts w:eastAsia="Calibri"/>
          <w:noProof/>
          <w:color w:val="4C4747"/>
          <w:lang w:val="es-DO"/>
        </w:rPr>
      </w:pPr>
      <w:r w:rsidRPr="00A03E20">
        <w:rPr>
          <w:rFonts w:eastAsiaTheme="minorEastAsia"/>
          <w:noProof/>
          <w:color w:val="4C4747"/>
          <w:lang w:val="es-DO"/>
        </w:rPr>
        <w:t>Al 11 de diciembre de 2025, los indicadores del Sistema de Monitoreo de la Administración Pública (SISMAP) registran un promedio general de 87.49% para la institución. Este resultado refleja un desempeño administrativo consistente</w:t>
      </w:r>
      <w:r w:rsidRPr="003A076A">
        <w:rPr>
          <w:rFonts w:eastAsia="Calibri"/>
          <w:noProof/>
          <w:color w:val="4C4747"/>
          <w:lang w:val="es-DO"/>
        </w:rPr>
        <w:t xml:space="preserve"> y una gestión orientada a la mejora continua, evidenciando avances significativos en áreas clave como transparencia, control interno, cumplimiento normativo y eficiencia operativa. El nivel alcanzado posiciona a la institución dentro de los estándares superiores de la administración pública, demostrando capacidad para sostener procesos de calidad y fortalecer la confianza ciudadana en la gestión institucional.</w:t>
      </w:r>
    </w:p>
    <w:p w14:paraId="145BBC8C" w14:textId="77777777" w:rsidR="006A2BB1" w:rsidRPr="006A2BB1" w:rsidRDefault="006A2BB1" w:rsidP="00340DF1">
      <w:pPr>
        <w:spacing w:line="360" w:lineRule="auto"/>
        <w:jc w:val="both"/>
        <w:rPr>
          <w:rFonts w:eastAsia="Calibri"/>
          <w:noProof/>
          <w:color w:val="4C4747"/>
          <w:lang w:val="es-DO"/>
        </w:rPr>
      </w:pPr>
      <w:r w:rsidRPr="006A2BB1">
        <w:rPr>
          <w:rFonts w:eastAsia="Calibri"/>
          <w:noProof/>
          <w:color w:val="4C4747"/>
          <w:lang w:val="es-DO"/>
        </w:rPr>
        <w:t>Logro de Metas o Resultados</w:t>
      </w:r>
    </w:p>
    <w:p w14:paraId="242221BA" w14:textId="77777777" w:rsidR="008C26CF" w:rsidRPr="00A03E20" w:rsidRDefault="006A2BB1" w:rsidP="00340DF1">
      <w:pPr>
        <w:spacing w:line="360" w:lineRule="auto"/>
        <w:jc w:val="both"/>
        <w:rPr>
          <w:rFonts w:eastAsiaTheme="minorEastAsia"/>
          <w:noProof/>
          <w:color w:val="4C4747"/>
          <w:lang w:val="es-DO"/>
        </w:rPr>
      </w:pPr>
      <w:r w:rsidRPr="00A03E20">
        <w:rPr>
          <w:rFonts w:eastAsiaTheme="minorEastAsia"/>
          <w:noProof/>
          <w:color w:val="4C4747"/>
          <w:lang w:val="es-DO"/>
        </w:rPr>
        <w:t>Actualmente, la institución evalúa a sus servidores públicos bajo el Componente I: Logro de Metas o Resultados, el cual tiene como propósito establecer y medir metas alineadas al Plan Operativo Anual (POA) de cada unidad o área.</w:t>
      </w:r>
    </w:p>
    <w:p w14:paraId="1E5CFB63" w14:textId="133CF225" w:rsidR="006A2BB1" w:rsidRPr="006A2BB1" w:rsidRDefault="006A2BB1" w:rsidP="00340DF1">
      <w:pPr>
        <w:spacing w:line="360" w:lineRule="auto"/>
        <w:jc w:val="both"/>
        <w:rPr>
          <w:rFonts w:eastAsia="Calibri"/>
          <w:noProof/>
          <w:color w:val="4C4747"/>
          <w:lang w:val="es-DO"/>
        </w:rPr>
      </w:pPr>
      <w:r w:rsidRPr="006A2BB1">
        <w:rPr>
          <w:rFonts w:eastAsia="Calibri"/>
          <w:noProof/>
          <w:color w:val="4C4747"/>
          <w:lang w:val="es-DO"/>
        </w:rPr>
        <w:t xml:space="preserve"> Estas metas se formalizan en los Acuerdos de Desempeño, documentos que definen responsabilidades y objetivos específicos, firmados por el servidor y su supervisor inmediato. Al finalizar el período, dichos acuerdos son evaluados para determinar el nivel de cumplimiento alcanzado.</w:t>
      </w:r>
    </w:p>
    <w:p w14:paraId="7024C51A" w14:textId="77777777" w:rsidR="006A2BB1" w:rsidRPr="006A2BB1" w:rsidRDefault="006A2BB1" w:rsidP="00340DF1">
      <w:pPr>
        <w:spacing w:line="360" w:lineRule="auto"/>
        <w:jc w:val="both"/>
        <w:rPr>
          <w:rFonts w:eastAsia="Calibri"/>
          <w:noProof/>
          <w:color w:val="4C4747"/>
          <w:lang w:val="es-DO"/>
        </w:rPr>
      </w:pPr>
      <w:r w:rsidRPr="006A2BB1">
        <w:rPr>
          <w:rFonts w:eastAsia="Calibri"/>
          <w:noProof/>
          <w:color w:val="4C4747"/>
          <w:lang w:val="es-DO"/>
        </w:rPr>
        <w:t>Resultados Generales</w:t>
      </w:r>
    </w:p>
    <w:p w14:paraId="4DAA62DE" w14:textId="77777777" w:rsidR="006A2BB1" w:rsidRDefault="006A2BB1" w:rsidP="00340DF1">
      <w:pPr>
        <w:spacing w:line="360" w:lineRule="auto"/>
        <w:jc w:val="both"/>
        <w:rPr>
          <w:rFonts w:eastAsiaTheme="minorEastAsia"/>
          <w:noProof/>
          <w:color w:val="4C4747"/>
          <w:lang w:val="es-DO"/>
        </w:rPr>
      </w:pPr>
      <w:r w:rsidRPr="00A03E20">
        <w:rPr>
          <w:rFonts w:eastAsiaTheme="minorEastAsia"/>
          <w:noProof/>
          <w:color w:val="4C4747"/>
          <w:lang w:val="es-DO"/>
        </w:rPr>
        <w:t>El proceso de evaluación realizado a todo el personal institucional arrojó un promedio general de calificación de 97%, reflejando un desempeño altamente satisfactorio y evidenciando el compromiso de los colaboradores con los objetivos estratégicos de la institución.</w:t>
      </w:r>
    </w:p>
    <w:p w14:paraId="22D73C62" w14:textId="77777777" w:rsidR="00370F94" w:rsidRPr="00A03E20" w:rsidRDefault="00370F94" w:rsidP="00340DF1">
      <w:pPr>
        <w:spacing w:line="360" w:lineRule="auto"/>
        <w:jc w:val="both"/>
        <w:rPr>
          <w:rFonts w:eastAsiaTheme="minorEastAsia"/>
          <w:noProof/>
          <w:color w:val="4C4747"/>
          <w:lang w:val="es-DO"/>
        </w:rPr>
      </w:pPr>
    </w:p>
    <w:p w14:paraId="1C9FB232" w14:textId="77777777" w:rsidR="006A2BB1" w:rsidRPr="00A03E20" w:rsidRDefault="006A2BB1" w:rsidP="00340DF1">
      <w:pPr>
        <w:spacing w:line="360" w:lineRule="auto"/>
        <w:jc w:val="both"/>
        <w:rPr>
          <w:rFonts w:eastAsiaTheme="minorEastAsia"/>
          <w:noProof/>
          <w:color w:val="4C4747"/>
          <w:lang w:val="es-DO"/>
        </w:rPr>
      </w:pPr>
      <w:r w:rsidRPr="00A03E20">
        <w:rPr>
          <w:rFonts w:eastAsiaTheme="minorEastAsia"/>
          <w:noProof/>
          <w:color w:val="4C4747"/>
          <w:lang w:val="es-DO"/>
        </w:rPr>
        <w:lastRenderedPageBreak/>
        <w:t>Datos Generales del Personal Evaluado</w:t>
      </w:r>
    </w:p>
    <w:p w14:paraId="3583EFF2" w14:textId="77777777" w:rsidR="006A2BB1" w:rsidRPr="00A03E20" w:rsidRDefault="006A2BB1" w:rsidP="00340DF1">
      <w:pPr>
        <w:spacing w:line="360" w:lineRule="auto"/>
        <w:jc w:val="both"/>
        <w:rPr>
          <w:rFonts w:eastAsiaTheme="minorEastAsia"/>
          <w:noProof/>
          <w:color w:val="4C4747"/>
          <w:lang w:val="es-DO"/>
        </w:rPr>
      </w:pPr>
      <w:r w:rsidRPr="00A03E20">
        <w:rPr>
          <w:rFonts w:eastAsiaTheme="minorEastAsia"/>
          <w:noProof/>
          <w:color w:val="4C4747"/>
          <w:lang w:val="es-DO"/>
        </w:rPr>
        <w:t>Distribución por género: cantidad de hombres y mujeres evaluados.</w:t>
      </w:r>
    </w:p>
    <w:p w14:paraId="2198F134" w14:textId="77777777" w:rsidR="006A2BB1" w:rsidRPr="00A03E20" w:rsidRDefault="006A2BB1" w:rsidP="00340DF1">
      <w:pPr>
        <w:spacing w:line="360" w:lineRule="auto"/>
        <w:jc w:val="both"/>
        <w:rPr>
          <w:rFonts w:eastAsiaTheme="minorEastAsia"/>
          <w:noProof/>
          <w:color w:val="4C4747"/>
          <w:lang w:val="es-DO"/>
        </w:rPr>
      </w:pPr>
      <w:r w:rsidRPr="00A03E20">
        <w:rPr>
          <w:rFonts w:eastAsiaTheme="minorEastAsia"/>
          <w:noProof/>
          <w:color w:val="4C4747"/>
          <w:lang w:val="es-DO"/>
        </w:rPr>
        <w:t>Clasificación por grupos ocupacionales: cantidad de servidores evaluados según su categoría laboral.</w:t>
      </w:r>
    </w:p>
    <w:p w14:paraId="036A2D03" w14:textId="77777777" w:rsidR="006A2BB1" w:rsidRPr="00A03E20" w:rsidRDefault="006A2BB1" w:rsidP="00340DF1">
      <w:pPr>
        <w:spacing w:line="360" w:lineRule="auto"/>
        <w:jc w:val="both"/>
        <w:rPr>
          <w:rFonts w:eastAsiaTheme="minorEastAsia"/>
          <w:noProof/>
          <w:color w:val="4C4747"/>
          <w:lang w:val="es-DO"/>
        </w:rPr>
      </w:pPr>
      <w:r w:rsidRPr="00A03E20">
        <w:rPr>
          <w:rFonts w:eastAsiaTheme="minorEastAsia"/>
          <w:noProof/>
          <w:color w:val="4C4747"/>
          <w:lang w:val="es-DO"/>
        </w:rPr>
        <w:t>Estadísticas de desempeño: resultados consolidados que muestran la tendencia positiva en el cumplimiento de metas y responsabilidades.</w:t>
      </w:r>
    </w:p>
    <w:p w14:paraId="5F5DD61A" w14:textId="469D339E" w:rsidR="004360E7" w:rsidRPr="00A03E20" w:rsidRDefault="006A2BB1" w:rsidP="00340DF1">
      <w:pPr>
        <w:spacing w:line="360" w:lineRule="auto"/>
        <w:jc w:val="both"/>
        <w:rPr>
          <w:rFonts w:eastAsiaTheme="minorEastAsia"/>
          <w:noProof/>
          <w:color w:val="4C4747"/>
          <w:lang w:val="es-DO"/>
        </w:rPr>
      </w:pPr>
      <w:r w:rsidRPr="00A03E20">
        <w:rPr>
          <w:rFonts w:eastAsiaTheme="minorEastAsia"/>
          <w:noProof/>
          <w:color w:val="4C4747"/>
          <w:lang w:val="es-DO"/>
        </w:rPr>
        <w:t>El resultado obtenido confirma la efectividad del sistema de evaluación implementado, así como la alineación del talento humano con la misión institucional. Este desempeño constituye un pilar fundamental para la consolidación de una cultura organizacional basada en la excelencia, la transparencia y la orientación a resultados.</w:t>
      </w:r>
    </w:p>
    <w:tbl>
      <w:tblPr>
        <w:tblStyle w:val="Tabladelista3-nfasis11"/>
        <w:tblpPr w:leftFromText="180" w:rightFromText="180" w:vertAnchor="text" w:horzAnchor="page" w:tblpXSpec="center" w:tblpY="32"/>
        <w:tblW w:w="6799" w:type="dxa"/>
        <w:tblLook w:val="04A0" w:firstRow="1" w:lastRow="0" w:firstColumn="1" w:lastColumn="0" w:noHBand="0" w:noVBand="1"/>
      </w:tblPr>
      <w:tblGrid>
        <w:gridCol w:w="1814"/>
        <w:gridCol w:w="1303"/>
        <w:gridCol w:w="1417"/>
        <w:gridCol w:w="2265"/>
      </w:tblGrid>
      <w:tr w:rsidR="004360E7" w:rsidRPr="00116DFC" w14:paraId="28BE77C0" w14:textId="77777777" w:rsidTr="00D14B3E">
        <w:trPr>
          <w:cnfStyle w:val="100000000000" w:firstRow="1" w:lastRow="0" w:firstColumn="0" w:lastColumn="0" w:oddVBand="0" w:evenVBand="0" w:oddHBand="0" w:evenHBand="0" w:firstRowFirstColumn="0" w:firstRowLastColumn="0" w:lastRowFirstColumn="0" w:lastRowLastColumn="0"/>
          <w:trHeight w:val="416"/>
        </w:trPr>
        <w:tc>
          <w:tcPr>
            <w:cnfStyle w:val="001000000100" w:firstRow="0" w:lastRow="0" w:firstColumn="1" w:lastColumn="0" w:oddVBand="0" w:evenVBand="0" w:oddHBand="0" w:evenHBand="0" w:firstRowFirstColumn="1" w:firstRowLastColumn="0" w:lastRowFirstColumn="0" w:lastRowLastColumn="0"/>
            <w:tcW w:w="6799"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14:paraId="5B997230" w14:textId="2812CEC0" w:rsidR="004360E7" w:rsidRPr="005C6CEC" w:rsidRDefault="00793D99" w:rsidP="00340DF1">
            <w:pPr>
              <w:spacing w:after="160" w:line="360" w:lineRule="auto"/>
              <w:jc w:val="both"/>
              <w:rPr>
                <w:rFonts w:ascii="Times New Roman" w:eastAsiaTheme="minorEastAsia" w:hAnsi="Times New Roman" w:cs="Times New Roman"/>
                <w:b w:val="0"/>
                <w:bCs w:val="0"/>
                <w:noProof/>
                <w:spacing w:val="20"/>
                <w:sz w:val="24"/>
                <w:szCs w:val="24"/>
                <w:lang w:val="es-DO"/>
              </w:rPr>
            </w:pPr>
            <w:r>
              <w:rPr>
                <w:rFonts w:ascii="Times New Roman" w:eastAsiaTheme="minorEastAsia" w:hAnsi="Times New Roman" w:cs="Times New Roman"/>
                <w:b w:val="0"/>
                <w:bCs w:val="0"/>
                <w:noProof/>
                <w:spacing w:val="20"/>
                <w:sz w:val="24"/>
                <w:szCs w:val="24"/>
                <w:lang w:val="es-DO"/>
              </w:rPr>
              <w:t xml:space="preserve">Tabla 4. </w:t>
            </w:r>
            <w:r w:rsidR="004360E7" w:rsidRPr="005C6CEC">
              <w:rPr>
                <w:rFonts w:ascii="Times New Roman" w:eastAsiaTheme="minorEastAsia" w:hAnsi="Times New Roman" w:cs="Times New Roman"/>
                <w:b w:val="0"/>
                <w:bCs w:val="0"/>
                <w:noProof/>
                <w:spacing w:val="20"/>
                <w:sz w:val="24"/>
                <w:szCs w:val="24"/>
                <w:lang w:val="es-DO"/>
              </w:rPr>
              <w:t xml:space="preserve">Cantidad de </w:t>
            </w:r>
            <w:r w:rsidR="005C6CEC" w:rsidRPr="005C6CEC">
              <w:rPr>
                <w:rFonts w:ascii="Times New Roman" w:eastAsiaTheme="minorEastAsia" w:hAnsi="Times New Roman" w:cs="Times New Roman"/>
                <w:b w:val="0"/>
                <w:bCs w:val="0"/>
                <w:noProof/>
                <w:spacing w:val="20"/>
                <w:sz w:val="24"/>
                <w:szCs w:val="24"/>
                <w:lang w:val="es-DO"/>
              </w:rPr>
              <w:t>e</w:t>
            </w:r>
            <w:r w:rsidR="004360E7" w:rsidRPr="005C6CEC">
              <w:rPr>
                <w:rFonts w:ascii="Times New Roman" w:eastAsiaTheme="minorEastAsia" w:hAnsi="Times New Roman" w:cs="Times New Roman"/>
                <w:b w:val="0"/>
                <w:bCs w:val="0"/>
                <w:noProof/>
                <w:spacing w:val="20"/>
                <w:sz w:val="24"/>
                <w:szCs w:val="24"/>
                <w:lang w:val="es-DO"/>
              </w:rPr>
              <w:t>valuados por grupo ocupacional y por sexo</w:t>
            </w:r>
          </w:p>
        </w:tc>
      </w:tr>
      <w:tr w:rsidR="004360E7" w:rsidRPr="00D14B3E" w14:paraId="51188EED" w14:textId="77777777" w:rsidTr="00D14B3E">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81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37D50BA" w14:textId="77777777" w:rsidR="004360E7" w:rsidRPr="00D14B3E" w:rsidRDefault="004360E7" w:rsidP="00793D99">
            <w:pPr>
              <w:spacing w:after="160" w:line="360" w:lineRule="auto"/>
              <w:jc w:val="center"/>
              <w:rPr>
                <w:rFonts w:ascii="Times New Roman" w:eastAsiaTheme="minorEastAsia" w:hAnsi="Times New Roman" w:cs="Times New Roman"/>
                <w:b w:val="0"/>
                <w:bCs w:val="0"/>
                <w:noProof/>
                <w:color w:val="FFFFFF" w:themeColor="background1"/>
                <w:spacing w:val="20"/>
                <w:sz w:val="24"/>
                <w:szCs w:val="24"/>
              </w:rPr>
            </w:pPr>
            <w:r w:rsidRPr="00D14B3E">
              <w:rPr>
                <w:rFonts w:ascii="Times New Roman" w:eastAsiaTheme="minorEastAsia" w:hAnsi="Times New Roman" w:cs="Times New Roman"/>
                <w:b w:val="0"/>
                <w:bCs w:val="0"/>
                <w:noProof/>
                <w:color w:val="FFFFFF" w:themeColor="background1"/>
                <w:spacing w:val="20"/>
                <w:sz w:val="24"/>
                <w:szCs w:val="24"/>
              </w:rPr>
              <w:t>Grupo Ocupacional</w:t>
            </w:r>
          </w:p>
        </w:tc>
        <w:tc>
          <w:tcPr>
            <w:tcW w:w="1303"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98E98B4" w14:textId="77777777" w:rsidR="004360E7" w:rsidRPr="00D14B3E" w:rsidRDefault="004360E7" w:rsidP="00793D9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FFFFFF" w:themeColor="background1"/>
                <w:spacing w:val="20"/>
                <w:sz w:val="24"/>
                <w:szCs w:val="24"/>
              </w:rPr>
            </w:pPr>
            <w:r w:rsidRPr="00D14B3E">
              <w:rPr>
                <w:rFonts w:ascii="Times New Roman" w:eastAsiaTheme="minorEastAsia" w:hAnsi="Times New Roman" w:cs="Times New Roman"/>
                <w:noProof/>
                <w:color w:val="FFFFFF" w:themeColor="background1"/>
                <w:spacing w:val="20"/>
                <w:sz w:val="24"/>
                <w:szCs w:val="24"/>
              </w:rPr>
              <w:t>Hombres</w:t>
            </w:r>
          </w:p>
        </w:tc>
        <w:tc>
          <w:tcPr>
            <w:tcW w:w="141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E8526E0" w14:textId="77777777" w:rsidR="004360E7" w:rsidRPr="005C6CEC" w:rsidRDefault="004360E7" w:rsidP="00793D9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5C6CEC">
              <w:rPr>
                <w:rFonts w:ascii="Times New Roman" w:eastAsiaTheme="minorEastAsia" w:hAnsi="Times New Roman" w:cs="Times New Roman"/>
                <w:noProof/>
                <w:color w:val="FFFFFF" w:themeColor="background1"/>
                <w:spacing w:val="20"/>
                <w:sz w:val="24"/>
                <w:szCs w:val="24"/>
                <w:lang w:val="es-DO"/>
              </w:rPr>
              <w:t>Mujeres</w:t>
            </w:r>
          </w:p>
        </w:tc>
        <w:tc>
          <w:tcPr>
            <w:tcW w:w="226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5315863" w14:textId="77777777" w:rsidR="004360E7" w:rsidRPr="005C6CEC" w:rsidRDefault="004360E7" w:rsidP="00793D9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FFFFFF" w:themeColor="background1"/>
                <w:spacing w:val="20"/>
                <w:sz w:val="24"/>
                <w:szCs w:val="24"/>
                <w:lang w:val="es-DO"/>
              </w:rPr>
            </w:pPr>
            <w:r w:rsidRPr="005C6CEC">
              <w:rPr>
                <w:rFonts w:ascii="Times New Roman" w:eastAsiaTheme="minorEastAsia" w:hAnsi="Times New Roman" w:cs="Times New Roman"/>
                <w:noProof/>
                <w:color w:val="FFFFFF" w:themeColor="background1"/>
                <w:spacing w:val="20"/>
                <w:sz w:val="24"/>
                <w:szCs w:val="24"/>
                <w:lang w:val="es-DO"/>
              </w:rPr>
              <w:t>Cantidad de Colaboradores Evaluados</w:t>
            </w:r>
          </w:p>
        </w:tc>
      </w:tr>
      <w:tr w:rsidR="004360E7" w:rsidRPr="00D14B3E" w14:paraId="03CFD1C8" w14:textId="77777777" w:rsidTr="008733A8">
        <w:trPr>
          <w:trHeight w:val="360"/>
        </w:trPr>
        <w:tc>
          <w:tcPr>
            <w:cnfStyle w:val="001000000000" w:firstRow="0" w:lastRow="0" w:firstColumn="1" w:lastColumn="0" w:oddVBand="0" w:evenVBand="0" w:oddHBand="0" w:evenHBand="0" w:firstRowFirstColumn="0" w:firstRowLastColumn="0" w:lastRowFirstColumn="0" w:lastRowLastColumn="0"/>
            <w:tcW w:w="1814" w:type="dxa"/>
            <w:tcBorders>
              <w:top w:val="single" w:sz="4" w:space="0" w:color="auto"/>
              <w:left w:val="single" w:sz="4" w:space="0" w:color="auto"/>
              <w:bottom w:val="single" w:sz="4" w:space="0" w:color="auto"/>
              <w:right w:val="single" w:sz="4" w:space="0" w:color="auto"/>
            </w:tcBorders>
            <w:noWrap/>
            <w:hideMark/>
          </w:tcPr>
          <w:p w14:paraId="36300672" w14:textId="77777777" w:rsidR="004360E7" w:rsidRPr="00D14B3E" w:rsidRDefault="004360E7" w:rsidP="00340DF1">
            <w:pPr>
              <w:spacing w:after="160" w:line="360" w:lineRule="auto"/>
              <w:jc w:val="both"/>
              <w:rPr>
                <w:rFonts w:ascii="Times New Roman" w:eastAsiaTheme="minorEastAsia" w:hAnsi="Times New Roman" w:cs="Times New Roman"/>
                <w:b w:val="0"/>
                <w:bCs w:val="0"/>
                <w:noProof/>
                <w:color w:val="4C4747"/>
                <w:spacing w:val="20"/>
                <w:sz w:val="24"/>
                <w:szCs w:val="24"/>
              </w:rPr>
            </w:pPr>
            <w:r w:rsidRPr="00D14B3E">
              <w:rPr>
                <w:rFonts w:ascii="Times New Roman" w:eastAsiaTheme="minorEastAsia" w:hAnsi="Times New Roman" w:cs="Times New Roman"/>
                <w:b w:val="0"/>
                <w:bCs w:val="0"/>
                <w:noProof/>
                <w:color w:val="4C4747"/>
                <w:spacing w:val="20"/>
                <w:sz w:val="24"/>
                <w:szCs w:val="24"/>
              </w:rPr>
              <w:t>I</w:t>
            </w:r>
          </w:p>
        </w:tc>
        <w:tc>
          <w:tcPr>
            <w:tcW w:w="1303" w:type="dxa"/>
            <w:tcBorders>
              <w:top w:val="single" w:sz="4" w:space="0" w:color="auto"/>
              <w:left w:val="single" w:sz="4" w:space="0" w:color="auto"/>
              <w:bottom w:val="single" w:sz="4" w:space="0" w:color="auto"/>
              <w:right w:val="single" w:sz="4" w:space="0" w:color="auto"/>
            </w:tcBorders>
            <w:noWrap/>
            <w:hideMark/>
          </w:tcPr>
          <w:p w14:paraId="6B740FEA" w14:textId="77777777" w:rsidR="004360E7" w:rsidRPr="00D14B3E" w:rsidRDefault="004360E7" w:rsidP="00340DF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7</w:t>
            </w:r>
          </w:p>
        </w:tc>
        <w:tc>
          <w:tcPr>
            <w:tcW w:w="1417" w:type="dxa"/>
            <w:tcBorders>
              <w:top w:val="single" w:sz="4" w:space="0" w:color="auto"/>
              <w:left w:val="single" w:sz="4" w:space="0" w:color="auto"/>
              <w:bottom w:val="single" w:sz="4" w:space="0" w:color="auto"/>
              <w:right w:val="single" w:sz="4" w:space="0" w:color="auto"/>
            </w:tcBorders>
            <w:noWrap/>
            <w:hideMark/>
          </w:tcPr>
          <w:p w14:paraId="5E936F4E" w14:textId="77777777" w:rsidR="004360E7" w:rsidRPr="00D14B3E" w:rsidRDefault="004360E7" w:rsidP="00340DF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4</w:t>
            </w:r>
          </w:p>
        </w:tc>
        <w:tc>
          <w:tcPr>
            <w:tcW w:w="2265" w:type="dxa"/>
            <w:tcBorders>
              <w:top w:val="single" w:sz="4" w:space="0" w:color="auto"/>
              <w:left w:val="single" w:sz="4" w:space="0" w:color="auto"/>
              <w:bottom w:val="single" w:sz="4" w:space="0" w:color="auto"/>
              <w:right w:val="single" w:sz="4" w:space="0" w:color="auto"/>
            </w:tcBorders>
            <w:noWrap/>
            <w:hideMark/>
          </w:tcPr>
          <w:p w14:paraId="5921E15F" w14:textId="77777777" w:rsidR="004360E7" w:rsidRPr="00D14B3E" w:rsidRDefault="004360E7" w:rsidP="00340DF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11</w:t>
            </w:r>
          </w:p>
        </w:tc>
      </w:tr>
      <w:tr w:rsidR="004360E7" w:rsidRPr="00D14B3E" w14:paraId="14C13A71" w14:textId="77777777" w:rsidTr="008733A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4" w:type="dxa"/>
            <w:tcBorders>
              <w:top w:val="single" w:sz="4" w:space="0" w:color="auto"/>
              <w:left w:val="single" w:sz="4" w:space="0" w:color="auto"/>
              <w:bottom w:val="single" w:sz="4" w:space="0" w:color="auto"/>
              <w:right w:val="single" w:sz="4" w:space="0" w:color="auto"/>
            </w:tcBorders>
            <w:noWrap/>
            <w:hideMark/>
          </w:tcPr>
          <w:p w14:paraId="56AF9815" w14:textId="77777777" w:rsidR="004360E7" w:rsidRPr="00D14B3E" w:rsidRDefault="004360E7" w:rsidP="00340DF1">
            <w:pPr>
              <w:spacing w:after="160" w:line="360" w:lineRule="auto"/>
              <w:jc w:val="both"/>
              <w:rPr>
                <w:rFonts w:ascii="Times New Roman" w:eastAsiaTheme="minorEastAsia" w:hAnsi="Times New Roman" w:cs="Times New Roman"/>
                <w:b w:val="0"/>
                <w:bCs w:val="0"/>
                <w:noProof/>
                <w:color w:val="4C4747"/>
                <w:spacing w:val="20"/>
                <w:sz w:val="24"/>
                <w:szCs w:val="24"/>
              </w:rPr>
            </w:pPr>
            <w:r w:rsidRPr="00D14B3E">
              <w:rPr>
                <w:rFonts w:ascii="Times New Roman" w:eastAsiaTheme="minorEastAsia" w:hAnsi="Times New Roman" w:cs="Times New Roman"/>
                <w:b w:val="0"/>
                <w:bCs w:val="0"/>
                <w:noProof/>
                <w:color w:val="4C4747"/>
                <w:spacing w:val="20"/>
                <w:sz w:val="24"/>
                <w:szCs w:val="24"/>
              </w:rPr>
              <w:t>II</w:t>
            </w:r>
          </w:p>
        </w:tc>
        <w:tc>
          <w:tcPr>
            <w:tcW w:w="1303" w:type="dxa"/>
            <w:tcBorders>
              <w:top w:val="single" w:sz="4" w:space="0" w:color="auto"/>
              <w:left w:val="single" w:sz="4" w:space="0" w:color="auto"/>
              <w:bottom w:val="single" w:sz="4" w:space="0" w:color="auto"/>
              <w:right w:val="single" w:sz="4" w:space="0" w:color="auto"/>
            </w:tcBorders>
            <w:noWrap/>
            <w:hideMark/>
          </w:tcPr>
          <w:p w14:paraId="296A40D6" w14:textId="77777777" w:rsidR="004360E7" w:rsidRPr="00D14B3E" w:rsidRDefault="004360E7" w:rsidP="00340DF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3</w:t>
            </w:r>
          </w:p>
        </w:tc>
        <w:tc>
          <w:tcPr>
            <w:tcW w:w="1417" w:type="dxa"/>
            <w:tcBorders>
              <w:top w:val="single" w:sz="4" w:space="0" w:color="auto"/>
              <w:left w:val="single" w:sz="4" w:space="0" w:color="auto"/>
              <w:bottom w:val="single" w:sz="4" w:space="0" w:color="auto"/>
              <w:right w:val="single" w:sz="4" w:space="0" w:color="auto"/>
            </w:tcBorders>
            <w:noWrap/>
            <w:hideMark/>
          </w:tcPr>
          <w:p w14:paraId="6C461819" w14:textId="77777777" w:rsidR="004360E7" w:rsidRPr="00D14B3E" w:rsidRDefault="004360E7" w:rsidP="00340DF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4</w:t>
            </w:r>
          </w:p>
        </w:tc>
        <w:tc>
          <w:tcPr>
            <w:tcW w:w="2265" w:type="dxa"/>
            <w:tcBorders>
              <w:top w:val="single" w:sz="4" w:space="0" w:color="auto"/>
              <w:left w:val="single" w:sz="4" w:space="0" w:color="auto"/>
              <w:bottom w:val="single" w:sz="4" w:space="0" w:color="auto"/>
              <w:right w:val="single" w:sz="4" w:space="0" w:color="auto"/>
            </w:tcBorders>
            <w:noWrap/>
            <w:hideMark/>
          </w:tcPr>
          <w:p w14:paraId="5817666D" w14:textId="77777777" w:rsidR="004360E7" w:rsidRPr="00D14B3E" w:rsidRDefault="004360E7" w:rsidP="00340DF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7</w:t>
            </w:r>
          </w:p>
        </w:tc>
      </w:tr>
      <w:tr w:rsidR="004360E7" w:rsidRPr="00D14B3E" w14:paraId="5F85A16F" w14:textId="77777777" w:rsidTr="008733A8">
        <w:trPr>
          <w:trHeight w:val="360"/>
        </w:trPr>
        <w:tc>
          <w:tcPr>
            <w:cnfStyle w:val="001000000000" w:firstRow="0" w:lastRow="0" w:firstColumn="1" w:lastColumn="0" w:oddVBand="0" w:evenVBand="0" w:oddHBand="0" w:evenHBand="0" w:firstRowFirstColumn="0" w:firstRowLastColumn="0" w:lastRowFirstColumn="0" w:lastRowLastColumn="0"/>
            <w:tcW w:w="1814" w:type="dxa"/>
            <w:tcBorders>
              <w:top w:val="single" w:sz="4" w:space="0" w:color="auto"/>
              <w:left w:val="single" w:sz="4" w:space="0" w:color="auto"/>
              <w:bottom w:val="single" w:sz="4" w:space="0" w:color="auto"/>
              <w:right w:val="single" w:sz="4" w:space="0" w:color="auto"/>
            </w:tcBorders>
            <w:noWrap/>
            <w:hideMark/>
          </w:tcPr>
          <w:p w14:paraId="53EBC888" w14:textId="77777777" w:rsidR="004360E7" w:rsidRPr="00D14B3E" w:rsidRDefault="004360E7" w:rsidP="00340DF1">
            <w:pPr>
              <w:spacing w:after="160" w:line="360" w:lineRule="auto"/>
              <w:jc w:val="both"/>
              <w:rPr>
                <w:rFonts w:ascii="Times New Roman" w:eastAsiaTheme="minorEastAsia" w:hAnsi="Times New Roman" w:cs="Times New Roman"/>
                <w:b w:val="0"/>
                <w:bCs w:val="0"/>
                <w:noProof/>
                <w:color w:val="4C4747"/>
                <w:spacing w:val="20"/>
                <w:sz w:val="24"/>
                <w:szCs w:val="24"/>
              </w:rPr>
            </w:pPr>
            <w:r w:rsidRPr="00D14B3E">
              <w:rPr>
                <w:rFonts w:ascii="Times New Roman" w:eastAsiaTheme="minorEastAsia" w:hAnsi="Times New Roman" w:cs="Times New Roman"/>
                <w:b w:val="0"/>
                <w:bCs w:val="0"/>
                <w:noProof/>
                <w:color w:val="4C4747"/>
                <w:spacing w:val="20"/>
                <w:sz w:val="24"/>
                <w:szCs w:val="24"/>
              </w:rPr>
              <w:t>III</w:t>
            </w:r>
          </w:p>
        </w:tc>
        <w:tc>
          <w:tcPr>
            <w:tcW w:w="1303" w:type="dxa"/>
            <w:tcBorders>
              <w:top w:val="single" w:sz="4" w:space="0" w:color="auto"/>
              <w:left w:val="single" w:sz="4" w:space="0" w:color="auto"/>
              <w:bottom w:val="single" w:sz="4" w:space="0" w:color="auto"/>
              <w:right w:val="single" w:sz="4" w:space="0" w:color="auto"/>
            </w:tcBorders>
            <w:noWrap/>
            <w:hideMark/>
          </w:tcPr>
          <w:p w14:paraId="1778EE30" w14:textId="77777777" w:rsidR="004360E7" w:rsidRPr="00D14B3E" w:rsidRDefault="004360E7" w:rsidP="00340DF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6</w:t>
            </w:r>
          </w:p>
        </w:tc>
        <w:tc>
          <w:tcPr>
            <w:tcW w:w="1417" w:type="dxa"/>
            <w:tcBorders>
              <w:top w:val="single" w:sz="4" w:space="0" w:color="auto"/>
              <w:left w:val="single" w:sz="4" w:space="0" w:color="auto"/>
              <w:bottom w:val="single" w:sz="4" w:space="0" w:color="auto"/>
              <w:right w:val="single" w:sz="4" w:space="0" w:color="auto"/>
            </w:tcBorders>
            <w:noWrap/>
            <w:hideMark/>
          </w:tcPr>
          <w:p w14:paraId="155666AE" w14:textId="77777777" w:rsidR="004360E7" w:rsidRPr="00D14B3E" w:rsidRDefault="004360E7" w:rsidP="00340DF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3</w:t>
            </w:r>
          </w:p>
        </w:tc>
        <w:tc>
          <w:tcPr>
            <w:tcW w:w="2265" w:type="dxa"/>
            <w:tcBorders>
              <w:top w:val="single" w:sz="4" w:space="0" w:color="auto"/>
              <w:left w:val="single" w:sz="4" w:space="0" w:color="auto"/>
              <w:bottom w:val="single" w:sz="4" w:space="0" w:color="auto"/>
              <w:right w:val="single" w:sz="4" w:space="0" w:color="auto"/>
            </w:tcBorders>
            <w:noWrap/>
            <w:hideMark/>
          </w:tcPr>
          <w:p w14:paraId="2EADE060" w14:textId="77777777" w:rsidR="004360E7" w:rsidRPr="00D14B3E" w:rsidRDefault="004360E7" w:rsidP="00340DF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9</w:t>
            </w:r>
          </w:p>
        </w:tc>
      </w:tr>
      <w:tr w:rsidR="004360E7" w:rsidRPr="00D14B3E" w14:paraId="37B0E587" w14:textId="77777777" w:rsidTr="008733A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4" w:type="dxa"/>
            <w:tcBorders>
              <w:top w:val="single" w:sz="4" w:space="0" w:color="auto"/>
              <w:left w:val="single" w:sz="4" w:space="0" w:color="auto"/>
              <w:bottom w:val="single" w:sz="4" w:space="0" w:color="auto"/>
              <w:right w:val="single" w:sz="4" w:space="0" w:color="auto"/>
            </w:tcBorders>
            <w:noWrap/>
            <w:hideMark/>
          </w:tcPr>
          <w:p w14:paraId="248F0202" w14:textId="77777777" w:rsidR="004360E7" w:rsidRPr="00D14B3E" w:rsidRDefault="004360E7" w:rsidP="00340DF1">
            <w:pPr>
              <w:spacing w:after="160" w:line="360" w:lineRule="auto"/>
              <w:jc w:val="both"/>
              <w:rPr>
                <w:rFonts w:ascii="Times New Roman" w:eastAsiaTheme="minorEastAsia" w:hAnsi="Times New Roman" w:cs="Times New Roman"/>
                <w:b w:val="0"/>
                <w:bCs w:val="0"/>
                <w:noProof/>
                <w:color w:val="4C4747"/>
                <w:spacing w:val="20"/>
                <w:sz w:val="24"/>
                <w:szCs w:val="24"/>
              </w:rPr>
            </w:pPr>
            <w:r w:rsidRPr="00D14B3E">
              <w:rPr>
                <w:rFonts w:ascii="Times New Roman" w:eastAsiaTheme="minorEastAsia" w:hAnsi="Times New Roman" w:cs="Times New Roman"/>
                <w:b w:val="0"/>
                <w:bCs w:val="0"/>
                <w:noProof/>
                <w:color w:val="4C4747"/>
                <w:spacing w:val="20"/>
                <w:sz w:val="24"/>
                <w:szCs w:val="24"/>
              </w:rPr>
              <w:t>IV</w:t>
            </w:r>
          </w:p>
        </w:tc>
        <w:tc>
          <w:tcPr>
            <w:tcW w:w="1303" w:type="dxa"/>
            <w:tcBorders>
              <w:top w:val="single" w:sz="4" w:space="0" w:color="auto"/>
              <w:left w:val="single" w:sz="4" w:space="0" w:color="auto"/>
              <w:bottom w:val="single" w:sz="4" w:space="0" w:color="auto"/>
              <w:right w:val="single" w:sz="4" w:space="0" w:color="auto"/>
            </w:tcBorders>
            <w:noWrap/>
            <w:hideMark/>
          </w:tcPr>
          <w:p w14:paraId="1D4CC2AC" w14:textId="77777777" w:rsidR="004360E7" w:rsidRPr="00D14B3E" w:rsidRDefault="004360E7" w:rsidP="00340DF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13</w:t>
            </w:r>
          </w:p>
        </w:tc>
        <w:tc>
          <w:tcPr>
            <w:tcW w:w="1417" w:type="dxa"/>
            <w:tcBorders>
              <w:top w:val="single" w:sz="4" w:space="0" w:color="auto"/>
              <w:left w:val="single" w:sz="4" w:space="0" w:color="auto"/>
              <w:bottom w:val="single" w:sz="4" w:space="0" w:color="auto"/>
              <w:right w:val="single" w:sz="4" w:space="0" w:color="auto"/>
            </w:tcBorders>
            <w:noWrap/>
            <w:hideMark/>
          </w:tcPr>
          <w:p w14:paraId="24D4FFF3" w14:textId="77777777" w:rsidR="004360E7" w:rsidRPr="00D14B3E" w:rsidRDefault="004360E7" w:rsidP="00340DF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12</w:t>
            </w:r>
          </w:p>
        </w:tc>
        <w:tc>
          <w:tcPr>
            <w:tcW w:w="2265" w:type="dxa"/>
            <w:tcBorders>
              <w:top w:val="single" w:sz="4" w:space="0" w:color="auto"/>
              <w:left w:val="single" w:sz="4" w:space="0" w:color="auto"/>
              <w:bottom w:val="single" w:sz="4" w:space="0" w:color="auto"/>
              <w:right w:val="single" w:sz="4" w:space="0" w:color="auto"/>
            </w:tcBorders>
            <w:noWrap/>
            <w:hideMark/>
          </w:tcPr>
          <w:p w14:paraId="1A6BE159" w14:textId="77777777" w:rsidR="004360E7" w:rsidRPr="00D14B3E" w:rsidRDefault="004360E7" w:rsidP="00340DF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25</w:t>
            </w:r>
          </w:p>
        </w:tc>
      </w:tr>
      <w:tr w:rsidR="004360E7" w:rsidRPr="00D14B3E" w14:paraId="617D2E48" w14:textId="77777777" w:rsidTr="005C6CEC">
        <w:trPr>
          <w:trHeight w:val="360"/>
        </w:trPr>
        <w:tc>
          <w:tcPr>
            <w:cnfStyle w:val="001000000000" w:firstRow="0" w:lastRow="0" w:firstColumn="1" w:lastColumn="0" w:oddVBand="0" w:evenVBand="0" w:oddHBand="0" w:evenHBand="0" w:firstRowFirstColumn="0" w:firstRowLastColumn="0" w:lastRowFirstColumn="0" w:lastRowLastColumn="0"/>
            <w:tcW w:w="1814" w:type="dxa"/>
            <w:tcBorders>
              <w:top w:val="single" w:sz="4" w:space="0" w:color="auto"/>
              <w:left w:val="single" w:sz="4" w:space="0" w:color="auto"/>
              <w:bottom w:val="single" w:sz="4" w:space="0" w:color="auto"/>
              <w:right w:val="single" w:sz="4" w:space="0" w:color="auto"/>
            </w:tcBorders>
            <w:noWrap/>
            <w:hideMark/>
          </w:tcPr>
          <w:p w14:paraId="18624FDA" w14:textId="77777777" w:rsidR="004360E7" w:rsidRPr="00D14B3E" w:rsidRDefault="004360E7" w:rsidP="00340DF1">
            <w:pPr>
              <w:spacing w:after="160" w:line="360" w:lineRule="auto"/>
              <w:jc w:val="both"/>
              <w:rPr>
                <w:rFonts w:ascii="Times New Roman" w:eastAsiaTheme="minorEastAsia" w:hAnsi="Times New Roman" w:cs="Times New Roman"/>
                <w:b w:val="0"/>
                <w:bCs w:val="0"/>
                <w:noProof/>
                <w:color w:val="4C4747"/>
                <w:spacing w:val="20"/>
                <w:sz w:val="24"/>
                <w:szCs w:val="24"/>
              </w:rPr>
            </w:pPr>
            <w:r w:rsidRPr="00D14B3E">
              <w:rPr>
                <w:rFonts w:ascii="Times New Roman" w:eastAsiaTheme="minorEastAsia" w:hAnsi="Times New Roman" w:cs="Times New Roman"/>
                <w:b w:val="0"/>
                <w:bCs w:val="0"/>
                <w:noProof/>
                <w:color w:val="4C4747"/>
                <w:spacing w:val="20"/>
                <w:sz w:val="24"/>
                <w:szCs w:val="24"/>
              </w:rPr>
              <w:t>V</w:t>
            </w:r>
          </w:p>
        </w:tc>
        <w:tc>
          <w:tcPr>
            <w:tcW w:w="1303" w:type="dxa"/>
            <w:tcBorders>
              <w:top w:val="single" w:sz="4" w:space="0" w:color="auto"/>
              <w:left w:val="single" w:sz="4" w:space="0" w:color="auto"/>
              <w:bottom w:val="single" w:sz="4" w:space="0" w:color="auto"/>
              <w:right w:val="single" w:sz="4" w:space="0" w:color="auto"/>
            </w:tcBorders>
            <w:noWrap/>
            <w:hideMark/>
          </w:tcPr>
          <w:p w14:paraId="0E9E0F94" w14:textId="77777777" w:rsidR="004360E7" w:rsidRPr="00D14B3E" w:rsidRDefault="004360E7" w:rsidP="00340DF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7</w:t>
            </w:r>
          </w:p>
        </w:tc>
        <w:tc>
          <w:tcPr>
            <w:tcW w:w="1417" w:type="dxa"/>
            <w:tcBorders>
              <w:top w:val="single" w:sz="4" w:space="0" w:color="auto"/>
              <w:left w:val="single" w:sz="4" w:space="0" w:color="auto"/>
              <w:bottom w:val="single" w:sz="4" w:space="0" w:color="auto"/>
              <w:right w:val="single" w:sz="4" w:space="0" w:color="auto"/>
            </w:tcBorders>
            <w:noWrap/>
            <w:hideMark/>
          </w:tcPr>
          <w:p w14:paraId="60C848C7" w14:textId="77777777" w:rsidR="004360E7" w:rsidRPr="00D14B3E" w:rsidRDefault="004360E7" w:rsidP="00340DF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8</w:t>
            </w:r>
          </w:p>
        </w:tc>
        <w:tc>
          <w:tcPr>
            <w:tcW w:w="2265" w:type="dxa"/>
            <w:tcBorders>
              <w:top w:val="single" w:sz="4" w:space="0" w:color="auto"/>
              <w:left w:val="single" w:sz="4" w:space="0" w:color="auto"/>
              <w:bottom w:val="single" w:sz="4" w:space="0" w:color="auto"/>
              <w:right w:val="single" w:sz="4" w:space="0" w:color="auto"/>
            </w:tcBorders>
            <w:noWrap/>
            <w:hideMark/>
          </w:tcPr>
          <w:p w14:paraId="7E9CD3FB" w14:textId="77777777" w:rsidR="004360E7" w:rsidRPr="00D14B3E" w:rsidRDefault="004360E7" w:rsidP="00340DF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15</w:t>
            </w:r>
          </w:p>
        </w:tc>
      </w:tr>
      <w:tr w:rsidR="004360E7" w:rsidRPr="00D14B3E" w14:paraId="4CFFDF42" w14:textId="77777777" w:rsidTr="005C6CE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4" w:type="dxa"/>
            <w:tcBorders>
              <w:top w:val="single" w:sz="4" w:space="0" w:color="auto"/>
              <w:left w:val="single" w:sz="4" w:space="0" w:color="auto"/>
              <w:bottom w:val="single" w:sz="4" w:space="0" w:color="auto"/>
              <w:right w:val="single" w:sz="4" w:space="0" w:color="auto"/>
            </w:tcBorders>
            <w:noWrap/>
            <w:hideMark/>
          </w:tcPr>
          <w:p w14:paraId="1A6561CA" w14:textId="02376B35" w:rsidR="004360E7" w:rsidRPr="00D14B3E" w:rsidRDefault="008D21D0" w:rsidP="00340DF1">
            <w:pPr>
              <w:spacing w:after="160" w:line="360" w:lineRule="auto"/>
              <w:jc w:val="both"/>
              <w:rPr>
                <w:rFonts w:ascii="Times New Roman" w:eastAsiaTheme="minorEastAsia" w:hAnsi="Times New Roman" w:cs="Times New Roman"/>
                <w:b w:val="0"/>
                <w:bCs w:val="0"/>
                <w:noProof/>
                <w:color w:val="4C4747"/>
                <w:spacing w:val="20"/>
                <w:sz w:val="24"/>
                <w:szCs w:val="24"/>
              </w:rPr>
            </w:pPr>
            <w:r w:rsidRPr="00D14B3E">
              <w:rPr>
                <w:rFonts w:ascii="Times New Roman" w:eastAsiaTheme="minorEastAsia" w:hAnsi="Times New Roman" w:cs="Times New Roman"/>
                <w:b w:val="0"/>
                <w:bCs w:val="0"/>
                <w:noProof/>
                <w:color w:val="4C4747"/>
                <w:spacing w:val="20"/>
                <w:sz w:val="24"/>
                <w:szCs w:val="24"/>
              </w:rPr>
              <w:t>Total</w:t>
            </w:r>
          </w:p>
        </w:tc>
        <w:tc>
          <w:tcPr>
            <w:tcW w:w="1303" w:type="dxa"/>
            <w:tcBorders>
              <w:top w:val="single" w:sz="4" w:space="0" w:color="auto"/>
              <w:left w:val="single" w:sz="4" w:space="0" w:color="auto"/>
              <w:bottom w:val="single" w:sz="4" w:space="0" w:color="auto"/>
              <w:right w:val="single" w:sz="4" w:space="0" w:color="auto"/>
            </w:tcBorders>
            <w:noWrap/>
            <w:hideMark/>
          </w:tcPr>
          <w:p w14:paraId="3E654FDC" w14:textId="77777777" w:rsidR="004360E7" w:rsidRPr="00D14B3E" w:rsidRDefault="004360E7" w:rsidP="00340DF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36</w:t>
            </w:r>
          </w:p>
        </w:tc>
        <w:tc>
          <w:tcPr>
            <w:tcW w:w="1417" w:type="dxa"/>
            <w:tcBorders>
              <w:top w:val="single" w:sz="4" w:space="0" w:color="auto"/>
              <w:left w:val="single" w:sz="4" w:space="0" w:color="auto"/>
              <w:bottom w:val="single" w:sz="4" w:space="0" w:color="auto"/>
              <w:right w:val="single" w:sz="4" w:space="0" w:color="auto"/>
            </w:tcBorders>
            <w:noWrap/>
            <w:hideMark/>
          </w:tcPr>
          <w:p w14:paraId="4FB57DB8" w14:textId="77777777" w:rsidR="004360E7" w:rsidRPr="00D14B3E" w:rsidRDefault="004360E7" w:rsidP="00340DF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31</w:t>
            </w:r>
          </w:p>
        </w:tc>
        <w:tc>
          <w:tcPr>
            <w:tcW w:w="2265" w:type="dxa"/>
            <w:tcBorders>
              <w:top w:val="single" w:sz="4" w:space="0" w:color="auto"/>
              <w:left w:val="single" w:sz="4" w:space="0" w:color="auto"/>
              <w:bottom w:val="single" w:sz="4" w:space="0" w:color="auto"/>
              <w:right w:val="single" w:sz="4" w:space="0" w:color="auto"/>
            </w:tcBorders>
            <w:noWrap/>
            <w:hideMark/>
          </w:tcPr>
          <w:p w14:paraId="00A4CAAC" w14:textId="77777777" w:rsidR="004360E7" w:rsidRPr="00D14B3E" w:rsidRDefault="004360E7" w:rsidP="00340DF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67</w:t>
            </w:r>
          </w:p>
        </w:tc>
      </w:tr>
      <w:tr w:rsidR="005C6CEC" w:rsidRPr="00D14B3E" w14:paraId="75E13151" w14:textId="77777777" w:rsidTr="005C6CEC">
        <w:trPr>
          <w:trHeight w:val="360"/>
        </w:trPr>
        <w:tc>
          <w:tcPr>
            <w:cnfStyle w:val="001000000000" w:firstRow="0" w:lastRow="0" w:firstColumn="1" w:lastColumn="0" w:oddVBand="0" w:evenVBand="0" w:oddHBand="0" w:evenHBand="0" w:firstRowFirstColumn="0" w:firstRowLastColumn="0" w:lastRowFirstColumn="0" w:lastRowLastColumn="0"/>
            <w:tcW w:w="6799" w:type="dxa"/>
            <w:gridSpan w:val="4"/>
            <w:tcBorders>
              <w:top w:val="single" w:sz="4" w:space="0" w:color="auto"/>
              <w:left w:val="nil"/>
              <w:bottom w:val="nil"/>
            </w:tcBorders>
            <w:noWrap/>
          </w:tcPr>
          <w:p w14:paraId="298506D5" w14:textId="77777777" w:rsidR="005C6CEC" w:rsidRPr="00116DFC" w:rsidRDefault="005C6CEC" w:rsidP="005C6CEC">
            <w:pPr>
              <w:spacing w:line="360" w:lineRule="auto"/>
              <w:rPr>
                <w:rFonts w:ascii="Times New Roman" w:eastAsiaTheme="minorEastAsia" w:hAnsi="Times New Roman" w:cs="Times New Roman"/>
                <w:b w:val="0"/>
                <w:bCs w:val="0"/>
                <w:i/>
                <w:iCs/>
                <w:noProof/>
                <w:color w:val="4C4747"/>
                <w:spacing w:val="20"/>
                <w:sz w:val="18"/>
                <w:szCs w:val="18"/>
                <w:lang w:val="es-DO"/>
              </w:rPr>
            </w:pPr>
            <w:r w:rsidRPr="00116DFC">
              <w:rPr>
                <w:rFonts w:ascii="Times New Roman" w:eastAsiaTheme="minorEastAsia" w:hAnsi="Times New Roman" w:cs="Times New Roman"/>
                <w:b w:val="0"/>
                <w:bCs w:val="0"/>
                <w:i/>
                <w:iCs/>
                <w:noProof/>
                <w:color w:val="4C4747"/>
                <w:spacing w:val="20"/>
                <w:sz w:val="18"/>
                <w:szCs w:val="18"/>
                <w:lang w:val="es-DO"/>
              </w:rPr>
              <w:t xml:space="preserve">Fuente: Depto de Recursos Humanos </w:t>
            </w:r>
          </w:p>
          <w:p w14:paraId="30EFAD89" w14:textId="77777777" w:rsidR="005C6CEC" w:rsidRPr="00D14B3E" w:rsidRDefault="005C6CEC" w:rsidP="00340DF1">
            <w:pPr>
              <w:spacing w:line="360" w:lineRule="auto"/>
              <w:jc w:val="both"/>
              <w:rPr>
                <w:rFonts w:eastAsiaTheme="minorEastAsia"/>
                <w:noProof/>
                <w:color w:val="4C4747"/>
              </w:rPr>
            </w:pPr>
          </w:p>
        </w:tc>
      </w:tr>
    </w:tbl>
    <w:p w14:paraId="0F24B85A" w14:textId="77777777" w:rsidR="004360E7" w:rsidRPr="00D14B3E" w:rsidRDefault="004360E7" w:rsidP="00340DF1">
      <w:pPr>
        <w:spacing w:line="360" w:lineRule="auto"/>
        <w:jc w:val="both"/>
        <w:rPr>
          <w:rFonts w:eastAsiaTheme="minorEastAsia"/>
          <w:noProof/>
          <w:color w:val="4C4747"/>
        </w:rPr>
      </w:pPr>
    </w:p>
    <w:p w14:paraId="49EFDF05" w14:textId="77777777" w:rsidR="00D14B3E" w:rsidRDefault="00D14B3E" w:rsidP="00340DF1">
      <w:pPr>
        <w:spacing w:line="360" w:lineRule="auto"/>
        <w:jc w:val="both"/>
        <w:rPr>
          <w:rFonts w:eastAsiaTheme="minorEastAsia"/>
          <w:noProof/>
          <w:color w:val="4C4747"/>
        </w:rPr>
      </w:pPr>
    </w:p>
    <w:p w14:paraId="7A6F4312" w14:textId="77777777" w:rsidR="00D14B3E" w:rsidRDefault="00D14B3E" w:rsidP="00340DF1">
      <w:pPr>
        <w:spacing w:line="360" w:lineRule="auto"/>
        <w:jc w:val="both"/>
        <w:rPr>
          <w:rFonts w:eastAsiaTheme="minorEastAsia"/>
          <w:noProof/>
          <w:color w:val="4C4747"/>
        </w:rPr>
      </w:pPr>
    </w:p>
    <w:p w14:paraId="051906D9" w14:textId="77777777" w:rsidR="00D14B3E" w:rsidRDefault="00D14B3E" w:rsidP="00340DF1">
      <w:pPr>
        <w:spacing w:line="360" w:lineRule="auto"/>
        <w:jc w:val="both"/>
        <w:rPr>
          <w:rFonts w:eastAsiaTheme="minorEastAsia"/>
          <w:noProof/>
          <w:color w:val="4C4747"/>
        </w:rPr>
      </w:pPr>
    </w:p>
    <w:p w14:paraId="2628C805" w14:textId="77777777" w:rsidR="00D14B3E" w:rsidRDefault="00D14B3E" w:rsidP="00340DF1">
      <w:pPr>
        <w:spacing w:line="360" w:lineRule="auto"/>
        <w:jc w:val="both"/>
        <w:rPr>
          <w:rFonts w:eastAsiaTheme="minorEastAsia"/>
          <w:noProof/>
          <w:color w:val="4C4747"/>
        </w:rPr>
      </w:pPr>
    </w:p>
    <w:p w14:paraId="3818B9A7" w14:textId="77777777" w:rsidR="00D14B3E" w:rsidRDefault="00D14B3E" w:rsidP="00340DF1">
      <w:pPr>
        <w:spacing w:line="360" w:lineRule="auto"/>
        <w:jc w:val="both"/>
        <w:rPr>
          <w:rFonts w:eastAsiaTheme="minorEastAsia"/>
          <w:noProof/>
          <w:color w:val="4C4747"/>
        </w:rPr>
      </w:pPr>
    </w:p>
    <w:p w14:paraId="66EDB2C1" w14:textId="77777777" w:rsidR="00D14B3E" w:rsidRDefault="00D14B3E" w:rsidP="00340DF1">
      <w:pPr>
        <w:spacing w:line="360" w:lineRule="auto"/>
        <w:jc w:val="both"/>
        <w:rPr>
          <w:rFonts w:eastAsiaTheme="minorEastAsia"/>
          <w:noProof/>
          <w:color w:val="4C4747"/>
        </w:rPr>
      </w:pPr>
    </w:p>
    <w:p w14:paraId="4B1EED5A" w14:textId="77777777" w:rsidR="00D14B3E" w:rsidRDefault="00D14B3E" w:rsidP="00340DF1">
      <w:pPr>
        <w:spacing w:line="360" w:lineRule="auto"/>
        <w:jc w:val="both"/>
        <w:rPr>
          <w:rFonts w:eastAsiaTheme="minorEastAsia"/>
          <w:noProof/>
          <w:color w:val="4C4747"/>
        </w:rPr>
      </w:pPr>
    </w:p>
    <w:p w14:paraId="7E89DA04" w14:textId="77777777" w:rsidR="00D14B3E" w:rsidRDefault="00D14B3E" w:rsidP="00340DF1">
      <w:pPr>
        <w:spacing w:line="360" w:lineRule="auto"/>
        <w:jc w:val="both"/>
        <w:rPr>
          <w:rFonts w:eastAsiaTheme="minorEastAsia"/>
          <w:noProof/>
          <w:color w:val="4C4747"/>
        </w:rPr>
      </w:pPr>
    </w:p>
    <w:p w14:paraId="749CBE52" w14:textId="77777777" w:rsidR="00D12E71" w:rsidRDefault="00D12E71" w:rsidP="00340DF1">
      <w:pPr>
        <w:spacing w:line="360" w:lineRule="auto"/>
        <w:jc w:val="both"/>
        <w:rPr>
          <w:rFonts w:eastAsiaTheme="minorEastAsia"/>
          <w:noProof/>
          <w:color w:val="4C4747"/>
          <w:lang w:val="es-DO"/>
        </w:rPr>
      </w:pPr>
    </w:p>
    <w:p w14:paraId="2CBA1957" w14:textId="77777777" w:rsidR="00370F94" w:rsidRDefault="00370F94" w:rsidP="00340DF1">
      <w:pPr>
        <w:spacing w:line="360" w:lineRule="auto"/>
        <w:jc w:val="both"/>
        <w:rPr>
          <w:rFonts w:eastAsiaTheme="minorEastAsia"/>
          <w:noProof/>
          <w:color w:val="4C4747"/>
          <w:lang w:val="es-DO"/>
        </w:rPr>
      </w:pPr>
    </w:p>
    <w:p w14:paraId="734A8B5E" w14:textId="77777777" w:rsidR="00793D99" w:rsidRDefault="00793D99" w:rsidP="00340DF1">
      <w:pPr>
        <w:spacing w:line="360" w:lineRule="auto"/>
        <w:jc w:val="both"/>
        <w:rPr>
          <w:rFonts w:eastAsiaTheme="minorEastAsia"/>
          <w:noProof/>
          <w:color w:val="4C4747"/>
          <w:lang w:val="es-DO"/>
        </w:rPr>
      </w:pPr>
    </w:p>
    <w:p w14:paraId="3C80CDB0" w14:textId="77777777" w:rsidR="00793D99" w:rsidRDefault="00793D99" w:rsidP="00340DF1">
      <w:pPr>
        <w:spacing w:line="360" w:lineRule="auto"/>
        <w:jc w:val="both"/>
        <w:rPr>
          <w:rFonts w:eastAsiaTheme="minorEastAsia"/>
          <w:noProof/>
          <w:color w:val="4C4747"/>
          <w:lang w:val="es-DO"/>
        </w:rPr>
      </w:pPr>
    </w:p>
    <w:p w14:paraId="492DE411" w14:textId="0DD19654" w:rsidR="00256241" w:rsidRPr="00A03E20" w:rsidRDefault="00256241" w:rsidP="00340DF1">
      <w:pPr>
        <w:spacing w:line="360" w:lineRule="auto"/>
        <w:jc w:val="both"/>
        <w:rPr>
          <w:rFonts w:eastAsiaTheme="minorEastAsia"/>
          <w:noProof/>
          <w:color w:val="4C4747"/>
          <w:lang w:val="es-DO"/>
        </w:rPr>
      </w:pPr>
      <w:r w:rsidRPr="00D14B3E">
        <w:rPr>
          <w:rFonts w:eastAsiaTheme="minorEastAsia"/>
          <w:noProof/>
          <w:color w:val="4C4747"/>
          <w:lang w:val="es-DO"/>
        </w:rPr>
        <w:t xml:space="preserve">En el siguiente cuadro se presenta la distribución del personal evaluado durante el año 2024 (ultima evaluación realizada) según género. </w:t>
      </w:r>
      <w:r w:rsidRPr="00A03E20">
        <w:rPr>
          <w:rFonts w:eastAsiaTheme="minorEastAsia"/>
          <w:noProof/>
          <w:color w:val="4C4747"/>
          <w:lang w:val="es-DO"/>
        </w:rPr>
        <w:t>Del total de colaboradores, 54% corresponde al género masculino y 46% al género femenino. Esta proporción refleja una composición laboral relativamente equilibrada, lo que fortalece la diversidad institucional y aporta una perspectiva inclusiva en la gestión del talento humano.</w:t>
      </w:r>
    </w:p>
    <w:p w14:paraId="0EC11DAE" w14:textId="14B7681C" w:rsidR="004360E7" w:rsidRPr="00A03E20" w:rsidRDefault="004360E7" w:rsidP="00340DF1">
      <w:pPr>
        <w:spacing w:line="360" w:lineRule="auto"/>
        <w:jc w:val="both"/>
        <w:rPr>
          <w:rFonts w:eastAsiaTheme="minorEastAsia"/>
          <w:noProof/>
          <w:color w:val="4C4747"/>
          <w:lang w:val="es-DO"/>
        </w:rPr>
      </w:pPr>
    </w:p>
    <w:tbl>
      <w:tblPr>
        <w:tblStyle w:val="Tabladelista3-nfasis11"/>
        <w:tblpPr w:leftFromText="180" w:rightFromText="180" w:vertAnchor="text" w:horzAnchor="margin" w:tblpXSpec="center" w:tblpY="-59"/>
        <w:tblOverlap w:val="never"/>
        <w:tblW w:w="0" w:type="auto"/>
        <w:tblBorders>
          <w:insideH w:val="single" w:sz="4" w:space="0" w:color="4472C4" w:themeColor="accent1"/>
          <w:insideV w:val="single" w:sz="4" w:space="0" w:color="4472C4" w:themeColor="accent1"/>
        </w:tblBorders>
        <w:tblLook w:val="04A0" w:firstRow="1" w:lastRow="0" w:firstColumn="1" w:lastColumn="0" w:noHBand="0" w:noVBand="1"/>
      </w:tblPr>
      <w:tblGrid>
        <w:gridCol w:w="1629"/>
        <w:gridCol w:w="1924"/>
        <w:gridCol w:w="2213"/>
      </w:tblGrid>
      <w:tr w:rsidR="007D01C7" w:rsidRPr="00D14B3E" w14:paraId="03DF4D67" w14:textId="77777777" w:rsidTr="00396103">
        <w:trPr>
          <w:cnfStyle w:val="100000000000" w:firstRow="1" w:lastRow="0" w:firstColumn="0" w:lastColumn="0" w:oddVBand="0" w:evenVBand="0" w:oddHBand="0" w:evenHBand="0" w:firstRowFirstColumn="0" w:firstRowLastColumn="0" w:lastRowFirstColumn="0" w:lastRowLastColumn="0"/>
          <w:trHeight w:val="607"/>
        </w:trPr>
        <w:tc>
          <w:tcPr>
            <w:cnfStyle w:val="001000000100" w:firstRow="0" w:lastRow="0" w:firstColumn="1" w:lastColumn="0" w:oddVBand="0" w:evenVBand="0" w:oddHBand="0" w:evenHBand="0" w:firstRowFirstColumn="1" w:firstRowLastColumn="0" w:lastRowFirstColumn="0" w:lastRowLastColumn="0"/>
            <w:tcW w:w="5766" w:type="dxa"/>
            <w:gridSpan w:val="3"/>
            <w:tcBorders>
              <w:top w:val="single" w:sz="4" w:space="0" w:color="auto"/>
              <w:left w:val="single" w:sz="4" w:space="0" w:color="auto"/>
              <w:bottom w:val="single" w:sz="4" w:space="0" w:color="auto"/>
              <w:right w:val="single" w:sz="4" w:space="0" w:color="auto"/>
            </w:tcBorders>
            <w:shd w:val="clear" w:color="auto" w:fill="002060"/>
          </w:tcPr>
          <w:p w14:paraId="1003FBCB" w14:textId="5BC7B8CE" w:rsidR="007D01C7" w:rsidRPr="007D01C7" w:rsidRDefault="007D01C7" w:rsidP="00340DF1">
            <w:pPr>
              <w:spacing w:line="360" w:lineRule="auto"/>
              <w:jc w:val="center"/>
              <w:rPr>
                <w:rFonts w:ascii="Times New Roman" w:eastAsiaTheme="minorEastAsia" w:hAnsi="Times New Roman" w:cs="Times New Roman"/>
                <w:b w:val="0"/>
                <w:bCs w:val="0"/>
                <w:noProof/>
                <w:spacing w:val="20"/>
                <w:sz w:val="24"/>
                <w:szCs w:val="24"/>
                <w:lang w:val="es-DO"/>
              </w:rPr>
            </w:pPr>
            <w:r w:rsidRPr="007D01C7">
              <w:rPr>
                <w:rFonts w:ascii="Times New Roman" w:eastAsiaTheme="minorEastAsia" w:hAnsi="Times New Roman" w:cs="Times New Roman"/>
                <w:b w:val="0"/>
                <w:bCs w:val="0"/>
                <w:noProof/>
                <w:spacing w:val="20"/>
                <w:sz w:val="24"/>
                <w:szCs w:val="24"/>
                <w:lang w:val="es-DO"/>
              </w:rPr>
              <w:t>Tabla 5. Personal evaluado</w:t>
            </w:r>
          </w:p>
        </w:tc>
      </w:tr>
      <w:tr w:rsidR="007E49F1" w:rsidRPr="00D14B3E" w14:paraId="434DF58B" w14:textId="77777777" w:rsidTr="00D12E71">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629" w:type="dxa"/>
            <w:tcBorders>
              <w:top w:val="single" w:sz="4" w:space="0" w:color="auto"/>
              <w:left w:val="single" w:sz="4" w:space="0" w:color="auto"/>
              <w:bottom w:val="single" w:sz="4" w:space="0" w:color="auto"/>
              <w:right w:val="single" w:sz="4" w:space="0" w:color="auto"/>
            </w:tcBorders>
            <w:shd w:val="clear" w:color="auto" w:fill="002060"/>
          </w:tcPr>
          <w:p w14:paraId="64FA03F0" w14:textId="77777777" w:rsidR="007E49F1" w:rsidRPr="00D12E71" w:rsidRDefault="007E49F1" w:rsidP="00340DF1">
            <w:pPr>
              <w:spacing w:after="160" w:line="360" w:lineRule="auto"/>
              <w:jc w:val="center"/>
              <w:rPr>
                <w:rFonts w:ascii="Times New Roman" w:eastAsiaTheme="minorEastAsia" w:hAnsi="Times New Roman" w:cs="Times New Roman"/>
                <w:b w:val="0"/>
                <w:bCs w:val="0"/>
                <w:noProof/>
                <w:spacing w:val="20"/>
                <w:sz w:val="24"/>
                <w:szCs w:val="24"/>
              </w:rPr>
            </w:pPr>
            <w:r w:rsidRPr="00D12E71">
              <w:rPr>
                <w:rFonts w:ascii="Times New Roman" w:eastAsiaTheme="minorEastAsia" w:hAnsi="Times New Roman" w:cs="Times New Roman"/>
                <w:b w:val="0"/>
                <w:bCs w:val="0"/>
                <w:noProof/>
                <w:spacing w:val="20"/>
                <w:sz w:val="24"/>
                <w:szCs w:val="24"/>
              </w:rPr>
              <w:t>Género</w:t>
            </w:r>
          </w:p>
        </w:tc>
        <w:tc>
          <w:tcPr>
            <w:tcW w:w="1924" w:type="dxa"/>
            <w:tcBorders>
              <w:top w:val="single" w:sz="4" w:space="0" w:color="auto"/>
              <w:left w:val="single" w:sz="4" w:space="0" w:color="auto"/>
              <w:bottom w:val="single" w:sz="4" w:space="0" w:color="auto"/>
              <w:right w:val="single" w:sz="4" w:space="0" w:color="auto"/>
            </w:tcBorders>
            <w:shd w:val="clear" w:color="auto" w:fill="002060"/>
          </w:tcPr>
          <w:p w14:paraId="66760B8A" w14:textId="77777777" w:rsidR="007E49F1" w:rsidRPr="00D12E71" w:rsidRDefault="007E49F1" w:rsidP="00340DF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noProof/>
                <w:spacing w:val="20"/>
                <w:sz w:val="24"/>
                <w:szCs w:val="24"/>
              </w:rPr>
            </w:pPr>
            <w:r w:rsidRPr="00D12E71">
              <w:rPr>
                <w:rFonts w:ascii="Times New Roman" w:eastAsiaTheme="minorEastAsia" w:hAnsi="Times New Roman" w:cs="Times New Roman"/>
                <w:noProof/>
                <w:spacing w:val="20"/>
                <w:sz w:val="24"/>
                <w:szCs w:val="24"/>
              </w:rPr>
              <w:t>Total Evaluados</w:t>
            </w:r>
          </w:p>
        </w:tc>
        <w:tc>
          <w:tcPr>
            <w:tcW w:w="2213" w:type="dxa"/>
            <w:tcBorders>
              <w:top w:val="single" w:sz="4" w:space="0" w:color="auto"/>
              <w:left w:val="single" w:sz="4" w:space="0" w:color="auto"/>
              <w:bottom w:val="single" w:sz="4" w:space="0" w:color="auto"/>
              <w:right w:val="single" w:sz="4" w:space="0" w:color="auto"/>
            </w:tcBorders>
            <w:shd w:val="clear" w:color="auto" w:fill="002060"/>
          </w:tcPr>
          <w:p w14:paraId="59A5A8EA" w14:textId="77777777" w:rsidR="007E49F1" w:rsidRPr="00D12E71" w:rsidRDefault="007E49F1" w:rsidP="00340DF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noProof/>
                <w:spacing w:val="20"/>
                <w:sz w:val="24"/>
                <w:szCs w:val="24"/>
              </w:rPr>
            </w:pPr>
            <w:r w:rsidRPr="00D12E71">
              <w:rPr>
                <w:rFonts w:ascii="Times New Roman" w:eastAsiaTheme="minorEastAsia" w:hAnsi="Times New Roman" w:cs="Times New Roman"/>
                <w:noProof/>
                <w:spacing w:val="20"/>
                <w:sz w:val="24"/>
                <w:szCs w:val="24"/>
              </w:rPr>
              <w:t>Porcentajes</w:t>
            </w:r>
          </w:p>
        </w:tc>
      </w:tr>
      <w:tr w:rsidR="007E49F1" w:rsidRPr="00D14B3E" w14:paraId="7DEB2A23" w14:textId="77777777" w:rsidTr="00D8136D">
        <w:trPr>
          <w:trHeight w:val="223"/>
        </w:trPr>
        <w:tc>
          <w:tcPr>
            <w:cnfStyle w:val="001000000000" w:firstRow="0" w:lastRow="0" w:firstColumn="1" w:lastColumn="0" w:oddVBand="0" w:evenVBand="0" w:oddHBand="0" w:evenHBand="0" w:firstRowFirstColumn="0" w:firstRowLastColumn="0" w:lastRowFirstColumn="0" w:lastRowLastColumn="0"/>
            <w:tcW w:w="1629" w:type="dxa"/>
            <w:tcBorders>
              <w:top w:val="single" w:sz="4" w:space="0" w:color="auto"/>
              <w:left w:val="single" w:sz="4" w:space="0" w:color="auto"/>
              <w:bottom w:val="single" w:sz="4" w:space="0" w:color="auto"/>
              <w:right w:val="single" w:sz="4" w:space="0" w:color="auto"/>
            </w:tcBorders>
          </w:tcPr>
          <w:p w14:paraId="20D1BBDA" w14:textId="77777777" w:rsidR="007E49F1" w:rsidRPr="00D14B3E" w:rsidRDefault="007E49F1" w:rsidP="00340DF1">
            <w:pPr>
              <w:spacing w:after="160" w:line="360" w:lineRule="auto"/>
              <w:jc w:val="both"/>
              <w:rPr>
                <w:rFonts w:ascii="Times New Roman" w:eastAsiaTheme="minorEastAsia" w:hAnsi="Times New Roman" w:cs="Times New Roman"/>
                <w:b w:val="0"/>
                <w:bCs w:val="0"/>
                <w:noProof/>
                <w:color w:val="4C4747"/>
                <w:spacing w:val="20"/>
                <w:sz w:val="24"/>
                <w:szCs w:val="24"/>
              </w:rPr>
            </w:pPr>
            <w:r w:rsidRPr="00D14B3E">
              <w:rPr>
                <w:rFonts w:ascii="Times New Roman" w:eastAsiaTheme="minorEastAsia" w:hAnsi="Times New Roman" w:cs="Times New Roman"/>
                <w:b w:val="0"/>
                <w:bCs w:val="0"/>
                <w:noProof/>
                <w:color w:val="4C4747"/>
                <w:spacing w:val="20"/>
                <w:sz w:val="24"/>
                <w:szCs w:val="24"/>
              </w:rPr>
              <w:t>Hombres</w:t>
            </w:r>
          </w:p>
        </w:tc>
        <w:tc>
          <w:tcPr>
            <w:tcW w:w="1924" w:type="dxa"/>
            <w:tcBorders>
              <w:top w:val="single" w:sz="4" w:space="0" w:color="auto"/>
              <w:left w:val="single" w:sz="4" w:space="0" w:color="auto"/>
              <w:bottom w:val="single" w:sz="4" w:space="0" w:color="auto"/>
              <w:right w:val="single" w:sz="4" w:space="0" w:color="auto"/>
            </w:tcBorders>
          </w:tcPr>
          <w:p w14:paraId="29205251" w14:textId="77777777" w:rsidR="007E49F1" w:rsidRPr="00D14B3E" w:rsidRDefault="007E49F1" w:rsidP="007D01C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36</w:t>
            </w:r>
          </w:p>
        </w:tc>
        <w:tc>
          <w:tcPr>
            <w:tcW w:w="2213" w:type="dxa"/>
            <w:tcBorders>
              <w:top w:val="single" w:sz="4" w:space="0" w:color="auto"/>
              <w:left w:val="single" w:sz="4" w:space="0" w:color="auto"/>
              <w:bottom w:val="single" w:sz="4" w:space="0" w:color="auto"/>
              <w:right w:val="single" w:sz="4" w:space="0" w:color="auto"/>
            </w:tcBorders>
          </w:tcPr>
          <w:p w14:paraId="5802C923" w14:textId="77777777" w:rsidR="007E49F1" w:rsidRPr="00D14B3E" w:rsidRDefault="007E49F1" w:rsidP="00340DF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 xml:space="preserve">               54%</w:t>
            </w:r>
          </w:p>
        </w:tc>
      </w:tr>
      <w:tr w:rsidR="007E49F1" w:rsidRPr="00D14B3E" w14:paraId="0505BB8E" w14:textId="77777777" w:rsidTr="005C6CEC">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629" w:type="dxa"/>
            <w:tcBorders>
              <w:top w:val="single" w:sz="4" w:space="0" w:color="auto"/>
              <w:left w:val="single" w:sz="4" w:space="0" w:color="auto"/>
              <w:bottom w:val="single" w:sz="4" w:space="0" w:color="auto"/>
              <w:right w:val="single" w:sz="4" w:space="0" w:color="auto"/>
            </w:tcBorders>
          </w:tcPr>
          <w:p w14:paraId="41BC8C88" w14:textId="77777777" w:rsidR="007E49F1" w:rsidRPr="00D14B3E" w:rsidRDefault="007E49F1" w:rsidP="00340DF1">
            <w:pPr>
              <w:spacing w:after="160" w:line="360" w:lineRule="auto"/>
              <w:jc w:val="both"/>
              <w:rPr>
                <w:rFonts w:ascii="Times New Roman" w:eastAsiaTheme="minorEastAsia" w:hAnsi="Times New Roman" w:cs="Times New Roman"/>
                <w:b w:val="0"/>
                <w:bCs w:val="0"/>
                <w:noProof/>
                <w:color w:val="4C4747"/>
                <w:spacing w:val="20"/>
                <w:sz w:val="24"/>
                <w:szCs w:val="24"/>
              </w:rPr>
            </w:pPr>
            <w:r w:rsidRPr="00D14B3E">
              <w:rPr>
                <w:rFonts w:ascii="Times New Roman" w:eastAsiaTheme="minorEastAsia" w:hAnsi="Times New Roman" w:cs="Times New Roman"/>
                <w:b w:val="0"/>
                <w:bCs w:val="0"/>
                <w:noProof/>
                <w:color w:val="4C4747"/>
                <w:spacing w:val="20"/>
                <w:sz w:val="24"/>
                <w:szCs w:val="24"/>
              </w:rPr>
              <w:t>Mujeres</w:t>
            </w:r>
          </w:p>
        </w:tc>
        <w:tc>
          <w:tcPr>
            <w:tcW w:w="1924" w:type="dxa"/>
            <w:tcBorders>
              <w:top w:val="single" w:sz="4" w:space="0" w:color="auto"/>
              <w:left w:val="single" w:sz="4" w:space="0" w:color="auto"/>
              <w:bottom w:val="single" w:sz="4" w:space="0" w:color="auto"/>
              <w:right w:val="single" w:sz="4" w:space="0" w:color="auto"/>
            </w:tcBorders>
          </w:tcPr>
          <w:p w14:paraId="79681525" w14:textId="77777777" w:rsidR="007E49F1" w:rsidRPr="00D14B3E" w:rsidRDefault="007E49F1" w:rsidP="007D01C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31</w:t>
            </w:r>
          </w:p>
        </w:tc>
        <w:tc>
          <w:tcPr>
            <w:tcW w:w="2213" w:type="dxa"/>
            <w:tcBorders>
              <w:top w:val="single" w:sz="4" w:space="0" w:color="auto"/>
              <w:left w:val="single" w:sz="4" w:space="0" w:color="auto"/>
              <w:bottom w:val="single" w:sz="4" w:space="0" w:color="auto"/>
              <w:right w:val="single" w:sz="4" w:space="0" w:color="auto"/>
            </w:tcBorders>
          </w:tcPr>
          <w:p w14:paraId="2900212E" w14:textId="77777777" w:rsidR="007E49F1" w:rsidRPr="00D14B3E" w:rsidRDefault="007E49F1" w:rsidP="00340DF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 xml:space="preserve">                46%</w:t>
            </w:r>
          </w:p>
        </w:tc>
      </w:tr>
      <w:tr w:rsidR="007E49F1" w:rsidRPr="00D14B3E" w14:paraId="789827CF" w14:textId="77777777" w:rsidTr="005C6CEC">
        <w:trPr>
          <w:trHeight w:val="223"/>
        </w:trPr>
        <w:tc>
          <w:tcPr>
            <w:cnfStyle w:val="001000000000" w:firstRow="0" w:lastRow="0" w:firstColumn="1" w:lastColumn="0" w:oddVBand="0" w:evenVBand="0" w:oddHBand="0" w:evenHBand="0" w:firstRowFirstColumn="0" w:firstRowLastColumn="0" w:lastRowFirstColumn="0" w:lastRowLastColumn="0"/>
            <w:tcW w:w="1629" w:type="dxa"/>
            <w:tcBorders>
              <w:top w:val="single" w:sz="4" w:space="0" w:color="auto"/>
              <w:left w:val="single" w:sz="4" w:space="0" w:color="auto"/>
              <w:bottom w:val="single" w:sz="4" w:space="0" w:color="auto"/>
              <w:right w:val="single" w:sz="4" w:space="0" w:color="auto"/>
            </w:tcBorders>
          </w:tcPr>
          <w:p w14:paraId="47F8E1E5" w14:textId="77777777" w:rsidR="007E49F1" w:rsidRPr="00D14B3E" w:rsidRDefault="007E49F1" w:rsidP="00340DF1">
            <w:pPr>
              <w:spacing w:after="160" w:line="360" w:lineRule="auto"/>
              <w:jc w:val="both"/>
              <w:rPr>
                <w:rFonts w:ascii="Times New Roman" w:eastAsiaTheme="minorEastAsia" w:hAnsi="Times New Roman" w:cs="Times New Roman"/>
                <w:b w:val="0"/>
                <w:bCs w:val="0"/>
                <w:noProof/>
                <w:color w:val="4C4747"/>
                <w:spacing w:val="20"/>
                <w:sz w:val="24"/>
                <w:szCs w:val="24"/>
              </w:rPr>
            </w:pPr>
            <w:r w:rsidRPr="00D14B3E">
              <w:rPr>
                <w:rFonts w:ascii="Times New Roman" w:eastAsiaTheme="minorEastAsia" w:hAnsi="Times New Roman" w:cs="Times New Roman"/>
                <w:b w:val="0"/>
                <w:bCs w:val="0"/>
                <w:noProof/>
                <w:color w:val="4C4747"/>
                <w:spacing w:val="20"/>
                <w:sz w:val="24"/>
                <w:szCs w:val="24"/>
              </w:rPr>
              <w:t>Totales</w:t>
            </w:r>
          </w:p>
        </w:tc>
        <w:tc>
          <w:tcPr>
            <w:tcW w:w="1924" w:type="dxa"/>
            <w:tcBorders>
              <w:top w:val="single" w:sz="4" w:space="0" w:color="auto"/>
              <w:left w:val="single" w:sz="4" w:space="0" w:color="auto"/>
              <w:bottom w:val="single" w:sz="4" w:space="0" w:color="auto"/>
              <w:right w:val="single" w:sz="4" w:space="0" w:color="auto"/>
            </w:tcBorders>
          </w:tcPr>
          <w:p w14:paraId="31FEE795" w14:textId="6A6F087F" w:rsidR="007E49F1" w:rsidRPr="00D14B3E" w:rsidRDefault="007E49F1" w:rsidP="007D01C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67</w:t>
            </w:r>
          </w:p>
        </w:tc>
        <w:tc>
          <w:tcPr>
            <w:tcW w:w="2213" w:type="dxa"/>
            <w:tcBorders>
              <w:top w:val="single" w:sz="4" w:space="0" w:color="auto"/>
              <w:left w:val="single" w:sz="4" w:space="0" w:color="auto"/>
              <w:bottom w:val="single" w:sz="4" w:space="0" w:color="auto"/>
              <w:right w:val="single" w:sz="4" w:space="0" w:color="auto"/>
            </w:tcBorders>
          </w:tcPr>
          <w:p w14:paraId="1B070D5B" w14:textId="77777777" w:rsidR="007E49F1" w:rsidRPr="00D14B3E" w:rsidRDefault="007E49F1" w:rsidP="00340DF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rPr>
            </w:pPr>
            <w:r w:rsidRPr="00D14B3E">
              <w:rPr>
                <w:rFonts w:ascii="Times New Roman" w:eastAsiaTheme="minorEastAsia" w:hAnsi="Times New Roman" w:cs="Times New Roman"/>
                <w:noProof/>
                <w:color w:val="4C4747"/>
                <w:spacing w:val="20"/>
                <w:sz w:val="24"/>
                <w:szCs w:val="24"/>
              </w:rPr>
              <w:t xml:space="preserve">              100%</w:t>
            </w:r>
          </w:p>
        </w:tc>
      </w:tr>
      <w:tr w:rsidR="005C6CEC" w:rsidRPr="00D14B3E" w14:paraId="05B4E38E" w14:textId="77777777" w:rsidTr="005C6CEC">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5766" w:type="dxa"/>
            <w:gridSpan w:val="3"/>
            <w:tcBorders>
              <w:top w:val="single" w:sz="4" w:space="0" w:color="auto"/>
              <w:left w:val="nil"/>
              <w:bottom w:val="nil"/>
            </w:tcBorders>
          </w:tcPr>
          <w:p w14:paraId="00EB441B" w14:textId="77777777" w:rsidR="005C6CEC" w:rsidRPr="00116DFC" w:rsidRDefault="005C6CEC" w:rsidP="005C6CEC">
            <w:pPr>
              <w:spacing w:line="360" w:lineRule="auto"/>
              <w:rPr>
                <w:rFonts w:ascii="Times New Roman" w:eastAsiaTheme="minorEastAsia" w:hAnsi="Times New Roman" w:cs="Times New Roman"/>
                <w:b w:val="0"/>
                <w:bCs w:val="0"/>
                <w:i/>
                <w:iCs/>
                <w:noProof/>
                <w:color w:val="4C4747"/>
                <w:spacing w:val="20"/>
                <w:sz w:val="18"/>
                <w:szCs w:val="18"/>
                <w:lang w:val="es-DO"/>
              </w:rPr>
            </w:pPr>
            <w:r w:rsidRPr="00116DFC">
              <w:rPr>
                <w:rFonts w:ascii="Times New Roman" w:eastAsiaTheme="minorEastAsia" w:hAnsi="Times New Roman" w:cs="Times New Roman"/>
                <w:b w:val="0"/>
                <w:bCs w:val="0"/>
                <w:i/>
                <w:iCs/>
                <w:noProof/>
                <w:color w:val="4C4747"/>
                <w:spacing w:val="20"/>
                <w:sz w:val="18"/>
                <w:szCs w:val="18"/>
                <w:lang w:val="es-DO"/>
              </w:rPr>
              <w:t xml:space="preserve">Fuente: Depto de Recursos Humanos </w:t>
            </w:r>
          </w:p>
          <w:p w14:paraId="60B11D10" w14:textId="77777777" w:rsidR="005C6CEC" w:rsidRPr="00D14B3E" w:rsidRDefault="005C6CEC" w:rsidP="00340DF1">
            <w:pPr>
              <w:spacing w:line="360" w:lineRule="auto"/>
              <w:jc w:val="both"/>
              <w:rPr>
                <w:rFonts w:eastAsiaTheme="minorEastAsia"/>
                <w:noProof/>
                <w:color w:val="4C4747"/>
              </w:rPr>
            </w:pPr>
          </w:p>
        </w:tc>
      </w:tr>
    </w:tbl>
    <w:p w14:paraId="219C4C8B" w14:textId="77777777" w:rsidR="004360E7" w:rsidRPr="00D14B3E" w:rsidRDefault="004360E7" w:rsidP="00340DF1">
      <w:pPr>
        <w:spacing w:line="360" w:lineRule="auto"/>
        <w:jc w:val="both"/>
        <w:rPr>
          <w:rFonts w:eastAsiaTheme="minorEastAsia"/>
          <w:noProof/>
          <w:color w:val="4C4747"/>
        </w:rPr>
      </w:pPr>
    </w:p>
    <w:p w14:paraId="04312A0C" w14:textId="77777777" w:rsidR="004360E7" w:rsidRPr="00D14B3E" w:rsidRDefault="004360E7" w:rsidP="00340DF1">
      <w:pPr>
        <w:spacing w:line="360" w:lineRule="auto"/>
        <w:jc w:val="both"/>
        <w:rPr>
          <w:rFonts w:eastAsiaTheme="minorEastAsia"/>
          <w:noProof/>
          <w:color w:val="4C4747"/>
        </w:rPr>
      </w:pPr>
    </w:p>
    <w:p w14:paraId="6D26AEA7" w14:textId="77777777" w:rsidR="004360E7" w:rsidRPr="00D14B3E" w:rsidRDefault="004360E7" w:rsidP="00340DF1">
      <w:pPr>
        <w:spacing w:line="360" w:lineRule="auto"/>
        <w:jc w:val="both"/>
        <w:rPr>
          <w:rFonts w:eastAsiaTheme="minorEastAsia"/>
          <w:noProof/>
          <w:color w:val="4C4747"/>
        </w:rPr>
      </w:pPr>
    </w:p>
    <w:p w14:paraId="798B5A19" w14:textId="77777777" w:rsidR="00F91648" w:rsidRPr="00D14B3E" w:rsidRDefault="00F91648" w:rsidP="00340DF1">
      <w:pPr>
        <w:spacing w:line="360" w:lineRule="auto"/>
        <w:jc w:val="both"/>
        <w:rPr>
          <w:rFonts w:eastAsiaTheme="minorEastAsia"/>
          <w:noProof/>
          <w:color w:val="4C4747"/>
        </w:rPr>
      </w:pPr>
    </w:p>
    <w:p w14:paraId="6B743F64" w14:textId="77777777" w:rsidR="00D14B3E" w:rsidRDefault="00D14B3E" w:rsidP="00340DF1">
      <w:pPr>
        <w:spacing w:line="360" w:lineRule="auto"/>
        <w:jc w:val="both"/>
        <w:rPr>
          <w:rFonts w:eastAsiaTheme="minorEastAsia"/>
          <w:noProof/>
          <w:color w:val="4C4747"/>
        </w:rPr>
      </w:pPr>
    </w:p>
    <w:p w14:paraId="2103405F" w14:textId="77777777" w:rsidR="005C6CEC" w:rsidRDefault="005C6CEC" w:rsidP="00340DF1">
      <w:pPr>
        <w:spacing w:line="360" w:lineRule="auto"/>
        <w:jc w:val="both"/>
        <w:rPr>
          <w:rFonts w:eastAsiaTheme="minorEastAsia"/>
          <w:noProof/>
          <w:color w:val="4C4747"/>
          <w:lang w:val="es-DO"/>
        </w:rPr>
      </w:pPr>
    </w:p>
    <w:p w14:paraId="05B5C96A" w14:textId="77777777" w:rsidR="005C6CEC" w:rsidRDefault="005C6CEC" w:rsidP="00340DF1">
      <w:pPr>
        <w:spacing w:line="360" w:lineRule="auto"/>
        <w:jc w:val="both"/>
        <w:rPr>
          <w:rFonts w:eastAsiaTheme="minorEastAsia"/>
          <w:noProof/>
          <w:color w:val="4C4747"/>
          <w:lang w:val="es-DO"/>
        </w:rPr>
      </w:pPr>
    </w:p>
    <w:p w14:paraId="390C2894" w14:textId="77777777" w:rsidR="007D01C7" w:rsidRDefault="007D01C7" w:rsidP="00340DF1">
      <w:pPr>
        <w:spacing w:line="360" w:lineRule="auto"/>
        <w:jc w:val="both"/>
        <w:rPr>
          <w:rFonts w:eastAsiaTheme="minorEastAsia"/>
          <w:noProof/>
          <w:color w:val="4C4747"/>
          <w:lang w:val="es-DO"/>
        </w:rPr>
      </w:pPr>
    </w:p>
    <w:p w14:paraId="00072187" w14:textId="5B21C194" w:rsidR="004360E7" w:rsidRPr="00D14B3E" w:rsidRDefault="00F91648" w:rsidP="00340DF1">
      <w:pPr>
        <w:spacing w:line="360" w:lineRule="auto"/>
        <w:jc w:val="both"/>
        <w:rPr>
          <w:rFonts w:eastAsiaTheme="minorEastAsia"/>
          <w:noProof/>
          <w:color w:val="4C4747"/>
          <w:lang w:val="es-DO"/>
        </w:rPr>
      </w:pPr>
      <w:r w:rsidRPr="00D14B3E">
        <w:rPr>
          <w:rFonts w:eastAsiaTheme="minorEastAsia"/>
          <w:noProof/>
          <w:color w:val="4C4747"/>
          <w:lang w:val="es-DO"/>
        </w:rPr>
        <w:t>Esta proporción refleja una composición laboral relativamente equilibrada, lo que fortalece la diversidad institucional y aporta una perspectiva inclusiva en la gestión del talento humano.</w:t>
      </w:r>
    </w:p>
    <w:tbl>
      <w:tblPr>
        <w:tblStyle w:val="Tabladelista3-nfasis11"/>
        <w:tblpPr w:leftFromText="180" w:rightFromText="180" w:vertAnchor="text" w:horzAnchor="margin" w:tblpXSpec="center" w:tblpY="-44"/>
        <w:tblOverlap w:val="never"/>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530"/>
        <w:gridCol w:w="2430"/>
        <w:gridCol w:w="1980"/>
      </w:tblGrid>
      <w:tr w:rsidR="000E50EC" w:rsidRPr="000E50EC" w14:paraId="0DCC3B4C" w14:textId="77777777" w:rsidTr="00D12E71">
        <w:trPr>
          <w:cnfStyle w:val="100000000000" w:firstRow="1" w:lastRow="0" w:firstColumn="0" w:lastColumn="0" w:oddVBand="0" w:evenVBand="0" w:oddHBand="0" w:evenHBand="0" w:firstRowFirstColumn="0" w:firstRowLastColumn="0" w:lastRowFirstColumn="0" w:lastRowLastColumn="0"/>
          <w:trHeight w:val="419"/>
        </w:trPr>
        <w:tc>
          <w:tcPr>
            <w:cnfStyle w:val="001000000100" w:firstRow="0" w:lastRow="0" w:firstColumn="1" w:lastColumn="0" w:oddVBand="0" w:evenVBand="0" w:oddHBand="0" w:evenHBand="0" w:firstRowFirstColumn="1" w:firstRowLastColumn="0" w:lastRowFirstColumn="0" w:lastRowLastColumn="0"/>
            <w:tcW w:w="8005" w:type="dxa"/>
            <w:gridSpan w:val="4"/>
            <w:shd w:val="clear" w:color="auto" w:fill="002060"/>
          </w:tcPr>
          <w:p w14:paraId="0063C013" w14:textId="3532918F" w:rsidR="000E50EC" w:rsidRPr="005C6CEC" w:rsidRDefault="007D01C7" w:rsidP="00340DF1">
            <w:pPr>
              <w:spacing w:line="360" w:lineRule="auto"/>
              <w:jc w:val="center"/>
              <w:rPr>
                <w:rFonts w:ascii="Times New Roman" w:eastAsiaTheme="minorEastAsia" w:hAnsi="Times New Roman" w:cs="Times New Roman"/>
                <w:b w:val="0"/>
                <w:bCs w:val="0"/>
                <w:noProof/>
                <w:spacing w:val="20"/>
                <w:sz w:val="24"/>
                <w:szCs w:val="24"/>
                <w:lang w:val="es-DO"/>
              </w:rPr>
            </w:pPr>
            <w:r>
              <w:rPr>
                <w:rFonts w:ascii="Times New Roman" w:eastAsiaTheme="minorEastAsia" w:hAnsi="Times New Roman" w:cs="Times New Roman"/>
                <w:b w:val="0"/>
                <w:bCs w:val="0"/>
                <w:noProof/>
                <w:spacing w:val="20"/>
                <w:sz w:val="24"/>
                <w:szCs w:val="24"/>
                <w:lang w:val="es-DO"/>
              </w:rPr>
              <w:lastRenderedPageBreak/>
              <w:t xml:space="preserve">Tabla 6. </w:t>
            </w:r>
            <w:r w:rsidR="000E50EC" w:rsidRPr="005C6CEC">
              <w:rPr>
                <w:rFonts w:ascii="Times New Roman" w:eastAsiaTheme="minorEastAsia" w:hAnsi="Times New Roman" w:cs="Times New Roman"/>
                <w:b w:val="0"/>
                <w:bCs w:val="0"/>
                <w:noProof/>
                <w:spacing w:val="20"/>
                <w:sz w:val="24"/>
                <w:szCs w:val="24"/>
                <w:lang w:val="es-DO"/>
              </w:rPr>
              <w:t xml:space="preserve">Resultados por grupo ocupacional </w:t>
            </w:r>
          </w:p>
        </w:tc>
      </w:tr>
      <w:tr w:rsidR="000E50EC" w:rsidRPr="000E50EC" w14:paraId="189185C0" w14:textId="77777777" w:rsidTr="00D12E71">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065" w:type="dxa"/>
            <w:tcBorders>
              <w:bottom w:val="none" w:sz="0" w:space="0" w:color="auto"/>
              <w:right w:val="none" w:sz="0" w:space="0" w:color="auto"/>
            </w:tcBorders>
            <w:shd w:val="clear" w:color="auto" w:fill="002060"/>
          </w:tcPr>
          <w:p w14:paraId="6B0D9076" w14:textId="77777777" w:rsidR="000E50EC" w:rsidRPr="005C6CEC" w:rsidRDefault="000E50EC" w:rsidP="00340DF1">
            <w:pPr>
              <w:spacing w:line="360" w:lineRule="auto"/>
              <w:jc w:val="center"/>
              <w:rPr>
                <w:rFonts w:ascii="Times New Roman" w:eastAsiaTheme="minorEastAsia" w:hAnsi="Times New Roman" w:cs="Times New Roman"/>
                <w:b w:val="0"/>
                <w:bCs w:val="0"/>
                <w:noProof/>
                <w:color w:val="FFFFFF" w:themeColor="background1"/>
                <w:spacing w:val="20"/>
                <w:sz w:val="24"/>
                <w:szCs w:val="24"/>
                <w:lang w:val="es-DO"/>
              </w:rPr>
            </w:pPr>
            <w:r w:rsidRPr="005C6CEC">
              <w:rPr>
                <w:rFonts w:ascii="Times New Roman" w:eastAsiaTheme="minorEastAsia" w:hAnsi="Times New Roman" w:cs="Times New Roman"/>
                <w:b w:val="0"/>
                <w:bCs w:val="0"/>
                <w:noProof/>
                <w:color w:val="FFFFFF" w:themeColor="background1"/>
                <w:spacing w:val="20"/>
                <w:sz w:val="24"/>
                <w:szCs w:val="24"/>
                <w:lang w:val="es-DO"/>
              </w:rPr>
              <w:t>Grupo ocupacional</w:t>
            </w:r>
          </w:p>
        </w:tc>
        <w:tc>
          <w:tcPr>
            <w:tcW w:w="1530" w:type="dxa"/>
            <w:shd w:val="clear" w:color="auto" w:fill="002060"/>
          </w:tcPr>
          <w:p w14:paraId="026C0046" w14:textId="77777777" w:rsidR="000E50EC" w:rsidRPr="005C6CEC"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FFFFFF" w:themeColor="background1"/>
                <w:spacing w:val="20"/>
                <w:sz w:val="24"/>
                <w:szCs w:val="24"/>
                <w:lang w:val="es-DO"/>
              </w:rPr>
            </w:pPr>
            <w:r w:rsidRPr="005C6CEC">
              <w:rPr>
                <w:rFonts w:ascii="Times New Roman" w:eastAsiaTheme="minorEastAsia" w:hAnsi="Times New Roman" w:cs="Times New Roman"/>
                <w:noProof/>
                <w:color w:val="FFFFFF" w:themeColor="background1"/>
                <w:spacing w:val="20"/>
                <w:sz w:val="24"/>
                <w:szCs w:val="24"/>
                <w:lang w:val="es-DO"/>
              </w:rPr>
              <w:t>Total Evaluados</w:t>
            </w:r>
          </w:p>
        </w:tc>
        <w:tc>
          <w:tcPr>
            <w:tcW w:w="2430" w:type="dxa"/>
            <w:shd w:val="clear" w:color="auto" w:fill="002060"/>
          </w:tcPr>
          <w:p w14:paraId="04532538" w14:textId="77777777" w:rsidR="000E50EC" w:rsidRPr="005C6CEC"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FFFFFF" w:themeColor="background1"/>
                <w:spacing w:val="20"/>
                <w:sz w:val="24"/>
                <w:szCs w:val="24"/>
                <w:lang w:val="es-DO"/>
              </w:rPr>
            </w:pPr>
            <w:r w:rsidRPr="005C6CEC">
              <w:rPr>
                <w:rFonts w:ascii="Times New Roman" w:eastAsiaTheme="minorEastAsia" w:hAnsi="Times New Roman" w:cs="Times New Roman"/>
                <w:noProof/>
                <w:color w:val="FFFFFF" w:themeColor="background1"/>
                <w:spacing w:val="20"/>
                <w:sz w:val="24"/>
                <w:szCs w:val="24"/>
                <w:lang w:val="es-DO"/>
              </w:rPr>
              <w:t>Promedio Calificación (Componente Logro de Metas)</w:t>
            </w:r>
          </w:p>
        </w:tc>
        <w:tc>
          <w:tcPr>
            <w:tcW w:w="1980" w:type="dxa"/>
            <w:shd w:val="clear" w:color="auto" w:fill="002060"/>
          </w:tcPr>
          <w:p w14:paraId="04C79A22" w14:textId="77777777" w:rsidR="000E50EC" w:rsidRPr="005C6CEC"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FFFFFF" w:themeColor="background1"/>
                <w:spacing w:val="20"/>
                <w:sz w:val="24"/>
                <w:szCs w:val="24"/>
                <w:lang w:val="es-DO"/>
              </w:rPr>
            </w:pPr>
            <w:r w:rsidRPr="005C6CEC">
              <w:rPr>
                <w:rFonts w:ascii="Times New Roman" w:eastAsiaTheme="minorEastAsia" w:hAnsi="Times New Roman" w:cs="Times New Roman"/>
                <w:noProof/>
                <w:color w:val="FFFFFF" w:themeColor="background1"/>
                <w:spacing w:val="20"/>
                <w:sz w:val="24"/>
                <w:szCs w:val="24"/>
                <w:lang w:val="es-DO"/>
              </w:rPr>
              <w:t xml:space="preserve">Promedio </w:t>
            </w:r>
          </w:p>
          <w:p w14:paraId="7870CB14" w14:textId="77777777" w:rsidR="000E50EC" w:rsidRPr="005C6CEC"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FFFFFF" w:themeColor="background1"/>
                <w:spacing w:val="20"/>
                <w:sz w:val="24"/>
                <w:szCs w:val="24"/>
                <w:lang w:val="es-DO"/>
              </w:rPr>
            </w:pPr>
            <w:r w:rsidRPr="005C6CEC">
              <w:rPr>
                <w:rFonts w:ascii="Times New Roman" w:eastAsiaTheme="minorEastAsia" w:hAnsi="Times New Roman" w:cs="Times New Roman"/>
                <w:noProof/>
                <w:color w:val="FFFFFF" w:themeColor="background1"/>
                <w:spacing w:val="20"/>
                <w:sz w:val="24"/>
                <w:szCs w:val="24"/>
                <w:lang w:val="es-DO"/>
              </w:rPr>
              <w:t>(%)</w:t>
            </w:r>
          </w:p>
          <w:p w14:paraId="1A2BACD1" w14:textId="77777777" w:rsidR="000E50EC" w:rsidRPr="005C6CEC"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FFFFFF" w:themeColor="background1"/>
                <w:spacing w:val="20"/>
                <w:sz w:val="24"/>
                <w:szCs w:val="24"/>
                <w:lang w:val="es-DO"/>
              </w:rPr>
            </w:pPr>
          </w:p>
        </w:tc>
      </w:tr>
      <w:tr w:rsidR="000E50EC" w:rsidRPr="000E50EC" w14:paraId="79458DEE" w14:textId="77777777" w:rsidTr="00D8136D">
        <w:trPr>
          <w:trHeight w:val="301"/>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tcPr>
          <w:p w14:paraId="21C4D697" w14:textId="77777777" w:rsidR="000E50EC" w:rsidRPr="00D12E71" w:rsidRDefault="000E50EC" w:rsidP="00340DF1">
            <w:pPr>
              <w:spacing w:line="360" w:lineRule="auto"/>
              <w:jc w:val="center"/>
              <w:rPr>
                <w:rFonts w:ascii="Times New Roman" w:eastAsiaTheme="minorEastAsia" w:hAnsi="Times New Roman" w:cs="Times New Roman"/>
                <w:b w:val="0"/>
                <w:bCs w:val="0"/>
                <w:noProof/>
                <w:color w:val="4C4747"/>
                <w:spacing w:val="20"/>
                <w:sz w:val="24"/>
                <w:szCs w:val="24"/>
                <w:lang w:val="es-DO"/>
              </w:rPr>
            </w:pPr>
            <w:r w:rsidRPr="00D12E71">
              <w:rPr>
                <w:rFonts w:ascii="Times New Roman" w:eastAsiaTheme="minorEastAsia" w:hAnsi="Times New Roman" w:cs="Times New Roman"/>
                <w:b w:val="0"/>
                <w:bCs w:val="0"/>
                <w:noProof/>
                <w:color w:val="4C4747"/>
                <w:spacing w:val="20"/>
                <w:sz w:val="24"/>
                <w:szCs w:val="24"/>
                <w:lang w:val="es-DO"/>
              </w:rPr>
              <w:t>I</w:t>
            </w:r>
          </w:p>
        </w:tc>
        <w:tc>
          <w:tcPr>
            <w:tcW w:w="1530" w:type="dxa"/>
            <w:vAlign w:val="bottom"/>
          </w:tcPr>
          <w:p w14:paraId="17692F68" w14:textId="77777777" w:rsidR="000E50EC" w:rsidRPr="00D12E71" w:rsidRDefault="000E50EC"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11</w:t>
            </w:r>
          </w:p>
        </w:tc>
        <w:tc>
          <w:tcPr>
            <w:tcW w:w="2430" w:type="dxa"/>
            <w:vAlign w:val="bottom"/>
          </w:tcPr>
          <w:p w14:paraId="394C665F" w14:textId="77777777" w:rsidR="000E50EC" w:rsidRPr="00D12E71" w:rsidRDefault="000E50EC"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54</w:t>
            </w:r>
          </w:p>
        </w:tc>
        <w:tc>
          <w:tcPr>
            <w:tcW w:w="1980" w:type="dxa"/>
            <w:vAlign w:val="bottom"/>
          </w:tcPr>
          <w:p w14:paraId="43003031" w14:textId="77777777" w:rsidR="000E50EC" w:rsidRPr="00D12E71" w:rsidRDefault="000E50EC"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98</w:t>
            </w:r>
          </w:p>
        </w:tc>
      </w:tr>
      <w:tr w:rsidR="000E50EC" w:rsidRPr="000E50EC" w14:paraId="5785E767" w14:textId="77777777" w:rsidTr="00D8136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tcPr>
          <w:p w14:paraId="7C62E442" w14:textId="77777777" w:rsidR="000E50EC" w:rsidRPr="00D12E71" w:rsidRDefault="000E50EC" w:rsidP="00340DF1">
            <w:pPr>
              <w:spacing w:line="360" w:lineRule="auto"/>
              <w:jc w:val="center"/>
              <w:rPr>
                <w:rFonts w:ascii="Times New Roman" w:eastAsiaTheme="minorEastAsia" w:hAnsi="Times New Roman" w:cs="Times New Roman"/>
                <w:b w:val="0"/>
                <w:bCs w:val="0"/>
                <w:noProof/>
                <w:color w:val="4C4747"/>
                <w:spacing w:val="20"/>
                <w:sz w:val="24"/>
                <w:szCs w:val="24"/>
                <w:lang w:val="es-DO"/>
              </w:rPr>
            </w:pPr>
            <w:r w:rsidRPr="00D12E71">
              <w:rPr>
                <w:rFonts w:ascii="Times New Roman" w:eastAsiaTheme="minorEastAsia" w:hAnsi="Times New Roman" w:cs="Times New Roman"/>
                <w:b w:val="0"/>
                <w:bCs w:val="0"/>
                <w:noProof/>
                <w:color w:val="4C4747"/>
                <w:spacing w:val="20"/>
                <w:sz w:val="24"/>
                <w:szCs w:val="24"/>
                <w:lang w:val="es-DO"/>
              </w:rPr>
              <w:t>II</w:t>
            </w:r>
          </w:p>
        </w:tc>
        <w:tc>
          <w:tcPr>
            <w:tcW w:w="1530" w:type="dxa"/>
            <w:vAlign w:val="bottom"/>
          </w:tcPr>
          <w:p w14:paraId="78DBC178" w14:textId="77777777" w:rsidR="000E50EC" w:rsidRPr="00D12E71"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7</w:t>
            </w:r>
          </w:p>
        </w:tc>
        <w:tc>
          <w:tcPr>
            <w:tcW w:w="2430" w:type="dxa"/>
            <w:vAlign w:val="bottom"/>
          </w:tcPr>
          <w:p w14:paraId="2199FE6C" w14:textId="77777777" w:rsidR="000E50EC" w:rsidRPr="00D12E71"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53</w:t>
            </w:r>
          </w:p>
        </w:tc>
        <w:tc>
          <w:tcPr>
            <w:tcW w:w="1980" w:type="dxa"/>
            <w:vAlign w:val="bottom"/>
          </w:tcPr>
          <w:p w14:paraId="2BC24961" w14:textId="77777777" w:rsidR="000E50EC" w:rsidRPr="00D12E71"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96</w:t>
            </w:r>
          </w:p>
        </w:tc>
      </w:tr>
      <w:tr w:rsidR="000E50EC" w:rsidRPr="000E50EC" w14:paraId="00C2255E" w14:textId="77777777" w:rsidTr="00D8136D">
        <w:trPr>
          <w:trHeight w:val="301"/>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tcPr>
          <w:p w14:paraId="470B3A1A" w14:textId="77777777" w:rsidR="000E50EC" w:rsidRPr="00D12E71" w:rsidRDefault="000E50EC" w:rsidP="00340DF1">
            <w:pPr>
              <w:spacing w:line="360" w:lineRule="auto"/>
              <w:jc w:val="center"/>
              <w:rPr>
                <w:rFonts w:ascii="Times New Roman" w:eastAsiaTheme="minorEastAsia" w:hAnsi="Times New Roman" w:cs="Times New Roman"/>
                <w:b w:val="0"/>
                <w:bCs w:val="0"/>
                <w:noProof/>
                <w:color w:val="4C4747"/>
                <w:spacing w:val="20"/>
                <w:sz w:val="24"/>
                <w:szCs w:val="24"/>
                <w:lang w:val="es-DO"/>
              </w:rPr>
            </w:pPr>
            <w:r w:rsidRPr="00D12E71">
              <w:rPr>
                <w:rFonts w:ascii="Times New Roman" w:eastAsiaTheme="minorEastAsia" w:hAnsi="Times New Roman" w:cs="Times New Roman"/>
                <w:b w:val="0"/>
                <w:bCs w:val="0"/>
                <w:noProof/>
                <w:color w:val="4C4747"/>
                <w:spacing w:val="20"/>
                <w:sz w:val="24"/>
                <w:szCs w:val="24"/>
                <w:lang w:val="es-DO"/>
              </w:rPr>
              <w:t>III</w:t>
            </w:r>
          </w:p>
        </w:tc>
        <w:tc>
          <w:tcPr>
            <w:tcW w:w="1530" w:type="dxa"/>
            <w:vAlign w:val="bottom"/>
          </w:tcPr>
          <w:p w14:paraId="14C0CF90" w14:textId="77777777" w:rsidR="000E50EC" w:rsidRPr="00D12E71" w:rsidRDefault="000E50EC"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9</w:t>
            </w:r>
          </w:p>
        </w:tc>
        <w:tc>
          <w:tcPr>
            <w:tcW w:w="2430" w:type="dxa"/>
            <w:vAlign w:val="bottom"/>
          </w:tcPr>
          <w:p w14:paraId="43E7922A" w14:textId="77777777" w:rsidR="000E50EC" w:rsidRPr="00D12E71" w:rsidRDefault="000E50EC"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54</w:t>
            </w:r>
          </w:p>
        </w:tc>
        <w:tc>
          <w:tcPr>
            <w:tcW w:w="1980" w:type="dxa"/>
            <w:vAlign w:val="bottom"/>
          </w:tcPr>
          <w:p w14:paraId="25DF40B5" w14:textId="77777777" w:rsidR="000E50EC" w:rsidRPr="00D12E71" w:rsidRDefault="000E50EC"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98</w:t>
            </w:r>
          </w:p>
        </w:tc>
      </w:tr>
      <w:tr w:rsidR="000E50EC" w:rsidRPr="000E50EC" w14:paraId="34264423" w14:textId="77777777" w:rsidTr="00D8136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tcPr>
          <w:p w14:paraId="332030CF" w14:textId="77777777" w:rsidR="000E50EC" w:rsidRPr="00D12E71" w:rsidRDefault="000E50EC" w:rsidP="00340DF1">
            <w:pPr>
              <w:spacing w:line="360" w:lineRule="auto"/>
              <w:jc w:val="center"/>
              <w:rPr>
                <w:rFonts w:ascii="Times New Roman" w:eastAsiaTheme="minorEastAsia" w:hAnsi="Times New Roman" w:cs="Times New Roman"/>
                <w:b w:val="0"/>
                <w:bCs w:val="0"/>
                <w:noProof/>
                <w:color w:val="4C4747"/>
                <w:spacing w:val="20"/>
                <w:sz w:val="24"/>
                <w:szCs w:val="24"/>
                <w:lang w:val="es-DO"/>
              </w:rPr>
            </w:pPr>
            <w:r w:rsidRPr="00D12E71">
              <w:rPr>
                <w:rFonts w:ascii="Times New Roman" w:eastAsiaTheme="minorEastAsia" w:hAnsi="Times New Roman" w:cs="Times New Roman"/>
                <w:b w:val="0"/>
                <w:bCs w:val="0"/>
                <w:noProof/>
                <w:color w:val="4C4747"/>
                <w:spacing w:val="20"/>
                <w:sz w:val="24"/>
                <w:szCs w:val="24"/>
                <w:lang w:val="es-DO"/>
              </w:rPr>
              <w:t>IV</w:t>
            </w:r>
          </w:p>
        </w:tc>
        <w:tc>
          <w:tcPr>
            <w:tcW w:w="1530" w:type="dxa"/>
            <w:vAlign w:val="bottom"/>
          </w:tcPr>
          <w:p w14:paraId="74FD4EBD" w14:textId="77777777" w:rsidR="000E50EC" w:rsidRPr="00D12E71"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25</w:t>
            </w:r>
          </w:p>
        </w:tc>
        <w:tc>
          <w:tcPr>
            <w:tcW w:w="2430" w:type="dxa"/>
            <w:vAlign w:val="bottom"/>
          </w:tcPr>
          <w:p w14:paraId="34C29053" w14:textId="77777777" w:rsidR="000E50EC" w:rsidRPr="00D12E71"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54</w:t>
            </w:r>
          </w:p>
        </w:tc>
        <w:tc>
          <w:tcPr>
            <w:tcW w:w="1980" w:type="dxa"/>
            <w:vAlign w:val="bottom"/>
          </w:tcPr>
          <w:p w14:paraId="2727925A" w14:textId="77777777" w:rsidR="000E50EC" w:rsidRPr="00D12E71"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98</w:t>
            </w:r>
          </w:p>
        </w:tc>
      </w:tr>
      <w:tr w:rsidR="000E50EC" w:rsidRPr="000E50EC" w14:paraId="0A80E24D" w14:textId="77777777" w:rsidTr="00186374">
        <w:trPr>
          <w:trHeight w:val="70"/>
        </w:trPr>
        <w:tc>
          <w:tcPr>
            <w:cnfStyle w:val="001000000000" w:firstRow="0" w:lastRow="0" w:firstColumn="1" w:lastColumn="0" w:oddVBand="0" w:evenVBand="0" w:oddHBand="0" w:evenHBand="0" w:firstRowFirstColumn="0" w:firstRowLastColumn="0" w:lastRowFirstColumn="0" w:lastRowLastColumn="0"/>
            <w:tcW w:w="2065" w:type="dxa"/>
            <w:tcBorders>
              <w:bottom w:val="single" w:sz="4" w:space="0" w:color="auto"/>
              <w:right w:val="none" w:sz="0" w:space="0" w:color="auto"/>
            </w:tcBorders>
          </w:tcPr>
          <w:p w14:paraId="3B10CA75" w14:textId="77777777" w:rsidR="000E50EC" w:rsidRPr="00D12E71" w:rsidRDefault="000E50EC" w:rsidP="00340DF1">
            <w:pPr>
              <w:spacing w:line="360" w:lineRule="auto"/>
              <w:jc w:val="center"/>
              <w:rPr>
                <w:rFonts w:ascii="Times New Roman" w:eastAsiaTheme="minorEastAsia" w:hAnsi="Times New Roman" w:cs="Times New Roman"/>
                <w:b w:val="0"/>
                <w:bCs w:val="0"/>
                <w:noProof/>
                <w:color w:val="4C4747"/>
                <w:spacing w:val="20"/>
                <w:sz w:val="24"/>
                <w:szCs w:val="24"/>
                <w:lang w:val="es-DO"/>
              </w:rPr>
            </w:pPr>
            <w:r w:rsidRPr="00D12E71">
              <w:rPr>
                <w:rFonts w:ascii="Times New Roman" w:eastAsiaTheme="minorEastAsia" w:hAnsi="Times New Roman" w:cs="Times New Roman"/>
                <w:b w:val="0"/>
                <w:bCs w:val="0"/>
                <w:noProof/>
                <w:color w:val="4C4747"/>
                <w:spacing w:val="20"/>
                <w:sz w:val="24"/>
                <w:szCs w:val="24"/>
                <w:lang w:val="es-DO"/>
              </w:rPr>
              <w:t>V</w:t>
            </w:r>
          </w:p>
        </w:tc>
        <w:tc>
          <w:tcPr>
            <w:tcW w:w="1530" w:type="dxa"/>
            <w:tcBorders>
              <w:bottom w:val="single" w:sz="4" w:space="0" w:color="auto"/>
            </w:tcBorders>
            <w:vAlign w:val="bottom"/>
          </w:tcPr>
          <w:p w14:paraId="0E33B8E2" w14:textId="77777777" w:rsidR="000E50EC" w:rsidRPr="00D12E71" w:rsidRDefault="000E50EC"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15</w:t>
            </w:r>
          </w:p>
        </w:tc>
        <w:tc>
          <w:tcPr>
            <w:tcW w:w="2430" w:type="dxa"/>
            <w:tcBorders>
              <w:bottom w:val="single" w:sz="4" w:space="0" w:color="auto"/>
            </w:tcBorders>
            <w:vAlign w:val="bottom"/>
          </w:tcPr>
          <w:p w14:paraId="7148696D" w14:textId="77777777" w:rsidR="000E50EC" w:rsidRPr="00D12E71" w:rsidRDefault="000E50EC"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62</w:t>
            </w:r>
          </w:p>
        </w:tc>
        <w:tc>
          <w:tcPr>
            <w:tcW w:w="1980" w:type="dxa"/>
            <w:tcBorders>
              <w:bottom w:val="single" w:sz="4" w:space="0" w:color="auto"/>
            </w:tcBorders>
            <w:vAlign w:val="bottom"/>
          </w:tcPr>
          <w:p w14:paraId="020164B3" w14:textId="77777777" w:rsidR="000E50EC" w:rsidRPr="00D12E71" w:rsidRDefault="000E50EC"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95</w:t>
            </w:r>
          </w:p>
        </w:tc>
      </w:tr>
      <w:tr w:rsidR="000E50EC" w:rsidRPr="000E50EC" w14:paraId="17399A2A" w14:textId="77777777" w:rsidTr="0018637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065" w:type="dxa"/>
            <w:tcBorders>
              <w:top w:val="single" w:sz="4" w:space="0" w:color="auto"/>
              <w:bottom w:val="single" w:sz="4" w:space="0" w:color="auto"/>
              <w:right w:val="none" w:sz="0" w:space="0" w:color="auto"/>
            </w:tcBorders>
          </w:tcPr>
          <w:p w14:paraId="0D764B17" w14:textId="77777777" w:rsidR="000E50EC" w:rsidRPr="00D12E71" w:rsidRDefault="000E50EC" w:rsidP="00340DF1">
            <w:pPr>
              <w:spacing w:line="360" w:lineRule="auto"/>
              <w:jc w:val="center"/>
              <w:rPr>
                <w:rFonts w:ascii="Times New Roman" w:eastAsiaTheme="minorEastAsia" w:hAnsi="Times New Roman" w:cs="Times New Roman"/>
                <w:b w:val="0"/>
                <w:bCs w:val="0"/>
                <w:noProof/>
                <w:color w:val="4C4747"/>
                <w:spacing w:val="20"/>
                <w:sz w:val="24"/>
                <w:szCs w:val="24"/>
                <w:lang w:val="es-DO"/>
              </w:rPr>
            </w:pPr>
            <w:r w:rsidRPr="00D12E71">
              <w:rPr>
                <w:rFonts w:ascii="Times New Roman" w:eastAsiaTheme="minorEastAsia" w:hAnsi="Times New Roman" w:cs="Times New Roman"/>
                <w:b w:val="0"/>
                <w:bCs w:val="0"/>
                <w:noProof/>
                <w:color w:val="4C4747"/>
                <w:spacing w:val="20"/>
                <w:sz w:val="24"/>
                <w:szCs w:val="24"/>
                <w:lang w:val="es-DO"/>
              </w:rPr>
              <w:t>Total General</w:t>
            </w:r>
          </w:p>
        </w:tc>
        <w:tc>
          <w:tcPr>
            <w:tcW w:w="1530" w:type="dxa"/>
            <w:tcBorders>
              <w:top w:val="single" w:sz="4" w:space="0" w:color="auto"/>
              <w:bottom w:val="single" w:sz="4" w:space="0" w:color="auto"/>
            </w:tcBorders>
            <w:vAlign w:val="bottom"/>
          </w:tcPr>
          <w:p w14:paraId="0E2B74C9" w14:textId="77777777" w:rsidR="000E50EC" w:rsidRPr="00D12E71"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67</w:t>
            </w:r>
          </w:p>
        </w:tc>
        <w:tc>
          <w:tcPr>
            <w:tcW w:w="2430" w:type="dxa"/>
            <w:tcBorders>
              <w:top w:val="single" w:sz="4" w:space="0" w:color="auto"/>
              <w:bottom w:val="single" w:sz="4" w:space="0" w:color="auto"/>
            </w:tcBorders>
            <w:vAlign w:val="bottom"/>
          </w:tcPr>
          <w:p w14:paraId="342BF988" w14:textId="77777777" w:rsidR="000E50EC" w:rsidRPr="00D12E71"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55</w:t>
            </w:r>
          </w:p>
        </w:tc>
        <w:tc>
          <w:tcPr>
            <w:tcW w:w="1980" w:type="dxa"/>
            <w:tcBorders>
              <w:top w:val="single" w:sz="4" w:space="0" w:color="auto"/>
              <w:bottom w:val="single" w:sz="4" w:space="0" w:color="auto"/>
            </w:tcBorders>
            <w:vAlign w:val="bottom"/>
          </w:tcPr>
          <w:p w14:paraId="1610A293" w14:textId="77777777" w:rsidR="000E50EC" w:rsidRPr="00D12E71" w:rsidRDefault="000E50EC"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color w:val="4C4747"/>
                <w:spacing w:val="20"/>
                <w:sz w:val="24"/>
                <w:szCs w:val="24"/>
                <w:lang w:val="es-DO"/>
              </w:rPr>
            </w:pPr>
            <w:r w:rsidRPr="00D12E71">
              <w:rPr>
                <w:rFonts w:ascii="Times New Roman" w:eastAsiaTheme="minorEastAsia" w:hAnsi="Times New Roman" w:cs="Times New Roman"/>
                <w:noProof/>
                <w:color w:val="4C4747"/>
                <w:spacing w:val="20"/>
                <w:sz w:val="24"/>
                <w:szCs w:val="24"/>
                <w:lang w:val="es-DO"/>
              </w:rPr>
              <w:t>97</w:t>
            </w:r>
          </w:p>
        </w:tc>
      </w:tr>
      <w:tr w:rsidR="00186374" w:rsidRPr="000E50EC" w14:paraId="678BC92D" w14:textId="77777777" w:rsidTr="00186374">
        <w:trPr>
          <w:trHeight w:val="70"/>
        </w:trPr>
        <w:tc>
          <w:tcPr>
            <w:cnfStyle w:val="001000000000" w:firstRow="0" w:lastRow="0" w:firstColumn="1" w:lastColumn="0" w:oddVBand="0" w:evenVBand="0" w:oddHBand="0" w:evenHBand="0" w:firstRowFirstColumn="0" w:firstRowLastColumn="0" w:lastRowFirstColumn="0" w:lastRowLastColumn="0"/>
            <w:tcW w:w="8005" w:type="dxa"/>
            <w:gridSpan w:val="4"/>
            <w:tcBorders>
              <w:top w:val="single" w:sz="4" w:space="0" w:color="auto"/>
              <w:left w:val="nil"/>
              <w:bottom w:val="nil"/>
            </w:tcBorders>
          </w:tcPr>
          <w:p w14:paraId="6EC279F5" w14:textId="77777777" w:rsidR="00186374" w:rsidRPr="00116DFC" w:rsidRDefault="00186374" w:rsidP="00186374">
            <w:pPr>
              <w:spacing w:line="360" w:lineRule="auto"/>
              <w:rPr>
                <w:rFonts w:ascii="Times New Roman" w:eastAsiaTheme="minorEastAsia" w:hAnsi="Times New Roman" w:cs="Times New Roman"/>
                <w:b w:val="0"/>
                <w:bCs w:val="0"/>
                <w:i/>
                <w:iCs/>
                <w:noProof/>
                <w:color w:val="4C4747"/>
                <w:spacing w:val="20"/>
                <w:sz w:val="18"/>
                <w:szCs w:val="18"/>
                <w:lang w:val="es-DO"/>
              </w:rPr>
            </w:pPr>
            <w:r w:rsidRPr="00116DFC">
              <w:rPr>
                <w:rFonts w:ascii="Times New Roman" w:eastAsiaTheme="minorEastAsia" w:hAnsi="Times New Roman" w:cs="Times New Roman"/>
                <w:b w:val="0"/>
                <w:bCs w:val="0"/>
                <w:i/>
                <w:iCs/>
                <w:noProof/>
                <w:color w:val="4C4747"/>
                <w:spacing w:val="20"/>
                <w:sz w:val="18"/>
                <w:szCs w:val="18"/>
                <w:lang w:val="es-DO"/>
              </w:rPr>
              <w:t xml:space="preserve">Fuente: Depto de Recursos Humanos </w:t>
            </w:r>
          </w:p>
          <w:p w14:paraId="0D8CA467" w14:textId="77777777" w:rsidR="00186374" w:rsidRPr="00D12E71" w:rsidRDefault="00186374" w:rsidP="00340DF1">
            <w:pPr>
              <w:spacing w:line="360" w:lineRule="auto"/>
              <w:jc w:val="center"/>
              <w:rPr>
                <w:rFonts w:eastAsiaTheme="minorEastAsia"/>
                <w:noProof/>
                <w:color w:val="4C4747"/>
                <w:lang w:val="es-DO"/>
              </w:rPr>
            </w:pPr>
          </w:p>
        </w:tc>
      </w:tr>
    </w:tbl>
    <w:p w14:paraId="2C9DD80A" w14:textId="77777777" w:rsidR="004360E7" w:rsidRPr="000E50EC" w:rsidRDefault="004360E7" w:rsidP="00340DF1">
      <w:pPr>
        <w:spacing w:line="360" w:lineRule="auto"/>
        <w:ind w:firstLine="708"/>
        <w:jc w:val="both"/>
        <w:rPr>
          <w:rFonts w:eastAsia="Calibri"/>
          <w:noProof/>
          <w:color w:val="4C4747"/>
          <w:lang w:val="es-DO"/>
        </w:rPr>
      </w:pPr>
    </w:p>
    <w:p w14:paraId="0E78B221" w14:textId="3904065E" w:rsidR="008C26CF" w:rsidRDefault="00116DFC" w:rsidP="00340DF1">
      <w:pPr>
        <w:spacing w:line="360" w:lineRule="auto"/>
        <w:jc w:val="both"/>
        <w:rPr>
          <w:rFonts w:eastAsia="Calibri"/>
          <w:noProof/>
          <w:color w:val="4C4747"/>
          <w:lang w:val="es-DO"/>
        </w:rPr>
      </w:pPr>
      <w:r w:rsidRPr="00615C5F">
        <w:rPr>
          <w:rFonts w:ascii="Adelle Sans EXT" w:eastAsia="SimSun" w:hAnsi="Adelle Sans EXT"/>
          <w:b/>
          <w:bCs/>
          <w:noProof/>
          <w:sz w:val="22"/>
        </w:rPr>
        <w:drawing>
          <wp:inline distT="0" distB="0" distL="0" distR="0" wp14:anchorId="6A750ABB" wp14:editId="2DB7DE2B">
            <wp:extent cx="5029200" cy="2115185"/>
            <wp:effectExtent l="0" t="0" r="0" b="18415"/>
            <wp:docPr id="1935169994" name="Gráfico 19351699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6BA2DA" w14:textId="79C773BB" w:rsidR="00BF0A1D" w:rsidRPr="0069032B" w:rsidRDefault="00BF0A1D" w:rsidP="00340DF1">
      <w:pPr>
        <w:spacing w:line="360" w:lineRule="auto"/>
        <w:jc w:val="both"/>
        <w:rPr>
          <w:rFonts w:eastAsia="Calibri"/>
          <w:i/>
          <w:iCs/>
          <w:noProof/>
          <w:color w:val="4C4747"/>
          <w:sz w:val="18"/>
          <w:szCs w:val="18"/>
          <w:lang w:val="es-DO"/>
        </w:rPr>
      </w:pPr>
      <w:r w:rsidRPr="0069032B">
        <w:rPr>
          <w:rFonts w:eastAsia="Calibri"/>
          <w:i/>
          <w:iCs/>
          <w:noProof/>
          <w:color w:val="4C4747"/>
          <w:sz w:val="18"/>
          <w:szCs w:val="18"/>
          <w:lang w:val="es-DO"/>
        </w:rPr>
        <w:t>Fuente</w:t>
      </w:r>
      <w:r w:rsidR="0069032B" w:rsidRPr="0069032B">
        <w:rPr>
          <w:rFonts w:eastAsia="Calibri"/>
          <w:i/>
          <w:iCs/>
          <w:noProof/>
          <w:color w:val="4C4747"/>
          <w:sz w:val="18"/>
          <w:szCs w:val="18"/>
          <w:lang w:val="es-DO"/>
        </w:rPr>
        <w:t xml:space="preserve">: Depto de Recursos Humanos </w:t>
      </w:r>
    </w:p>
    <w:p w14:paraId="43F10B47" w14:textId="3095142D" w:rsidR="001E7501" w:rsidRPr="006539D2" w:rsidRDefault="006B3AC9" w:rsidP="00340DF1">
      <w:pPr>
        <w:spacing w:after="120" w:line="360" w:lineRule="auto"/>
        <w:jc w:val="both"/>
        <w:rPr>
          <w:rFonts w:eastAsia="Calibri"/>
          <w:noProof/>
          <w:color w:val="4C4747"/>
          <w:lang w:val="es-DO"/>
        </w:rPr>
      </w:pPr>
      <w:r w:rsidRPr="006B3AC9">
        <w:rPr>
          <w:rFonts w:eastAsia="Calibri"/>
          <w:noProof/>
          <w:color w:val="4C4747"/>
          <w:lang w:val="es-DO"/>
        </w:rPr>
        <w:t>Cuadro y gráfico en base a la categoría del desempeño: sobresalientes (95 a 100%) superior al promedio (85 a 94%), promedio (75 a 84%), bajo el promedio (65 a 74%) e insatisfactorio (64% o menos); ver artículo 31 del Reglamento 525-09 obviando la condicionante del RED).</w:t>
      </w:r>
      <w:r w:rsidR="0070552F">
        <w:rPr>
          <w:rFonts w:eastAsia="Calibri"/>
          <w:noProof/>
          <w:color w:val="4C4747"/>
          <w:lang w:val="es-DO"/>
        </w:rPr>
        <w:t xml:space="preserve"> </w:t>
      </w:r>
    </w:p>
    <w:p w14:paraId="1D9AEED8" w14:textId="77777777" w:rsidR="001E7501" w:rsidRPr="004D158D" w:rsidRDefault="001E7501" w:rsidP="00340DF1">
      <w:pPr>
        <w:spacing w:after="120" w:line="360" w:lineRule="auto"/>
        <w:ind w:left="708"/>
        <w:jc w:val="both"/>
        <w:rPr>
          <w:rFonts w:ascii="Adelle Sans EXT" w:eastAsia="SimSun" w:hAnsi="Adelle Sans EXT"/>
          <w:b/>
          <w:bCs/>
          <w:color w:val="2F5496" w:themeColor="accent1" w:themeShade="BF"/>
          <w:sz w:val="22"/>
          <w:lang w:val="es-ES"/>
        </w:rPr>
      </w:pPr>
    </w:p>
    <w:tbl>
      <w:tblPr>
        <w:tblStyle w:val="Tablaconcuadrcula"/>
        <w:tblpPr w:leftFromText="180" w:rightFromText="180" w:vertAnchor="text" w:horzAnchor="margin" w:tblpXSpec="center" w:tblpY="85"/>
        <w:tblW w:w="10768" w:type="dxa"/>
        <w:tblLayout w:type="fixed"/>
        <w:tblLook w:val="04A0" w:firstRow="1" w:lastRow="0" w:firstColumn="1" w:lastColumn="0" w:noHBand="0" w:noVBand="1"/>
      </w:tblPr>
      <w:tblGrid>
        <w:gridCol w:w="1555"/>
        <w:gridCol w:w="1701"/>
        <w:gridCol w:w="1417"/>
        <w:gridCol w:w="1276"/>
        <w:gridCol w:w="1984"/>
        <w:gridCol w:w="851"/>
        <w:gridCol w:w="1276"/>
        <w:gridCol w:w="708"/>
      </w:tblGrid>
      <w:tr w:rsidR="00E33E57" w:rsidRPr="00D12E71" w14:paraId="0AF7553B" w14:textId="77777777" w:rsidTr="0083679B">
        <w:trPr>
          <w:trHeight w:val="274"/>
        </w:trPr>
        <w:tc>
          <w:tcPr>
            <w:tcW w:w="10768" w:type="dxa"/>
            <w:gridSpan w:val="8"/>
            <w:shd w:val="clear" w:color="auto" w:fill="002060"/>
          </w:tcPr>
          <w:p w14:paraId="7F3AB9D0" w14:textId="7A5998A4" w:rsidR="00E33E57" w:rsidRPr="00D12E71" w:rsidRDefault="007D01C7" w:rsidP="00340DF1">
            <w:pPr>
              <w:spacing w:after="120" w:line="360" w:lineRule="auto"/>
              <w:jc w:val="center"/>
              <w:rPr>
                <w:rFonts w:eastAsiaTheme="minorEastAsia"/>
                <w:noProof/>
                <w:color w:val="4C4747"/>
                <w:lang w:val="es-DO"/>
              </w:rPr>
            </w:pPr>
            <w:r>
              <w:rPr>
                <w:rFonts w:eastAsiaTheme="minorEastAsia"/>
                <w:noProof/>
                <w:color w:val="FFFFFF" w:themeColor="background1"/>
                <w:lang w:val="es-DO"/>
              </w:rPr>
              <w:lastRenderedPageBreak/>
              <w:t xml:space="preserve">Tabla 7. </w:t>
            </w:r>
            <w:r w:rsidR="00E33E57" w:rsidRPr="00D12E71">
              <w:rPr>
                <w:rFonts w:eastAsiaTheme="minorEastAsia"/>
                <w:noProof/>
                <w:color w:val="FFFFFF" w:themeColor="background1"/>
                <w:lang w:val="es-DO"/>
              </w:rPr>
              <w:t>Matriz de desempeño</w:t>
            </w:r>
          </w:p>
        </w:tc>
      </w:tr>
      <w:tr w:rsidR="006B3AC9" w:rsidRPr="00D12E71" w14:paraId="606B3087" w14:textId="77777777" w:rsidTr="0083679B">
        <w:trPr>
          <w:trHeight w:val="841"/>
        </w:trPr>
        <w:tc>
          <w:tcPr>
            <w:tcW w:w="1555" w:type="dxa"/>
            <w:shd w:val="clear" w:color="auto" w:fill="002060"/>
          </w:tcPr>
          <w:p w14:paraId="50D05C11" w14:textId="77777777" w:rsidR="006B3AC9" w:rsidRPr="00D12E71" w:rsidRDefault="006B3AC9" w:rsidP="00340DF1">
            <w:pPr>
              <w:spacing w:after="120" w:line="360" w:lineRule="auto"/>
              <w:jc w:val="center"/>
              <w:rPr>
                <w:rFonts w:eastAsiaTheme="minorEastAsia"/>
                <w:noProof/>
                <w:color w:val="FFFFFF" w:themeColor="background1"/>
                <w:sz w:val="20"/>
                <w:szCs w:val="20"/>
                <w:lang w:val="es-DO"/>
              </w:rPr>
            </w:pPr>
            <w:r w:rsidRPr="00D12E71">
              <w:rPr>
                <w:rFonts w:eastAsiaTheme="minorEastAsia"/>
                <w:noProof/>
                <w:color w:val="FFFFFF" w:themeColor="background1"/>
                <w:sz w:val="20"/>
                <w:szCs w:val="20"/>
                <w:lang w:val="es-DO"/>
              </w:rPr>
              <w:t>Grupo Ocupacional</w:t>
            </w:r>
          </w:p>
        </w:tc>
        <w:tc>
          <w:tcPr>
            <w:tcW w:w="1701" w:type="dxa"/>
            <w:shd w:val="clear" w:color="auto" w:fill="002060"/>
          </w:tcPr>
          <w:p w14:paraId="6468D216" w14:textId="45021924" w:rsidR="006B3AC9" w:rsidRPr="00D12E71" w:rsidRDefault="006B3AC9" w:rsidP="00340DF1">
            <w:pPr>
              <w:spacing w:after="120" w:line="360" w:lineRule="auto"/>
              <w:jc w:val="center"/>
              <w:rPr>
                <w:rFonts w:eastAsiaTheme="minorEastAsia"/>
                <w:noProof/>
                <w:color w:val="FFFFFF" w:themeColor="background1"/>
                <w:sz w:val="20"/>
                <w:szCs w:val="20"/>
                <w:lang w:val="es-DO"/>
              </w:rPr>
            </w:pPr>
            <w:r w:rsidRPr="00D12E71">
              <w:rPr>
                <w:rFonts w:eastAsiaTheme="minorEastAsia"/>
                <w:noProof/>
                <w:color w:val="FFFFFF" w:themeColor="background1"/>
                <w:sz w:val="20"/>
                <w:szCs w:val="20"/>
                <w:lang w:val="es-DO"/>
              </w:rPr>
              <w:t>Ca</w:t>
            </w:r>
            <w:r w:rsidR="0083679B">
              <w:rPr>
                <w:rFonts w:eastAsiaTheme="minorEastAsia"/>
                <w:noProof/>
                <w:color w:val="FFFFFF" w:themeColor="background1"/>
                <w:sz w:val="20"/>
                <w:szCs w:val="20"/>
                <w:lang w:val="es-DO"/>
              </w:rPr>
              <w:t>ntidad g</w:t>
            </w:r>
            <w:r w:rsidRPr="00D12E71">
              <w:rPr>
                <w:rFonts w:eastAsiaTheme="minorEastAsia"/>
                <w:noProof/>
                <w:color w:val="FFFFFF" w:themeColor="background1"/>
                <w:sz w:val="20"/>
                <w:szCs w:val="20"/>
                <w:lang w:val="es-DO"/>
              </w:rPr>
              <w:t>eneral de Colaboradores</w:t>
            </w:r>
          </w:p>
        </w:tc>
        <w:tc>
          <w:tcPr>
            <w:tcW w:w="2693" w:type="dxa"/>
            <w:gridSpan w:val="2"/>
            <w:shd w:val="clear" w:color="auto" w:fill="002060"/>
          </w:tcPr>
          <w:p w14:paraId="245094FF" w14:textId="77777777" w:rsidR="006B3AC9" w:rsidRPr="00D12E71" w:rsidRDefault="006B3AC9" w:rsidP="00340DF1">
            <w:pPr>
              <w:spacing w:after="120" w:line="360" w:lineRule="auto"/>
              <w:jc w:val="center"/>
              <w:rPr>
                <w:rFonts w:eastAsiaTheme="minorEastAsia"/>
                <w:noProof/>
                <w:color w:val="FFFFFF" w:themeColor="background1"/>
                <w:sz w:val="20"/>
                <w:szCs w:val="20"/>
                <w:lang w:val="es-DO"/>
              </w:rPr>
            </w:pPr>
            <w:r w:rsidRPr="00D12E71">
              <w:rPr>
                <w:rFonts w:eastAsiaTheme="minorEastAsia"/>
                <w:noProof/>
                <w:color w:val="FFFFFF" w:themeColor="background1"/>
                <w:sz w:val="20"/>
                <w:szCs w:val="20"/>
                <w:lang w:val="es-DO"/>
              </w:rPr>
              <w:t>Sobresalientes</w:t>
            </w:r>
          </w:p>
          <w:p w14:paraId="4270CFE8" w14:textId="77777777" w:rsidR="006B3AC9" w:rsidRPr="00D12E71" w:rsidRDefault="006B3AC9" w:rsidP="00340DF1">
            <w:pPr>
              <w:spacing w:after="120" w:line="360" w:lineRule="auto"/>
              <w:jc w:val="center"/>
              <w:rPr>
                <w:rFonts w:eastAsiaTheme="minorEastAsia"/>
                <w:noProof/>
                <w:color w:val="FFFFFF" w:themeColor="background1"/>
                <w:sz w:val="20"/>
                <w:szCs w:val="20"/>
                <w:lang w:val="es-DO"/>
              </w:rPr>
            </w:pPr>
            <w:r w:rsidRPr="00D12E71">
              <w:rPr>
                <w:rFonts w:eastAsiaTheme="minorEastAsia"/>
                <w:noProof/>
                <w:color w:val="FFFFFF" w:themeColor="background1"/>
                <w:sz w:val="20"/>
                <w:szCs w:val="20"/>
                <w:lang w:val="es-DO"/>
              </w:rPr>
              <w:t>(95% a 100%)</w:t>
            </w:r>
          </w:p>
        </w:tc>
        <w:tc>
          <w:tcPr>
            <w:tcW w:w="2835" w:type="dxa"/>
            <w:gridSpan w:val="2"/>
            <w:shd w:val="clear" w:color="auto" w:fill="002060"/>
          </w:tcPr>
          <w:p w14:paraId="7CE4C5E1" w14:textId="77777777" w:rsidR="006B3AC9" w:rsidRPr="00D12E71" w:rsidRDefault="006B3AC9" w:rsidP="00340DF1">
            <w:pPr>
              <w:spacing w:after="120" w:line="360" w:lineRule="auto"/>
              <w:jc w:val="center"/>
              <w:rPr>
                <w:rFonts w:eastAsiaTheme="minorEastAsia"/>
                <w:noProof/>
                <w:color w:val="FFFFFF" w:themeColor="background1"/>
                <w:sz w:val="20"/>
                <w:szCs w:val="20"/>
                <w:lang w:val="es-DO"/>
              </w:rPr>
            </w:pPr>
            <w:r w:rsidRPr="00D12E71">
              <w:rPr>
                <w:rFonts w:eastAsiaTheme="minorEastAsia"/>
                <w:noProof/>
                <w:color w:val="FFFFFF" w:themeColor="background1"/>
                <w:sz w:val="20"/>
                <w:szCs w:val="20"/>
                <w:lang w:val="es-DO"/>
              </w:rPr>
              <w:t>Superior al Promedio</w:t>
            </w:r>
          </w:p>
          <w:p w14:paraId="6F883754" w14:textId="77777777" w:rsidR="006B3AC9" w:rsidRPr="00D12E71" w:rsidRDefault="006B3AC9" w:rsidP="00340DF1">
            <w:pPr>
              <w:spacing w:after="120" w:line="360" w:lineRule="auto"/>
              <w:jc w:val="center"/>
              <w:rPr>
                <w:rFonts w:eastAsiaTheme="minorEastAsia"/>
                <w:noProof/>
                <w:color w:val="FFFFFF" w:themeColor="background1"/>
                <w:sz w:val="20"/>
                <w:szCs w:val="20"/>
                <w:lang w:val="es-DO"/>
              </w:rPr>
            </w:pPr>
            <w:r w:rsidRPr="00D12E71">
              <w:rPr>
                <w:rFonts w:eastAsiaTheme="minorEastAsia"/>
                <w:noProof/>
                <w:color w:val="FFFFFF" w:themeColor="background1"/>
                <w:sz w:val="20"/>
                <w:szCs w:val="20"/>
                <w:lang w:val="es-DO"/>
              </w:rPr>
              <w:t>(85% a 94%)</w:t>
            </w:r>
          </w:p>
        </w:tc>
        <w:tc>
          <w:tcPr>
            <w:tcW w:w="1984" w:type="dxa"/>
            <w:gridSpan w:val="2"/>
            <w:shd w:val="clear" w:color="auto" w:fill="002060"/>
          </w:tcPr>
          <w:p w14:paraId="57BF959D" w14:textId="77777777" w:rsidR="006B3AC9" w:rsidRPr="00D12E71" w:rsidRDefault="006B3AC9" w:rsidP="00340DF1">
            <w:pPr>
              <w:spacing w:after="120" w:line="360" w:lineRule="auto"/>
              <w:jc w:val="center"/>
              <w:rPr>
                <w:rFonts w:eastAsiaTheme="minorEastAsia"/>
                <w:noProof/>
                <w:color w:val="FFFFFF" w:themeColor="background1"/>
                <w:sz w:val="20"/>
                <w:szCs w:val="20"/>
                <w:lang w:val="es-DO"/>
              </w:rPr>
            </w:pPr>
            <w:r w:rsidRPr="00D12E71">
              <w:rPr>
                <w:rFonts w:eastAsiaTheme="minorEastAsia"/>
                <w:noProof/>
                <w:color w:val="FFFFFF" w:themeColor="background1"/>
                <w:sz w:val="20"/>
                <w:szCs w:val="20"/>
                <w:lang w:val="es-DO"/>
              </w:rPr>
              <w:t>Promedio insatisfactorio</w:t>
            </w:r>
          </w:p>
          <w:p w14:paraId="6BDB8ADD" w14:textId="77777777" w:rsidR="006B3AC9" w:rsidRPr="00D12E71" w:rsidRDefault="006B3AC9" w:rsidP="00340DF1">
            <w:pPr>
              <w:spacing w:after="120" w:line="360" w:lineRule="auto"/>
              <w:jc w:val="center"/>
              <w:rPr>
                <w:rFonts w:eastAsiaTheme="minorEastAsia"/>
                <w:noProof/>
                <w:color w:val="FFFFFF" w:themeColor="background1"/>
                <w:sz w:val="20"/>
                <w:szCs w:val="20"/>
                <w:lang w:val="es-DO"/>
              </w:rPr>
            </w:pPr>
            <w:r w:rsidRPr="00D12E71">
              <w:rPr>
                <w:rFonts w:eastAsiaTheme="minorEastAsia"/>
                <w:noProof/>
                <w:color w:val="FFFFFF" w:themeColor="background1"/>
                <w:sz w:val="20"/>
                <w:szCs w:val="20"/>
                <w:lang w:val="es-DO"/>
              </w:rPr>
              <w:t>(64 % o menos)</w:t>
            </w:r>
          </w:p>
        </w:tc>
      </w:tr>
      <w:tr w:rsidR="006B3AC9" w:rsidRPr="00D12E71" w14:paraId="43BEC26E" w14:textId="77777777" w:rsidTr="0083679B">
        <w:trPr>
          <w:trHeight w:val="378"/>
        </w:trPr>
        <w:tc>
          <w:tcPr>
            <w:tcW w:w="1555" w:type="dxa"/>
          </w:tcPr>
          <w:p w14:paraId="0B3188C8" w14:textId="77777777" w:rsidR="006B3AC9" w:rsidRPr="00D12E71" w:rsidRDefault="006B3AC9" w:rsidP="00340DF1">
            <w:pPr>
              <w:spacing w:after="120" w:line="360" w:lineRule="auto"/>
              <w:jc w:val="center"/>
              <w:rPr>
                <w:rFonts w:eastAsiaTheme="minorEastAsia"/>
                <w:noProof/>
                <w:color w:val="4C4747"/>
                <w:lang w:val="es-DO"/>
              </w:rPr>
            </w:pPr>
          </w:p>
        </w:tc>
        <w:tc>
          <w:tcPr>
            <w:tcW w:w="1701" w:type="dxa"/>
          </w:tcPr>
          <w:p w14:paraId="06591D0D" w14:textId="77777777" w:rsidR="006B3AC9" w:rsidRPr="00D12E71" w:rsidRDefault="006B3AC9" w:rsidP="00340DF1">
            <w:pPr>
              <w:spacing w:after="120" w:line="360" w:lineRule="auto"/>
              <w:jc w:val="center"/>
              <w:rPr>
                <w:rFonts w:eastAsiaTheme="minorEastAsia"/>
                <w:noProof/>
                <w:color w:val="4C4747"/>
                <w:lang w:val="es-DO"/>
              </w:rPr>
            </w:pPr>
          </w:p>
        </w:tc>
        <w:tc>
          <w:tcPr>
            <w:tcW w:w="1417" w:type="dxa"/>
          </w:tcPr>
          <w:p w14:paraId="23BC3EA3"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Cantidad Colaboradores</w:t>
            </w:r>
          </w:p>
        </w:tc>
        <w:tc>
          <w:tcPr>
            <w:tcW w:w="1276" w:type="dxa"/>
          </w:tcPr>
          <w:p w14:paraId="07BBAE90"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c>
          <w:tcPr>
            <w:tcW w:w="1984" w:type="dxa"/>
          </w:tcPr>
          <w:p w14:paraId="46247865"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Cantidad Colaboradores</w:t>
            </w:r>
          </w:p>
        </w:tc>
        <w:tc>
          <w:tcPr>
            <w:tcW w:w="851" w:type="dxa"/>
          </w:tcPr>
          <w:p w14:paraId="002B895F"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c>
          <w:tcPr>
            <w:tcW w:w="1276" w:type="dxa"/>
          </w:tcPr>
          <w:p w14:paraId="2141AA5A"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Cantidad Colaboradores</w:t>
            </w:r>
          </w:p>
        </w:tc>
        <w:tc>
          <w:tcPr>
            <w:tcW w:w="708" w:type="dxa"/>
          </w:tcPr>
          <w:p w14:paraId="6F30F1F2"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r>
      <w:tr w:rsidR="006B3AC9" w:rsidRPr="00D12E71" w14:paraId="335578D0" w14:textId="77777777" w:rsidTr="0083679B">
        <w:trPr>
          <w:trHeight w:val="276"/>
        </w:trPr>
        <w:tc>
          <w:tcPr>
            <w:tcW w:w="1555" w:type="dxa"/>
          </w:tcPr>
          <w:p w14:paraId="0835D6FF"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I</w:t>
            </w:r>
          </w:p>
        </w:tc>
        <w:tc>
          <w:tcPr>
            <w:tcW w:w="1701" w:type="dxa"/>
          </w:tcPr>
          <w:p w14:paraId="1485B0BB"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11</w:t>
            </w:r>
          </w:p>
        </w:tc>
        <w:tc>
          <w:tcPr>
            <w:tcW w:w="1417" w:type="dxa"/>
          </w:tcPr>
          <w:p w14:paraId="67D9C355"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11</w:t>
            </w:r>
          </w:p>
        </w:tc>
        <w:tc>
          <w:tcPr>
            <w:tcW w:w="1276" w:type="dxa"/>
          </w:tcPr>
          <w:p w14:paraId="28278612" w14:textId="77D90F42"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100%</w:t>
            </w:r>
          </w:p>
        </w:tc>
        <w:tc>
          <w:tcPr>
            <w:tcW w:w="1984" w:type="dxa"/>
          </w:tcPr>
          <w:p w14:paraId="0F4F337D"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c>
          <w:tcPr>
            <w:tcW w:w="851" w:type="dxa"/>
          </w:tcPr>
          <w:p w14:paraId="6C76F8CE"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c>
          <w:tcPr>
            <w:tcW w:w="1276" w:type="dxa"/>
          </w:tcPr>
          <w:p w14:paraId="2B33F218"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c>
          <w:tcPr>
            <w:tcW w:w="708" w:type="dxa"/>
          </w:tcPr>
          <w:p w14:paraId="02DB54EB"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r>
      <w:tr w:rsidR="006B3AC9" w:rsidRPr="00D12E71" w14:paraId="1837AA23" w14:textId="77777777" w:rsidTr="0083679B">
        <w:trPr>
          <w:trHeight w:val="276"/>
        </w:trPr>
        <w:tc>
          <w:tcPr>
            <w:tcW w:w="1555" w:type="dxa"/>
          </w:tcPr>
          <w:p w14:paraId="71089B4E"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II</w:t>
            </w:r>
          </w:p>
        </w:tc>
        <w:tc>
          <w:tcPr>
            <w:tcW w:w="1701" w:type="dxa"/>
          </w:tcPr>
          <w:p w14:paraId="723AE4B6"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7</w:t>
            </w:r>
          </w:p>
        </w:tc>
        <w:tc>
          <w:tcPr>
            <w:tcW w:w="1417" w:type="dxa"/>
          </w:tcPr>
          <w:p w14:paraId="5865112D"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7</w:t>
            </w:r>
          </w:p>
        </w:tc>
        <w:tc>
          <w:tcPr>
            <w:tcW w:w="1276" w:type="dxa"/>
          </w:tcPr>
          <w:p w14:paraId="3850DD50"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100%</w:t>
            </w:r>
          </w:p>
        </w:tc>
        <w:tc>
          <w:tcPr>
            <w:tcW w:w="1984" w:type="dxa"/>
          </w:tcPr>
          <w:p w14:paraId="11472A78"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c>
          <w:tcPr>
            <w:tcW w:w="851" w:type="dxa"/>
          </w:tcPr>
          <w:p w14:paraId="7235005A"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c>
          <w:tcPr>
            <w:tcW w:w="1276" w:type="dxa"/>
          </w:tcPr>
          <w:p w14:paraId="765B76D3"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c>
          <w:tcPr>
            <w:tcW w:w="708" w:type="dxa"/>
          </w:tcPr>
          <w:p w14:paraId="2DEA7FDA"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r>
      <w:tr w:rsidR="006B3AC9" w:rsidRPr="00D12E71" w14:paraId="393E1662" w14:textId="77777777" w:rsidTr="0083679B">
        <w:trPr>
          <w:trHeight w:val="276"/>
        </w:trPr>
        <w:tc>
          <w:tcPr>
            <w:tcW w:w="1555" w:type="dxa"/>
          </w:tcPr>
          <w:p w14:paraId="2A86AF52"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III</w:t>
            </w:r>
          </w:p>
        </w:tc>
        <w:tc>
          <w:tcPr>
            <w:tcW w:w="1701" w:type="dxa"/>
          </w:tcPr>
          <w:p w14:paraId="0C00B5E2"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9</w:t>
            </w:r>
          </w:p>
        </w:tc>
        <w:tc>
          <w:tcPr>
            <w:tcW w:w="1417" w:type="dxa"/>
          </w:tcPr>
          <w:p w14:paraId="124E5175"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8</w:t>
            </w:r>
          </w:p>
        </w:tc>
        <w:tc>
          <w:tcPr>
            <w:tcW w:w="1276" w:type="dxa"/>
          </w:tcPr>
          <w:p w14:paraId="6197AB60"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89%</w:t>
            </w:r>
          </w:p>
        </w:tc>
        <w:tc>
          <w:tcPr>
            <w:tcW w:w="1984" w:type="dxa"/>
          </w:tcPr>
          <w:p w14:paraId="129672B8"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1</w:t>
            </w:r>
          </w:p>
        </w:tc>
        <w:tc>
          <w:tcPr>
            <w:tcW w:w="851" w:type="dxa"/>
          </w:tcPr>
          <w:p w14:paraId="30BBC573"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11%</w:t>
            </w:r>
          </w:p>
        </w:tc>
        <w:tc>
          <w:tcPr>
            <w:tcW w:w="1276" w:type="dxa"/>
          </w:tcPr>
          <w:p w14:paraId="2E92A6FE" w14:textId="77777777" w:rsidR="006B3AC9" w:rsidRPr="00D12E71" w:rsidRDefault="006B3AC9" w:rsidP="00340DF1">
            <w:pPr>
              <w:spacing w:after="120" w:line="360" w:lineRule="auto"/>
              <w:jc w:val="center"/>
              <w:rPr>
                <w:rFonts w:eastAsiaTheme="minorEastAsia"/>
                <w:noProof/>
                <w:color w:val="4C4747"/>
                <w:lang w:val="es-DO"/>
              </w:rPr>
            </w:pPr>
          </w:p>
        </w:tc>
        <w:tc>
          <w:tcPr>
            <w:tcW w:w="708" w:type="dxa"/>
          </w:tcPr>
          <w:p w14:paraId="4B1D2C6C" w14:textId="77777777" w:rsidR="006B3AC9" w:rsidRPr="00D12E71" w:rsidRDefault="006B3AC9" w:rsidP="00340DF1">
            <w:pPr>
              <w:spacing w:after="120" w:line="360" w:lineRule="auto"/>
              <w:jc w:val="center"/>
              <w:rPr>
                <w:rFonts w:eastAsiaTheme="minorEastAsia"/>
                <w:noProof/>
                <w:color w:val="4C4747"/>
                <w:lang w:val="es-DO"/>
              </w:rPr>
            </w:pPr>
          </w:p>
        </w:tc>
      </w:tr>
      <w:tr w:rsidR="006B3AC9" w:rsidRPr="00D12E71" w14:paraId="2184BFCF" w14:textId="77777777" w:rsidTr="0083679B">
        <w:trPr>
          <w:trHeight w:val="276"/>
        </w:trPr>
        <w:tc>
          <w:tcPr>
            <w:tcW w:w="1555" w:type="dxa"/>
          </w:tcPr>
          <w:p w14:paraId="1DED7DB4"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IV</w:t>
            </w:r>
          </w:p>
        </w:tc>
        <w:tc>
          <w:tcPr>
            <w:tcW w:w="1701" w:type="dxa"/>
          </w:tcPr>
          <w:p w14:paraId="3AFC1C89"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25</w:t>
            </w:r>
          </w:p>
        </w:tc>
        <w:tc>
          <w:tcPr>
            <w:tcW w:w="1417" w:type="dxa"/>
          </w:tcPr>
          <w:p w14:paraId="74DF8BCF"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22</w:t>
            </w:r>
          </w:p>
        </w:tc>
        <w:tc>
          <w:tcPr>
            <w:tcW w:w="1276" w:type="dxa"/>
          </w:tcPr>
          <w:p w14:paraId="3F036E73"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88%</w:t>
            </w:r>
          </w:p>
        </w:tc>
        <w:tc>
          <w:tcPr>
            <w:tcW w:w="1984" w:type="dxa"/>
          </w:tcPr>
          <w:p w14:paraId="01B0FB23"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3</w:t>
            </w:r>
          </w:p>
        </w:tc>
        <w:tc>
          <w:tcPr>
            <w:tcW w:w="851" w:type="dxa"/>
          </w:tcPr>
          <w:p w14:paraId="7D9F1A85"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12%</w:t>
            </w:r>
          </w:p>
        </w:tc>
        <w:tc>
          <w:tcPr>
            <w:tcW w:w="1276" w:type="dxa"/>
          </w:tcPr>
          <w:p w14:paraId="5BC951FC"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w:t>
            </w:r>
          </w:p>
        </w:tc>
        <w:tc>
          <w:tcPr>
            <w:tcW w:w="708" w:type="dxa"/>
          </w:tcPr>
          <w:p w14:paraId="555B1014" w14:textId="77777777" w:rsidR="006B3AC9" w:rsidRPr="00D12E71" w:rsidRDefault="006B3AC9" w:rsidP="00340DF1">
            <w:pPr>
              <w:spacing w:after="120" w:line="360" w:lineRule="auto"/>
              <w:jc w:val="center"/>
              <w:rPr>
                <w:rFonts w:eastAsiaTheme="minorEastAsia"/>
                <w:noProof/>
                <w:color w:val="4C4747"/>
                <w:lang w:val="es-DO"/>
              </w:rPr>
            </w:pPr>
          </w:p>
        </w:tc>
      </w:tr>
      <w:tr w:rsidR="006B3AC9" w:rsidRPr="00D12E71" w14:paraId="6029431C" w14:textId="77777777" w:rsidTr="005C6CEC">
        <w:trPr>
          <w:trHeight w:val="276"/>
        </w:trPr>
        <w:tc>
          <w:tcPr>
            <w:tcW w:w="1555" w:type="dxa"/>
            <w:tcBorders>
              <w:bottom w:val="single" w:sz="4" w:space="0" w:color="auto"/>
            </w:tcBorders>
          </w:tcPr>
          <w:p w14:paraId="7CBF3B4B"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V</w:t>
            </w:r>
          </w:p>
        </w:tc>
        <w:tc>
          <w:tcPr>
            <w:tcW w:w="1701" w:type="dxa"/>
            <w:tcBorders>
              <w:bottom w:val="single" w:sz="4" w:space="0" w:color="auto"/>
            </w:tcBorders>
          </w:tcPr>
          <w:p w14:paraId="4F5296F2"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15</w:t>
            </w:r>
          </w:p>
        </w:tc>
        <w:tc>
          <w:tcPr>
            <w:tcW w:w="1417" w:type="dxa"/>
            <w:tcBorders>
              <w:bottom w:val="single" w:sz="4" w:space="0" w:color="auto"/>
            </w:tcBorders>
          </w:tcPr>
          <w:p w14:paraId="2E758E91"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11</w:t>
            </w:r>
          </w:p>
        </w:tc>
        <w:tc>
          <w:tcPr>
            <w:tcW w:w="1276" w:type="dxa"/>
            <w:tcBorders>
              <w:bottom w:val="single" w:sz="4" w:space="0" w:color="auto"/>
            </w:tcBorders>
          </w:tcPr>
          <w:p w14:paraId="6EEB238B"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73%</w:t>
            </w:r>
          </w:p>
        </w:tc>
        <w:tc>
          <w:tcPr>
            <w:tcW w:w="1984" w:type="dxa"/>
            <w:tcBorders>
              <w:bottom w:val="single" w:sz="4" w:space="0" w:color="auto"/>
            </w:tcBorders>
          </w:tcPr>
          <w:p w14:paraId="4DBF87A7"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3</w:t>
            </w:r>
          </w:p>
        </w:tc>
        <w:tc>
          <w:tcPr>
            <w:tcW w:w="851" w:type="dxa"/>
            <w:tcBorders>
              <w:bottom w:val="single" w:sz="4" w:space="0" w:color="auto"/>
            </w:tcBorders>
          </w:tcPr>
          <w:p w14:paraId="47C3EAC2"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20%</w:t>
            </w:r>
          </w:p>
        </w:tc>
        <w:tc>
          <w:tcPr>
            <w:tcW w:w="1276" w:type="dxa"/>
            <w:tcBorders>
              <w:bottom w:val="single" w:sz="4" w:space="0" w:color="auto"/>
            </w:tcBorders>
          </w:tcPr>
          <w:p w14:paraId="4211ED31"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1</w:t>
            </w:r>
          </w:p>
        </w:tc>
        <w:tc>
          <w:tcPr>
            <w:tcW w:w="708" w:type="dxa"/>
            <w:tcBorders>
              <w:bottom w:val="single" w:sz="4" w:space="0" w:color="auto"/>
            </w:tcBorders>
          </w:tcPr>
          <w:p w14:paraId="44C54D0A"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7%</w:t>
            </w:r>
          </w:p>
        </w:tc>
      </w:tr>
      <w:tr w:rsidR="006B3AC9" w:rsidRPr="00D12E71" w14:paraId="109DFCB0" w14:textId="77777777" w:rsidTr="005C6CEC">
        <w:trPr>
          <w:trHeight w:val="675"/>
        </w:trPr>
        <w:tc>
          <w:tcPr>
            <w:tcW w:w="1555" w:type="dxa"/>
            <w:tcBorders>
              <w:bottom w:val="single" w:sz="4" w:space="0" w:color="auto"/>
            </w:tcBorders>
          </w:tcPr>
          <w:p w14:paraId="2A007824"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Total General</w:t>
            </w:r>
          </w:p>
        </w:tc>
        <w:tc>
          <w:tcPr>
            <w:tcW w:w="1701" w:type="dxa"/>
            <w:tcBorders>
              <w:bottom w:val="single" w:sz="4" w:space="0" w:color="auto"/>
            </w:tcBorders>
          </w:tcPr>
          <w:p w14:paraId="6F0DD74A"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67</w:t>
            </w:r>
          </w:p>
        </w:tc>
        <w:tc>
          <w:tcPr>
            <w:tcW w:w="1417" w:type="dxa"/>
            <w:tcBorders>
              <w:bottom w:val="single" w:sz="4" w:space="0" w:color="auto"/>
            </w:tcBorders>
          </w:tcPr>
          <w:p w14:paraId="5712DBEA"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59</w:t>
            </w:r>
          </w:p>
        </w:tc>
        <w:tc>
          <w:tcPr>
            <w:tcW w:w="1276" w:type="dxa"/>
            <w:tcBorders>
              <w:bottom w:val="single" w:sz="4" w:space="0" w:color="auto"/>
            </w:tcBorders>
          </w:tcPr>
          <w:p w14:paraId="098B7714" w14:textId="77777777" w:rsidR="006B3AC9" w:rsidRPr="00D12E71" w:rsidRDefault="006B3AC9" w:rsidP="00340DF1">
            <w:pPr>
              <w:spacing w:after="120" w:line="360" w:lineRule="auto"/>
              <w:jc w:val="center"/>
              <w:rPr>
                <w:rFonts w:eastAsiaTheme="minorEastAsia"/>
                <w:noProof/>
                <w:color w:val="4C4747"/>
                <w:lang w:val="es-DO"/>
              </w:rPr>
            </w:pPr>
          </w:p>
        </w:tc>
        <w:tc>
          <w:tcPr>
            <w:tcW w:w="1984" w:type="dxa"/>
            <w:tcBorders>
              <w:bottom w:val="single" w:sz="4" w:space="0" w:color="auto"/>
            </w:tcBorders>
          </w:tcPr>
          <w:p w14:paraId="04BDEB84"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7</w:t>
            </w:r>
          </w:p>
        </w:tc>
        <w:tc>
          <w:tcPr>
            <w:tcW w:w="851" w:type="dxa"/>
            <w:tcBorders>
              <w:bottom w:val="single" w:sz="4" w:space="0" w:color="auto"/>
            </w:tcBorders>
          </w:tcPr>
          <w:p w14:paraId="0500D69D" w14:textId="77777777" w:rsidR="006B3AC9" w:rsidRPr="00D12E71" w:rsidRDefault="006B3AC9" w:rsidP="00340DF1">
            <w:pPr>
              <w:spacing w:after="120" w:line="360" w:lineRule="auto"/>
              <w:jc w:val="center"/>
              <w:rPr>
                <w:rFonts w:eastAsiaTheme="minorEastAsia"/>
                <w:noProof/>
                <w:color w:val="4C4747"/>
                <w:lang w:val="es-DO"/>
              </w:rPr>
            </w:pPr>
          </w:p>
        </w:tc>
        <w:tc>
          <w:tcPr>
            <w:tcW w:w="1276" w:type="dxa"/>
            <w:tcBorders>
              <w:bottom w:val="single" w:sz="4" w:space="0" w:color="auto"/>
            </w:tcBorders>
          </w:tcPr>
          <w:p w14:paraId="0ACE2AD2" w14:textId="77777777" w:rsidR="006B3AC9" w:rsidRPr="00D12E71" w:rsidRDefault="006B3AC9" w:rsidP="00340DF1">
            <w:pPr>
              <w:spacing w:after="120" w:line="360" w:lineRule="auto"/>
              <w:jc w:val="center"/>
              <w:rPr>
                <w:rFonts w:eastAsiaTheme="minorEastAsia"/>
                <w:noProof/>
                <w:color w:val="4C4747"/>
                <w:lang w:val="es-DO"/>
              </w:rPr>
            </w:pPr>
            <w:r w:rsidRPr="00D12E71">
              <w:rPr>
                <w:rFonts w:eastAsiaTheme="minorEastAsia"/>
                <w:noProof/>
                <w:color w:val="4C4747"/>
                <w:lang w:val="es-DO"/>
              </w:rPr>
              <w:t>1</w:t>
            </w:r>
          </w:p>
        </w:tc>
        <w:tc>
          <w:tcPr>
            <w:tcW w:w="708" w:type="dxa"/>
            <w:tcBorders>
              <w:bottom w:val="single" w:sz="4" w:space="0" w:color="auto"/>
            </w:tcBorders>
          </w:tcPr>
          <w:p w14:paraId="224D7569" w14:textId="77777777" w:rsidR="006B3AC9" w:rsidRPr="00D12E71" w:rsidRDefault="006B3AC9" w:rsidP="00340DF1">
            <w:pPr>
              <w:spacing w:after="120" w:line="360" w:lineRule="auto"/>
              <w:jc w:val="center"/>
              <w:rPr>
                <w:rFonts w:eastAsiaTheme="minorEastAsia"/>
                <w:noProof/>
                <w:color w:val="4C4747"/>
                <w:lang w:val="es-DO"/>
              </w:rPr>
            </w:pPr>
          </w:p>
        </w:tc>
      </w:tr>
      <w:tr w:rsidR="005C6CEC" w:rsidRPr="00D12E71" w14:paraId="6EC488E5" w14:textId="77777777" w:rsidTr="005C6CEC">
        <w:trPr>
          <w:trHeight w:val="675"/>
        </w:trPr>
        <w:tc>
          <w:tcPr>
            <w:tcW w:w="10768" w:type="dxa"/>
            <w:gridSpan w:val="8"/>
            <w:tcBorders>
              <w:top w:val="single" w:sz="4" w:space="0" w:color="auto"/>
              <w:left w:val="nil"/>
              <w:bottom w:val="nil"/>
              <w:right w:val="nil"/>
            </w:tcBorders>
          </w:tcPr>
          <w:p w14:paraId="12543D05" w14:textId="77777777" w:rsidR="005C6CEC" w:rsidRPr="00116DFC" w:rsidRDefault="005C6CEC" w:rsidP="005C6CEC">
            <w:pPr>
              <w:spacing w:line="360" w:lineRule="auto"/>
              <w:rPr>
                <w:rFonts w:eastAsiaTheme="minorEastAsia"/>
                <w:i/>
                <w:iCs/>
                <w:noProof/>
                <w:color w:val="4C4747"/>
                <w:sz w:val="18"/>
                <w:szCs w:val="18"/>
                <w:lang w:val="es-DO"/>
              </w:rPr>
            </w:pPr>
            <w:r w:rsidRPr="00116DFC">
              <w:rPr>
                <w:rFonts w:eastAsiaTheme="minorEastAsia"/>
                <w:i/>
                <w:iCs/>
                <w:noProof/>
                <w:color w:val="4C4747"/>
                <w:sz w:val="18"/>
                <w:szCs w:val="18"/>
                <w:lang w:val="es-DO"/>
              </w:rPr>
              <w:t xml:space="preserve">Fuente: Depto de Recursos Humanos </w:t>
            </w:r>
          </w:p>
          <w:p w14:paraId="64676CC4" w14:textId="77777777" w:rsidR="005C6CEC" w:rsidRPr="00D12E71" w:rsidRDefault="005C6CEC" w:rsidP="00340DF1">
            <w:pPr>
              <w:spacing w:after="120" w:line="360" w:lineRule="auto"/>
              <w:jc w:val="center"/>
              <w:rPr>
                <w:rFonts w:eastAsiaTheme="minorEastAsia"/>
                <w:noProof/>
                <w:color w:val="4C4747"/>
                <w:lang w:val="es-DO"/>
              </w:rPr>
            </w:pPr>
          </w:p>
        </w:tc>
      </w:tr>
    </w:tbl>
    <w:p w14:paraId="17F3A09D" w14:textId="77777777" w:rsidR="006B3AC9" w:rsidRDefault="006B3AC9" w:rsidP="00340DF1">
      <w:pPr>
        <w:spacing w:after="120" w:line="360" w:lineRule="auto"/>
        <w:rPr>
          <w:rFonts w:eastAsiaTheme="minorEastAsia"/>
          <w:noProof/>
          <w:color w:val="4C4747"/>
          <w:lang w:val="es-DO"/>
        </w:rPr>
      </w:pPr>
    </w:p>
    <w:p w14:paraId="26FA6303" w14:textId="77777777" w:rsidR="007D01C7" w:rsidRDefault="007D01C7" w:rsidP="00340DF1">
      <w:pPr>
        <w:spacing w:after="120" w:line="360" w:lineRule="auto"/>
        <w:rPr>
          <w:rFonts w:eastAsiaTheme="minorEastAsia"/>
          <w:noProof/>
          <w:color w:val="4C4747"/>
          <w:lang w:val="es-DO"/>
        </w:rPr>
      </w:pPr>
    </w:p>
    <w:p w14:paraId="37C2D840" w14:textId="77777777" w:rsidR="007D01C7" w:rsidRDefault="007D01C7" w:rsidP="00340DF1">
      <w:pPr>
        <w:spacing w:after="120" w:line="360" w:lineRule="auto"/>
        <w:rPr>
          <w:rFonts w:eastAsiaTheme="minorEastAsia"/>
          <w:noProof/>
          <w:color w:val="4C4747"/>
          <w:lang w:val="es-DO"/>
        </w:rPr>
      </w:pPr>
    </w:p>
    <w:p w14:paraId="0F6874EE" w14:textId="77777777" w:rsidR="007D01C7" w:rsidRDefault="007D01C7" w:rsidP="00340DF1">
      <w:pPr>
        <w:spacing w:after="120" w:line="360" w:lineRule="auto"/>
        <w:rPr>
          <w:rFonts w:eastAsiaTheme="minorEastAsia"/>
          <w:noProof/>
          <w:color w:val="4C4747"/>
          <w:lang w:val="es-DO"/>
        </w:rPr>
      </w:pPr>
    </w:p>
    <w:p w14:paraId="6B79EE64" w14:textId="77777777" w:rsidR="007D01C7" w:rsidRDefault="007D01C7" w:rsidP="00340DF1">
      <w:pPr>
        <w:spacing w:after="120" w:line="360" w:lineRule="auto"/>
        <w:rPr>
          <w:rFonts w:eastAsiaTheme="minorEastAsia"/>
          <w:noProof/>
          <w:color w:val="4C4747"/>
          <w:lang w:val="es-DO"/>
        </w:rPr>
      </w:pPr>
    </w:p>
    <w:p w14:paraId="159897FC" w14:textId="77777777" w:rsidR="007D01C7" w:rsidRDefault="007D01C7" w:rsidP="00340DF1">
      <w:pPr>
        <w:spacing w:after="120" w:line="360" w:lineRule="auto"/>
        <w:rPr>
          <w:rFonts w:eastAsiaTheme="minorEastAsia"/>
          <w:noProof/>
          <w:color w:val="4C4747"/>
          <w:lang w:val="es-DO"/>
        </w:rPr>
      </w:pPr>
    </w:p>
    <w:p w14:paraId="3E9BAA42" w14:textId="77777777" w:rsidR="007D01C7" w:rsidRDefault="007D01C7" w:rsidP="00340DF1">
      <w:pPr>
        <w:spacing w:after="120" w:line="360" w:lineRule="auto"/>
        <w:rPr>
          <w:rFonts w:eastAsiaTheme="minorEastAsia"/>
          <w:noProof/>
          <w:color w:val="4C4747"/>
          <w:lang w:val="es-DO"/>
        </w:rPr>
      </w:pPr>
    </w:p>
    <w:p w14:paraId="3D0C288A" w14:textId="77777777" w:rsidR="007D01C7" w:rsidRPr="00D12E71" w:rsidRDefault="007D01C7" w:rsidP="00340DF1">
      <w:pPr>
        <w:spacing w:after="120" w:line="360" w:lineRule="auto"/>
        <w:rPr>
          <w:rFonts w:eastAsiaTheme="minorEastAsia"/>
          <w:noProof/>
          <w:color w:val="4C4747"/>
          <w:lang w:val="es-DO"/>
        </w:rPr>
      </w:pPr>
    </w:p>
    <w:p w14:paraId="76B7B22D" w14:textId="77777777" w:rsidR="00FB0124" w:rsidRDefault="00FB0124" w:rsidP="00340DF1">
      <w:pPr>
        <w:spacing w:line="360" w:lineRule="auto"/>
        <w:jc w:val="both"/>
        <w:rPr>
          <w:rFonts w:eastAsia="Calibri"/>
          <w:noProof/>
          <w:color w:val="4C4747"/>
          <w:lang w:val="es-DO"/>
        </w:rPr>
      </w:pPr>
    </w:p>
    <w:p w14:paraId="14BAC116" w14:textId="75D2C000" w:rsidR="001A10D5" w:rsidRPr="00F956F5" w:rsidRDefault="005B3EA3" w:rsidP="00340DF1">
      <w:pPr>
        <w:spacing w:line="360" w:lineRule="auto"/>
        <w:jc w:val="both"/>
        <w:rPr>
          <w:rFonts w:eastAsia="Calibri"/>
          <w:noProof/>
          <w:color w:val="4C4747"/>
          <w:lang w:val="es-DO"/>
        </w:rPr>
      </w:pPr>
      <w:r w:rsidRPr="00F956F5">
        <w:rPr>
          <w:rFonts w:eastAsia="Calibri"/>
          <w:noProof/>
          <w:color w:val="4C4747"/>
          <w:lang w:val="es-DO"/>
        </w:rPr>
        <w:lastRenderedPageBreak/>
        <w:t xml:space="preserve">Distribución del personal </w:t>
      </w:r>
      <w:r w:rsidR="0040755B" w:rsidRPr="00F956F5">
        <w:rPr>
          <w:rFonts w:eastAsia="Calibri"/>
          <w:noProof/>
          <w:color w:val="4C4747"/>
          <w:lang w:val="es-DO"/>
        </w:rPr>
        <w:t>(a diciembre 2025)</w:t>
      </w:r>
    </w:p>
    <w:p w14:paraId="7603B7F8" w14:textId="1D672499" w:rsidR="001A10D5" w:rsidRPr="00F956F5" w:rsidRDefault="00967024" w:rsidP="00340DF1">
      <w:pPr>
        <w:spacing w:line="360" w:lineRule="auto"/>
        <w:jc w:val="both"/>
        <w:rPr>
          <w:rFonts w:eastAsia="Calibri"/>
          <w:noProof/>
          <w:color w:val="4C4747"/>
          <w:lang w:val="es-DO"/>
        </w:rPr>
      </w:pPr>
      <w:r w:rsidRPr="00F956F5">
        <w:rPr>
          <w:rFonts w:eastAsia="Calibri"/>
          <w:noProof/>
          <w:color w:val="4C4747"/>
          <w:lang w:val="es-DO"/>
        </w:rPr>
        <w:t xml:space="preserve"> </w:t>
      </w:r>
      <w:r w:rsidR="00445419" w:rsidRPr="00F956F5">
        <w:rPr>
          <w:rFonts w:eastAsia="Calibri"/>
          <w:noProof/>
          <w:color w:val="4C4747"/>
          <w:lang w:val="es-DO"/>
        </w:rPr>
        <w:t xml:space="preserve">ProCompetencia cuenta con un total de 71 servidores. El 55% de los servidores son hombres y el 45% de los servidores son mujeres. </w:t>
      </w:r>
    </w:p>
    <w:tbl>
      <w:tblPr>
        <w:tblStyle w:val="Tabladelista3-nfasis11"/>
        <w:tblpPr w:leftFromText="180" w:rightFromText="180" w:vertAnchor="text" w:horzAnchor="margin" w:tblpXSpec="right" w:tblpY="2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1679"/>
        <w:gridCol w:w="1881"/>
        <w:gridCol w:w="1797"/>
      </w:tblGrid>
      <w:tr w:rsidR="007D01C7" w:rsidRPr="00597C8D" w14:paraId="66A19D0B" w14:textId="77777777" w:rsidTr="00697D8A">
        <w:trPr>
          <w:cnfStyle w:val="100000000000" w:firstRow="1" w:lastRow="0" w:firstColumn="0" w:lastColumn="0" w:oddVBand="0" w:evenVBand="0" w:oddHBand="0" w:evenHBand="0" w:firstRowFirstColumn="0" w:firstRowLastColumn="0" w:lastRowFirstColumn="0" w:lastRowLastColumn="0"/>
          <w:trHeight w:val="389"/>
        </w:trPr>
        <w:tc>
          <w:tcPr>
            <w:cnfStyle w:val="001000000100" w:firstRow="0" w:lastRow="0" w:firstColumn="1" w:lastColumn="0" w:oddVBand="0" w:evenVBand="0" w:oddHBand="0" w:evenHBand="0" w:firstRowFirstColumn="1" w:firstRowLastColumn="0" w:lastRowFirstColumn="0" w:lastRowLastColumn="0"/>
            <w:tcW w:w="7910" w:type="dxa"/>
            <w:gridSpan w:val="4"/>
            <w:shd w:val="clear" w:color="auto" w:fill="002060"/>
          </w:tcPr>
          <w:p w14:paraId="08134743" w14:textId="20A6E3D5" w:rsidR="007D01C7" w:rsidRPr="008F4395" w:rsidRDefault="007D01C7" w:rsidP="00340DF1">
            <w:pPr>
              <w:spacing w:line="360" w:lineRule="auto"/>
              <w:jc w:val="center"/>
              <w:rPr>
                <w:rFonts w:eastAsia="Calibri"/>
                <w:noProof/>
              </w:rPr>
            </w:pPr>
            <w:r w:rsidRPr="007D01C7">
              <w:rPr>
                <w:rFonts w:ascii="Times New Roman" w:eastAsia="Calibri" w:hAnsi="Times New Roman" w:cs="Times New Roman"/>
                <w:b w:val="0"/>
                <w:bCs w:val="0"/>
                <w:noProof/>
                <w:spacing w:val="20"/>
                <w:sz w:val="24"/>
                <w:szCs w:val="24"/>
                <w:lang w:val="es-DO"/>
              </w:rPr>
              <w:t>Tabla 8.  Distribución del personal</w:t>
            </w:r>
          </w:p>
        </w:tc>
      </w:tr>
      <w:tr w:rsidR="008F4395" w:rsidRPr="00597C8D" w14:paraId="26982A97" w14:textId="77777777" w:rsidTr="005C6CE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553" w:type="dxa"/>
            <w:tcBorders>
              <w:bottom w:val="none" w:sz="0" w:space="0" w:color="auto"/>
              <w:right w:val="none" w:sz="0" w:space="0" w:color="auto"/>
            </w:tcBorders>
            <w:shd w:val="clear" w:color="auto" w:fill="002060"/>
          </w:tcPr>
          <w:p w14:paraId="6C762C10" w14:textId="77777777" w:rsidR="008F4395" w:rsidRPr="008F4395" w:rsidRDefault="008F4395" w:rsidP="00340DF1">
            <w:pPr>
              <w:spacing w:line="360" w:lineRule="auto"/>
              <w:jc w:val="center"/>
              <w:rPr>
                <w:rFonts w:ascii="Times New Roman" w:eastAsia="Calibri" w:hAnsi="Times New Roman" w:cs="Times New Roman"/>
                <w:b w:val="0"/>
                <w:bCs w:val="0"/>
                <w:noProof/>
                <w:spacing w:val="20"/>
                <w:sz w:val="24"/>
                <w:szCs w:val="24"/>
              </w:rPr>
            </w:pPr>
            <w:r w:rsidRPr="008F4395">
              <w:rPr>
                <w:rFonts w:ascii="Times New Roman" w:eastAsia="Calibri" w:hAnsi="Times New Roman" w:cs="Times New Roman"/>
                <w:b w:val="0"/>
                <w:bCs w:val="0"/>
                <w:noProof/>
                <w:spacing w:val="20"/>
                <w:sz w:val="24"/>
                <w:szCs w:val="24"/>
              </w:rPr>
              <w:t>Grupo ocupacional</w:t>
            </w:r>
          </w:p>
        </w:tc>
        <w:tc>
          <w:tcPr>
            <w:tcW w:w="1679" w:type="dxa"/>
            <w:shd w:val="clear" w:color="auto" w:fill="002060"/>
          </w:tcPr>
          <w:p w14:paraId="0C85568E"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pacing w:val="20"/>
                <w:sz w:val="24"/>
                <w:szCs w:val="24"/>
              </w:rPr>
            </w:pPr>
            <w:r w:rsidRPr="008F4395">
              <w:rPr>
                <w:rFonts w:ascii="Times New Roman" w:eastAsia="Calibri" w:hAnsi="Times New Roman" w:cs="Times New Roman"/>
                <w:noProof/>
                <w:spacing w:val="20"/>
                <w:sz w:val="24"/>
                <w:szCs w:val="24"/>
              </w:rPr>
              <w:t xml:space="preserve">Hombres </w:t>
            </w:r>
          </w:p>
        </w:tc>
        <w:tc>
          <w:tcPr>
            <w:tcW w:w="1881" w:type="dxa"/>
            <w:shd w:val="clear" w:color="auto" w:fill="002060"/>
          </w:tcPr>
          <w:p w14:paraId="7256390F"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pacing w:val="20"/>
                <w:sz w:val="24"/>
                <w:szCs w:val="24"/>
              </w:rPr>
            </w:pPr>
            <w:r w:rsidRPr="008F4395">
              <w:rPr>
                <w:rFonts w:ascii="Times New Roman" w:eastAsia="Calibri" w:hAnsi="Times New Roman" w:cs="Times New Roman"/>
                <w:noProof/>
                <w:spacing w:val="20"/>
                <w:sz w:val="24"/>
                <w:szCs w:val="24"/>
              </w:rPr>
              <w:t>Mujer</w:t>
            </w:r>
          </w:p>
        </w:tc>
        <w:tc>
          <w:tcPr>
            <w:tcW w:w="1797" w:type="dxa"/>
            <w:shd w:val="clear" w:color="auto" w:fill="002060"/>
          </w:tcPr>
          <w:p w14:paraId="70D7EC7B"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pacing w:val="20"/>
                <w:sz w:val="24"/>
                <w:szCs w:val="24"/>
              </w:rPr>
            </w:pPr>
            <w:r w:rsidRPr="008F4395">
              <w:rPr>
                <w:rFonts w:ascii="Times New Roman" w:eastAsia="Calibri" w:hAnsi="Times New Roman" w:cs="Times New Roman"/>
                <w:noProof/>
                <w:spacing w:val="20"/>
                <w:sz w:val="24"/>
                <w:szCs w:val="24"/>
              </w:rPr>
              <w:t>Total</w:t>
            </w:r>
          </w:p>
        </w:tc>
      </w:tr>
      <w:tr w:rsidR="008F4395" w:rsidRPr="00597C8D" w14:paraId="060C28E7" w14:textId="77777777" w:rsidTr="009B1DE0">
        <w:trPr>
          <w:trHeight w:val="279"/>
        </w:trPr>
        <w:tc>
          <w:tcPr>
            <w:cnfStyle w:val="001000000000" w:firstRow="0" w:lastRow="0" w:firstColumn="1" w:lastColumn="0" w:oddVBand="0" w:evenVBand="0" w:oddHBand="0" w:evenHBand="0" w:firstRowFirstColumn="0" w:firstRowLastColumn="0" w:lastRowFirstColumn="0" w:lastRowLastColumn="0"/>
            <w:tcW w:w="2553" w:type="dxa"/>
            <w:tcBorders>
              <w:right w:val="none" w:sz="0" w:space="0" w:color="auto"/>
            </w:tcBorders>
          </w:tcPr>
          <w:p w14:paraId="36A698BB" w14:textId="77777777" w:rsidR="008F4395" w:rsidRPr="008F4395" w:rsidRDefault="008F4395" w:rsidP="00340DF1">
            <w:pPr>
              <w:spacing w:line="360" w:lineRule="auto"/>
              <w:jc w:val="center"/>
              <w:rPr>
                <w:rFonts w:ascii="Times New Roman" w:eastAsia="Calibri" w:hAnsi="Times New Roman" w:cs="Times New Roman"/>
                <w:b w:val="0"/>
                <w:bCs w:val="0"/>
                <w:noProof/>
                <w:color w:val="4C4747"/>
                <w:spacing w:val="20"/>
                <w:sz w:val="24"/>
                <w:szCs w:val="24"/>
              </w:rPr>
            </w:pPr>
            <w:r w:rsidRPr="008F4395">
              <w:rPr>
                <w:rFonts w:ascii="Times New Roman" w:eastAsia="Calibri" w:hAnsi="Times New Roman" w:cs="Times New Roman"/>
                <w:b w:val="0"/>
                <w:bCs w:val="0"/>
                <w:noProof/>
                <w:color w:val="4C4747"/>
                <w:spacing w:val="20"/>
                <w:sz w:val="24"/>
                <w:szCs w:val="24"/>
              </w:rPr>
              <w:t>I</w:t>
            </w:r>
          </w:p>
        </w:tc>
        <w:tc>
          <w:tcPr>
            <w:tcW w:w="1679" w:type="dxa"/>
            <w:vAlign w:val="center"/>
          </w:tcPr>
          <w:p w14:paraId="303E086A"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6</w:t>
            </w:r>
          </w:p>
        </w:tc>
        <w:tc>
          <w:tcPr>
            <w:tcW w:w="1881" w:type="dxa"/>
            <w:vAlign w:val="center"/>
          </w:tcPr>
          <w:p w14:paraId="56D5931D"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4</w:t>
            </w:r>
          </w:p>
        </w:tc>
        <w:tc>
          <w:tcPr>
            <w:tcW w:w="1797" w:type="dxa"/>
            <w:vAlign w:val="center"/>
          </w:tcPr>
          <w:p w14:paraId="5A7999BF"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10</w:t>
            </w:r>
          </w:p>
        </w:tc>
      </w:tr>
      <w:tr w:rsidR="008F4395" w:rsidRPr="00597C8D" w14:paraId="6498C364" w14:textId="77777777" w:rsidTr="009B1DE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553" w:type="dxa"/>
            <w:tcBorders>
              <w:right w:val="none" w:sz="0" w:space="0" w:color="auto"/>
            </w:tcBorders>
          </w:tcPr>
          <w:p w14:paraId="1B89EAB4" w14:textId="77777777" w:rsidR="008F4395" w:rsidRPr="008F4395" w:rsidRDefault="008F4395" w:rsidP="00340DF1">
            <w:pPr>
              <w:spacing w:line="360" w:lineRule="auto"/>
              <w:jc w:val="center"/>
              <w:rPr>
                <w:rFonts w:ascii="Times New Roman" w:eastAsia="Calibri" w:hAnsi="Times New Roman" w:cs="Times New Roman"/>
                <w:b w:val="0"/>
                <w:bCs w:val="0"/>
                <w:noProof/>
                <w:color w:val="4C4747"/>
                <w:spacing w:val="20"/>
                <w:sz w:val="24"/>
                <w:szCs w:val="24"/>
              </w:rPr>
            </w:pPr>
            <w:r w:rsidRPr="008F4395">
              <w:rPr>
                <w:rFonts w:ascii="Times New Roman" w:eastAsia="Calibri" w:hAnsi="Times New Roman" w:cs="Times New Roman"/>
                <w:b w:val="0"/>
                <w:bCs w:val="0"/>
                <w:noProof/>
                <w:color w:val="4C4747"/>
                <w:spacing w:val="20"/>
                <w:sz w:val="24"/>
                <w:szCs w:val="24"/>
              </w:rPr>
              <w:t>II</w:t>
            </w:r>
          </w:p>
        </w:tc>
        <w:tc>
          <w:tcPr>
            <w:tcW w:w="1679" w:type="dxa"/>
            <w:vAlign w:val="center"/>
          </w:tcPr>
          <w:p w14:paraId="14FDCB7E"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3</w:t>
            </w:r>
          </w:p>
        </w:tc>
        <w:tc>
          <w:tcPr>
            <w:tcW w:w="1881" w:type="dxa"/>
            <w:vAlign w:val="center"/>
          </w:tcPr>
          <w:p w14:paraId="67745AEA"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4</w:t>
            </w:r>
          </w:p>
        </w:tc>
        <w:tc>
          <w:tcPr>
            <w:tcW w:w="1797" w:type="dxa"/>
            <w:vAlign w:val="center"/>
          </w:tcPr>
          <w:p w14:paraId="75D0C169"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7</w:t>
            </w:r>
          </w:p>
        </w:tc>
      </w:tr>
      <w:tr w:rsidR="008F4395" w:rsidRPr="00597C8D" w14:paraId="422FA38D" w14:textId="77777777" w:rsidTr="009B1DE0">
        <w:trPr>
          <w:trHeight w:val="279"/>
        </w:trPr>
        <w:tc>
          <w:tcPr>
            <w:cnfStyle w:val="001000000000" w:firstRow="0" w:lastRow="0" w:firstColumn="1" w:lastColumn="0" w:oddVBand="0" w:evenVBand="0" w:oddHBand="0" w:evenHBand="0" w:firstRowFirstColumn="0" w:firstRowLastColumn="0" w:lastRowFirstColumn="0" w:lastRowLastColumn="0"/>
            <w:tcW w:w="2553" w:type="dxa"/>
            <w:tcBorders>
              <w:right w:val="none" w:sz="0" w:space="0" w:color="auto"/>
            </w:tcBorders>
          </w:tcPr>
          <w:p w14:paraId="538CC30C" w14:textId="77777777" w:rsidR="008F4395" w:rsidRPr="008F4395" w:rsidRDefault="008F4395" w:rsidP="00340DF1">
            <w:pPr>
              <w:spacing w:line="360" w:lineRule="auto"/>
              <w:jc w:val="center"/>
              <w:rPr>
                <w:rFonts w:ascii="Times New Roman" w:eastAsia="Calibri" w:hAnsi="Times New Roman" w:cs="Times New Roman"/>
                <w:b w:val="0"/>
                <w:bCs w:val="0"/>
                <w:noProof/>
                <w:color w:val="4C4747"/>
                <w:spacing w:val="20"/>
                <w:sz w:val="24"/>
                <w:szCs w:val="24"/>
              </w:rPr>
            </w:pPr>
            <w:r w:rsidRPr="008F4395">
              <w:rPr>
                <w:rFonts w:ascii="Times New Roman" w:eastAsia="Calibri" w:hAnsi="Times New Roman" w:cs="Times New Roman"/>
                <w:b w:val="0"/>
                <w:bCs w:val="0"/>
                <w:noProof/>
                <w:color w:val="4C4747"/>
                <w:spacing w:val="20"/>
                <w:sz w:val="24"/>
                <w:szCs w:val="24"/>
              </w:rPr>
              <w:t>III</w:t>
            </w:r>
          </w:p>
        </w:tc>
        <w:tc>
          <w:tcPr>
            <w:tcW w:w="1679" w:type="dxa"/>
            <w:vAlign w:val="center"/>
          </w:tcPr>
          <w:p w14:paraId="5A237687"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7</w:t>
            </w:r>
          </w:p>
        </w:tc>
        <w:tc>
          <w:tcPr>
            <w:tcW w:w="1881" w:type="dxa"/>
            <w:vAlign w:val="center"/>
          </w:tcPr>
          <w:p w14:paraId="1D870AB6"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5</w:t>
            </w:r>
          </w:p>
        </w:tc>
        <w:tc>
          <w:tcPr>
            <w:tcW w:w="1797" w:type="dxa"/>
            <w:vAlign w:val="center"/>
          </w:tcPr>
          <w:p w14:paraId="60B2B0A5"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12</w:t>
            </w:r>
          </w:p>
        </w:tc>
      </w:tr>
      <w:tr w:rsidR="008F4395" w:rsidRPr="00597C8D" w14:paraId="4B6EA57E" w14:textId="77777777" w:rsidTr="009B1DE0">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2553" w:type="dxa"/>
            <w:tcBorders>
              <w:right w:val="none" w:sz="0" w:space="0" w:color="auto"/>
            </w:tcBorders>
          </w:tcPr>
          <w:p w14:paraId="38A22A7F" w14:textId="77777777" w:rsidR="008F4395" w:rsidRPr="008F4395" w:rsidRDefault="008F4395" w:rsidP="00340DF1">
            <w:pPr>
              <w:spacing w:line="360" w:lineRule="auto"/>
              <w:jc w:val="center"/>
              <w:rPr>
                <w:rFonts w:ascii="Times New Roman" w:eastAsia="Calibri" w:hAnsi="Times New Roman" w:cs="Times New Roman"/>
                <w:b w:val="0"/>
                <w:bCs w:val="0"/>
                <w:noProof/>
                <w:color w:val="4C4747"/>
                <w:spacing w:val="20"/>
                <w:sz w:val="24"/>
                <w:szCs w:val="24"/>
              </w:rPr>
            </w:pPr>
            <w:r w:rsidRPr="008F4395">
              <w:rPr>
                <w:rFonts w:ascii="Times New Roman" w:eastAsia="Calibri" w:hAnsi="Times New Roman" w:cs="Times New Roman"/>
                <w:b w:val="0"/>
                <w:bCs w:val="0"/>
                <w:noProof/>
                <w:color w:val="4C4747"/>
                <w:spacing w:val="20"/>
                <w:sz w:val="24"/>
                <w:szCs w:val="24"/>
              </w:rPr>
              <w:t>IV</w:t>
            </w:r>
          </w:p>
        </w:tc>
        <w:tc>
          <w:tcPr>
            <w:tcW w:w="1679" w:type="dxa"/>
            <w:vAlign w:val="center"/>
          </w:tcPr>
          <w:p w14:paraId="40450E8C"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13</w:t>
            </w:r>
          </w:p>
        </w:tc>
        <w:tc>
          <w:tcPr>
            <w:tcW w:w="1881" w:type="dxa"/>
            <w:vAlign w:val="center"/>
          </w:tcPr>
          <w:p w14:paraId="344BE47B"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12</w:t>
            </w:r>
          </w:p>
        </w:tc>
        <w:tc>
          <w:tcPr>
            <w:tcW w:w="1797" w:type="dxa"/>
            <w:vAlign w:val="center"/>
          </w:tcPr>
          <w:p w14:paraId="5E89116F"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25</w:t>
            </w:r>
          </w:p>
        </w:tc>
      </w:tr>
      <w:tr w:rsidR="008F4395" w:rsidRPr="00597C8D" w14:paraId="40029A79" w14:textId="77777777" w:rsidTr="009B1DE0">
        <w:trPr>
          <w:trHeight w:val="368"/>
        </w:trPr>
        <w:tc>
          <w:tcPr>
            <w:cnfStyle w:val="001000000000" w:firstRow="0" w:lastRow="0" w:firstColumn="1" w:lastColumn="0" w:oddVBand="0" w:evenVBand="0" w:oddHBand="0" w:evenHBand="0" w:firstRowFirstColumn="0" w:firstRowLastColumn="0" w:lastRowFirstColumn="0" w:lastRowLastColumn="0"/>
            <w:tcW w:w="2553" w:type="dxa"/>
            <w:tcBorders>
              <w:right w:val="none" w:sz="0" w:space="0" w:color="auto"/>
            </w:tcBorders>
          </w:tcPr>
          <w:p w14:paraId="6ECFA844" w14:textId="77777777" w:rsidR="008F4395" w:rsidRPr="008F4395" w:rsidRDefault="008F4395" w:rsidP="00340DF1">
            <w:pPr>
              <w:spacing w:line="360" w:lineRule="auto"/>
              <w:jc w:val="center"/>
              <w:rPr>
                <w:rFonts w:ascii="Times New Roman" w:eastAsia="Calibri" w:hAnsi="Times New Roman" w:cs="Times New Roman"/>
                <w:b w:val="0"/>
                <w:bCs w:val="0"/>
                <w:noProof/>
                <w:color w:val="4C4747"/>
                <w:spacing w:val="20"/>
                <w:sz w:val="24"/>
                <w:szCs w:val="24"/>
              </w:rPr>
            </w:pPr>
            <w:r w:rsidRPr="008F4395">
              <w:rPr>
                <w:rFonts w:ascii="Times New Roman" w:eastAsia="Calibri" w:hAnsi="Times New Roman" w:cs="Times New Roman"/>
                <w:b w:val="0"/>
                <w:bCs w:val="0"/>
                <w:noProof/>
                <w:color w:val="4C4747"/>
                <w:spacing w:val="20"/>
                <w:sz w:val="24"/>
                <w:szCs w:val="24"/>
              </w:rPr>
              <w:t>V</w:t>
            </w:r>
          </w:p>
        </w:tc>
        <w:tc>
          <w:tcPr>
            <w:tcW w:w="1679" w:type="dxa"/>
            <w:vAlign w:val="center"/>
          </w:tcPr>
          <w:p w14:paraId="2F771C36"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8</w:t>
            </w:r>
          </w:p>
        </w:tc>
        <w:tc>
          <w:tcPr>
            <w:tcW w:w="1881" w:type="dxa"/>
            <w:vAlign w:val="center"/>
          </w:tcPr>
          <w:p w14:paraId="0781FF7D"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4</w:t>
            </w:r>
          </w:p>
        </w:tc>
        <w:tc>
          <w:tcPr>
            <w:tcW w:w="1797" w:type="dxa"/>
            <w:vAlign w:val="center"/>
          </w:tcPr>
          <w:p w14:paraId="213316E9"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12</w:t>
            </w:r>
          </w:p>
        </w:tc>
      </w:tr>
      <w:tr w:rsidR="008F4395" w:rsidRPr="00597C8D" w14:paraId="4DB581D6" w14:textId="77777777" w:rsidTr="005C6CEC">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553" w:type="dxa"/>
            <w:tcBorders>
              <w:bottom w:val="single" w:sz="4" w:space="0" w:color="auto"/>
              <w:right w:val="none" w:sz="0" w:space="0" w:color="auto"/>
            </w:tcBorders>
          </w:tcPr>
          <w:p w14:paraId="3EECE5C7" w14:textId="77777777" w:rsidR="008F4395" w:rsidRPr="008F4395" w:rsidRDefault="008F4395" w:rsidP="00340DF1">
            <w:pPr>
              <w:spacing w:line="360" w:lineRule="auto"/>
              <w:jc w:val="center"/>
              <w:rPr>
                <w:rFonts w:ascii="Times New Roman" w:eastAsia="Calibri" w:hAnsi="Times New Roman" w:cs="Times New Roman"/>
                <w:b w:val="0"/>
                <w:bCs w:val="0"/>
                <w:noProof/>
                <w:color w:val="4C4747"/>
                <w:spacing w:val="20"/>
                <w:sz w:val="24"/>
                <w:szCs w:val="24"/>
              </w:rPr>
            </w:pPr>
            <w:r w:rsidRPr="008F4395">
              <w:rPr>
                <w:rFonts w:ascii="Times New Roman" w:eastAsia="Calibri" w:hAnsi="Times New Roman" w:cs="Times New Roman"/>
                <w:b w:val="0"/>
                <w:bCs w:val="0"/>
                <w:noProof/>
                <w:color w:val="4C4747"/>
                <w:spacing w:val="20"/>
                <w:sz w:val="24"/>
                <w:szCs w:val="24"/>
              </w:rPr>
              <w:t>Libre Nombramiento</w:t>
            </w:r>
          </w:p>
        </w:tc>
        <w:tc>
          <w:tcPr>
            <w:tcW w:w="1679" w:type="dxa"/>
            <w:tcBorders>
              <w:bottom w:val="single" w:sz="4" w:space="0" w:color="auto"/>
            </w:tcBorders>
            <w:vAlign w:val="center"/>
          </w:tcPr>
          <w:p w14:paraId="2137EA9F"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2</w:t>
            </w:r>
          </w:p>
        </w:tc>
        <w:tc>
          <w:tcPr>
            <w:tcW w:w="1881" w:type="dxa"/>
            <w:tcBorders>
              <w:bottom w:val="single" w:sz="4" w:space="0" w:color="auto"/>
            </w:tcBorders>
            <w:vAlign w:val="center"/>
          </w:tcPr>
          <w:p w14:paraId="79309BBE"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3</w:t>
            </w:r>
          </w:p>
        </w:tc>
        <w:tc>
          <w:tcPr>
            <w:tcW w:w="1797" w:type="dxa"/>
            <w:tcBorders>
              <w:bottom w:val="single" w:sz="4" w:space="0" w:color="auto"/>
            </w:tcBorders>
            <w:vAlign w:val="center"/>
          </w:tcPr>
          <w:p w14:paraId="58D3BAE3" w14:textId="77777777" w:rsidR="008F4395" w:rsidRPr="008F4395" w:rsidRDefault="008F4395" w:rsidP="00340D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5</w:t>
            </w:r>
          </w:p>
        </w:tc>
      </w:tr>
      <w:tr w:rsidR="008F4395" w:rsidRPr="00597C8D" w14:paraId="5D4B5D52" w14:textId="77777777" w:rsidTr="005C6CEC">
        <w:trPr>
          <w:trHeight w:val="178"/>
        </w:trPr>
        <w:tc>
          <w:tcPr>
            <w:cnfStyle w:val="001000000000" w:firstRow="0" w:lastRow="0" w:firstColumn="1" w:lastColumn="0" w:oddVBand="0" w:evenVBand="0" w:oddHBand="0" w:evenHBand="0" w:firstRowFirstColumn="0" w:firstRowLastColumn="0" w:lastRowFirstColumn="0" w:lastRowLastColumn="0"/>
            <w:tcW w:w="2553" w:type="dxa"/>
            <w:tcBorders>
              <w:bottom w:val="single" w:sz="4" w:space="0" w:color="auto"/>
              <w:right w:val="none" w:sz="0" w:space="0" w:color="auto"/>
            </w:tcBorders>
          </w:tcPr>
          <w:p w14:paraId="4742D3BF" w14:textId="77777777" w:rsidR="008F4395" w:rsidRPr="008F4395" w:rsidRDefault="008F4395" w:rsidP="00340DF1">
            <w:pPr>
              <w:spacing w:line="360" w:lineRule="auto"/>
              <w:jc w:val="center"/>
              <w:rPr>
                <w:rFonts w:ascii="Times New Roman" w:eastAsia="Calibri" w:hAnsi="Times New Roman" w:cs="Times New Roman"/>
                <w:b w:val="0"/>
                <w:bCs w:val="0"/>
                <w:noProof/>
                <w:color w:val="4C4747"/>
                <w:spacing w:val="20"/>
                <w:sz w:val="24"/>
                <w:szCs w:val="24"/>
              </w:rPr>
            </w:pPr>
            <w:r w:rsidRPr="008F4395">
              <w:rPr>
                <w:rFonts w:ascii="Times New Roman" w:eastAsia="Calibri" w:hAnsi="Times New Roman" w:cs="Times New Roman"/>
                <w:b w:val="0"/>
                <w:bCs w:val="0"/>
                <w:noProof/>
                <w:color w:val="4C4747"/>
                <w:spacing w:val="20"/>
                <w:sz w:val="24"/>
                <w:szCs w:val="24"/>
              </w:rPr>
              <w:t>Total</w:t>
            </w:r>
          </w:p>
        </w:tc>
        <w:tc>
          <w:tcPr>
            <w:tcW w:w="1679" w:type="dxa"/>
            <w:tcBorders>
              <w:bottom w:val="single" w:sz="4" w:space="0" w:color="auto"/>
            </w:tcBorders>
            <w:vAlign w:val="center"/>
          </w:tcPr>
          <w:p w14:paraId="69C21A87"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39</w:t>
            </w:r>
          </w:p>
        </w:tc>
        <w:tc>
          <w:tcPr>
            <w:tcW w:w="1881" w:type="dxa"/>
            <w:tcBorders>
              <w:bottom w:val="single" w:sz="4" w:space="0" w:color="auto"/>
            </w:tcBorders>
            <w:vAlign w:val="center"/>
          </w:tcPr>
          <w:p w14:paraId="5680AC92"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32</w:t>
            </w:r>
          </w:p>
        </w:tc>
        <w:tc>
          <w:tcPr>
            <w:tcW w:w="1797" w:type="dxa"/>
            <w:tcBorders>
              <w:bottom w:val="single" w:sz="4" w:space="0" w:color="auto"/>
            </w:tcBorders>
            <w:vAlign w:val="center"/>
          </w:tcPr>
          <w:p w14:paraId="21693CBA" w14:textId="77777777" w:rsidR="008F4395" w:rsidRPr="008F4395" w:rsidRDefault="008F4395" w:rsidP="00340D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sz w:val="24"/>
                <w:szCs w:val="24"/>
              </w:rPr>
            </w:pPr>
            <w:r w:rsidRPr="008F4395">
              <w:rPr>
                <w:rFonts w:ascii="Times New Roman" w:eastAsia="Calibri" w:hAnsi="Times New Roman" w:cs="Times New Roman"/>
                <w:noProof/>
                <w:color w:val="4C4747"/>
                <w:spacing w:val="20"/>
                <w:sz w:val="24"/>
                <w:szCs w:val="24"/>
              </w:rPr>
              <w:t>71</w:t>
            </w:r>
          </w:p>
        </w:tc>
      </w:tr>
      <w:tr w:rsidR="005C6CEC" w:rsidRPr="00597C8D" w14:paraId="161D9F6E" w14:textId="77777777" w:rsidTr="005C6CEC">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7910" w:type="dxa"/>
            <w:gridSpan w:val="4"/>
            <w:tcBorders>
              <w:top w:val="single" w:sz="4" w:space="0" w:color="auto"/>
              <w:left w:val="nil"/>
              <w:bottom w:val="nil"/>
            </w:tcBorders>
          </w:tcPr>
          <w:p w14:paraId="35253930" w14:textId="77777777" w:rsidR="005C6CEC" w:rsidRPr="00116DFC" w:rsidRDefault="005C6CEC" w:rsidP="005C6CEC">
            <w:pPr>
              <w:spacing w:line="360" w:lineRule="auto"/>
              <w:rPr>
                <w:rFonts w:ascii="Times New Roman" w:eastAsiaTheme="minorEastAsia" w:hAnsi="Times New Roman" w:cs="Times New Roman"/>
                <w:b w:val="0"/>
                <w:bCs w:val="0"/>
                <w:i/>
                <w:iCs/>
                <w:noProof/>
                <w:color w:val="4C4747"/>
                <w:spacing w:val="20"/>
                <w:sz w:val="18"/>
                <w:szCs w:val="18"/>
                <w:lang w:val="es-DO"/>
              </w:rPr>
            </w:pPr>
            <w:r w:rsidRPr="00116DFC">
              <w:rPr>
                <w:rFonts w:ascii="Times New Roman" w:eastAsiaTheme="minorEastAsia" w:hAnsi="Times New Roman" w:cs="Times New Roman"/>
                <w:b w:val="0"/>
                <w:bCs w:val="0"/>
                <w:i/>
                <w:iCs/>
                <w:noProof/>
                <w:color w:val="4C4747"/>
                <w:spacing w:val="20"/>
                <w:sz w:val="18"/>
                <w:szCs w:val="18"/>
                <w:lang w:val="es-DO"/>
              </w:rPr>
              <w:t xml:space="preserve">Fuente: Depto de Recursos Humanos </w:t>
            </w:r>
          </w:p>
          <w:p w14:paraId="03B01B8D" w14:textId="77777777" w:rsidR="005C6CEC" w:rsidRPr="008F4395" w:rsidRDefault="005C6CEC" w:rsidP="00340DF1">
            <w:pPr>
              <w:spacing w:line="360" w:lineRule="auto"/>
              <w:jc w:val="center"/>
              <w:rPr>
                <w:rFonts w:eastAsia="Calibri"/>
                <w:noProof/>
                <w:color w:val="4C4747"/>
              </w:rPr>
            </w:pPr>
          </w:p>
        </w:tc>
      </w:tr>
    </w:tbl>
    <w:p w14:paraId="026F0582" w14:textId="77777777" w:rsidR="00EC0CB9" w:rsidRDefault="00EC0CB9" w:rsidP="00340DF1">
      <w:pPr>
        <w:spacing w:line="360" w:lineRule="auto"/>
        <w:jc w:val="both"/>
        <w:rPr>
          <w:rFonts w:eastAsia="Calibri"/>
          <w:noProof/>
          <w:color w:val="4C4747"/>
          <w:lang w:val="es-DO"/>
        </w:rPr>
      </w:pPr>
    </w:p>
    <w:p w14:paraId="29D3369D" w14:textId="28F93600" w:rsidR="009B1DE0" w:rsidRDefault="009B1DE0" w:rsidP="00340DF1">
      <w:pPr>
        <w:spacing w:line="360" w:lineRule="auto"/>
        <w:jc w:val="both"/>
        <w:rPr>
          <w:rFonts w:eastAsia="Calibri"/>
          <w:noProof/>
          <w:color w:val="4C4747"/>
          <w:lang w:val="es-DO"/>
        </w:rPr>
      </w:pPr>
      <w:r w:rsidRPr="009B1DE0">
        <w:rPr>
          <w:rFonts w:eastAsia="Calibri"/>
          <w:noProof/>
          <w:color w:val="4C4747"/>
          <w:lang w:val="es-DO"/>
        </w:rPr>
        <w:t>Los cargos directivos en ProCompetencia cuenta con un total de 17, de los cuales el 59% de los servidores son hombres y el 41% de los servi</w:t>
      </w:r>
      <w:r w:rsidR="00E94C4A">
        <w:rPr>
          <w:rFonts w:eastAsia="Calibri"/>
          <w:noProof/>
          <w:color w:val="4C4747"/>
          <w:lang w:val="es-DO"/>
        </w:rPr>
        <w:t>d</w:t>
      </w:r>
      <w:r w:rsidRPr="009B1DE0">
        <w:rPr>
          <w:rFonts w:eastAsia="Calibri"/>
          <w:noProof/>
          <w:color w:val="4C4747"/>
          <w:lang w:val="es-DO"/>
        </w:rPr>
        <w:t>ores son mujeres, como presentamos a continuación:</w:t>
      </w:r>
    </w:p>
    <w:tbl>
      <w:tblPr>
        <w:tblW w:w="8368" w:type="dxa"/>
        <w:jc w:val="center"/>
        <w:tblLook w:val="04A0" w:firstRow="1" w:lastRow="0" w:firstColumn="1" w:lastColumn="0" w:noHBand="0" w:noVBand="1"/>
      </w:tblPr>
      <w:tblGrid>
        <w:gridCol w:w="3315"/>
        <w:gridCol w:w="1367"/>
        <w:gridCol w:w="1550"/>
        <w:gridCol w:w="2136"/>
      </w:tblGrid>
      <w:tr w:rsidR="00A14CA2" w:rsidRPr="00597C8D" w14:paraId="3665E9AF" w14:textId="77777777" w:rsidTr="0064557D">
        <w:trPr>
          <w:trHeight w:val="300"/>
          <w:jc w:val="center"/>
        </w:trPr>
        <w:tc>
          <w:tcPr>
            <w:tcW w:w="8368"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14:paraId="02955837" w14:textId="74286D8D" w:rsidR="00A14CA2" w:rsidRPr="00616CC4" w:rsidRDefault="00A14CA2" w:rsidP="00340DF1">
            <w:pPr>
              <w:spacing w:after="0" w:line="360" w:lineRule="auto"/>
              <w:jc w:val="center"/>
              <w:rPr>
                <w:rFonts w:eastAsia="Calibri"/>
                <w:noProof/>
                <w:color w:val="FFFFFF" w:themeColor="background1"/>
                <w:lang w:val="es-DO"/>
              </w:rPr>
            </w:pPr>
            <w:r>
              <w:rPr>
                <w:rFonts w:eastAsia="Calibri"/>
                <w:noProof/>
                <w:color w:val="FFFFFF" w:themeColor="background1"/>
                <w:lang w:val="es-DO"/>
              </w:rPr>
              <w:t>Tabla 9. Distribución cargos directivos</w:t>
            </w:r>
          </w:p>
        </w:tc>
      </w:tr>
      <w:tr w:rsidR="00616CC4" w:rsidRPr="00597C8D" w14:paraId="2C6EC4F8" w14:textId="77777777" w:rsidTr="005C6CEC">
        <w:trPr>
          <w:trHeight w:val="300"/>
          <w:jc w:val="center"/>
        </w:trPr>
        <w:tc>
          <w:tcPr>
            <w:tcW w:w="331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87EFDC3" w14:textId="77777777" w:rsidR="00616CC4" w:rsidRPr="00616CC4" w:rsidRDefault="00616CC4" w:rsidP="00340DF1">
            <w:pPr>
              <w:spacing w:after="0" w:line="360" w:lineRule="auto"/>
              <w:jc w:val="center"/>
              <w:rPr>
                <w:rFonts w:eastAsia="Calibri"/>
                <w:noProof/>
                <w:color w:val="FFFFFF" w:themeColor="background1"/>
                <w:lang w:val="es-DO"/>
              </w:rPr>
            </w:pPr>
            <w:r w:rsidRPr="00616CC4">
              <w:rPr>
                <w:rFonts w:eastAsia="Calibri"/>
                <w:noProof/>
                <w:color w:val="FFFFFF" w:themeColor="background1"/>
                <w:lang w:val="es-DO"/>
              </w:rPr>
              <w:t>Resumen Cargos Directivos</w:t>
            </w:r>
          </w:p>
        </w:tc>
        <w:tc>
          <w:tcPr>
            <w:tcW w:w="1367" w:type="dxa"/>
            <w:tcBorders>
              <w:top w:val="single" w:sz="4" w:space="0" w:color="auto"/>
              <w:left w:val="nil"/>
              <w:bottom w:val="single" w:sz="4" w:space="0" w:color="auto"/>
              <w:right w:val="single" w:sz="4" w:space="0" w:color="auto"/>
            </w:tcBorders>
            <w:shd w:val="clear" w:color="auto" w:fill="002060"/>
            <w:vAlign w:val="center"/>
            <w:hideMark/>
          </w:tcPr>
          <w:p w14:paraId="1AD9F563" w14:textId="77777777" w:rsidR="00616CC4" w:rsidRPr="00616CC4" w:rsidRDefault="00616CC4" w:rsidP="00340DF1">
            <w:pPr>
              <w:spacing w:after="0" w:line="360" w:lineRule="auto"/>
              <w:jc w:val="center"/>
              <w:rPr>
                <w:rFonts w:eastAsia="Calibri"/>
                <w:noProof/>
                <w:color w:val="FFFFFF" w:themeColor="background1"/>
                <w:lang w:val="es-DO"/>
              </w:rPr>
            </w:pPr>
            <w:r w:rsidRPr="00616CC4">
              <w:rPr>
                <w:rFonts w:eastAsia="Calibri"/>
                <w:noProof/>
                <w:color w:val="FFFFFF" w:themeColor="background1"/>
                <w:lang w:val="es-DO"/>
              </w:rPr>
              <w:t xml:space="preserve">Hombres </w:t>
            </w:r>
          </w:p>
        </w:tc>
        <w:tc>
          <w:tcPr>
            <w:tcW w:w="1550" w:type="dxa"/>
            <w:tcBorders>
              <w:top w:val="single" w:sz="4" w:space="0" w:color="auto"/>
              <w:left w:val="nil"/>
              <w:bottom w:val="single" w:sz="4" w:space="0" w:color="auto"/>
              <w:right w:val="single" w:sz="4" w:space="0" w:color="auto"/>
            </w:tcBorders>
            <w:shd w:val="clear" w:color="auto" w:fill="002060"/>
            <w:vAlign w:val="center"/>
            <w:hideMark/>
          </w:tcPr>
          <w:p w14:paraId="36A79EBF" w14:textId="77777777" w:rsidR="00616CC4" w:rsidRPr="00616CC4" w:rsidRDefault="00616CC4" w:rsidP="00340DF1">
            <w:pPr>
              <w:spacing w:after="0" w:line="360" w:lineRule="auto"/>
              <w:jc w:val="center"/>
              <w:rPr>
                <w:rFonts w:eastAsia="Calibri"/>
                <w:noProof/>
                <w:color w:val="FFFFFF" w:themeColor="background1"/>
                <w:lang w:val="es-DO"/>
              </w:rPr>
            </w:pPr>
            <w:r w:rsidRPr="00616CC4">
              <w:rPr>
                <w:rFonts w:eastAsia="Calibri"/>
                <w:noProof/>
                <w:color w:val="FFFFFF" w:themeColor="background1"/>
                <w:lang w:val="es-DO"/>
              </w:rPr>
              <w:t>Mujer</w:t>
            </w:r>
          </w:p>
        </w:tc>
        <w:tc>
          <w:tcPr>
            <w:tcW w:w="2136" w:type="dxa"/>
            <w:tcBorders>
              <w:top w:val="single" w:sz="4" w:space="0" w:color="auto"/>
              <w:left w:val="nil"/>
              <w:bottom w:val="single" w:sz="4" w:space="0" w:color="auto"/>
              <w:right w:val="single" w:sz="4" w:space="0" w:color="auto"/>
            </w:tcBorders>
            <w:shd w:val="clear" w:color="auto" w:fill="002060"/>
            <w:vAlign w:val="center"/>
          </w:tcPr>
          <w:p w14:paraId="5781DFAD" w14:textId="77777777" w:rsidR="00616CC4" w:rsidRPr="00616CC4" w:rsidRDefault="00616CC4" w:rsidP="00340DF1">
            <w:pPr>
              <w:spacing w:after="0" w:line="360" w:lineRule="auto"/>
              <w:jc w:val="center"/>
              <w:rPr>
                <w:rFonts w:eastAsia="Calibri"/>
                <w:noProof/>
                <w:color w:val="FFFFFF" w:themeColor="background1"/>
                <w:lang w:val="es-DO"/>
              </w:rPr>
            </w:pPr>
            <w:r w:rsidRPr="00616CC4">
              <w:rPr>
                <w:rFonts w:eastAsia="Calibri"/>
                <w:noProof/>
                <w:color w:val="FFFFFF" w:themeColor="background1"/>
                <w:lang w:val="es-DO"/>
              </w:rPr>
              <w:t>Total</w:t>
            </w:r>
          </w:p>
        </w:tc>
      </w:tr>
      <w:tr w:rsidR="00616CC4" w:rsidRPr="00597C8D" w14:paraId="507F75D6" w14:textId="77777777" w:rsidTr="00EF3B28">
        <w:trPr>
          <w:trHeight w:val="300"/>
          <w:jc w:val="center"/>
        </w:trPr>
        <w:tc>
          <w:tcPr>
            <w:tcW w:w="3315" w:type="dxa"/>
            <w:tcBorders>
              <w:top w:val="nil"/>
              <w:left w:val="single" w:sz="4" w:space="0" w:color="auto"/>
              <w:bottom w:val="single" w:sz="4" w:space="0" w:color="auto"/>
              <w:right w:val="single" w:sz="4" w:space="0" w:color="auto"/>
            </w:tcBorders>
            <w:shd w:val="clear" w:color="000000" w:fill="FFFFFF"/>
            <w:vAlign w:val="center"/>
            <w:hideMark/>
          </w:tcPr>
          <w:p w14:paraId="30871EC2" w14:textId="77777777" w:rsidR="00616CC4" w:rsidRPr="00616CC4" w:rsidRDefault="00616CC4" w:rsidP="00340DF1">
            <w:pPr>
              <w:spacing w:after="0" w:line="360" w:lineRule="auto"/>
              <w:jc w:val="center"/>
              <w:rPr>
                <w:rFonts w:eastAsia="Calibri"/>
                <w:noProof/>
                <w:color w:val="4C4747"/>
                <w:lang w:val="es-DO"/>
              </w:rPr>
            </w:pPr>
            <w:r w:rsidRPr="00616CC4">
              <w:rPr>
                <w:rFonts w:eastAsia="Calibri"/>
                <w:noProof/>
                <w:color w:val="4C4747"/>
                <w:lang w:val="es-DO"/>
              </w:rPr>
              <w:t>Libre Nombramiento</w:t>
            </w:r>
          </w:p>
        </w:tc>
        <w:tc>
          <w:tcPr>
            <w:tcW w:w="1367" w:type="dxa"/>
            <w:tcBorders>
              <w:top w:val="nil"/>
              <w:left w:val="nil"/>
              <w:bottom w:val="single" w:sz="4" w:space="0" w:color="auto"/>
              <w:right w:val="single" w:sz="4" w:space="0" w:color="auto"/>
            </w:tcBorders>
            <w:shd w:val="clear" w:color="000000" w:fill="FFFFFF"/>
            <w:vAlign w:val="center"/>
            <w:hideMark/>
          </w:tcPr>
          <w:p w14:paraId="4AB3C8F3" w14:textId="77777777" w:rsidR="00616CC4" w:rsidRPr="00616CC4" w:rsidRDefault="00616CC4" w:rsidP="00340DF1">
            <w:pPr>
              <w:spacing w:after="0" w:line="360" w:lineRule="auto"/>
              <w:jc w:val="center"/>
              <w:rPr>
                <w:rFonts w:eastAsia="Calibri"/>
                <w:noProof/>
                <w:color w:val="4C4747"/>
                <w:lang w:val="es-DO"/>
              </w:rPr>
            </w:pPr>
            <w:r w:rsidRPr="00616CC4">
              <w:rPr>
                <w:rFonts w:eastAsia="Calibri"/>
                <w:noProof/>
                <w:color w:val="4C4747"/>
                <w:lang w:val="es-DO"/>
              </w:rPr>
              <w:t>2</w:t>
            </w:r>
          </w:p>
        </w:tc>
        <w:tc>
          <w:tcPr>
            <w:tcW w:w="1550" w:type="dxa"/>
            <w:tcBorders>
              <w:top w:val="nil"/>
              <w:left w:val="nil"/>
              <w:bottom w:val="single" w:sz="4" w:space="0" w:color="auto"/>
              <w:right w:val="single" w:sz="4" w:space="0" w:color="auto"/>
            </w:tcBorders>
            <w:shd w:val="clear" w:color="000000" w:fill="FFFFFF"/>
            <w:vAlign w:val="center"/>
            <w:hideMark/>
          </w:tcPr>
          <w:p w14:paraId="6E30EF43" w14:textId="77777777" w:rsidR="00616CC4" w:rsidRPr="00616CC4" w:rsidRDefault="00616CC4" w:rsidP="00340DF1">
            <w:pPr>
              <w:spacing w:after="0" w:line="360" w:lineRule="auto"/>
              <w:jc w:val="center"/>
              <w:rPr>
                <w:rFonts w:eastAsia="Calibri"/>
                <w:noProof/>
                <w:color w:val="4C4747"/>
                <w:lang w:val="es-DO"/>
              </w:rPr>
            </w:pPr>
            <w:r w:rsidRPr="00616CC4">
              <w:rPr>
                <w:rFonts w:eastAsia="Calibri"/>
                <w:noProof/>
                <w:color w:val="4C4747"/>
                <w:lang w:val="es-DO"/>
              </w:rPr>
              <w:t>3</w:t>
            </w:r>
          </w:p>
        </w:tc>
        <w:tc>
          <w:tcPr>
            <w:tcW w:w="2136" w:type="dxa"/>
            <w:tcBorders>
              <w:top w:val="nil"/>
              <w:left w:val="nil"/>
              <w:bottom w:val="single" w:sz="4" w:space="0" w:color="auto"/>
              <w:right w:val="single" w:sz="4" w:space="0" w:color="auto"/>
            </w:tcBorders>
            <w:shd w:val="clear" w:color="000000" w:fill="FFFFFF"/>
            <w:vAlign w:val="center"/>
          </w:tcPr>
          <w:p w14:paraId="6657C723" w14:textId="77777777" w:rsidR="00616CC4" w:rsidRPr="00616CC4" w:rsidRDefault="00616CC4" w:rsidP="00340DF1">
            <w:pPr>
              <w:spacing w:after="0" w:line="360" w:lineRule="auto"/>
              <w:jc w:val="center"/>
              <w:rPr>
                <w:rFonts w:eastAsia="Calibri"/>
                <w:noProof/>
                <w:color w:val="4C4747"/>
                <w:lang w:val="es-DO"/>
              </w:rPr>
            </w:pPr>
            <w:r w:rsidRPr="00616CC4">
              <w:rPr>
                <w:rFonts w:eastAsia="Calibri"/>
                <w:noProof/>
                <w:color w:val="4C4747"/>
                <w:lang w:val="es-DO"/>
              </w:rPr>
              <w:t>5</w:t>
            </w:r>
          </w:p>
        </w:tc>
      </w:tr>
      <w:tr w:rsidR="00616CC4" w:rsidRPr="00597C8D" w14:paraId="2A632CA4" w14:textId="77777777" w:rsidTr="005C6CEC">
        <w:trPr>
          <w:trHeight w:val="300"/>
          <w:jc w:val="center"/>
        </w:trPr>
        <w:tc>
          <w:tcPr>
            <w:tcW w:w="3315" w:type="dxa"/>
            <w:tcBorders>
              <w:top w:val="nil"/>
              <w:left w:val="single" w:sz="4" w:space="0" w:color="auto"/>
              <w:bottom w:val="single" w:sz="4" w:space="0" w:color="auto"/>
              <w:right w:val="single" w:sz="4" w:space="0" w:color="auto"/>
            </w:tcBorders>
            <w:shd w:val="clear" w:color="000000" w:fill="FFFFFF"/>
            <w:vAlign w:val="center"/>
            <w:hideMark/>
          </w:tcPr>
          <w:p w14:paraId="44D870B4" w14:textId="3BA75B2B" w:rsidR="00616CC4" w:rsidRPr="00616CC4" w:rsidRDefault="00A91AAE" w:rsidP="00340DF1">
            <w:pPr>
              <w:spacing w:after="0" w:line="360" w:lineRule="auto"/>
              <w:jc w:val="center"/>
              <w:rPr>
                <w:rFonts w:eastAsia="Calibri"/>
                <w:noProof/>
                <w:color w:val="4C4747"/>
                <w:lang w:val="es-DO"/>
              </w:rPr>
            </w:pPr>
            <w:r>
              <w:rPr>
                <w:rFonts w:eastAsia="Calibri"/>
                <w:noProof/>
                <w:color w:val="4C4747"/>
                <w:lang w:val="es-DO"/>
              </w:rPr>
              <w:t xml:space="preserve">Grupo ocupacional </w:t>
            </w:r>
            <w:r w:rsidR="00616CC4" w:rsidRPr="00616CC4">
              <w:rPr>
                <w:rFonts w:eastAsia="Calibri"/>
                <w:noProof/>
                <w:color w:val="4C4747"/>
                <w:lang w:val="es-DO"/>
              </w:rPr>
              <w:t>V</w:t>
            </w:r>
          </w:p>
        </w:tc>
        <w:tc>
          <w:tcPr>
            <w:tcW w:w="1367" w:type="dxa"/>
            <w:tcBorders>
              <w:top w:val="nil"/>
              <w:left w:val="nil"/>
              <w:bottom w:val="single" w:sz="4" w:space="0" w:color="auto"/>
              <w:right w:val="single" w:sz="4" w:space="0" w:color="auto"/>
            </w:tcBorders>
            <w:shd w:val="clear" w:color="000000" w:fill="FFFFFF"/>
            <w:vAlign w:val="center"/>
            <w:hideMark/>
          </w:tcPr>
          <w:p w14:paraId="3E687AB0" w14:textId="77777777" w:rsidR="00616CC4" w:rsidRPr="00616CC4" w:rsidRDefault="00616CC4" w:rsidP="00340DF1">
            <w:pPr>
              <w:spacing w:after="0" w:line="360" w:lineRule="auto"/>
              <w:jc w:val="center"/>
              <w:rPr>
                <w:rFonts w:eastAsia="Calibri"/>
                <w:noProof/>
                <w:color w:val="4C4747"/>
                <w:lang w:val="es-DO"/>
              </w:rPr>
            </w:pPr>
            <w:r w:rsidRPr="00616CC4">
              <w:rPr>
                <w:rFonts w:eastAsia="Calibri"/>
                <w:noProof/>
                <w:color w:val="4C4747"/>
                <w:lang w:val="es-DO"/>
              </w:rPr>
              <w:t>8</w:t>
            </w:r>
          </w:p>
        </w:tc>
        <w:tc>
          <w:tcPr>
            <w:tcW w:w="1550" w:type="dxa"/>
            <w:tcBorders>
              <w:top w:val="nil"/>
              <w:left w:val="nil"/>
              <w:bottom w:val="single" w:sz="4" w:space="0" w:color="auto"/>
              <w:right w:val="single" w:sz="4" w:space="0" w:color="auto"/>
            </w:tcBorders>
            <w:shd w:val="clear" w:color="000000" w:fill="FFFFFF"/>
            <w:vAlign w:val="center"/>
            <w:hideMark/>
          </w:tcPr>
          <w:p w14:paraId="49378ED9" w14:textId="77777777" w:rsidR="00616CC4" w:rsidRPr="00616CC4" w:rsidRDefault="00616CC4" w:rsidP="00340DF1">
            <w:pPr>
              <w:spacing w:after="0" w:line="360" w:lineRule="auto"/>
              <w:jc w:val="center"/>
              <w:rPr>
                <w:rFonts w:eastAsia="Calibri"/>
                <w:noProof/>
                <w:color w:val="4C4747"/>
                <w:lang w:val="es-DO"/>
              </w:rPr>
            </w:pPr>
            <w:r w:rsidRPr="00616CC4">
              <w:rPr>
                <w:rFonts w:eastAsia="Calibri"/>
                <w:noProof/>
                <w:color w:val="4C4747"/>
                <w:lang w:val="es-DO"/>
              </w:rPr>
              <w:t>4</w:t>
            </w:r>
          </w:p>
        </w:tc>
        <w:tc>
          <w:tcPr>
            <w:tcW w:w="2136" w:type="dxa"/>
            <w:tcBorders>
              <w:top w:val="nil"/>
              <w:left w:val="nil"/>
              <w:bottom w:val="single" w:sz="4" w:space="0" w:color="auto"/>
              <w:right w:val="single" w:sz="4" w:space="0" w:color="auto"/>
            </w:tcBorders>
            <w:shd w:val="clear" w:color="000000" w:fill="FFFFFF"/>
            <w:vAlign w:val="center"/>
          </w:tcPr>
          <w:p w14:paraId="736FFDA9" w14:textId="77777777" w:rsidR="00616CC4" w:rsidRPr="00616CC4" w:rsidRDefault="00616CC4" w:rsidP="00340DF1">
            <w:pPr>
              <w:spacing w:after="0" w:line="360" w:lineRule="auto"/>
              <w:jc w:val="center"/>
              <w:rPr>
                <w:rFonts w:eastAsia="Calibri"/>
                <w:noProof/>
                <w:color w:val="4C4747"/>
                <w:lang w:val="es-DO"/>
              </w:rPr>
            </w:pPr>
            <w:r w:rsidRPr="00616CC4">
              <w:rPr>
                <w:rFonts w:eastAsia="Calibri"/>
                <w:noProof/>
                <w:color w:val="4C4747"/>
                <w:lang w:val="es-DO"/>
              </w:rPr>
              <w:t>12</w:t>
            </w:r>
          </w:p>
        </w:tc>
      </w:tr>
      <w:tr w:rsidR="00616CC4" w:rsidRPr="00597C8D" w14:paraId="54E56E50" w14:textId="77777777" w:rsidTr="005C6CEC">
        <w:trPr>
          <w:trHeight w:val="300"/>
          <w:jc w:val="center"/>
        </w:trPr>
        <w:tc>
          <w:tcPr>
            <w:tcW w:w="33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B446F3" w14:textId="77777777" w:rsidR="00616CC4" w:rsidRPr="00616CC4" w:rsidRDefault="00616CC4" w:rsidP="00340DF1">
            <w:pPr>
              <w:spacing w:after="0" w:line="360" w:lineRule="auto"/>
              <w:jc w:val="center"/>
              <w:rPr>
                <w:rFonts w:eastAsia="Calibri"/>
                <w:noProof/>
                <w:color w:val="4C4747"/>
                <w:lang w:val="es-DO"/>
              </w:rPr>
            </w:pPr>
            <w:r w:rsidRPr="00616CC4">
              <w:rPr>
                <w:rFonts w:eastAsia="Calibri"/>
                <w:noProof/>
                <w:color w:val="4C4747"/>
                <w:lang w:val="es-DO"/>
              </w:rPr>
              <w:t>Total</w:t>
            </w:r>
          </w:p>
        </w:tc>
        <w:tc>
          <w:tcPr>
            <w:tcW w:w="1367" w:type="dxa"/>
            <w:tcBorders>
              <w:top w:val="single" w:sz="4" w:space="0" w:color="auto"/>
              <w:left w:val="nil"/>
              <w:bottom w:val="single" w:sz="4" w:space="0" w:color="auto"/>
              <w:right w:val="single" w:sz="4" w:space="0" w:color="auto"/>
            </w:tcBorders>
            <w:vAlign w:val="center"/>
            <w:hideMark/>
          </w:tcPr>
          <w:p w14:paraId="5412BB08" w14:textId="77777777" w:rsidR="00616CC4" w:rsidRPr="00616CC4" w:rsidRDefault="00616CC4" w:rsidP="00340DF1">
            <w:pPr>
              <w:spacing w:after="0" w:line="360" w:lineRule="auto"/>
              <w:jc w:val="center"/>
              <w:rPr>
                <w:rFonts w:eastAsia="Calibri"/>
                <w:noProof/>
                <w:color w:val="4C4747"/>
                <w:lang w:val="es-DO"/>
              </w:rPr>
            </w:pPr>
            <w:r w:rsidRPr="00616CC4">
              <w:rPr>
                <w:rFonts w:eastAsia="Calibri"/>
                <w:noProof/>
                <w:color w:val="4C4747"/>
                <w:lang w:val="es-DO"/>
              </w:rPr>
              <w:t>10</w:t>
            </w:r>
          </w:p>
        </w:tc>
        <w:tc>
          <w:tcPr>
            <w:tcW w:w="1550" w:type="dxa"/>
            <w:tcBorders>
              <w:top w:val="single" w:sz="4" w:space="0" w:color="auto"/>
              <w:left w:val="nil"/>
              <w:bottom w:val="single" w:sz="4" w:space="0" w:color="auto"/>
              <w:right w:val="single" w:sz="4" w:space="0" w:color="auto"/>
            </w:tcBorders>
            <w:vAlign w:val="center"/>
            <w:hideMark/>
          </w:tcPr>
          <w:p w14:paraId="6D9E0B2E" w14:textId="77777777" w:rsidR="00616CC4" w:rsidRPr="00616CC4" w:rsidRDefault="00616CC4" w:rsidP="00340DF1">
            <w:pPr>
              <w:spacing w:after="0" w:line="360" w:lineRule="auto"/>
              <w:jc w:val="center"/>
              <w:rPr>
                <w:rFonts w:eastAsia="Calibri"/>
                <w:noProof/>
                <w:color w:val="4C4747"/>
                <w:lang w:val="es-DO"/>
              </w:rPr>
            </w:pPr>
            <w:r w:rsidRPr="00616CC4">
              <w:rPr>
                <w:rFonts w:eastAsia="Calibri"/>
                <w:noProof/>
                <w:color w:val="4C4747"/>
                <w:lang w:val="es-DO"/>
              </w:rPr>
              <w:t>7</w:t>
            </w:r>
          </w:p>
        </w:tc>
        <w:tc>
          <w:tcPr>
            <w:tcW w:w="2136" w:type="dxa"/>
            <w:tcBorders>
              <w:top w:val="single" w:sz="4" w:space="0" w:color="auto"/>
              <w:left w:val="nil"/>
              <w:bottom w:val="single" w:sz="4" w:space="0" w:color="auto"/>
              <w:right w:val="single" w:sz="4" w:space="0" w:color="auto"/>
            </w:tcBorders>
            <w:vAlign w:val="center"/>
          </w:tcPr>
          <w:p w14:paraId="631FC56A" w14:textId="77777777" w:rsidR="00616CC4" w:rsidRPr="00616CC4" w:rsidRDefault="00616CC4" w:rsidP="00340DF1">
            <w:pPr>
              <w:spacing w:after="0" w:line="360" w:lineRule="auto"/>
              <w:jc w:val="center"/>
              <w:rPr>
                <w:rFonts w:eastAsia="Calibri"/>
                <w:noProof/>
                <w:color w:val="4C4747"/>
                <w:lang w:val="es-DO"/>
              </w:rPr>
            </w:pPr>
            <w:r w:rsidRPr="00616CC4">
              <w:rPr>
                <w:rFonts w:eastAsia="Calibri"/>
                <w:noProof/>
                <w:color w:val="4C4747"/>
                <w:lang w:val="es-DO"/>
              </w:rPr>
              <w:t>17</w:t>
            </w:r>
          </w:p>
        </w:tc>
      </w:tr>
      <w:tr w:rsidR="005C6CEC" w:rsidRPr="00597C8D" w14:paraId="663ABCCC" w14:textId="77777777" w:rsidTr="005C6CEC">
        <w:trPr>
          <w:trHeight w:val="300"/>
          <w:jc w:val="center"/>
        </w:trPr>
        <w:tc>
          <w:tcPr>
            <w:tcW w:w="8368" w:type="dxa"/>
            <w:gridSpan w:val="4"/>
            <w:tcBorders>
              <w:top w:val="single" w:sz="4" w:space="0" w:color="auto"/>
            </w:tcBorders>
            <w:shd w:val="clear" w:color="000000" w:fill="FFFFFF"/>
          </w:tcPr>
          <w:p w14:paraId="6479AA3A" w14:textId="77777777" w:rsidR="005C6CEC" w:rsidRDefault="005C6CEC" w:rsidP="005C6CEC">
            <w:pPr>
              <w:spacing w:after="0" w:line="360" w:lineRule="auto"/>
              <w:rPr>
                <w:rFonts w:eastAsiaTheme="minorEastAsia"/>
                <w:i/>
                <w:iCs/>
                <w:noProof/>
                <w:color w:val="4C4747"/>
                <w:sz w:val="18"/>
                <w:szCs w:val="18"/>
                <w:lang w:val="es-DO"/>
              </w:rPr>
            </w:pPr>
            <w:r w:rsidRPr="00116DFC">
              <w:rPr>
                <w:rFonts w:eastAsiaTheme="minorEastAsia"/>
                <w:i/>
                <w:iCs/>
                <w:noProof/>
                <w:color w:val="4C4747"/>
                <w:sz w:val="18"/>
                <w:szCs w:val="18"/>
                <w:lang w:val="es-DO"/>
              </w:rPr>
              <w:t xml:space="preserve">Fuente: Depto de Recursos Humanos </w:t>
            </w:r>
          </w:p>
          <w:p w14:paraId="5743FC81" w14:textId="1D43C695" w:rsidR="00116DFC" w:rsidRPr="00116DFC" w:rsidRDefault="00116DFC" w:rsidP="005C6CEC">
            <w:pPr>
              <w:spacing w:after="0" w:line="360" w:lineRule="auto"/>
              <w:rPr>
                <w:rFonts w:eastAsia="Calibri"/>
                <w:noProof/>
                <w:color w:val="4C4747"/>
                <w:sz w:val="18"/>
                <w:szCs w:val="18"/>
                <w:lang w:val="es-DO"/>
              </w:rPr>
            </w:pPr>
          </w:p>
        </w:tc>
      </w:tr>
    </w:tbl>
    <w:p w14:paraId="5D8C5A6F" w14:textId="77777777" w:rsidR="008F4395" w:rsidRDefault="008F4395" w:rsidP="00340DF1">
      <w:pPr>
        <w:spacing w:line="360" w:lineRule="auto"/>
        <w:jc w:val="both"/>
        <w:rPr>
          <w:rFonts w:eastAsia="Calibri"/>
          <w:noProof/>
          <w:color w:val="4C4747"/>
          <w:lang w:val="es-DO"/>
        </w:rPr>
      </w:pPr>
    </w:p>
    <w:p w14:paraId="070DCFF0" w14:textId="2D62E10C" w:rsidR="00AD740D" w:rsidRPr="00AD740D" w:rsidRDefault="00AD740D" w:rsidP="00340DF1">
      <w:pPr>
        <w:spacing w:after="120" w:line="360" w:lineRule="auto"/>
        <w:jc w:val="both"/>
        <w:rPr>
          <w:rFonts w:eastAsia="Calibri"/>
          <w:noProof/>
          <w:color w:val="4C4747"/>
          <w:lang w:val="es-DO"/>
        </w:rPr>
      </w:pPr>
      <w:r w:rsidRPr="00AD740D">
        <w:rPr>
          <w:rFonts w:eastAsia="Calibri"/>
          <w:noProof/>
          <w:color w:val="4C4747"/>
          <w:lang w:val="es-DO"/>
        </w:rPr>
        <w:lastRenderedPageBreak/>
        <w:t>Capacitación y</w:t>
      </w:r>
      <w:r>
        <w:rPr>
          <w:rFonts w:eastAsia="Calibri"/>
          <w:noProof/>
          <w:color w:val="4C4747"/>
          <w:lang w:val="es-DO"/>
        </w:rPr>
        <w:t xml:space="preserve"> d</w:t>
      </w:r>
      <w:r w:rsidRPr="00AD740D">
        <w:rPr>
          <w:rFonts w:eastAsia="Calibri"/>
          <w:noProof/>
          <w:color w:val="4C4747"/>
          <w:lang w:val="es-DO"/>
        </w:rPr>
        <w:t xml:space="preserve">esarrollo del </w:t>
      </w:r>
      <w:r>
        <w:rPr>
          <w:rFonts w:eastAsia="Calibri"/>
          <w:noProof/>
          <w:color w:val="4C4747"/>
          <w:lang w:val="es-DO"/>
        </w:rPr>
        <w:t>p</w:t>
      </w:r>
      <w:r w:rsidRPr="00AD740D">
        <w:rPr>
          <w:rFonts w:eastAsia="Calibri"/>
          <w:noProof/>
          <w:color w:val="4C4747"/>
          <w:lang w:val="es-DO"/>
        </w:rPr>
        <w:t>ersonal:</w:t>
      </w:r>
    </w:p>
    <w:p w14:paraId="37EED2B9" w14:textId="77777777" w:rsidR="00AD740D" w:rsidRDefault="00AD740D" w:rsidP="00340DF1">
      <w:pPr>
        <w:spacing w:after="120" w:line="360" w:lineRule="auto"/>
        <w:jc w:val="both"/>
        <w:rPr>
          <w:rFonts w:eastAsia="Calibri"/>
          <w:noProof/>
          <w:color w:val="4C4747"/>
          <w:lang w:val="es-DO"/>
        </w:rPr>
      </w:pPr>
      <w:r w:rsidRPr="00AD740D">
        <w:rPr>
          <w:rFonts w:eastAsia="Calibri"/>
          <w:noProof/>
          <w:color w:val="4C4747"/>
          <w:lang w:val="es-DO"/>
        </w:rPr>
        <w:t>Para el año 2025, se diseñó un Plan de Capacitación en base a los resultados de las evaluaciones del desempeño, las necesidades expresadas por los supervisores de cada área, encaminadas al logro de los objetivos institucionales. Dicho plan contiene un total de 15 acciones formativas con el Instituto nacional de capacitación (INAP).</w:t>
      </w:r>
    </w:p>
    <w:p w14:paraId="325240EC" w14:textId="77777777" w:rsidR="00EC0CB9" w:rsidRDefault="00EC0CB9" w:rsidP="00340DF1">
      <w:pPr>
        <w:spacing w:after="120" w:line="360" w:lineRule="auto"/>
        <w:jc w:val="both"/>
        <w:rPr>
          <w:rFonts w:eastAsia="Calibri"/>
          <w:noProof/>
          <w:color w:val="4C4747"/>
          <w:lang w:val="es-DO"/>
        </w:rPr>
      </w:pPr>
    </w:p>
    <w:p w14:paraId="266B88B9" w14:textId="6E49D13F" w:rsidR="00774A28" w:rsidRPr="003A076A" w:rsidRDefault="00774A28" w:rsidP="00340DF1">
      <w:pPr>
        <w:pStyle w:val="Ttulo2"/>
        <w:spacing w:line="360" w:lineRule="auto"/>
        <w:rPr>
          <w:lang w:val="es-DO"/>
        </w:rPr>
      </w:pPr>
      <w:bookmarkStart w:id="11" w:name="_Toc217035433"/>
      <w:r w:rsidRPr="003A076A">
        <w:rPr>
          <w:lang w:val="es-DO"/>
        </w:rPr>
        <w:t>4</w:t>
      </w:r>
      <w:r w:rsidR="00DF72EF">
        <w:rPr>
          <w:lang w:val="es-DO"/>
        </w:rPr>
        <w:t xml:space="preserve">. 3 </w:t>
      </w:r>
      <w:r w:rsidR="00DF72EF" w:rsidRPr="003A076A">
        <w:rPr>
          <w:lang w:val="es-DO"/>
        </w:rPr>
        <w:t>Desempeño</w:t>
      </w:r>
      <w:r w:rsidRPr="003A076A">
        <w:rPr>
          <w:lang w:val="es-DO"/>
        </w:rPr>
        <w:t xml:space="preserve"> de </w:t>
      </w:r>
      <w:r w:rsidR="00DF72EF">
        <w:rPr>
          <w:lang w:val="es-DO"/>
        </w:rPr>
        <w:t>la tecnología</w:t>
      </w:r>
      <w:bookmarkEnd w:id="11"/>
    </w:p>
    <w:p w14:paraId="4A79B95D" w14:textId="53E858A6" w:rsidR="006104AD" w:rsidRDefault="006104AD" w:rsidP="00340DF1">
      <w:pPr>
        <w:spacing w:line="360" w:lineRule="auto"/>
        <w:jc w:val="both"/>
        <w:rPr>
          <w:rFonts w:eastAsia="Calibri"/>
          <w:noProof/>
          <w:color w:val="4C4747"/>
          <w:lang w:val="es-DO"/>
        </w:rPr>
      </w:pPr>
    </w:p>
    <w:p w14:paraId="21BF05CC" w14:textId="77777777" w:rsidR="00750053" w:rsidRDefault="0010554F" w:rsidP="00340DF1">
      <w:pPr>
        <w:spacing w:line="360" w:lineRule="auto"/>
        <w:jc w:val="both"/>
        <w:rPr>
          <w:rFonts w:eastAsia="Calibri"/>
          <w:noProof/>
          <w:color w:val="4C4747"/>
          <w:lang w:val="es-DO"/>
        </w:rPr>
      </w:pPr>
      <w:r w:rsidRPr="0010554F">
        <w:rPr>
          <w:rFonts w:eastAsia="Calibri"/>
          <w:noProof/>
          <w:color w:val="4C4747"/>
          <w:lang w:val="es-DO"/>
        </w:rPr>
        <w:t>El desempeño tecnológico de ProCompetencia constituye un pilar estratégico para garantizar la eficiencia operativa, la innovación institucional y la transparencia en la gestión pública.</w:t>
      </w:r>
    </w:p>
    <w:p w14:paraId="69ACAAA2" w14:textId="241A586D" w:rsidR="0010554F" w:rsidRPr="0010554F" w:rsidRDefault="0010554F" w:rsidP="00340DF1">
      <w:pPr>
        <w:spacing w:line="360" w:lineRule="auto"/>
        <w:jc w:val="both"/>
        <w:rPr>
          <w:rFonts w:eastAsia="Calibri"/>
          <w:noProof/>
          <w:color w:val="4C4747"/>
          <w:lang w:val="es-DO"/>
        </w:rPr>
      </w:pPr>
      <w:r w:rsidRPr="0010554F">
        <w:rPr>
          <w:rFonts w:eastAsia="Calibri"/>
          <w:noProof/>
          <w:color w:val="4C4747"/>
          <w:lang w:val="es-DO"/>
        </w:rPr>
        <w:t xml:space="preserve"> Durante el año 2025, se han implementado avances significativos en materia de infraestructura digital, automatización de procesos y fortalecimiento de sistemas de información, orientados a optimizar la prestación de servicios y asegurar la trazabilidad de las acciones institucionales.</w:t>
      </w:r>
    </w:p>
    <w:p w14:paraId="201B0768" w14:textId="77777777" w:rsidR="0010554F" w:rsidRDefault="0010554F" w:rsidP="00340DF1">
      <w:pPr>
        <w:spacing w:line="360" w:lineRule="auto"/>
        <w:jc w:val="both"/>
        <w:rPr>
          <w:rFonts w:eastAsia="Calibri"/>
          <w:noProof/>
          <w:color w:val="4C4747"/>
          <w:lang w:val="es-DO"/>
        </w:rPr>
      </w:pPr>
      <w:r w:rsidRPr="0010554F">
        <w:rPr>
          <w:rFonts w:eastAsia="Calibri"/>
          <w:noProof/>
          <w:color w:val="4C4747"/>
          <w:lang w:val="es-DO"/>
        </w:rPr>
        <w:t>Este apartado presenta los principales resultados alcanzados en el ámbito tecnológico, destacando cómo las soluciones digitales y las herramientas de gestión han contribuido a mejorar la capacidad institucional, facilitar la toma de decisiones basada en datos y consolidar una cultura organizacional enfocada en la mejora continua y la innovación.</w:t>
      </w:r>
    </w:p>
    <w:p w14:paraId="77D21E48" w14:textId="3D5A502F" w:rsidR="00285E2A" w:rsidRDefault="00EF76DE" w:rsidP="00340DF1">
      <w:pPr>
        <w:spacing w:line="360" w:lineRule="auto"/>
        <w:jc w:val="both"/>
        <w:rPr>
          <w:rFonts w:eastAsia="Calibri"/>
          <w:noProof/>
          <w:color w:val="4C4747"/>
          <w:lang w:val="es-DO"/>
        </w:rPr>
      </w:pPr>
      <w:r>
        <w:rPr>
          <w:rFonts w:eastAsia="Calibri"/>
          <w:noProof/>
          <w:color w:val="4C4747"/>
          <w:lang w:val="es-DO"/>
        </w:rPr>
        <w:t xml:space="preserve">Hardware y equipamiento tecnologico </w:t>
      </w:r>
    </w:p>
    <w:p w14:paraId="5403307F" w14:textId="59B602AA" w:rsidR="00EC0CB9" w:rsidRDefault="00942491" w:rsidP="00340DF1">
      <w:pPr>
        <w:spacing w:line="360" w:lineRule="auto"/>
        <w:jc w:val="both"/>
        <w:rPr>
          <w:rFonts w:eastAsia="Calibri"/>
          <w:noProof/>
          <w:color w:val="4C4747"/>
          <w:lang w:val="es-DO"/>
        </w:rPr>
      </w:pPr>
      <w:r>
        <w:rPr>
          <w:rFonts w:eastAsia="Calibri"/>
          <w:noProof/>
          <w:color w:val="4C4747"/>
          <w:lang w:val="es-DO"/>
        </w:rPr>
        <w:t xml:space="preserve">Durante el 2025 se fortalecio de manera integral la infraestructura tecnologica institucional, con la adquisicion de </w:t>
      </w:r>
      <w:r w:rsidR="003A0E54">
        <w:rPr>
          <w:rFonts w:eastAsia="Calibri"/>
          <w:noProof/>
          <w:color w:val="4C4747"/>
          <w:lang w:val="es-DO"/>
        </w:rPr>
        <w:t xml:space="preserve">50 </w:t>
      </w:r>
      <w:r>
        <w:rPr>
          <w:rFonts w:eastAsia="Calibri"/>
          <w:noProof/>
          <w:color w:val="4C4747"/>
          <w:lang w:val="es-DO"/>
        </w:rPr>
        <w:t xml:space="preserve">equipos, orientados a mejorar la productividad, el soporte tecnico y las capacidades </w:t>
      </w:r>
      <w:r w:rsidR="00B524CE">
        <w:rPr>
          <w:rFonts w:eastAsia="Calibri"/>
          <w:noProof/>
          <w:color w:val="4C4747"/>
          <w:lang w:val="es-DO"/>
        </w:rPr>
        <w:t>de desarrollo.</w:t>
      </w:r>
    </w:p>
    <w:p w14:paraId="4EC97E3B" w14:textId="77777777" w:rsidR="003A0E54" w:rsidRDefault="003A0E54" w:rsidP="00340DF1">
      <w:pPr>
        <w:spacing w:line="360" w:lineRule="auto"/>
        <w:jc w:val="both"/>
        <w:rPr>
          <w:rFonts w:eastAsia="Calibri"/>
          <w:noProof/>
          <w:color w:val="4C4747"/>
          <w:lang w:val="es-DO"/>
        </w:rPr>
      </w:pPr>
    </w:p>
    <w:tbl>
      <w:tblPr>
        <w:tblW w:w="6691" w:type="dxa"/>
        <w:jc w:val="center"/>
        <w:tblCellMar>
          <w:left w:w="70" w:type="dxa"/>
          <w:right w:w="70" w:type="dxa"/>
        </w:tblCellMar>
        <w:tblLook w:val="04A0" w:firstRow="1" w:lastRow="0" w:firstColumn="1" w:lastColumn="0" w:noHBand="0" w:noVBand="1"/>
      </w:tblPr>
      <w:tblGrid>
        <w:gridCol w:w="5524"/>
        <w:gridCol w:w="1167"/>
      </w:tblGrid>
      <w:tr w:rsidR="00C22AE4" w:rsidRPr="003A0E54" w14:paraId="4C50293E" w14:textId="77777777" w:rsidTr="001B3DE6">
        <w:trPr>
          <w:trHeight w:val="290"/>
          <w:jc w:val="center"/>
        </w:trPr>
        <w:tc>
          <w:tcPr>
            <w:tcW w:w="6691"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tcPr>
          <w:p w14:paraId="62BEC9CA" w14:textId="751282ED" w:rsidR="00C22AE4" w:rsidRPr="00320F1A" w:rsidRDefault="00C22AE4" w:rsidP="00340DF1">
            <w:pPr>
              <w:spacing w:after="0" w:line="360" w:lineRule="auto"/>
              <w:jc w:val="center"/>
              <w:rPr>
                <w:rFonts w:eastAsia="Calibri"/>
                <w:noProof/>
                <w:color w:val="FFFFFF" w:themeColor="background1"/>
                <w:lang w:val="es-DO"/>
              </w:rPr>
            </w:pPr>
            <w:r>
              <w:rPr>
                <w:rFonts w:eastAsia="Calibri"/>
                <w:noProof/>
                <w:color w:val="FFFFFF" w:themeColor="background1"/>
                <w:lang w:val="es-DO"/>
              </w:rPr>
              <w:t>Tabla 10. Equipos adquiridos 2025</w:t>
            </w:r>
          </w:p>
        </w:tc>
      </w:tr>
      <w:tr w:rsidR="003A0E54" w:rsidRPr="003A0E54" w14:paraId="18F595CC" w14:textId="77777777" w:rsidTr="00065235">
        <w:trPr>
          <w:trHeight w:val="290"/>
          <w:jc w:val="center"/>
        </w:trPr>
        <w:tc>
          <w:tcPr>
            <w:tcW w:w="5524"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44F8050" w14:textId="77777777" w:rsidR="003A0E54" w:rsidRPr="00320F1A" w:rsidRDefault="003A0E54" w:rsidP="00340DF1">
            <w:pPr>
              <w:spacing w:after="0" w:line="360" w:lineRule="auto"/>
              <w:jc w:val="center"/>
              <w:rPr>
                <w:rFonts w:eastAsia="Calibri"/>
                <w:noProof/>
                <w:color w:val="FFFFFF" w:themeColor="background1"/>
                <w:lang w:val="es-DO"/>
              </w:rPr>
            </w:pPr>
            <w:r w:rsidRPr="00320F1A">
              <w:rPr>
                <w:rFonts w:eastAsia="Calibri"/>
                <w:noProof/>
                <w:color w:val="FFFFFF" w:themeColor="background1"/>
                <w:lang w:val="es-DO"/>
              </w:rPr>
              <w:t>Equipos adquiridos</w:t>
            </w:r>
          </w:p>
        </w:tc>
        <w:tc>
          <w:tcPr>
            <w:tcW w:w="1167" w:type="dxa"/>
            <w:tcBorders>
              <w:top w:val="single" w:sz="4" w:space="0" w:color="auto"/>
              <w:left w:val="nil"/>
              <w:bottom w:val="single" w:sz="4" w:space="0" w:color="auto"/>
              <w:right w:val="single" w:sz="4" w:space="0" w:color="auto"/>
            </w:tcBorders>
            <w:shd w:val="clear" w:color="000000" w:fill="002060"/>
            <w:noWrap/>
            <w:vAlign w:val="bottom"/>
            <w:hideMark/>
          </w:tcPr>
          <w:p w14:paraId="58FA64B0" w14:textId="77777777" w:rsidR="003A0E54" w:rsidRPr="00320F1A" w:rsidRDefault="003A0E54" w:rsidP="00340DF1">
            <w:pPr>
              <w:spacing w:after="0" w:line="360" w:lineRule="auto"/>
              <w:jc w:val="center"/>
              <w:rPr>
                <w:rFonts w:eastAsia="Calibri"/>
                <w:noProof/>
                <w:color w:val="FFFFFF" w:themeColor="background1"/>
                <w:lang w:val="es-DO"/>
              </w:rPr>
            </w:pPr>
            <w:r w:rsidRPr="00320F1A">
              <w:rPr>
                <w:rFonts w:eastAsia="Calibri"/>
                <w:noProof/>
                <w:color w:val="FFFFFF" w:themeColor="background1"/>
                <w:lang w:val="es-DO"/>
              </w:rPr>
              <w:t>Cantidad</w:t>
            </w:r>
          </w:p>
        </w:tc>
      </w:tr>
      <w:tr w:rsidR="003A0E54" w:rsidRPr="003A0E54" w14:paraId="39A6FE2F" w14:textId="77777777" w:rsidTr="00065235">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20806F21"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Computadoras de escritorio (alto rendimiento)</w:t>
            </w:r>
          </w:p>
        </w:tc>
        <w:tc>
          <w:tcPr>
            <w:tcW w:w="1167" w:type="dxa"/>
            <w:tcBorders>
              <w:top w:val="nil"/>
              <w:left w:val="nil"/>
              <w:bottom w:val="single" w:sz="4" w:space="0" w:color="auto"/>
              <w:right w:val="single" w:sz="4" w:space="0" w:color="auto"/>
            </w:tcBorders>
            <w:noWrap/>
            <w:vAlign w:val="bottom"/>
            <w:hideMark/>
          </w:tcPr>
          <w:p w14:paraId="7A340B6B"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6</w:t>
            </w:r>
          </w:p>
        </w:tc>
      </w:tr>
      <w:tr w:rsidR="003A0E54" w:rsidRPr="003A0E54" w14:paraId="3B554B19" w14:textId="77777777" w:rsidTr="00065235">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567223B8"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Laptops (incluiye gama alta)</w:t>
            </w:r>
          </w:p>
        </w:tc>
        <w:tc>
          <w:tcPr>
            <w:tcW w:w="1167" w:type="dxa"/>
            <w:tcBorders>
              <w:top w:val="nil"/>
              <w:left w:val="nil"/>
              <w:bottom w:val="single" w:sz="4" w:space="0" w:color="auto"/>
              <w:right w:val="single" w:sz="4" w:space="0" w:color="auto"/>
            </w:tcBorders>
            <w:noWrap/>
            <w:vAlign w:val="bottom"/>
            <w:hideMark/>
          </w:tcPr>
          <w:p w14:paraId="73D13118"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6</w:t>
            </w:r>
          </w:p>
        </w:tc>
      </w:tr>
      <w:tr w:rsidR="003A0E54" w:rsidRPr="003A0E54" w14:paraId="198ADA83" w14:textId="77777777" w:rsidTr="00065235">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522ECEC7"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 xml:space="preserve">Monitores </w:t>
            </w:r>
          </w:p>
        </w:tc>
        <w:tc>
          <w:tcPr>
            <w:tcW w:w="1167" w:type="dxa"/>
            <w:tcBorders>
              <w:top w:val="nil"/>
              <w:left w:val="nil"/>
              <w:bottom w:val="single" w:sz="4" w:space="0" w:color="auto"/>
              <w:right w:val="single" w:sz="4" w:space="0" w:color="auto"/>
            </w:tcBorders>
            <w:noWrap/>
            <w:vAlign w:val="bottom"/>
            <w:hideMark/>
          </w:tcPr>
          <w:p w14:paraId="68BF9A2F"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8</w:t>
            </w:r>
          </w:p>
        </w:tc>
      </w:tr>
      <w:tr w:rsidR="003A0E54" w:rsidRPr="003A0E54" w14:paraId="06F747FB" w14:textId="77777777" w:rsidTr="00065235">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7EED9A78"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UPS</w:t>
            </w:r>
          </w:p>
        </w:tc>
        <w:tc>
          <w:tcPr>
            <w:tcW w:w="1167" w:type="dxa"/>
            <w:tcBorders>
              <w:top w:val="nil"/>
              <w:left w:val="nil"/>
              <w:bottom w:val="single" w:sz="4" w:space="0" w:color="auto"/>
              <w:right w:val="single" w:sz="4" w:space="0" w:color="auto"/>
            </w:tcBorders>
            <w:noWrap/>
            <w:vAlign w:val="bottom"/>
            <w:hideMark/>
          </w:tcPr>
          <w:p w14:paraId="7C4BE759"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3</w:t>
            </w:r>
          </w:p>
        </w:tc>
      </w:tr>
      <w:tr w:rsidR="003A0E54" w:rsidRPr="003A0E54" w14:paraId="1E08E69B" w14:textId="77777777" w:rsidTr="00065235">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57912B65"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Headsets</w:t>
            </w:r>
          </w:p>
        </w:tc>
        <w:tc>
          <w:tcPr>
            <w:tcW w:w="1167" w:type="dxa"/>
            <w:tcBorders>
              <w:top w:val="nil"/>
              <w:left w:val="nil"/>
              <w:bottom w:val="single" w:sz="4" w:space="0" w:color="auto"/>
              <w:right w:val="single" w:sz="4" w:space="0" w:color="auto"/>
            </w:tcBorders>
            <w:noWrap/>
            <w:vAlign w:val="bottom"/>
            <w:hideMark/>
          </w:tcPr>
          <w:p w14:paraId="773A98E8"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11</w:t>
            </w:r>
          </w:p>
        </w:tc>
      </w:tr>
      <w:tr w:rsidR="003A0E54" w:rsidRPr="003A0E54" w14:paraId="0709F8B5" w14:textId="77777777" w:rsidTr="00065235">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5683988E"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 xml:space="preserve">Micrófono de expansión </w:t>
            </w:r>
          </w:p>
        </w:tc>
        <w:tc>
          <w:tcPr>
            <w:tcW w:w="1167" w:type="dxa"/>
            <w:tcBorders>
              <w:top w:val="nil"/>
              <w:left w:val="nil"/>
              <w:bottom w:val="single" w:sz="4" w:space="0" w:color="auto"/>
              <w:right w:val="single" w:sz="4" w:space="0" w:color="auto"/>
            </w:tcBorders>
            <w:noWrap/>
            <w:vAlign w:val="bottom"/>
            <w:hideMark/>
          </w:tcPr>
          <w:p w14:paraId="11806E09"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1</w:t>
            </w:r>
          </w:p>
        </w:tc>
      </w:tr>
      <w:tr w:rsidR="003A0E54" w:rsidRPr="003A0E54" w14:paraId="48FF8629" w14:textId="77777777" w:rsidTr="00065235">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2496FC64"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Computadora iOS</w:t>
            </w:r>
          </w:p>
        </w:tc>
        <w:tc>
          <w:tcPr>
            <w:tcW w:w="1167" w:type="dxa"/>
            <w:tcBorders>
              <w:top w:val="nil"/>
              <w:left w:val="nil"/>
              <w:bottom w:val="single" w:sz="4" w:space="0" w:color="auto"/>
              <w:right w:val="single" w:sz="4" w:space="0" w:color="auto"/>
            </w:tcBorders>
            <w:noWrap/>
            <w:vAlign w:val="bottom"/>
            <w:hideMark/>
          </w:tcPr>
          <w:p w14:paraId="4F5D4A7D"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1</w:t>
            </w:r>
          </w:p>
        </w:tc>
      </w:tr>
      <w:tr w:rsidR="003A0E54" w:rsidRPr="003A0E54" w14:paraId="3266E834" w14:textId="77777777" w:rsidTr="00065235">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0DCAAA30"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 xml:space="preserve">Sistema CCTV con instalación </w:t>
            </w:r>
          </w:p>
        </w:tc>
        <w:tc>
          <w:tcPr>
            <w:tcW w:w="1167" w:type="dxa"/>
            <w:tcBorders>
              <w:top w:val="nil"/>
              <w:left w:val="nil"/>
              <w:bottom w:val="single" w:sz="4" w:space="0" w:color="auto"/>
              <w:right w:val="single" w:sz="4" w:space="0" w:color="auto"/>
            </w:tcBorders>
            <w:noWrap/>
            <w:vAlign w:val="bottom"/>
            <w:hideMark/>
          </w:tcPr>
          <w:p w14:paraId="32EFBE5E"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1</w:t>
            </w:r>
          </w:p>
        </w:tc>
      </w:tr>
      <w:tr w:rsidR="003A0E54" w:rsidRPr="003A0E54" w14:paraId="7F0B0C3B" w14:textId="77777777" w:rsidTr="00065235">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30E6D461"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Televisor interactivo táctil</w:t>
            </w:r>
          </w:p>
        </w:tc>
        <w:tc>
          <w:tcPr>
            <w:tcW w:w="1167" w:type="dxa"/>
            <w:tcBorders>
              <w:top w:val="nil"/>
              <w:left w:val="nil"/>
              <w:bottom w:val="single" w:sz="4" w:space="0" w:color="auto"/>
              <w:right w:val="single" w:sz="4" w:space="0" w:color="auto"/>
            </w:tcBorders>
            <w:noWrap/>
            <w:vAlign w:val="bottom"/>
            <w:hideMark/>
          </w:tcPr>
          <w:p w14:paraId="226E5DA3"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1</w:t>
            </w:r>
          </w:p>
        </w:tc>
      </w:tr>
      <w:tr w:rsidR="003A0E54" w:rsidRPr="003A0E54" w14:paraId="31486168" w14:textId="77777777" w:rsidTr="00065235">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65E1215A"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 xml:space="preserve">Escaner pequeño </w:t>
            </w:r>
          </w:p>
        </w:tc>
        <w:tc>
          <w:tcPr>
            <w:tcW w:w="1167" w:type="dxa"/>
            <w:tcBorders>
              <w:top w:val="nil"/>
              <w:left w:val="nil"/>
              <w:bottom w:val="single" w:sz="4" w:space="0" w:color="auto"/>
              <w:right w:val="single" w:sz="4" w:space="0" w:color="auto"/>
            </w:tcBorders>
            <w:noWrap/>
            <w:vAlign w:val="bottom"/>
            <w:hideMark/>
          </w:tcPr>
          <w:p w14:paraId="08C96585"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2</w:t>
            </w:r>
          </w:p>
        </w:tc>
      </w:tr>
      <w:tr w:rsidR="003A0E54" w:rsidRPr="003A0E54" w14:paraId="11B7891C" w14:textId="77777777" w:rsidTr="00065235">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40CD8E33"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 xml:space="preserve">Impresora matricial </w:t>
            </w:r>
          </w:p>
        </w:tc>
        <w:tc>
          <w:tcPr>
            <w:tcW w:w="1167" w:type="dxa"/>
            <w:tcBorders>
              <w:top w:val="nil"/>
              <w:left w:val="nil"/>
              <w:bottom w:val="single" w:sz="4" w:space="0" w:color="auto"/>
              <w:right w:val="single" w:sz="4" w:space="0" w:color="auto"/>
            </w:tcBorders>
            <w:noWrap/>
            <w:vAlign w:val="bottom"/>
            <w:hideMark/>
          </w:tcPr>
          <w:p w14:paraId="28D515F1"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1</w:t>
            </w:r>
          </w:p>
        </w:tc>
      </w:tr>
      <w:tr w:rsidR="003A0E54" w:rsidRPr="003A0E54" w14:paraId="476D6C30" w14:textId="77777777" w:rsidTr="00C22AE4">
        <w:trPr>
          <w:trHeight w:val="290"/>
          <w:jc w:val="center"/>
        </w:trPr>
        <w:tc>
          <w:tcPr>
            <w:tcW w:w="5524" w:type="dxa"/>
            <w:tcBorders>
              <w:top w:val="nil"/>
              <w:left w:val="single" w:sz="4" w:space="0" w:color="auto"/>
              <w:bottom w:val="single" w:sz="4" w:space="0" w:color="auto"/>
              <w:right w:val="single" w:sz="4" w:space="0" w:color="auto"/>
            </w:tcBorders>
            <w:noWrap/>
            <w:vAlign w:val="bottom"/>
            <w:hideMark/>
          </w:tcPr>
          <w:p w14:paraId="4913A062"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Micrófonos de conferencia</w:t>
            </w:r>
          </w:p>
        </w:tc>
        <w:tc>
          <w:tcPr>
            <w:tcW w:w="1167" w:type="dxa"/>
            <w:tcBorders>
              <w:top w:val="nil"/>
              <w:left w:val="nil"/>
              <w:bottom w:val="single" w:sz="4" w:space="0" w:color="auto"/>
              <w:right w:val="single" w:sz="4" w:space="0" w:color="auto"/>
            </w:tcBorders>
            <w:noWrap/>
            <w:vAlign w:val="bottom"/>
            <w:hideMark/>
          </w:tcPr>
          <w:p w14:paraId="10FCA5B3"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8</w:t>
            </w:r>
          </w:p>
        </w:tc>
      </w:tr>
      <w:tr w:rsidR="003A0E54" w:rsidRPr="00320F1A" w14:paraId="59FD0A80" w14:textId="77777777" w:rsidTr="00C22AE4">
        <w:trPr>
          <w:trHeight w:val="290"/>
          <w:jc w:val="center"/>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4BDC5510" w14:textId="77777777" w:rsidR="003A0E54" w:rsidRPr="00320F1A" w:rsidRDefault="003A0E54" w:rsidP="00340DF1">
            <w:pPr>
              <w:spacing w:after="0" w:line="360" w:lineRule="auto"/>
              <w:rPr>
                <w:rFonts w:eastAsia="Calibri"/>
                <w:noProof/>
                <w:color w:val="4C4747"/>
                <w:lang w:val="es-DO"/>
              </w:rPr>
            </w:pPr>
            <w:r w:rsidRPr="00320F1A">
              <w:rPr>
                <w:rFonts w:eastAsia="Calibri"/>
                <w:noProof/>
                <w:color w:val="4C4747"/>
                <w:lang w:val="es-DO"/>
              </w:rPr>
              <w:t>Sistema de grabación de audio</w:t>
            </w:r>
          </w:p>
        </w:tc>
        <w:tc>
          <w:tcPr>
            <w:tcW w:w="1167" w:type="dxa"/>
            <w:tcBorders>
              <w:top w:val="single" w:sz="4" w:space="0" w:color="auto"/>
              <w:left w:val="nil"/>
              <w:bottom w:val="single" w:sz="4" w:space="0" w:color="auto"/>
              <w:right w:val="single" w:sz="4" w:space="0" w:color="auto"/>
            </w:tcBorders>
            <w:noWrap/>
            <w:vAlign w:val="bottom"/>
            <w:hideMark/>
          </w:tcPr>
          <w:p w14:paraId="5EB828AB" w14:textId="77777777" w:rsidR="003A0E54" w:rsidRPr="00320F1A" w:rsidRDefault="003A0E54" w:rsidP="00340DF1">
            <w:pPr>
              <w:spacing w:after="0" w:line="360" w:lineRule="auto"/>
              <w:jc w:val="right"/>
              <w:rPr>
                <w:rFonts w:eastAsia="Calibri"/>
                <w:noProof/>
                <w:color w:val="4C4747"/>
                <w:lang w:val="es-DO"/>
              </w:rPr>
            </w:pPr>
            <w:r w:rsidRPr="00320F1A">
              <w:rPr>
                <w:rFonts w:eastAsia="Calibri"/>
                <w:noProof/>
                <w:color w:val="4C4747"/>
                <w:lang w:val="es-DO"/>
              </w:rPr>
              <w:t>1</w:t>
            </w:r>
          </w:p>
        </w:tc>
      </w:tr>
      <w:tr w:rsidR="00C22AE4" w:rsidRPr="00C22AE4" w14:paraId="22A544FF" w14:textId="77777777" w:rsidTr="00C22AE4">
        <w:trPr>
          <w:trHeight w:val="290"/>
          <w:jc w:val="center"/>
        </w:trPr>
        <w:tc>
          <w:tcPr>
            <w:tcW w:w="6691" w:type="dxa"/>
            <w:gridSpan w:val="2"/>
            <w:tcBorders>
              <w:top w:val="single" w:sz="4" w:space="0" w:color="auto"/>
            </w:tcBorders>
            <w:noWrap/>
            <w:vAlign w:val="bottom"/>
          </w:tcPr>
          <w:p w14:paraId="397A4491" w14:textId="358922D5" w:rsidR="00C22AE4" w:rsidRPr="00116DFC" w:rsidRDefault="00C22AE4" w:rsidP="00C22AE4">
            <w:pPr>
              <w:spacing w:after="0" w:line="360" w:lineRule="auto"/>
              <w:rPr>
                <w:rFonts w:eastAsia="Calibri"/>
                <w:i/>
                <w:iCs/>
                <w:noProof/>
                <w:color w:val="4C4747"/>
                <w:sz w:val="18"/>
                <w:szCs w:val="18"/>
                <w:lang w:val="es-DO"/>
              </w:rPr>
            </w:pPr>
            <w:r w:rsidRPr="00116DFC">
              <w:rPr>
                <w:rFonts w:eastAsia="Calibri"/>
                <w:i/>
                <w:iCs/>
                <w:noProof/>
                <w:color w:val="4C4747"/>
                <w:sz w:val="18"/>
                <w:szCs w:val="18"/>
                <w:lang w:val="es-DO"/>
              </w:rPr>
              <w:t xml:space="preserve">Fuente: Div. Tecnología </w:t>
            </w:r>
          </w:p>
        </w:tc>
      </w:tr>
    </w:tbl>
    <w:p w14:paraId="191691DB" w14:textId="5789B847" w:rsidR="003A0E54" w:rsidRDefault="003A0E54" w:rsidP="00340DF1">
      <w:pPr>
        <w:spacing w:line="360" w:lineRule="auto"/>
        <w:jc w:val="both"/>
        <w:rPr>
          <w:rFonts w:eastAsia="Calibri"/>
          <w:noProof/>
          <w:color w:val="4C4747"/>
          <w:lang w:val="es-DO"/>
        </w:rPr>
      </w:pPr>
    </w:p>
    <w:p w14:paraId="06E39560" w14:textId="77777777" w:rsidR="00065235" w:rsidRDefault="00065235" w:rsidP="00340DF1">
      <w:pPr>
        <w:spacing w:line="360" w:lineRule="auto"/>
        <w:jc w:val="both"/>
        <w:rPr>
          <w:rFonts w:eastAsia="Calibri"/>
          <w:noProof/>
          <w:color w:val="4C4747"/>
          <w:lang w:val="es-DO"/>
        </w:rPr>
      </w:pPr>
    </w:p>
    <w:p w14:paraId="10201DCE" w14:textId="77777777" w:rsidR="00065235" w:rsidRDefault="00065235" w:rsidP="00340DF1">
      <w:pPr>
        <w:spacing w:line="360" w:lineRule="auto"/>
        <w:jc w:val="both"/>
        <w:rPr>
          <w:rFonts w:eastAsia="Calibri"/>
          <w:noProof/>
          <w:color w:val="4C4747"/>
          <w:lang w:val="es-DO"/>
        </w:rPr>
      </w:pPr>
    </w:p>
    <w:p w14:paraId="30A324B8" w14:textId="77777777" w:rsidR="00C22AE4" w:rsidRDefault="00C22AE4" w:rsidP="00340DF1">
      <w:pPr>
        <w:spacing w:line="360" w:lineRule="auto"/>
        <w:jc w:val="both"/>
        <w:rPr>
          <w:rFonts w:eastAsia="Calibri"/>
          <w:noProof/>
          <w:color w:val="4C4747"/>
          <w:lang w:val="es-DO"/>
        </w:rPr>
      </w:pPr>
    </w:p>
    <w:p w14:paraId="72FF2051" w14:textId="77777777" w:rsidR="00065235" w:rsidRDefault="00065235" w:rsidP="00340DF1">
      <w:pPr>
        <w:spacing w:line="360" w:lineRule="auto"/>
        <w:jc w:val="both"/>
        <w:rPr>
          <w:rFonts w:eastAsia="Calibri"/>
          <w:noProof/>
          <w:color w:val="4C4747"/>
          <w:lang w:val="es-DO"/>
        </w:rPr>
      </w:pPr>
    </w:p>
    <w:p w14:paraId="3432002F" w14:textId="77777777" w:rsidR="00065235" w:rsidRDefault="00065235" w:rsidP="00340DF1">
      <w:pPr>
        <w:spacing w:line="360" w:lineRule="auto"/>
        <w:jc w:val="both"/>
        <w:rPr>
          <w:rFonts w:eastAsia="Calibri"/>
          <w:noProof/>
          <w:color w:val="4C4747"/>
          <w:lang w:val="es-DO"/>
        </w:rPr>
      </w:pPr>
    </w:p>
    <w:p w14:paraId="48812DD4" w14:textId="77777777" w:rsidR="00065235" w:rsidRDefault="00065235" w:rsidP="00340DF1">
      <w:pPr>
        <w:spacing w:line="360" w:lineRule="auto"/>
        <w:jc w:val="both"/>
        <w:rPr>
          <w:rFonts w:eastAsia="Calibri"/>
          <w:noProof/>
          <w:color w:val="4C4747"/>
          <w:lang w:val="es-DO"/>
        </w:rPr>
      </w:pPr>
    </w:p>
    <w:p w14:paraId="79BE4FBE" w14:textId="77777777" w:rsidR="00065235" w:rsidRDefault="00065235" w:rsidP="00340DF1">
      <w:pPr>
        <w:spacing w:line="360" w:lineRule="auto"/>
        <w:jc w:val="both"/>
        <w:rPr>
          <w:rFonts w:eastAsia="Calibri"/>
          <w:noProof/>
          <w:color w:val="4C4747"/>
          <w:lang w:val="es-DO"/>
        </w:rPr>
      </w:pPr>
    </w:p>
    <w:p w14:paraId="289C41AA" w14:textId="77777777" w:rsidR="00065235" w:rsidRDefault="00065235" w:rsidP="00340DF1">
      <w:pPr>
        <w:spacing w:line="360" w:lineRule="auto"/>
        <w:jc w:val="both"/>
        <w:rPr>
          <w:rFonts w:eastAsia="Calibri"/>
          <w:noProof/>
          <w:color w:val="4C4747"/>
          <w:lang w:val="es-DO"/>
        </w:rPr>
      </w:pPr>
    </w:p>
    <w:p w14:paraId="24866ECA" w14:textId="15062A95" w:rsidR="00065235" w:rsidRPr="00065235" w:rsidRDefault="008E7FB8" w:rsidP="00340DF1">
      <w:pPr>
        <w:spacing w:line="360" w:lineRule="auto"/>
        <w:jc w:val="both"/>
        <w:rPr>
          <w:rFonts w:eastAsia="Calibri"/>
          <w:noProof/>
          <w:color w:val="4C4747"/>
          <w:lang w:val="es-DO"/>
        </w:rPr>
      </w:pPr>
      <w:r>
        <w:rPr>
          <w:rFonts w:eastAsia="Calibri"/>
          <w:noProof/>
          <w:color w:val="4C4747"/>
          <w:lang w:val="es-DO"/>
        </w:rPr>
        <w:lastRenderedPageBreak/>
        <w:t xml:space="preserve">Software y proyectos tecnológicos: </w:t>
      </w:r>
    </w:p>
    <w:p w14:paraId="311D675D" w14:textId="7F2EB913" w:rsidR="00791FB0" w:rsidRPr="00791FB0" w:rsidRDefault="00791FB0" w:rsidP="00340DF1">
      <w:pPr>
        <w:spacing w:line="360" w:lineRule="auto"/>
        <w:jc w:val="both"/>
        <w:rPr>
          <w:rFonts w:eastAsia="Calibri"/>
          <w:noProof/>
          <w:color w:val="4C4747"/>
          <w:lang w:val="es-DO"/>
        </w:rPr>
      </w:pPr>
      <w:r w:rsidRPr="00791FB0">
        <w:rPr>
          <w:rFonts w:eastAsia="Calibri"/>
          <w:noProof/>
          <w:color w:val="4C4747"/>
          <w:lang w:val="es-DO"/>
        </w:rPr>
        <w:t>Durante el período se implementaron importantes soluciones tecnológicas que fortalecen la gestión institucional y la calidad de los servicios ofrecidos. Entre ellas destacan: ProConect (HelpDesk institucional), FirmaGO (firma digital), el Chatbot institucional “Libera”, la App ProCompetenciaRD, el Portal Web Institucional (rediseñado para ser más accesible e intuitivo) y la Certificación NORTIC A2 y B2. Estas iniciativas consolidan la modernización tecnológica de ProCompetencia, promoviendo eficiencia, transparencia y cercanía con los usuarios.</w:t>
      </w:r>
    </w:p>
    <w:p w14:paraId="194E584F" w14:textId="77777777" w:rsidR="002928D6" w:rsidRPr="00653352" w:rsidRDefault="002928D6" w:rsidP="00340DF1">
      <w:pPr>
        <w:spacing w:line="360" w:lineRule="auto"/>
        <w:jc w:val="both"/>
        <w:rPr>
          <w:rFonts w:eastAsia="Calibri"/>
          <w:noProof/>
          <w:color w:val="4C4747"/>
          <w:lang w:val="es-DO"/>
        </w:rPr>
      </w:pPr>
      <w:r w:rsidRPr="00653352">
        <w:rPr>
          <w:rFonts w:eastAsia="Calibri"/>
          <w:noProof/>
          <w:color w:val="4C4747"/>
          <w:lang w:val="es-DO"/>
        </w:rPr>
        <w:t xml:space="preserve">En la actualidad, ProCompetencia desarrolla un conjunto de iniciativas tecnológicas estratégicas que se encuentran en proceso de implementación. Entre ellas destacan el Dashboard de Indicadores de Gestión y el desarrollo de tableros automatizados, orientados a fortalecer la capacidad institucional de análisis y seguimiento de resultados. </w:t>
      </w:r>
    </w:p>
    <w:p w14:paraId="740ED45D" w14:textId="77777777" w:rsidR="002928D6" w:rsidRPr="00653352" w:rsidRDefault="002928D6" w:rsidP="00340DF1">
      <w:pPr>
        <w:spacing w:line="360" w:lineRule="auto"/>
        <w:jc w:val="both"/>
        <w:rPr>
          <w:rFonts w:eastAsia="Calibri"/>
          <w:noProof/>
          <w:color w:val="4C4747"/>
          <w:lang w:val="es-DO"/>
        </w:rPr>
      </w:pPr>
      <w:r w:rsidRPr="00653352">
        <w:rPr>
          <w:rFonts w:eastAsia="Calibri"/>
          <w:noProof/>
          <w:color w:val="4C4747"/>
          <w:lang w:val="es-DO"/>
        </w:rPr>
        <w:t xml:space="preserve">Asimismo, se avanza en el Sistema de Investigación de Prácticas Anticompetitivas (SIAP), herramienta clave para robustecer la labor técnica de la institución. De igual forma, se trabaja en la interoperabilidad bajo los lineamientos de la NORTIC A4 y la DGCP, con el objetivo de garantizar mayor integración y eficiencia en los sistemas públicos. </w:t>
      </w:r>
    </w:p>
    <w:p w14:paraId="4D2E0945" w14:textId="6D9E7C2E" w:rsidR="008E7FB8" w:rsidRDefault="002928D6" w:rsidP="00340DF1">
      <w:pPr>
        <w:spacing w:line="360" w:lineRule="auto"/>
        <w:jc w:val="both"/>
        <w:rPr>
          <w:rFonts w:eastAsia="Calibri"/>
          <w:noProof/>
          <w:color w:val="4C4747"/>
          <w:lang w:val="es-DO"/>
        </w:rPr>
      </w:pPr>
      <w:r w:rsidRPr="00653352">
        <w:rPr>
          <w:rFonts w:eastAsia="Calibri"/>
          <w:noProof/>
          <w:color w:val="4C4747"/>
          <w:lang w:val="es-DO"/>
        </w:rPr>
        <w:t>Finalmente, se impulsa la puesta en marcha de WhatsApp Business Institucional, como canal de comunicación directa y accesible para los usuarios. Estos proyectos en proceso consolidan la transformación digital de ProCompetencia y refuerzan su compromiso con la innovación y la transparencia.</w:t>
      </w:r>
    </w:p>
    <w:p w14:paraId="76A08A35" w14:textId="77777777" w:rsidR="00C22AE4" w:rsidRDefault="00C22AE4" w:rsidP="00340DF1">
      <w:pPr>
        <w:spacing w:line="360" w:lineRule="auto"/>
        <w:jc w:val="both"/>
        <w:rPr>
          <w:rFonts w:eastAsia="Calibri"/>
          <w:noProof/>
          <w:color w:val="4C4747"/>
          <w:lang w:val="es-DO"/>
        </w:rPr>
      </w:pPr>
    </w:p>
    <w:p w14:paraId="7F409AE1" w14:textId="77777777" w:rsidR="005244CD" w:rsidRPr="005244CD" w:rsidRDefault="005244CD" w:rsidP="00340DF1">
      <w:pPr>
        <w:spacing w:line="360" w:lineRule="auto"/>
        <w:jc w:val="both"/>
        <w:rPr>
          <w:rFonts w:eastAsia="Calibri"/>
          <w:noProof/>
          <w:color w:val="4C4747"/>
          <w:lang w:val="es-DO"/>
        </w:rPr>
      </w:pPr>
      <w:r w:rsidRPr="005244CD">
        <w:rPr>
          <w:rFonts w:eastAsia="Calibri"/>
          <w:noProof/>
          <w:color w:val="4C4747"/>
          <w:lang w:val="es-DO"/>
        </w:rPr>
        <w:lastRenderedPageBreak/>
        <w:t>Innovaciones Tecnológicas Destacadas</w:t>
      </w:r>
    </w:p>
    <w:p w14:paraId="6C82A1FF" w14:textId="77777777" w:rsidR="005244CD" w:rsidRPr="005244CD" w:rsidRDefault="005244CD" w:rsidP="00340DF1">
      <w:pPr>
        <w:spacing w:line="360" w:lineRule="auto"/>
        <w:jc w:val="both"/>
        <w:rPr>
          <w:rFonts w:eastAsia="Calibri"/>
          <w:noProof/>
          <w:color w:val="4C4747"/>
          <w:lang w:val="es-DO"/>
        </w:rPr>
      </w:pPr>
      <w:r w:rsidRPr="005244CD">
        <w:rPr>
          <w:rFonts w:eastAsia="Calibri"/>
          <w:noProof/>
          <w:color w:val="4C4747"/>
          <w:lang w:val="es-DO"/>
        </w:rPr>
        <w:t>Durante el año 2025, ProCompetencia ha consolidado avances significativos en su transformación digital, incorporando soluciones innovadoras que fortalecen la eficiencia institucional y mejoran la experiencia ciudadana. Entre las iniciativas más destacadas se encuentran: la integración de inteligencia artificial y asistencia ciudadana al portal web y a la aplicación móvil, el uso de la App ProCompetenciaRD como canal de servicios digitales accesibles, y el rediseño del portal institucional conforme a los estándares WCAG 2.1 AA y NORTIC A2, garantizando accesibilidad universal. Además, se ha impulsado la digitalización de procesos mediante formularios inteligentes, automatización y tableros de gestión; se han reforzado las políticas de ciberseguridad alineadas con NORTIC A3; y se ha consolidado una infraestructura híbrida en la nube, combinando plataformas como Microsoft 365 y Google Cloud para asegurar escalabilidad, seguridad y colaboración eficiente.</w:t>
      </w:r>
    </w:p>
    <w:p w14:paraId="650C63CC" w14:textId="77777777" w:rsidR="00EA40A4" w:rsidRPr="00EA40A4" w:rsidRDefault="00EA40A4" w:rsidP="00340DF1">
      <w:pPr>
        <w:spacing w:line="360" w:lineRule="auto"/>
        <w:jc w:val="both"/>
        <w:rPr>
          <w:rFonts w:eastAsia="Calibri"/>
          <w:noProof/>
          <w:color w:val="4C4747"/>
          <w:lang w:val="es-DO"/>
        </w:rPr>
      </w:pPr>
      <w:r w:rsidRPr="00EA40A4">
        <w:rPr>
          <w:rFonts w:eastAsia="Calibri"/>
          <w:noProof/>
          <w:color w:val="4C4747"/>
          <w:lang w:val="es-DO"/>
        </w:rPr>
        <w:t>Al cierre del año 2025, ProCompetencia presenta un avance significativo en la ejecución de sus componentes tecnológicos estratégicos. El componente de hardware y equipos alcanzó un 100% de ejecución, con estado general implementado, lo que garantiza una infraestructura física robusta y actualizada. De igual forma, el componente de licencias y servicios también logró un 100% de cumplimiento, consolidando el acceso institucional a herramientas digitales clave bajo esquemas legales y operativos adecuados.</w:t>
      </w:r>
    </w:p>
    <w:p w14:paraId="3985E74B" w14:textId="77777777" w:rsidR="00A7057E" w:rsidRDefault="00EA40A4" w:rsidP="00340DF1">
      <w:pPr>
        <w:spacing w:line="360" w:lineRule="auto"/>
        <w:jc w:val="both"/>
        <w:rPr>
          <w:rFonts w:eastAsia="Calibri"/>
          <w:noProof/>
          <w:color w:val="4C4747"/>
          <w:lang w:val="es-DO"/>
        </w:rPr>
      </w:pPr>
      <w:r w:rsidRPr="00EA40A4">
        <w:rPr>
          <w:rFonts w:eastAsia="Calibri"/>
          <w:noProof/>
          <w:color w:val="4C4747"/>
          <w:lang w:val="es-DO"/>
        </w:rPr>
        <w:t>En cuanto al componente de software y proyectos, se reporta un avance del 82%, con estado general en avance, reflejando el desarrollo progresivo de soluciones digitales, automatización de procesos y sistemas especializados.</w:t>
      </w:r>
    </w:p>
    <w:p w14:paraId="275D7442" w14:textId="5E7B4153" w:rsidR="00EA40A4" w:rsidRPr="00EA40A4" w:rsidRDefault="00EA40A4" w:rsidP="00340DF1">
      <w:pPr>
        <w:spacing w:line="360" w:lineRule="auto"/>
        <w:jc w:val="both"/>
        <w:rPr>
          <w:rFonts w:eastAsia="Calibri"/>
          <w:noProof/>
          <w:color w:val="4C4747"/>
          <w:lang w:val="es-DO"/>
        </w:rPr>
      </w:pPr>
      <w:r w:rsidRPr="00EA40A4">
        <w:rPr>
          <w:rFonts w:eastAsia="Calibri"/>
          <w:noProof/>
          <w:color w:val="4C4747"/>
          <w:lang w:val="es-DO"/>
        </w:rPr>
        <w:lastRenderedPageBreak/>
        <w:t xml:space="preserve"> Finalmente, el componente de convenios y cooperaciones registra un 60% de ejecución, con estado en proceso, evidenciando el fortalecimiento gradual de alianzas estratégicas y colaboraciones interinstitucionales.</w:t>
      </w:r>
    </w:p>
    <w:p w14:paraId="050E8FF9" w14:textId="1CAC4EBF" w:rsidR="00653352" w:rsidRPr="00EA40A4" w:rsidRDefault="00EA40A4" w:rsidP="00340DF1">
      <w:pPr>
        <w:spacing w:line="360" w:lineRule="auto"/>
        <w:jc w:val="both"/>
        <w:rPr>
          <w:rFonts w:eastAsia="Calibri"/>
          <w:noProof/>
          <w:color w:val="4C4747"/>
          <w:lang w:val="es-DO"/>
        </w:rPr>
      </w:pPr>
      <w:r w:rsidRPr="00EA40A4">
        <w:rPr>
          <w:rFonts w:eastAsia="Calibri"/>
          <w:noProof/>
          <w:color w:val="4C4747"/>
          <w:lang w:val="es-DO"/>
        </w:rPr>
        <w:t>El promedio global de ejecución tecnológica para el año 2025 se sitúa en aproximadamente 86%, lo que posiciona a ProCompetencia como una institución comprometida con la innovación, la eficiencia operativa y la mejora continua en sus procesos tecnológicos.</w:t>
      </w:r>
    </w:p>
    <w:p w14:paraId="20B042B2" w14:textId="77777777" w:rsidR="00EA40A4" w:rsidRDefault="00EA40A4" w:rsidP="00340DF1">
      <w:pPr>
        <w:pStyle w:val="Ttulo2"/>
        <w:spacing w:line="360" w:lineRule="auto"/>
        <w:rPr>
          <w:noProof/>
          <w:lang w:val="es-DO"/>
        </w:rPr>
      </w:pPr>
    </w:p>
    <w:p w14:paraId="3D6EFB3B" w14:textId="1DD75FD6" w:rsidR="00613C85" w:rsidRDefault="00613C85" w:rsidP="00340DF1">
      <w:pPr>
        <w:pStyle w:val="Ttulo2"/>
        <w:spacing w:line="360" w:lineRule="auto"/>
        <w:jc w:val="both"/>
        <w:rPr>
          <w:noProof/>
          <w:lang w:val="es-DO"/>
        </w:rPr>
      </w:pPr>
      <w:bookmarkStart w:id="12" w:name="_Toc217035434"/>
      <w:r w:rsidRPr="00613C85">
        <w:rPr>
          <w:noProof/>
          <w:lang w:val="es-DO"/>
        </w:rPr>
        <w:t>4.4 Desempeño del Sistema de Planificación y Desarrollo Institucional</w:t>
      </w:r>
      <w:bookmarkEnd w:id="12"/>
      <w:r w:rsidRPr="00613C85">
        <w:rPr>
          <w:noProof/>
          <w:lang w:val="es-DO"/>
        </w:rPr>
        <w:t xml:space="preserve"> </w:t>
      </w:r>
    </w:p>
    <w:p w14:paraId="4ACA9FBE" w14:textId="77777777" w:rsidR="00613C85" w:rsidRDefault="00613C85" w:rsidP="00340DF1">
      <w:pPr>
        <w:spacing w:line="360" w:lineRule="auto"/>
        <w:rPr>
          <w:lang w:val="es-DO"/>
        </w:rPr>
      </w:pPr>
    </w:p>
    <w:p w14:paraId="7A6ACC7F" w14:textId="689F64E2" w:rsidR="004F32F7" w:rsidRPr="004F32F7" w:rsidRDefault="004F32F7" w:rsidP="00340DF1">
      <w:pPr>
        <w:spacing w:line="360" w:lineRule="auto"/>
        <w:jc w:val="both"/>
        <w:rPr>
          <w:rFonts w:eastAsia="Calibri"/>
          <w:noProof/>
          <w:color w:val="4C4747"/>
          <w:lang w:val="es-DO"/>
        </w:rPr>
      </w:pPr>
      <w:r w:rsidRPr="004F32F7">
        <w:rPr>
          <w:rFonts w:eastAsia="Calibri"/>
          <w:noProof/>
          <w:color w:val="4C4747"/>
          <w:lang w:val="es-DO"/>
        </w:rPr>
        <w:t>Las acciones desarrolladas por el Departamento de Planificación y Desarrollo durante el período enero-</w:t>
      </w:r>
      <w:r w:rsidR="0099104B" w:rsidRPr="0099104B">
        <w:rPr>
          <w:rFonts w:eastAsia="Calibri"/>
          <w:noProof/>
          <w:color w:val="4C4747"/>
          <w:lang w:val="es-DO"/>
        </w:rPr>
        <w:t>di</w:t>
      </w:r>
      <w:r w:rsidR="0099104B">
        <w:rPr>
          <w:rFonts w:eastAsia="Calibri"/>
          <w:noProof/>
          <w:color w:val="4C4747"/>
          <w:lang w:val="es-DO"/>
        </w:rPr>
        <w:t>ciembre</w:t>
      </w:r>
      <w:r w:rsidRPr="004F32F7">
        <w:rPr>
          <w:rFonts w:eastAsia="Calibri"/>
          <w:noProof/>
          <w:color w:val="4C4747"/>
          <w:lang w:val="es-DO"/>
        </w:rPr>
        <w:t xml:space="preserve"> 2025 se enmarcan en el cumplimiento de la Resolución Núm. 14-2013, que establece los Modelos de Estructura Organizativa para las Unidades Institucionales de Planificación y Desarrollo.</w:t>
      </w:r>
    </w:p>
    <w:p w14:paraId="6E3423AA" w14:textId="77777777" w:rsidR="004F32F7" w:rsidRPr="00F956F5" w:rsidRDefault="004F32F7" w:rsidP="00340DF1">
      <w:pPr>
        <w:spacing w:line="360" w:lineRule="auto"/>
        <w:jc w:val="both"/>
        <w:rPr>
          <w:rFonts w:eastAsia="Calibri"/>
          <w:noProof/>
          <w:color w:val="4C4747"/>
          <w:lang w:val="es-DO"/>
        </w:rPr>
      </w:pPr>
      <w:r w:rsidRPr="00F956F5">
        <w:rPr>
          <w:rFonts w:eastAsia="Calibri"/>
          <w:noProof/>
          <w:color w:val="4C4747"/>
          <w:lang w:val="es-DO"/>
        </w:rPr>
        <w:t>Desde una perspectiva de gestión de proyectos, la planificación ha incorporado mejores prácticas en dirección y control, asegurando que cada iniciativa se ejecute bajo criterios de eficiencia, trazabilidad y alineación con los objetivos estratégicos de la institución. Este enfoque ha permitido optimizar recursos, reducir riesgos y garantizar la coherencia entre los proyectos y la estrategia institucional.</w:t>
      </w:r>
    </w:p>
    <w:p w14:paraId="61491097" w14:textId="6CF37F58" w:rsidR="004F32F7" w:rsidRPr="00F956F5" w:rsidRDefault="004F32F7" w:rsidP="00340DF1">
      <w:pPr>
        <w:spacing w:line="360" w:lineRule="auto"/>
        <w:jc w:val="both"/>
        <w:rPr>
          <w:rFonts w:eastAsia="Calibri"/>
          <w:noProof/>
          <w:color w:val="4C4747"/>
          <w:lang w:val="es-DO"/>
        </w:rPr>
      </w:pPr>
      <w:r w:rsidRPr="00F956F5">
        <w:rPr>
          <w:rFonts w:eastAsia="Calibri"/>
          <w:noProof/>
          <w:color w:val="4C4747"/>
          <w:lang w:val="es-DO"/>
        </w:rPr>
        <w:t>Entre las acciones clave se destaca</w:t>
      </w:r>
      <w:r w:rsidR="00940016">
        <w:rPr>
          <w:rFonts w:eastAsia="Calibri"/>
          <w:noProof/>
          <w:color w:val="4C4747"/>
          <w:lang w:val="es-DO"/>
        </w:rPr>
        <w:t>n</w:t>
      </w:r>
      <w:r w:rsidRPr="00F956F5">
        <w:rPr>
          <w:rFonts w:eastAsia="Calibri"/>
          <w:noProof/>
          <w:color w:val="4C4747"/>
          <w:lang w:val="es-DO"/>
        </w:rPr>
        <w:t xml:space="preserve"> la formulación de perfiles de proyectos prioritarios, concebidos como instrumentos técnicos que facilitan la evaluación de viabilidad, el análisis de impacto y la definición de indicadores de desempeño. Estos perfiles constituyen la base para una gestión más estructurada, orientada a resultados y </w:t>
      </w:r>
      <w:r w:rsidRPr="00F956F5">
        <w:rPr>
          <w:rFonts w:eastAsia="Calibri"/>
          <w:noProof/>
          <w:color w:val="4C4747"/>
          <w:lang w:val="es-DO"/>
        </w:rPr>
        <w:lastRenderedPageBreak/>
        <w:t>con capacidad de adaptación frente a los cambios del entorno competitivo.</w:t>
      </w:r>
    </w:p>
    <w:p w14:paraId="5E012C86" w14:textId="4A851D9E" w:rsidR="0099104B" w:rsidRPr="00F956F5" w:rsidRDefault="0088570C" w:rsidP="00340DF1">
      <w:pPr>
        <w:spacing w:line="360" w:lineRule="auto"/>
        <w:jc w:val="both"/>
        <w:rPr>
          <w:rFonts w:eastAsia="Calibri"/>
          <w:noProof/>
          <w:color w:val="4C4747"/>
          <w:lang w:val="es-DO"/>
        </w:rPr>
      </w:pPr>
      <w:r w:rsidRPr="00F956F5">
        <w:rPr>
          <w:rFonts w:eastAsia="Calibri"/>
          <w:noProof/>
          <w:color w:val="4C4747"/>
          <w:lang w:val="es-DO"/>
        </w:rPr>
        <w:t>Actualmente, se encuentra en proceso el levantamiento de la información correspondiente al año 2026, aplicando la metodología diseñada para la alineación de instrumentos de planificación y gestión. Este esfuerzo asegura que los planes y recursos se articulen de manera coherente, fortaleciendo la capacidad institucional para alcanzar sus objetivos estratégicos con eficiencia y sostenibilidad.</w:t>
      </w:r>
    </w:p>
    <w:p w14:paraId="023D2AD8" w14:textId="4428296D" w:rsidR="00854BB5" w:rsidRDefault="004A77A9" w:rsidP="00340DF1">
      <w:pPr>
        <w:spacing w:line="360" w:lineRule="auto"/>
        <w:jc w:val="both"/>
        <w:rPr>
          <w:rFonts w:eastAsia="Calibri"/>
          <w:noProof/>
          <w:color w:val="4C4747"/>
          <w:lang w:val="es-DO"/>
        </w:rPr>
      </w:pPr>
      <w:r w:rsidRPr="004A77A9">
        <w:rPr>
          <w:rFonts w:eastAsia="Calibri"/>
          <w:noProof/>
          <w:color w:val="4C4747"/>
          <w:lang w:val="es-DO"/>
        </w:rPr>
        <w:t>Esta herramienta constituye un soporte estratégico en las etapas de formulación y evaluación, al permitir la adecuada alineación entre el Plan Operativo Anual (POA), el Plan Anual de Compras y Contrataciones (PACC) y el Presupuesto institucional.</w:t>
      </w:r>
    </w:p>
    <w:p w14:paraId="2FBB33F6" w14:textId="77777777" w:rsidR="006C3C12" w:rsidRPr="006C3C12" w:rsidRDefault="006C3C12" w:rsidP="00340DF1">
      <w:pPr>
        <w:spacing w:line="360" w:lineRule="auto"/>
        <w:jc w:val="both"/>
        <w:rPr>
          <w:rFonts w:eastAsia="Calibri"/>
          <w:noProof/>
          <w:color w:val="4C4747"/>
          <w:lang w:val="es-DO"/>
        </w:rPr>
      </w:pPr>
      <w:r w:rsidRPr="006C3C12">
        <w:rPr>
          <w:rFonts w:eastAsia="Calibri"/>
          <w:noProof/>
          <w:color w:val="4C4747"/>
          <w:lang w:val="es-DO"/>
        </w:rPr>
        <w:t>En el ámbito de la Planificación Estratégica, la institución se encuentra en el proceso de redacción del Plan Estratégico Institucional (PEI) 2025-2028, elaborado con la anuencia del Ministerio de Economía, Planificación y Desarrollo (MEPyD) y en estricto cumplimiento de los estándares establecidos para la formulación de los PEIs. Este ejercicio asegura la coherencia metodológica y la alineación con las directrices nacionales de planificación.</w:t>
      </w:r>
    </w:p>
    <w:p w14:paraId="3BC524BB" w14:textId="4A51C416" w:rsidR="006C3C12" w:rsidRPr="006C3C12" w:rsidRDefault="006C3C12" w:rsidP="00340DF1">
      <w:pPr>
        <w:spacing w:line="360" w:lineRule="auto"/>
        <w:jc w:val="both"/>
        <w:rPr>
          <w:rFonts w:eastAsia="Calibri"/>
          <w:noProof/>
          <w:color w:val="4C4747"/>
          <w:lang w:val="es-DO"/>
        </w:rPr>
      </w:pPr>
      <w:r w:rsidRPr="006C3C12">
        <w:rPr>
          <w:rFonts w:eastAsia="Calibri"/>
          <w:noProof/>
          <w:color w:val="4C4747"/>
          <w:lang w:val="es-DO"/>
        </w:rPr>
        <w:t>Durante este período se han producido tres informes de seguimiento y evaluación del POA, aplicando la metodología y herramienta automatizada desarrollada por el Departamento de Planificación. Dicho mecanismo ha permitido optimizar la gestión de datos, mejorar la trazabilidad de las actividades y elevar la eficiencia en la elaboración de reportes institucionales, consolidando así una práctica de planificación más ágil, transparente y orientada a resultados.</w:t>
      </w:r>
    </w:p>
    <w:p w14:paraId="00273269" w14:textId="74603093" w:rsidR="00065235" w:rsidRPr="000463E3" w:rsidRDefault="000463E3" w:rsidP="00340DF1">
      <w:pPr>
        <w:spacing w:line="360" w:lineRule="auto"/>
        <w:jc w:val="both"/>
        <w:rPr>
          <w:rFonts w:eastAsia="Calibri"/>
          <w:noProof/>
          <w:color w:val="4C4747"/>
          <w:lang w:val="es-DO"/>
        </w:rPr>
      </w:pPr>
      <w:r w:rsidRPr="000463E3">
        <w:rPr>
          <w:rFonts w:eastAsia="Calibri"/>
          <w:noProof/>
          <w:color w:val="4C4747"/>
          <w:lang w:val="es-DO"/>
        </w:rPr>
        <w:lastRenderedPageBreak/>
        <w:t>A continuación</w:t>
      </w:r>
      <w:r>
        <w:rPr>
          <w:rFonts w:eastAsia="Calibri"/>
          <w:noProof/>
          <w:color w:val="4C4747"/>
          <w:lang w:val="es-DO"/>
        </w:rPr>
        <w:t>,</w:t>
      </w:r>
      <w:r w:rsidRPr="000463E3">
        <w:rPr>
          <w:rFonts w:eastAsia="Calibri"/>
          <w:noProof/>
          <w:color w:val="4C4747"/>
          <w:lang w:val="es-DO"/>
        </w:rPr>
        <w:t xml:space="preserve"> se presenta el cuadro de efectividad institucional, correspondiente al cumplimiento de metas al trimestre de noviembre 2025. Este resumen refleja el nivel de ejecución alcanzado en relación con los objetivos establecidos para el período, permitiendo evaluar el desempeño de la planificación y la gestión institucional.</w:t>
      </w:r>
    </w:p>
    <w:p w14:paraId="7790BA9A" w14:textId="77777777" w:rsidR="000463E3" w:rsidRDefault="000463E3" w:rsidP="00340DF1">
      <w:pPr>
        <w:spacing w:line="360" w:lineRule="auto"/>
        <w:jc w:val="both"/>
        <w:rPr>
          <w:rFonts w:eastAsia="Calibri"/>
          <w:noProof/>
          <w:color w:val="4C4747"/>
          <w:lang w:val="es-DO"/>
        </w:rPr>
      </w:pPr>
      <w:r w:rsidRPr="000463E3">
        <w:rPr>
          <w:rFonts w:eastAsia="Calibri"/>
          <w:noProof/>
          <w:color w:val="4C4747"/>
          <w:lang w:val="es-DO"/>
        </w:rPr>
        <w:t>El análisis de efectividad constituye un insumo clave para la rendición de cuentas y la toma de decisiones estratégicas, ya que facilita la identificación de avances, brechas y oportunidades de mejora en la implementación de los proyectos y acciones priorizadas.</w:t>
      </w:r>
    </w:p>
    <w:p w14:paraId="00DBE073" w14:textId="77777777" w:rsidR="000313B7" w:rsidRPr="000463E3" w:rsidRDefault="000313B7" w:rsidP="00340DF1">
      <w:pPr>
        <w:spacing w:line="360" w:lineRule="auto"/>
        <w:jc w:val="both"/>
        <w:rPr>
          <w:rFonts w:eastAsia="Calibri"/>
          <w:noProof/>
          <w:color w:val="4C4747"/>
          <w:lang w:val="es-D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99"/>
        <w:gridCol w:w="2311"/>
      </w:tblGrid>
      <w:tr w:rsidR="005A0DD0" w:rsidRPr="002E6DBA" w14:paraId="69726146" w14:textId="77777777" w:rsidTr="005C6CEC">
        <w:trPr>
          <w:trHeight w:val="274"/>
          <w:jc w:val="center"/>
        </w:trPr>
        <w:tc>
          <w:tcPr>
            <w:tcW w:w="0" w:type="auto"/>
            <w:gridSpan w:val="2"/>
            <w:shd w:val="clear" w:color="auto" w:fill="002060"/>
            <w:noWrap/>
            <w:vAlign w:val="center"/>
          </w:tcPr>
          <w:p w14:paraId="52D250CB" w14:textId="2C32D7A9" w:rsidR="005A0DD0" w:rsidRPr="00851221" w:rsidRDefault="00A7057E" w:rsidP="00340DF1">
            <w:pPr>
              <w:spacing w:line="360" w:lineRule="auto"/>
              <w:jc w:val="center"/>
              <w:rPr>
                <w:rFonts w:eastAsia="Calibri"/>
                <w:noProof/>
                <w:color w:val="FFFFFF" w:themeColor="background1"/>
                <w:lang w:val="es-DO"/>
              </w:rPr>
            </w:pPr>
            <w:r>
              <w:rPr>
                <w:rFonts w:eastAsia="Calibri"/>
                <w:noProof/>
                <w:color w:val="FFFFFF" w:themeColor="background1"/>
                <w:lang w:val="es-DO"/>
              </w:rPr>
              <w:t xml:space="preserve">Tabla 11. </w:t>
            </w:r>
            <w:r w:rsidR="005A0DD0" w:rsidRPr="00851221">
              <w:rPr>
                <w:rFonts w:eastAsia="Calibri"/>
                <w:noProof/>
                <w:color w:val="FFFFFF" w:themeColor="background1"/>
                <w:lang w:val="es-DO"/>
              </w:rPr>
              <w:t>Cumplimiento POA 2025</w:t>
            </w:r>
          </w:p>
        </w:tc>
      </w:tr>
      <w:tr w:rsidR="005A0DD0" w:rsidRPr="002E6DBA" w14:paraId="4D68F729" w14:textId="77777777" w:rsidTr="005C6CEC">
        <w:trPr>
          <w:trHeight w:val="764"/>
          <w:jc w:val="center"/>
        </w:trPr>
        <w:tc>
          <w:tcPr>
            <w:tcW w:w="0" w:type="auto"/>
            <w:shd w:val="clear" w:color="auto" w:fill="002060"/>
            <w:noWrap/>
            <w:vAlign w:val="center"/>
            <w:hideMark/>
          </w:tcPr>
          <w:p w14:paraId="640A98FD" w14:textId="77777777" w:rsidR="005A0DD0" w:rsidRPr="00851221" w:rsidRDefault="005A0DD0" w:rsidP="00340DF1">
            <w:pPr>
              <w:spacing w:after="0" w:line="360" w:lineRule="auto"/>
              <w:jc w:val="center"/>
              <w:rPr>
                <w:rFonts w:eastAsia="Calibri"/>
                <w:noProof/>
                <w:color w:val="4C4747"/>
                <w:lang w:val="es-DO"/>
              </w:rPr>
            </w:pPr>
            <w:r w:rsidRPr="00851221">
              <w:rPr>
                <w:rFonts w:eastAsia="Calibri"/>
                <w:noProof/>
                <w:color w:val="FFFFFF" w:themeColor="background1"/>
                <w:lang w:val="es-DO"/>
              </w:rPr>
              <w:t>Dirección / Departamento</w:t>
            </w:r>
          </w:p>
        </w:tc>
        <w:tc>
          <w:tcPr>
            <w:tcW w:w="0" w:type="auto"/>
            <w:shd w:val="clear" w:color="auto" w:fill="002060"/>
            <w:vAlign w:val="center"/>
            <w:hideMark/>
          </w:tcPr>
          <w:p w14:paraId="059C0498" w14:textId="3C1CDD22" w:rsidR="005A0DD0" w:rsidRPr="00851221" w:rsidRDefault="005A0DD0" w:rsidP="00340DF1">
            <w:pPr>
              <w:spacing w:after="0" w:line="360" w:lineRule="auto"/>
              <w:jc w:val="center"/>
              <w:rPr>
                <w:rFonts w:eastAsia="Calibri"/>
                <w:noProof/>
                <w:color w:val="FFFFFF" w:themeColor="background1"/>
                <w:lang w:val="es-DO"/>
              </w:rPr>
            </w:pPr>
            <w:r w:rsidRPr="00851221">
              <w:rPr>
                <w:rFonts w:eastAsia="Calibri"/>
                <w:noProof/>
                <w:color w:val="FFFFFF" w:themeColor="background1"/>
                <w:lang w:val="es-DO"/>
              </w:rPr>
              <w:t xml:space="preserve">Efectividad a </w:t>
            </w:r>
            <w:r w:rsidR="00627D65" w:rsidRPr="00851221">
              <w:rPr>
                <w:rFonts w:eastAsia="Calibri"/>
                <w:noProof/>
                <w:color w:val="FFFFFF" w:themeColor="background1"/>
                <w:lang w:val="es-DO"/>
              </w:rPr>
              <w:t xml:space="preserve">31 de </w:t>
            </w:r>
            <w:r w:rsidR="00851221">
              <w:rPr>
                <w:rFonts w:eastAsia="Calibri"/>
                <w:noProof/>
                <w:color w:val="FFFFFF" w:themeColor="background1"/>
                <w:lang w:val="es-DO"/>
              </w:rPr>
              <w:t>diciembre</w:t>
            </w:r>
          </w:p>
        </w:tc>
      </w:tr>
      <w:tr w:rsidR="005A0DD0" w:rsidRPr="002E6DBA" w14:paraId="5D1A5BFD" w14:textId="77777777" w:rsidTr="00320F1A">
        <w:trPr>
          <w:trHeight w:val="497"/>
          <w:jc w:val="center"/>
        </w:trPr>
        <w:tc>
          <w:tcPr>
            <w:tcW w:w="0" w:type="auto"/>
            <w:vAlign w:val="center"/>
          </w:tcPr>
          <w:p w14:paraId="4EDEC5B9" w14:textId="77777777" w:rsidR="005A0DD0" w:rsidRPr="00851221" w:rsidRDefault="005A0DD0" w:rsidP="00340DF1">
            <w:pPr>
              <w:spacing w:after="0" w:line="360" w:lineRule="auto"/>
              <w:rPr>
                <w:rFonts w:eastAsia="Calibri"/>
                <w:noProof/>
                <w:color w:val="4C4747"/>
                <w:lang w:val="pt-BR"/>
              </w:rPr>
            </w:pPr>
            <w:r w:rsidRPr="00851221">
              <w:rPr>
                <w:rFonts w:eastAsia="Calibri"/>
                <w:noProof/>
                <w:color w:val="4C4747"/>
                <w:lang w:val="pt-BR"/>
              </w:rPr>
              <w:t>Consejo Directivo</w:t>
            </w:r>
          </w:p>
        </w:tc>
        <w:tc>
          <w:tcPr>
            <w:tcW w:w="0" w:type="auto"/>
            <w:shd w:val="clear" w:color="auto" w:fill="FFFFFF" w:themeFill="background1"/>
            <w:vAlign w:val="center"/>
          </w:tcPr>
          <w:p w14:paraId="53541E47" w14:textId="55D36629" w:rsidR="005A0DD0" w:rsidRPr="00851221" w:rsidRDefault="008B63C0" w:rsidP="00340DF1">
            <w:pPr>
              <w:spacing w:after="0" w:line="360" w:lineRule="auto"/>
              <w:jc w:val="center"/>
              <w:rPr>
                <w:rFonts w:eastAsia="Calibri"/>
                <w:noProof/>
                <w:color w:val="4C4747"/>
                <w:lang w:val="pt-BR"/>
              </w:rPr>
            </w:pPr>
            <w:r w:rsidRPr="00851221">
              <w:rPr>
                <w:rFonts w:eastAsia="Calibri"/>
                <w:noProof/>
                <w:color w:val="4C4747"/>
                <w:lang w:val="pt-BR"/>
              </w:rPr>
              <w:t>100</w:t>
            </w:r>
            <w:r w:rsidR="005A0DD0" w:rsidRPr="00851221">
              <w:rPr>
                <w:rFonts w:eastAsia="Calibri"/>
                <w:noProof/>
                <w:color w:val="4C4747"/>
                <w:lang w:val="pt-BR"/>
              </w:rPr>
              <w:t>%</w:t>
            </w:r>
          </w:p>
        </w:tc>
      </w:tr>
      <w:tr w:rsidR="005A0DD0" w:rsidRPr="002E6DBA" w14:paraId="2BA5C915" w14:textId="77777777" w:rsidTr="00320F1A">
        <w:trPr>
          <w:trHeight w:val="413"/>
          <w:jc w:val="center"/>
        </w:trPr>
        <w:tc>
          <w:tcPr>
            <w:tcW w:w="0" w:type="auto"/>
            <w:vAlign w:val="center"/>
          </w:tcPr>
          <w:p w14:paraId="5747DCB7" w14:textId="77777777" w:rsidR="005A0DD0" w:rsidRPr="00683DA8" w:rsidRDefault="005A0DD0" w:rsidP="00340DF1">
            <w:pPr>
              <w:spacing w:after="0" w:line="360" w:lineRule="auto"/>
              <w:rPr>
                <w:rFonts w:eastAsia="Calibri"/>
                <w:noProof/>
                <w:color w:val="4C4747"/>
                <w:lang w:val="pt-BR"/>
              </w:rPr>
            </w:pPr>
            <w:r w:rsidRPr="00683DA8">
              <w:rPr>
                <w:rFonts w:eastAsia="Calibri"/>
                <w:noProof/>
                <w:color w:val="4C4747"/>
                <w:lang w:val="pt-BR"/>
              </w:rPr>
              <w:t>Dirección Ejecutiva</w:t>
            </w:r>
          </w:p>
        </w:tc>
        <w:tc>
          <w:tcPr>
            <w:tcW w:w="0" w:type="auto"/>
            <w:shd w:val="clear" w:color="auto" w:fill="FFFFFF" w:themeFill="background1"/>
            <w:vAlign w:val="center"/>
          </w:tcPr>
          <w:p w14:paraId="7AEB3038" w14:textId="77777777" w:rsidR="005A0DD0" w:rsidRPr="00683DA8" w:rsidRDefault="005A0DD0" w:rsidP="00340DF1">
            <w:pPr>
              <w:spacing w:after="0" w:line="360" w:lineRule="auto"/>
              <w:jc w:val="center"/>
              <w:rPr>
                <w:rFonts w:eastAsia="Calibri"/>
                <w:noProof/>
                <w:color w:val="4C4747"/>
                <w:lang w:val="pt-BR"/>
              </w:rPr>
            </w:pPr>
            <w:r w:rsidRPr="00683DA8">
              <w:rPr>
                <w:rFonts w:eastAsia="Calibri"/>
                <w:noProof/>
                <w:color w:val="4C4747"/>
                <w:lang w:val="pt-BR"/>
              </w:rPr>
              <w:t>100%</w:t>
            </w:r>
          </w:p>
        </w:tc>
      </w:tr>
      <w:tr w:rsidR="005A0DD0" w:rsidRPr="002E6DBA" w14:paraId="61CCA717" w14:textId="77777777" w:rsidTr="00320F1A">
        <w:trPr>
          <w:trHeight w:val="405"/>
          <w:jc w:val="center"/>
        </w:trPr>
        <w:tc>
          <w:tcPr>
            <w:tcW w:w="0" w:type="auto"/>
            <w:vAlign w:val="center"/>
            <w:hideMark/>
          </w:tcPr>
          <w:p w14:paraId="12200479" w14:textId="77777777" w:rsidR="005A0DD0" w:rsidRPr="00F956F5" w:rsidRDefault="005A0DD0" w:rsidP="00340DF1">
            <w:pPr>
              <w:spacing w:after="0" w:line="360" w:lineRule="auto"/>
              <w:rPr>
                <w:rFonts w:eastAsia="Calibri"/>
                <w:noProof/>
                <w:color w:val="4C4747"/>
                <w:lang w:val="es-DO"/>
              </w:rPr>
            </w:pPr>
            <w:r w:rsidRPr="00F956F5">
              <w:rPr>
                <w:rFonts w:eastAsia="Calibri"/>
                <w:noProof/>
                <w:color w:val="4C4747"/>
                <w:lang w:val="es-DO"/>
              </w:rPr>
              <w:t>Promoción y Abogacía de la Competencia</w:t>
            </w:r>
          </w:p>
        </w:tc>
        <w:tc>
          <w:tcPr>
            <w:tcW w:w="0" w:type="auto"/>
            <w:shd w:val="clear" w:color="auto" w:fill="FFFFFF" w:themeFill="background1"/>
            <w:vAlign w:val="center"/>
            <w:hideMark/>
          </w:tcPr>
          <w:p w14:paraId="71584143" w14:textId="1C03D445" w:rsidR="005A0DD0" w:rsidRPr="00683DA8" w:rsidRDefault="00851221" w:rsidP="00340DF1">
            <w:pPr>
              <w:spacing w:after="0" w:line="360" w:lineRule="auto"/>
              <w:jc w:val="center"/>
              <w:rPr>
                <w:rFonts w:eastAsia="Calibri"/>
                <w:noProof/>
                <w:color w:val="4C4747"/>
                <w:lang w:val="pt-BR"/>
              </w:rPr>
            </w:pPr>
            <w:r>
              <w:rPr>
                <w:rFonts w:eastAsia="Calibri"/>
                <w:noProof/>
                <w:color w:val="4C4747"/>
                <w:lang w:val="pt-BR"/>
              </w:rPr>
              <w:t>100</w:t>
            </w:r>
            <w:r w:rsidR="005A0DD0" w:rsidRPr="00683DA8">
              <w:rPr>
                <w:rFonts w:eastAsia="Calibri"/>
                <w:noProof/>
                <w:color w:val="4C4747"/>
                <w:lang w:val="pt-BR"/>
              </w:rPr>
              <w:t>%</w:t>
            </w:r>
          </w:p>
        </w:tc>
      </w:tr>
      <w:tr w:rsidR="005A0DD0" w:rsidRPr="002E6DBA" w14:paraId="181EA1FF" w14:textId="77777777" w:rsidTr="00320F1A">
        <w:trPr>
          <w:trHeight w:val="399"/>
          <w:jc w:val="center"/>
        </w:trPr>
        <w:tc>
          <w:tcPr>
            <w:tcW w:w="0" w:type="auto"/>
            <w:vAlign w:val="center"/>
            <w:hideMark/>
          </w:tcPr>
          <w:p w14:paraId="03331206" w14:textId="77777777" w:rsidR="005A0DD0" w:rsidRPr="00F956F5" w:rsidRDefault="005A0DD0" w:rsidP="00340DF1">
            <w:pPr>
              <w:spacing w:after="0" w:line="360" w:lineRule="auto"/>
              <w:rPr>
                <w:rFonts w:eastAsia="Calibri"/>
                <w:noProof/>
                <w:color w:val="4C4747"/>
                <w:lang w:val="es-DO"/>
              </w:rPr>
            </w:pPr>
            <w:r w:rsidRPr="00F956F5">
              <w:rPr>
                <w:rFonts w:eastAsia="Calibri"/>
                <w:noProof/>
                <w:color w:val="4C4747"/>
                <w:lang w:val="es-DO"/>
              </w:rPr>
              <w:t>Estudios Económicos y de Mercados (DEEM)</w:t>
            </w:r>
          </w:p>
        </w:tc>
        <w:tc>
          <w:tcPr>
            <w:tcW w:w="0" w:type="auto"/>
            <w:shd w:val="clear" w:color="auto" w:fill="FFFFFF" w:themeFill="background1"/>
            <w:noWrap/>
            <w:vAlign w:val="center"/>
            <w:hideMark/>
          </w:tcPr>
          <w:p w14:paraId="59471C89" w14:textId="11646350" w:rsidR="005A0DD0" w:rsidRPr="00683DA8" w:rsidRDefault="00851221" w:rsidP="00340DF1">
            <w:pPr>
              <w:spacing w:after="0" w:line="360" w:lineRule="auto"/>
              <w:jc w:val="center"/>
              <w:rPr>
                <w:rFonts w:eastAsia="Calibri"/>
                <w:noProof/>
                <w:color w:val="4C4747"/>
                <w:lang w:val="pt-BR"/>
              </w:rPr>
            </w:pPr>
            <w:r>
              <w:rPr>
                <w:rFonts w:eastAsia="Calibri"/>
                <w:noProof/>
                <w:color w:val="4C4747"/>
                <w:lang w:val="pt-BR"/>
              </w:rPr>
              <w:t>100</w:t>
            </w:r>
            <w:r w:rsidR="005A0DD0" w:rsidRPr="00683DA8">
              <w:rPr>
                <w:rFonts w:eastAsia="Calibri"/>
                <w:noProof/>
                <w:color w:val="4C4747"/>
                <w:lang w:val="pt-BR"/>
              </w:rPr>
              <w:t>%</w:t>
            </w:r>
          </w:p>
        </w:tc>
      </w:tr>
      <w:tr w:rsidR="005A0DD0" w:rsidRPr="002E6DBA" w14:paraId="7482133B" w14:textId="77777777" w:rsidTr="00320F1A">
        <w:trPr>
          <w:trHeight w:val="459"/>
          <w:jc w:val="center"/>
        </w:trPr>
        <w:tc>
          <w:tcPr>
            <w:tcW w:w="0" w:type="auto"/>
            <w:vAlign w:val="center"/>
            <w:hideMark/>
          </w:tcPr>
          <w:p w14:paraId="6A395F2B" w14:textId="77777777" w:rsidR="005A0DD0" w:rsidRPr="00683DA8" w:rsidRDefault="005A0DD0" w:rsidP="00340DF1">
            <w:pPr>
              <w:spacing w:after="0" w:line="360" w:lineRule="auto"/>
              <w:rPr>
                <w:rFonts w:eastAsia="Calibri"/>
                <w:noProof/>
                <w:color w:val="4C4747"/>
                <w:lang w:val="pt-BR"/>
              </w:rPr>
            </w:pPr>
            <w:r w:rsidRPr="00683DA8">
              <w:rPr>
                <w:rFonts w:eastAsia="Calibri"/>
                <w:noProof/>
                <w:color w:val="4C4747"/>
                <w:lang w:val="pt-BR"/>
              </w:rPr>
              <w:t xml:space="preserve">Planificación y Desarrollo </w:t>
            </w:r>
          </w:p>
        </w:tc>
        <w:tc>
          <w:tcPr>
            <w:tcW w:w="0" w:type="auto"/>
            <w:shd w:val="clear" w:color="auto" w:fill="FFFFFF" w:themeFill="background1"/>
            <w:noWrap/>
            <w:vAlign w:val="center"/>
            <w:hideMark/>
          </w:tcPr>
          <w:p w14:paraId="3604E2EB" w14:textId="3CD8C2C5" w:rsidR="005A0DD0" w:rsidRPr="00683DA8" w:rsidRDefault="00851221" w:rsidP="00340DF1">
            <w:pPr>
              <w:spacing w:after="0" w:line="360" w:lineRule="auto"/>
              <w:jc w:val="center"/>
              <w:rPr>
                <w:rFonts w:eastAsia="Calibri"/>
                <w:noProof/>
                <w:color w:val="4C4747"/>
                <w:lang w:val="pt-BR"/>
              </w:rPr>
            </w:pPr>
            <w:r>
              <w:rPr>
                <w:rFonts w:eastAsia="Calibri"/>
                <w:noProof/>
                <w:color w:val="4C4747"/>
                <w:lang w:val="pt-BR"/>
              </w:rPr>
              <w:t>100</w:t>
            </w:r>
            <w:r w:rsidR="005A0DD0" w:rsidRPr="00683DA8">
              <w:rPr>
                <w:rFonts w:eastAsia="Calibri"/>
                <w:noProof/>
                <w:color w:val="4C4747"/>
                <w:lang w:val="pt-BR"/>
              </w:rPr>
              <w:t>%</w:t>
            </w:r>
          </w:p>
        </w:tc>
      </w:tr>
      <w:tr w:rsidR="005A0DD0" w:rsidRPr="002E6DBA" w14:paraId="549DC283" w14:textId="77777777" w:rsidTr="00320F1A">
        <w:trPr>
          <w:trHeight w:val="395"/>
          <w:jc w:val="center"/>
        </w:trPr>
        <w:tc>
          <w:tcPr>
            <w:tcW w:w="0" w:type="auto"/>
            <w:noWrap/>
            <w:vAlign w:val="center"/>
            <w:hideMark/>
          </w:tcPr>
          <w:p w14:paraId="3D28B1AC" w14:textId="77777777" w:rsidR="005A0DD0" w:rsidRPr="00683DA8" w:rsidRDefault="005A0DD0" w:rsidP="00340DF1">
            <w:pPr>
              <w:spacing w:after="0" w:line="360" w:lineRule="auto"/>
              <w:rPr>
                <w:rFonts w:eastAsia="Calibri"/>
                <w:noProof/>
                <w:color w:val="4C4747"/>
                <w:lang w:val="pt-BR"/>
              </w:rPr>
            </w:pPr>
            <w:r w:rsidRPr="00683DA8">
              <w:rPr>
                <w:rFonts w:eastAsia="Calibri"/>
                <w:noProof/>
                <w:color w:val="4C4747"/>
                <w:lang w:val="pt-BR"/>
              </w:rPr>
              <w:t>Jurídico</w:t>
            </w:r>
          </w:p>
        </w:tc>
        <w:tc>
          <w:tcPr>
            <w:tcW w:w="0" w:type="auto"/>
            <w:shd w:val="clear" w:color="auto" w:fill="FFFFFF" w:themeFill="background1"/>
            <w:noWrap/>
            <w:vAlign w:val="center"/>
            <w:hideMark/>
          </w:tcPr>
          <w:p w14:paraId="5D34FB69" w14:textId="77777777" w:rsidR="005A0DD0" w:rsidRPr="00683DA8" w:rsidRDefault="005A0DD0" w:rsidP="00340DF1">
            <w:pPr>
              <w:spacing w:after="0" w:line="360" w:lineRule="auto"/>
              <w:jc w:val="center"/>
              <w:rPr>
                <w:rFonts w:eastAsia="Calibri"/>
                <w:noProof/>
                <w:color w:val="4C4747"/>
                <w:lang w:val="pt-BR"/>
              </w:rPr>
            </w:pPr>
            <w:r w:rsidRPr="00683DA8">
              <w:rPr>
                <w:rFonts w:eastAsia="Calibri"/>
                <w:noProof/>
                <w:color w:val="4C4747"/>
                <w:lang w:val="pt-BR"/>
              </w:rPr>
              <w:t>100%</w:t>
            </w:r>
          </w:p>
        </w:tc>
      </w:tr>
      <w:tr w:rsidR="005A0DD0" w:rsidRPr="002E6DBA" w14:paraId="7E049DD4" w14:textId="77777777" w:rsidTr="00320F1A">
        <w:trPr>
          <w:trHeight w:val="540"/>
          <w:jc w:val="center"/>
        </w:trPr>
        <w:tc>
          <w:tcPr>
            <w:tcW w:w="0" w:type="auto"/>
            <w:noWrap/>
            <w:vAlign w:val="center"/>
            <w:hideMark/>
          </w:tcPr>
          <w:p w14:paraId="433BED7D" w14:textId="77777777" w:rsidR="005A0DD0" w:rsidRPr="00F956F5" w:rsidRDefault="005A0DD0" w:rsidP="00340DF1">
            <w:pPr>
              <w:spacing w:after="0" w:line="360" w:lineRule="auto"/>
              <w:rPr>
                <w:rFonts w:eastAsia="Calibri"/>
                <w:noProof/>
                <w:color w:val="4C4747"/>
                <w:lang w:val="es-DO"/>
              </w:rPr>
            </w:pPr>
            <w:r w:rsidRPr="00F956F5">
              <w:rPr>
                <w:rFonts w:eastAsia="Calibri"/>
                <w:noProof/>
                <w:color w:val="4C4747"/>
                <w:lang w:val="es-DO"/>
              </w:rPr>
              <w:t>Oficina de Acceso a la Información Pública</w:t>
            </w:r>
          </w:p>
        </w:tc>
        <w:tc>
          <w:tcPr>
            <w:tcW w:w="0" w:type="auto"/>
            <w:shd w:val="clear" w:color="auto" w:fill="FFFFFF" w:themeFill="background1"/>
            <w:noWrap/>
            <w:vAlign w:val="center"/>
            <w:hideMark/>
          </w:tcPr>
          <w:p w14:paraId="6D129C57" w14:textId="77777777" w:rsidR="005A0DD0" w:rsidRPr="00683DA8" w:rsidRDefault="005A0DD0" w:rsidP="00340DF1">
            <w:pPr>
              <w:spacing w:after="0" w:line="360" w:lineRule="auto"/>
              <w:jc w:val="center"/>
              <w:rPr>
                <w:rFonts w:eastAsia="Calibri"/>
                <w:noProof/>
                <w:color w:val="4C4747"/>
                <w:lang w:val="pt-BR"/>
              </w:rPr>
            </w:pPr>
            <w:r w:rsidRPr="00683DA8">
              <w:rPr>
                <w:rFonts w:eastAsia="Calibri"/>
                <w:noProof/>
                <w:color w:val="4C4747"/>
                <w:lang w:val="pt-BR"/>
              </w:rPr>
              <w:t>100%</w:t>
            </w:r>
          </w:p>
        </w:tc>
      </w:tr>
      <w:tr w:rsidR="005A0DD0" w:rsidRPr="002E6DBA" w14:paraId="56D08985" w14:textId="77777777" w:rsidTr="00320F1A">
        <w:trPr>
          <w:trHeight w:val="534"/>
          <w:jc w:val="center"/>
        </w:trPr>
        <w:tc>
          <w:tcPr>
            <w:tcW w:w="0" w:type="auto"/>
            <w:noWrap/>
            <w:vAlign w:val="center"/>
            <w:hideMark/>
          </w:tcPr>
          <w:p w14:paraId="1227C155" w14:textId="77777777" w:rsidR="005A0DD0" w:rsidRPr="00683DA8" w:rsidRDefault="005A0DD0" w:rsidP="00340DF1">
            <w:pPr>
              <w:spacing w:after="0" w:line="360" w:lineRule="auto"/>
              <w:rPr>
                <w:rFonts w:eastAsia="Calibri"/>
                <w:noProof/>
                <w:color w:val="4C4747"/>
                <w:lang w:val="pt-BR"/>
              </w:rPr>
            </w:pPr>
            <w:r w:rsidRPr="00683DA8">
              <w:rPr>
                <w:rFonts w:eastAsia="Calibri"/>
                <w:noProof/>
                <w:color w:val="4C4747"/>
                <w:lang w:val="pt-BR"/>
              </w:rPr>
              <w:t>Recursos Humanos</w:t>
            </w:r>
          </w:p>
        </w:tc>
        <w:tc>
          <w:tcPr>
            <w:tcW w:w="0" w:type="auto"/>
            <w:shd w:val="clear" w:color="auto" w:fill="FFFFFF" w:themeFill="background1"/>
            <w:noWrap/>
            <w:vAlign w:val="center"/>
            <w:hideMark/>
          </w:tcPr>
          <w:p w14:paraId="1A30A256" w14:textId="2A0C52F7" w:rsidR="005A0DD0" w:rsidRPr="00683DA8" w:rsidRDefault="00851221" w:rsidP="00340DF1">
            <w:pPr>
              <w:spacing w:after="0" w:line="360" w:lineRule="auto"/>
              <w:jc w:val="center"/>
              <w:rPr>
                <w:rFonts w:eastAsia="Calibri"/>
                <w:noProof/>
                <w:color w:val="4C4747"/>
                <w:lang w:val="pt-BR"/>
              </w:rPr>
            </w:pPr>
            <w:r>
              <w:rPr>
                <w:rFonts w:eastAsia="Calibri"/>
                <w:noProof/>
                <w:color w:val="4C4747"/>
                <w:lang w:val="pt-BR"/>
              </w:rPr>
              <w:t>100</w:t>
            </w:r>
            <w:r w:rsidR="005A0DD0" w:rsidRPr="00683DA8">
              <w:rPr>
                <w:rFonts w:eastAsia="Calibri"/>
                <w:noProof/>
                <w:color w:val="4C4747"/>
                <w:lang w:val="pt-BR"/>
              </w:rPr>
              <w:t>%</w:t>
            </w:r>
          </w:p>
        </w:tc>
      </w:tr>
      <w:tr w:rsidR="005A0DD0" w:rsidRPr="002E6DBA" w14:paraId="2BA2E250" w14:textId="77777777" w:rsidTr="00320F1A">
        <w:trPr>
          <w:trHeight w:val="474"/>
          <w:jc w:val="center"/>
        </w:trPr>
        <w:tc>
          <w:tcPr>
            <w:tcW w:w="0" w:type="auto"/>
            <w:noWrap/>
            <w:vAlign w:val="center"/>
            <w:hideMark/>
          </w:tcPr>
          <w:p w14:paraId="193889B6" w14:textId="77777777" w:rsidR="005A0DD0" w:rsidRPr="00683DA8" w:rsidRDefault="005A0DD0" w:rsidP="00340DF1">
            <w:pPr>
              <w:spacing w:after="0" w:line="360" w:lineRule="auto"/>
              <w:rPr>
                <w:rFonts w:eastAsia="Calibri"/>
                <w:noProof/>
                <w:color w:val="4C4747"/>
                <w:lang w:val="pt-BR"/>
              </w:rPr>
            </w:pPr>
            <w:r w:rsidRPr="00683DA8">
              <w:rPr>
                <w:rFonts w:eastAsia="Calibri"/>
                <w:noProof/>
                <w:color w:val="4C4747"/>
                <w:lang w:val="pt-BR"/>
              </w:rPr>
              <w:t>Administrativo y Financiero</w:t>
            </w:r>
          </w:p>
        </w:tc>
        <w:tc>
          <w:tcPr>
            <w:tcW w:w="0" w:type="auto"/>
            <w:shd w:val="clear" w:color="auto" w:fill="FFFFFF" w:themeFill="background1"/>
            <w:noWrap/>
            <w:vAlign w:val="center"/>
            <w:hideMark/>
          </w:tcPr>
          <w:p w14:paraId="2907CF27" w14:textId="560105FF" w:rsidR="005A0DD0" w:rsidRPr="00683DA8" w:rsidRDefault="00627D65" w:rsidP="00340DF1">
            <w:pPr>
              <w:spacing w:after="0" w:line="360" w:lineRule="auto"/>
              <w:jc w:val="center"/>
              <w:rPr>
                <w:rFonts w:eastAsia="Calibri"/>
                <w:noProof/>
                <w:color w:val="4C4747"/>
                <w:lang w:val="pt-BR"/>
              </w:rPr>
            </w:pPr>
            <w:r w:rsidRPr="00683DA8">
              <w:rPr>
                <w:rFonts w:eastAsia="Calibri"/>
                <w:noProof/>
                <w:color w:val="4C4747"/>
                <w:lang w:val="pt-BR"/>
              </w:rPr>
              <w:t>100</w:t>
            </w:r>
            <w:r w:rsidR="005A0DD0" w:rsidRPr="00683DA8">
              <w:rPr>
                <w:rFonts w:eastAsia="Calibri"/>
                <w:noProof/>
                <w:color w:val="4C4747"/>
                <w:lang w:val="pt-BR"/>
              </w:rPr>
              <w:t>%</w:t>
            </w:r>
          </w:p>
        </w:tc>
      </w:tr>
      <w:tr w:rsidR="005A0DD0" w:rsidRPr="002E6DBA" w14:paraId="552FFD57" w14:textId="77777777" w:rsidTr="00320F1A">
        <w:trPr>
          <w:trHeight w:val="478"/>
          <w:jc w:val="center"/>
        </w:trPr>
        <w:tc>
          <w:tcPr>
            <w:tcW w:w="0" w:type="auto"/>
            <w:noWrap/>
            <w:vAlign w:val="center"/>
            <w:hideMark/>
          </w:tcPr>
          <w:p w14:paraId="22D0D40E" w14:textId="77777777" w:rsidR="005A0DD0" w:rsidRPr="00F956F5" w:rsidRDefault="005A0DD0" w:rsidP="00340DF1">
            <w:pPr>
              <w:spacing w:after="0" w:line="360" w:lineRule="auto"/>
              <w:rPr>
                <w:rFonts w:eastAsia="Calibri"/>
                <w:noProof/>
                <w:color w:val="4C4747"/>
                <w:lang w:val="es-DO"/>
              </w:rPr>
            </w:pPr>
            <w:r w:rsidRPr="00F956F5">
              <w:rPr>
                <w:rFonts w:eastAsia="Calibri"/>
                <w:noProof/>
                <w:color w:val="4C4747"/>
                <w:lang w:val="es-DO"/>
              </w:rPr>
              <w:t>Tecnologías de la Información y Comunicación</w:t>
            </w:r>
          </w:p>
        </w:tc>
        <w:tc>
          <w:tcPr>
            <w:tcW w:w="0" w:type="auto"/>
            <w:shd w:val="clear" w:color="auto" w:fill="FFFFFF" w:themeFill="background1"/>
            <w:noWrap/>
            <w:vAlign w:val="center"/>
            <w:hideMark/>
          </w:tcPr>
          <w:p w14:paraId="4063F161" w14:textId="31EAF692" w:rsidR="005A0DD0" w:rsidRPr="00683DA8" w:rsidRDefault="00851221" w:rsidP="00340DF1">
            <w:pPr>
              <w:spacing w:after="0" w:line="360" w:lineRule="auto"/>
              <w:jc w:val="center"/>
              <w:rPr>
                <w:rFonts w:eastAsia="Calibri"/>
                <w:noProof/>
                <w:color w:val="4C4747"/>
                <w:lang w:val="pt-BR"/>
              </w:rPr>
            </w:pPr>
            <w:r>
              <w:rPr>
                <w:rFonts w:eastAsia="Calibri"/>
                <w:noProof/>
                <w:color w:val="4C4747"/>
                <w:lang w:val="pt-BR"/>
              </w:rPr>
              <w:t>100</w:t>
            </w:r>
            <w:r w:rsidR="005A0DD0" w:rsidRPr="00683DA8">
              <w:rPr>
                <w:rFonts w:eastAsia="Calibri"/>
                <w:noProof/>
                <w:color w:val="4C4747"/>
                <w:lang w:val="pt-BR"/>
              </w:rPr>
              <w:t>%</w:t>
            </w:r>
          </w:p>
        </w:tc>
      </w:tr>
      <w:tr w:rsidR="005A0DD0" w:rsidRPr="002E6DBA" w14:paraId="0BEBFFE2" w14:textId="77777777" w:rsidTr="00320F1A">
        <w:trPr>
          <w:trHeight w:val="609"/>
          <w:jc w:val="center"/>
        </w:trPr>
        <w:tc>
          <w:tcPr>
            <w:tcW w:w="0" w:type="auto"/>
            <w:tcBorders>
              <w:bottom w:val="single" w:sz="4" w:space="0" w:color="auto"/>
            </w:tcBorders>
            <w:noWrap/>
            <w:vAlign w:val="center"/>
            <w:hideMark/>
          </w:tcPr>
          <w:p w14:paraId="2D16CA0C" w14:textId="77777777" w:rsidR="005A0DD0" w:rsidRPr="00683DA8" w:rsidRDefault="005A0DD0" w:rsidP="00340DF1">
            <w:pPr>
              <w:spacing w:after="0" w:line="360" w:lineRule="auto"/>
              <w:rPr>
                <w:rFonts w:eastAsia="Calibri"/>
                <w:noProof/>
                <w:color w:val="4C4747"/>
                <w:lang w:val="pt-BR"/>
              </w:rPr>
            </w:pPr>
            <w:r w:rsidRPr="00683DA8">
              <w:rPr>
                <w:rFonts w:eastAsia="Calibri"/>
                <w:noProof/>
                <w:color w:val="4C4747"/>
                <w:lang w:val="pt-BR"/>
              </w:rPr>
              <w:t>Comunicaciones</w:t>
            </w:r>
          </w:p>
        </w:tc>
        <w:tc>
          <w:tcPr>
            <w:tcW w:w="0" w:type="auto"/>
            <w:tcBorders>
              <w:bottom w:val="single" w:sz="4" w:space="0" w:color="auto"/>
            </w:tcBorders>
            <w:shd w:val="clear" w:color="auto" w:fill="FFFFFF" w:themeFill="background1"/>
            <w:noWrap/>
            <w:vAlign w:val="center"/>
            <w:hideMark/>
          </w:tcPr>
          <w:p w14:paraId="5E520739" w14:textId="08B066E0" w:rsidR="005A0DD0" w:rsidRPr="00683DA8" w:rsidRDefault="00851221" w:rsidP="00340DF1">
            <w:pPr>
              <w:spacing w:after="0" w:line="360" w:lineRule="auto"/>
              <w:jc w:val="center"/>
              <w:rPr>
                <w:rFonts w:eastAsia="Calibri"/>
                <w:noProof/>
                <w:color w:val="4C4747"/>
                <w:lang w:val="pt-BR"/>
              </w:rPr>
            </w:pPr>
            <w:r>
              <w:rPr>
                <w:rFonts w:eastAsia="Calibri"/>
                <w:noProof/>
                <w:color w:val="4C4747"/>
                <w:lang w:val="pt-BR"/>
              </w:rPr>
              <w:t>100</w:t>
            </w:r>
            <w:r w:rsidR="005A0DD0" w:rsidRPr="00683DA8">
              <w:rPr>
                <w:rFonts w:eastAsia="Calibri"/>
                <w:noProof/>
                <w:color w:val="4C4747"/>
                <w:lang w:val="pt-BR"/>
              </w:rPr>
              <w:t>%</w:t>
            </w:r>
          </w:p>
        </w:tc>
      </w:tr>
      <w:tr w:rsidR="005A0DD0" w:rsidRPr="002E6DBA" w14:paraId="344E959D" w14:textId="77777777" w:rsidTr="00320F1A">
        <w:trPr>
          <w:trHeight w:val="609"/>
          <w:jc w:val="center"/>
        </w:trPr>
        <w:tc>
          <w:tcPr>
            <w:tcW w:w="0" w:type="auto"/>
            <w:tcBorders>
              <w:bottom w:val="single" w:sz="4" w:space="0" w:color="auto"/>
            </w:tcBorders>
            <w:noWrap/>
            <w:vAlign w:val="center"/>
          </w:tcPr>
          <w:p w14:paraId="77C44356" w14:textId="77777777" w:rsidR="005A0DD0" w:rsidRPr="00683DA8" w:rsidRDefault="005A0DD0" w:rsidP="00340DF1">
            <w:pPr>
              <w:spacing w:after="0" w:line="360" w:lineRule="auto"/>
              <w:rPr>
                <w:rFonts w:eastAsia="Calibri"/>
                <w:noProof/>
                <w:color w:val="4C4747"/>
                <w:lang w:val="pt-BR"/>
              </w:rPr>
            </w:pPr>
            <w:r w:rsidRPr="00683DA8">
              <w:rPr>
                <w:rFonts w:eastAsia="Calibri"/>
                <w:noProof/>
                <w:color w:val="4C4747"/>
                <w:lang w:val="pt-BR"/>
              </w:rPr>
              <w:t xml:space="preserve">Relaciones Interinstitucionales </w:t>
            </w:r>
          </w:p>
        </w:tc>
        <w:tc>
          <w:tcPr>
            <w:tcW w:w="0" w:type="auto"/>
            <w:tcBorders>
              <w:bottom w:val="single" w:sz="4" w:space="0" w:color="auto"/>
            </w:tcBorders>
            <w:shd w:val="clear" w:color="auto" w:fill="FFFFFF" w:themeFill="background1"/>
            <w:noWrap/>
            <w:vAlign w:val="center"/>
          </w:tcPr>
          <w:p w14:paraId="3F5829F6" w14:textId="3D8B2145" w:rsidR="005A0DD0" w:rsidRPr="00683DA8" w:rsidRDefault="00851221" w:rsidP="00340DF1">
            <w:pPr>
              <w:spacing w:after="0" w:line="360" w:lineRule="auto"/>
              <w:jc w:val="center"/>
              <w:rPr>
                <w:rFonts w:eastAsia="Calibri"/>
                <w:noProof/>
                <w:color w:val="4C4747"/>
                <w:lang w:val="pt-BR"/>
              </w:rPr>
            </w:pPr>
            <w:r>
              <w:rPr>
                <w:rFonts w:eastAsia="Calibri"/>
                <w:noProof/>
                <w:color w:val="4C4747"/>
                <w:lang w:val="pt-BR"/>
              </w:rPr>
              <w:t>100</w:t>
            </w:r>
            <w:r w:rsidR="005A0DD0" w:rsidRPr="00683DA8">
              <w:rPr>
                <w:rFonts w:eastAsia="Calibri"/>
                <w:noProof/>
                <w:color w:val="4C4747"/>
                <w:lang w:val="pt-BR"/>
              </w:rPr>
              <w:t>%</w:t>
            </w:r>
          </w:p>
        </w:tc>
      </w:tr>
      <w:tr w:rsidR="005A0DD0" w:rsidRPr="00116DFC" w14:paraId="1D36ED1C" w14:textId="77777777" w:rsidTr="00320F1A">
        <w:trPr>
          <w:trHeight w:val="609"/>
          <w:jc w:val="center"/>
        </w:trPr>
        <w:tc>
          <w:tcPr>
            <w:tcW w:w="0" w:type="auto"/>
            <w:gridSpan w:val="2"/>
            <w:tcBorders>
              <w:top w:val="single" w:sz="4" w:space="0" w:color="auto"/>
              <w:left w:val="nil"/>
              <w:bottom w:val="nil"/>
              <w:right w:val="nil"/>
            </w:tcBorders>
            <w:noWrap/>
            <w:vAlign w:val="center"/>
          </w:tcPr>
          <w:p w14:paraId="7C653B41" w14:textId="7FBF13D0" w:rsidR="00AF5A18" w:rsidRPr="005C6CEC" w:rsidRDefault="005A0DD0" w:rsidP="00340DF1">
            <w:pPr>
              <w:spacing w:after="0" w:line="360" w:lineRule="auto"/>
              <w:rPr>
                <w:rFonts w:eastAsia="Calibri"/>
                <w:i/>
                <w:iCs/>
                <w:noProof/>
                <w:color w:val="4C4747"/>
                <w:sz w:val="18"/>
                <w:szCs w:val="18"/>
                <w:lang w:val="es-DO"/>
              </w:rPr>
            </w:pPr>
            <w:r w:rsidRPr="005C6CEC">
              <w:rPr>
                <w:rFonts w:eastAsia="Calibri"/>
                <w:i/>
                <w:iCs/>
                <w:noProof/>
                <w:color w:val="4C4747"/>
                <w:sz w:val="18"/>
                <w:szCs w:val="18"/>
                <w:lang w:val="es-DO"/>
              </w:rPr>
              <w:t xml:space="preserve">Fuente: Informe de seguimiento y evaluación </w:t>
            </w:r>
            <w:r w:rsidR="00851221" w:rsidRPr="005C6CEC">
              <w:rPr>
                <w:rFonts w:eastAsia="Calibri"/>
                <w:i/>
                <w:iCs/>
                <w:noProof/>
                <w:color w:val="4C4747"/>
                <w:sz w:val="18"/>
                <w:szCs w:val="18"/>
                <w:lang w:val="es-DO"/>
              </w:rPr>
              <w:t>4</w:t>
            </w:r>
            <w:r w:rsidR="008B63C0" w:rsidRPr="005C6CEC">
              <w:rPr>
                <w:rFonts w:eastAsia="Calibri"/>
                <w:i/>
                <w:iCs/>
                <w:noProof/>
                <w:color w:val="4C4747"/>
                <w:sz w:val="18"/>
                <w:szCs w:val="18"/>
                <w:lang w:val="es-DO"/>
              </w:rPr>
              <w:t>T</w:t>
            </w:r>
            <w:r w:rsidR="00AF5A18" w:rsidRPr="005C6CEC">
              <w:rPr>
                <w:rFonts w:eastAsia="Calibri"/>
                <w:i/>
                <w:iCs/>
                <w:noProof/>
                <w:color w:val="4C4747"/>
                <w:sz w:val="18"/>
                <w:szCs w:val="18"/>
                <w:lang w:val="es-DO"/>
              </w:rPr>
              <w:t xml:space="preserve"> </w:t>
            </w:r>
            <w:r w:rsidRPr="005C6CEC">
              <w:rPr>
                <w:rFonts w:eastAsia="Calibri"/>
                <w:i/>
                <w:iCs/>
                <w:noProof/>
                <w:color w:val="4C4747"/>
                <w:sz w:val="18"/>
                <w:szCs w:val="18"/>
                <w:lang w:val="es-DO"/>
              </w:rPr>
              <w:t>POA 202</w:t>
            </w:r>
            <w:r w:rsidR="00AF5A18" w:rsidRPr="005C6CEC">
              <w:rPr>
                <w:rFonts w:eastAsia="Calibri"/>
                <w:i/>
                <w:iCs/>
                <w:noProof/>
                <w:color w:val="4C4747"/>
                <w:sz w:val="18"/>
                <w:szCs w:val="18"/>
                <w:lang w:val="es-DO"/>
              </w:rPr>
              <w:t>5.</w:t>
            </w:r>
            <w:r w:rsidRPr="005C6CEC">
              <w:rPr>
                <w:rFonts w:eastAsia="Calibri"/>
                <w:i/>
                <w:iCs/>
                <w:noProof/>
                <w:color w:val="4C4747"/>
                <w:sz w:val="18"/>
                <w:szCs w:val="18"/>
                <w:lang w:val="es-DO"/>
              </w:rPr>
              <w:t xml:space="preserve"> </w:t>
            </w:r>
            <w:r w:rsidR="00AF5A18" w:rsidRPr="005C6CEC">
              <w:rPr>
                <w:rFonts w:eastAsia="Calibri"/>
                <w:i/>
                <w:iCs/>
                <w:noProof/>
                <w:color w:val="4C4747"/>
                <w:sz w:val="18"/>
                <w:szCs w:val="18"/>
                <w:lang w:val="es-DO"/>
              </w:rPr>
              <w:t xml:space="preserve">   </w:t>
            </w:r>
          </w:p>
          <w:p w14:paraId="45CE7A4E" w14:textId="331AAAD3" w:rsidR="005A0DD0" w:rsidRPr="005C6CEC" w:rsidRDefault="00AF5A18" w:rsidP="00340DF1">
            <w:pPr>
              <w:spacing w:after="0" w:line="360" w:lineRule="auto"/>
              <w:rPr>
                <w:rFonts w:eastAsia="Calibri"/>
                <w:i/>
                <w:iCs/>
                <w:noProof/>
                <w:color w:val="4C4747"/>
                <w:sz w:val="18"/>
                <w:szCs w:val="18"/>
                <w:lang w:val="es-DO"/>
              </w:rPr>
            </w:pPr>
            <w:r w:rsidRPr="005C6CEC">
              <w:rPr>
                <w:rFonts w:eastAsia="Calibri"/>
                <w:i/>
                <w:iCs/>
                <w:noProof/>
                <w:color w:val="4C4747"/>
                <w:sz w:val="18"/>
                <w:szCs w:val="18"/>
                <w:lang w:val="es-DO"/>
              </w:rPr>
              <w:lastRenderedPageBreak/>
              <w:t xml:space="preserve">           </w:t>
            </w:r>
            <w:r w:rsidR="005A0DD0" w:rsidRPr="005C6CEC">
              <w:rPr>
                <w:rFonts w:eastAsia="Calibri"/>
                <w:i/>
                <w:iCs/>
                <w:noProof/>
                <w:color w:val="4C4747"/>
                <w:sz w:val="18"/>
                <w:szCs w:val="18"/>
                <w:lang w:val="es-DO"/>
              </w:rPr>
              <w:t xml:space="preserve">Departamento de Planificación y Desarrollo </w:t>
            </w:r>
          </w:p>
        </w:tc>
      </w:tr>
    </w:tbl>
    <w:p w14:paraId="4B7AD6DF" w14:textId="3C09A0DA" w:rsidR="00B15198" w:rsidRDefault="009F51A1" w:rsidP="00340DF1">
      <w:pPr>
        <w:spacing w:line="360" w:lineRule="auto"/>
        <w:jc w:val="both"/>
        <w:rPr>
          <w:rFonts w:eastAsia="Calibri"/>
          <w:color w:val="4C4747"/>
          <w:lang w:val="es-DO"/>
        </w:rPr>
      </w:pPr>
      <w:r w:rsidRPr="009F51A1">
        <w:rPr>
          <w:rFonts w:eastAsia="Calibri"/>
          <w:color w:val="4C4747"/>
          <w:lang w:val="es-DO"/>
        </w:rPr>
        <w:lastRenderedPageBreak/>
        <w:t xml:space="preserve">Resultados </w:t>
      </w:r>
      <w:r w:rsidR="00B15198">
        <w:rPr>
          <w:rFonts w:eastAsia="Calibri"/>
          <w:color w:val="4C4747"/>
          <w:lang w:val="es-DO"/>
        </w:rPr>
        <w:t xml:space="preserve">en materia de Gestión de la Calidad </w:t>
      </w:r>
    </w:p>
    <w:p w14:paraId="504DE361" w14:textId="6D114B18" w:rsidR="009F51A1" w:rsidRDefault="009F51A1" w:rsidP="00340DF1">
      <w:pPr>
        <w:spacing w:line="360" w:lineRule="auto"/>
        <w:jc w:val="both"/>
        <w:rPr>
          <w:rFonts w:eastAsia="Calibri"/>
          <w:noProof/>
          <w:color w:val="4C4747"/>
          <w:lang w:val="es-DO"/>
        </w:rPr>
      </w:pPr>
      <w:r w:rsidRPr="009F51A1">
        <w:rPr>
          <w:rFonts w:eastAsia="Calibri"/>
          <w:noProof/>
          <w:color w:val="4C4747"/>
          <w:lang w:val="es-DO"/>
        </w:rPr>
        <w:t xml:space="preserve">Sistemas </w:t>
      </w:r>
      <w:r w:rsidR="00AF5A18">
        <w:rPr>
          <w:rFonts w:eastAsia="Calibri"/>
          <w:noProof/>
          <w:color w:val="4C4747"/>
          <w:lang w:val="es-DO"/>
        </w:rPr>
        <w:t>Gestión de la</w:t>
      </w:r>
      <w:r w:rsidRPr="009F51A1">
        <w:rPr>
          <w:rFonts w:eastAsia="Calibri"/>
          <w:noProof/>
          <w:color w:val="4C4747"/>
          <w:lang w:val="es-DO"/>
        </w:rPr>
        <w:t xml:space="preserve"> Calidad</w:t>
      </w:r>
    </w:p>
    <w:p w14:paraId="304B0D9B" w14:textId="03387DCA" w:rsidR="00D45F91" w:rsidRDefault="003F39F8" w:rsidP="00340DF1">
      <w:pPr>
        <w:spacing w:after="0" w:line="360" w:lineRule="auto"/>
        <w:jc w:val="both"/>
        <w:rPr>
          <w:rFonts w:eastAsia="Calibri"/>
          <w:noProof/>
          <w:color w:val="4C4747"/>
          <w:lang w:val="es-DO"/>
        </w:rPr>
      </w:pPr>
      <w:r w:rsidRPr="006A057C">
        <w:rPr>
          <w:rFonts w:eastAsia="Calibri"/>
          <w:noProof/>
          <w:color w:val="4C4747"/>
          <w:lang w:val="es-DO"/>
        </w:rPr>
        <w:t xml:space="preserve">ProCompetencia ha culminado con </w:t>
      </w:r>
      <w:r w:rsidRPr="006A057C">
        <w:rPr>
          <w:rFonts w:eastAsia="Calibri" w:hint="eastAsia"/>
          <w:noProof/>
          <w:color w:val="4C4747"/>
          <w:lang w:val="es-DO"/>
        </w:rPr>
        <w:t>é</w:t>
      </w:r>
      <w:r w:rsidRPr="006A057C">
        <w:rPr>
          <w:rFonts w:eastAsia="Calibri"/>
          <w:noProof/>
          <w:color w:val="4C4747"/>
          <w:lang w:val="es-DO"/>
        </w:rPr>
        <w:t>xito la implementaci</w:t>
      </w:r>
      <w:r w:rsidRPr="006A057C">
        <w:rPr>
          <w:rFonts w:eastAsia="Calibri" w:hint="eastAsia"/>
          <w:noProof/>
          <w:color w:val="4C4747"/>
          <w:lang w:val="es-DO"/>
        </w:rPr>
        <w:t>ó</w:t>
      </w:r>
      <w:r w:rsidRPr="006A057C">
        <w:rPr>
          <w:rFonts w:eastAsia="Calibri"/>
          <w:noProof/>
          <w:color w:val="4C4747"/>
          <w:lang w:val="es-DO"/>
        </w:rPr>
        <w:t>n del</w:t>
      </w:r>
      <w:r w:rsidRPr="00EC6B29">
        <w:rPr>
          <w:rFonts w:eastAsia="Calibri" w:hint="eastAsia"/>
          <w:noProof/>
          <w:color w:val="4C4747"/>
          <w:lang w:val="es-DO"/>
        </w:rPr>
        <w:t> </w:t>
      </w:r>
      <w:r w:rsidRPr="006A057C">
        <w:rPr>
          <w:rFonts w:eastAsia="Calibri"/>
          <w:noProof/>
          <w:color w:val="4C4747"/>
          <w:lang w:val="es-DO"/>
        </w:rPr>
        <w:t>Sistema de Gestión de la Calidad (SGC)</w:t>
      </w:r>
      <w:r w:rsidRPr="00EC6B29">
        <w:rPr>
          <w:rFonts w:eastAsia="Calibri" w:hint="eastAsia"/>
          <w:noProof/>
          <w:color w:val="4C4747"/>
          <w:lang w:val="es-DO"/>
        </w:rPr>
        <w:t> </w:t>
      </w:r>
      <w:r w:rsidRPr="006A057C">
        <w:rPr>
          <w:rFonts w:eastAsia="Calibri"/>
          <w:noProof/>
          <w:color w:val="4C4747"/>
          <w:lang w:val="es-DO"/>
        </w:rPr>
        <w:t>bajo el est</w:t>
      </w:r>
      <w:r w:rsidRPr="006A057C">
        <w:rPr>
          <w:rFonts w:eastAsia="Calibri" w:hint="eastAsia"/>
          <w:noProof/>
          <w:color w:val="4C4747"/>
          <w:lang w:val="es-DO"/>
        </w:rPr>
        <w:t>á</w:t>
      </w:r>
      <w:r w:rsidRPr="006A057C">
        <w:rPr>
          <w:rFonts w:eastAsia="Calibri"/>
          <w:noProof/>
          <w:color w:val="4C4747"/>
          <w:lang w:val="es-DO"/>
        </w:rPr>
        <w:t>ndar internacional</w:t>
      </w:r>
      <w:r w:rsidRPr="00EC6B29">
        <w:rPr>
          <w:rFonts w:eastAsia="Calibri" w:hint="eastAsia"/>
          <w:noProof/>
          <w:color w:val="4C4747"/>
          <w:lang w:val="es-DO"/>
        </w:rPr>
        <w:t> </w:t>
      </w:r>
      <w:r w:rsidRPr="006A057C">
        <w:rPr>
          <w:rFonts w:eastAsia="Calibri"/>
          <w:noProof/>
          <w:color w:val="4C4747"/>
          <w:lang w:val="es-DO"/>
        </w:rPr>
        <w:t>ISO 9001:2015. Este hito, fruto de un proceso de mejora continua y rigor t</w:t>
      </w:r>
      <w:r w:rsidRPr="006A057C">
        <w:rPr>
          <w:rFonts w:eastAsia="Calibri" w:hint="eastAsia"/>
          <w:noProof/>
          <w:color w:val="4C4747"/>
          <w:lang w:val="es-DO"/>
        </w:rPr>
        <w:t>é</w:t>
      </w:r>
      <w:r w:rsidRPr="006A057C">
        <w:rPr>
          <w:rFonts w:eastAsia="Calibri"/>
          <w:noProof/>
          <w:color w:val="4C4747"/>
          <w:lang w:val="es-DO"/>
        </w:rPr>
        <w:t>cnico, robustece nuestra cultura organizacional y optimiza los macroprocesos institucionales, garantizando una gesti</w:t>
      </w:r>
      <w:r w:rsidRPr="006A057C">
        <w:rPr>
          <w:rFonts w:eastAsia="Calibri" w:hint="eastAsia"/>
          <w:noProof/>
          <w:color w:val="4C4747"/>
          <w:lang w:val="es-DO"/>
        </w:rPr>
        <w:t>ó</w:t>
      </w:r>
      <w:r w:rsidRPr="006A057C">
        <w:rPr>
          <w:rFonts w:eastAsia="Calibri"/>
          <w:noProof/>
          <w:color w:val="4C4747"/>
          <w:lang w:val="es-DO"/>
        </w:rPr>
        <w:t>n p</w:t>
      </w:r>
      <w:r w:rsidRPr="006A057C">
        <w:rPr>
          <w:rFonts w:eastAsia="Calibri" w:hint="eastAsia"/>
          <w:noProof/>
          <w:color w:val="4C4747"/>
          <w:lang w:val="es-DO"/>
        </w:rPr>
        <w:t>ú</w:t>
      </w:r>
      <w:r w:rsidRPr="006A057C">
        <w:rPr>
          <w:rFonts w:eastAsia="Calibri"/>
          <w:noProof/>
          <w:color w:val="4C4747"/>
          <w:lang w:val="es-DO"/>
        </w:rPr>
        <w:t>blica eficiente, transparente y orientada a la generaci</w:t>
      </w:r>
      <w:r w:rsidRPr="006A057C">
        <w:rPr>
          <w:rFonts w:eastAsia="Calibri" w:hint="eastAsia"/>
          <w:noProof/>
          <w:color w:val="4C4747"/>
          <w:lang w:val="es-DO"/>
        </w:rPr>
        <w:t>ó</w:t>
      </w:r>
      <w:r w:rsidRPr="006A057C">
        <w:rPr>
          <w:rFonts w:eastAsia="Calibri"/>
          <w:noProof/>
          <w:color w:val="4C4747"/>
          <w:lang w:val="es-DO"/>
        </w:rPr>
        <w:t>n de valor social.</w:t>
      </w:r>
    </w:p>
    <w:p w14:paraId="73C57D52" w14:textId="77777777" w:rsidR="006A057C" w:rsidRPr="003F39F8" w:rsidRDefault="006A057C" w:rsidP="00340DF1">
      <w:pPr>
        <w:spacing w:after="0" w:line="360" w:lineRule="auto"/>
        <w:jc w:val="both"/>
        <w:rPr>
          <w:rFonts w:eastAsia="Calibri"/>
          <w:noProof/>
          <w:color w:val="4C4747"/>
          <w:lang w:val="es-DO"/>
        </w:rPr>
      </w:pPr>
    </w:p>
    <w:p w14:paraId="03787737" w14:textId="293E51FA" w:rsidR="006A057C" w:rsidRDefault="00D45F91" w:rsidP="00340DF1">
      <w:pPr>
        <w:spacing w:after="0" w:line="360" w:lineRule="auto"/>
        <w:jc w:val="both"/>
        <w:rPr>
          <w:rFonts w:eastAsia="Calibri"/>
          <w:noProof/>
          <w:color w:val="4C4747"/>
          <w:lang w:val="es-DO"/>
        </w:rPr>
      </w:pPr>
      <w:r w:rsidRPr="00F956F5">
        <w:rPr>
          <w:rFonts w:eastAsia="Calibri"/>
          <w:noProof/>
          <w:color w:val="4C4747"/>
          <w:lang w:val="es-DO"/>
        </w:rPr>
        <w:t>Esta implementación del SGC para ProCompetencia también representó una oportunidad para crecer como equipo, aprender juntos y reafirmar que cada macroproceso que se mejora impactará directamente en la construcción de mercados más justos y contribuirá al fortaleciendo de la libre competencia.</w:t>
      </w:r>
    </w:p>
    <w:p w14:paraId="1EC49E11" w14:textId="77777777" w:rsidR="00A7057E" w:rsidRDefault="00A7057E" w:rsidP="00340DF1">
      <w:pPr>
        <w:spacing w:after="0" w:line="360" w:lineRule="auto"/>
        <w:jc w:val="both"/>
        <w:rPr>
          <w:rFonts w:eastAsia="Calibri"/>
          <w:noProof/>
          <w:color w:val="4C4747"/>
          <w:lang w:val="es-DO"/>
        </w:rPr>
      </w:pPr>
    </w:p>
    <w:p w14:paraId="2198B318" w14:textId="77777777" w:rsidR="00A7057E" w:rsidRDefault="00A7057E" w:rsidP="00340DF1">
      <w:pPr>
        <w:spacing w:after="0" w:line="360" w:lineRule="auto"/>
        <w:jc w:val="both"/>
        <w:rPr>
          <w:rFonts w:eastAsia="Calibri"/>
          <w:noProof/>
          <w:color w:val="4C4747"/>
          <w:lang w:val="es-DO"/>
        </w:rPr>
      </w:pPr>
    </w:p>
    <w:p w14:paraId="08391579" w14:textId="77777777" w:rsidR="00A7057E" w:rsidRDefault="00A7057E" w:rsidP="00340DF1">
      <w:pPr>
        <w:spacing w:after="0" w:line="360" w:lineRule="auto"/>
        <w:jc w:val="both"/>
        <w:rPr>
          <w:rFonts w:eastAsia="Calibri"/>
          <w:noProof/>
          <w:color w:val="4C4747"/>
          <w:lang w:val="es-DO"/>
        </w:rPr>
      </w:pPr>
    </w:p>
    <w:p w14:paraId="4ED3BFE4" w14:textId="77777777" w:rsidR="00A7057E" w:rsidRDefault="00A7057E" w:rsidP="00340DF1">
      <w:pPr>
        <w:spacing w:after="0" w:line="360" w:lineRule="auto"/>
        <w:jc w:val="both"/>
        <w:rPr>
          <w:rFonts w:eastAsia="Calibri"/>
          <w:noProof/>
          <w:color w:val="4C4747"/>
          <w:lang w:val="es-DO"/>
        </w:rPr>
      </w:pPr>
    </w:p>
    <w:p w14:paraId="2ECC2028" w14:textId="77777777" w:rsidR="00A7057E" w:rsidRDefault="00A7057E" w:rsidP="00340DF1">
      <w:pPr>
        <w:spacing w:after="0" w:line="360" w:lineRule="auto"/>
        <w:jc w:val="both"/>
        <w:rPr>
          <w:rFonts w:eastAsia="Calibri"/>
          <w:noProof/>
          <w:color w:val="4C4747"/>
          <w:lang w:val="es-DO"/>
        </w:rPr>
      </w:pPr>
    </w:p>
    <w:p w14:paraId="0DA6B4AC" w14:textId="77777777" w:rsidR="00A7057E" w:rsidRDefault="00A7057E" w:rsidP="00340DF1">
      <w:pPr>
        <w:spacing w:after="0" w:line="360" w:lineRule="auto"/>
        <w:jc w:val="both"/>
        <w:rPr>
          <w:rFonts w:eastAsia="Calibri"/>
          <w:noProof/>
          <w:color w:val="4C4747"/>
          <w:lang w:val="es-DO"/>
        </w:rPr>
      </w:pPr>
    </w:p>
    <w:p w14:paraId="4505B6BF" w14:textId="77777777" w:rsidR="00A7057E" w:rsidRDefault="00A7057E" w:rsidP="00340DF1">
      <w:pPr>
        <w:spacing w:after="0" w:line="360" w:lineRule="auto"/>
        <w:jc w:val="both"/>
        <w:rPr>
          <w:rFonts w:eastAsia="Calibri"/>
          <w:noProof/>
          <w:color w:val="4C4747"/>
          <w:lang w:val="es-DO"/>
        </w:rPr>
      </w:pPr>
    </w:p>
    <w:p w14:paraId="5377E36E" w14:textId="77777777" w:rsidR="00A7057E" w:rsidRDefault="00A7057E" w:rsidP="00340DF1">
      <w:pPr>
        <w:spacing w:after="0" w:line="360" w:lineRule="auto"/>
        <w:jc w:val="both"/>
        <w:rPr>
          <w:rFonts w:eastAsia="Calibri"/>
          <w:noProof/>
          <w:color w:val="4C4747"/>
          <w:lang w:val="es-DO"/>
        </w:rPr>
      </w:pPr>
    </w:p>
    <w:p w14:paraId="3C45B6D0" w14:textId="77777777" w:rsidR="00A7057E" w:rsidRDefault="00A7057E" w:rsidP="00340DF1">
      <w:pPr>
        <w:spacing w:after="0" w:line="360" w:lineRule="auto"/>
        <w:jc w:val="both"/>
        <w:rPr>
          <w:rFonts w:eastAsia="Calibri"/>
          <w:noProof/>
          <w:color w:val="4C4747"/>
          <w:lang w:val="es-DO"/>
        </w:rPr>
      </w:pPr>
    </w:p>
    <w:p w14:paraId="150F0DD2" w14:textId="77777777" w:rsidR="00A7057E" w:rsidRDefault="00A7057E" w:rsidP="00340DF1">
      <w:pPr>
        <w:spacing w:after="0" w:line="360" w:lineRule="auto"/>
        <w:jc w:val="both"/>
        <w:rPr>
          <w:rFonts w:eastAsia="Calibri"/>
          <w:noProof/>
          <w:color w:val="4C4747"/>
          <w:lang w:val="es-DO"/>
        </w:rPr>
      </w:pPr>
    </w:p>
    <w:p w14:paraId="6135C28C" w14:textId="77777777" w:rsidR="00A7057E" w:rsidRDefault="00A7057E" w:rsidP="00340DF1">
      <w:pPr>
        <w:spacing w:after="0" w:line="360" w:lineRule="auto"/>
        <w:jc w:val="both"/>
        <w:rPr>
          <w:rFonts w:eastAsia="Calibri"/>
          <w:noProof/>
          <w:color w:val="4C4747"/>
          <w:lang w:val="es-DO"/>
        </w:rPr>
      </w:pPr>
    </w:p>
    <w:p w14:paraId="3DA97714" w14:textId="77777777" w:rsidR="00A7057E" w:rsidRDefault="00A7057E" w:rsidP="00340DF1">
      <w:pPr>
        <w:spacing w:after="0" w:line="360" w:lineRule="auto"/>
        <w:jc w:val="both"/>
        <w:rPr>
          <w:rFonts w:eastAsia="Calibri"/>
          <w:noProof/>
          <w:color w:val="4C4747"/>
          <w:lang w:val="es-DO"/>
        </w:rPr>
      </w:pPr>
    </w:p>
    <w:p w14:paraId="19D562C7" w14:textId="77777777" w:rsidR="00A7057E" w:rsidRDefault="00A7057E" w:rsidP="00340DF1">
      <w:pPr>
        <w:spacing w:after="0" w:line="360" w:lineRule="auto"/>
        <w:jc w:val="both"/>
        <w:rPr>
          <w:rFonts w:eastAsia="Calibri"/>
          <w:noProof/>
          <w:color w:val="4C4747"/>
          <w:lang w:val="es-DO"/>
        </w:rPr>
      </w:pPr>
    </w:p>
    <w:p w14:paraId="551E3638" w14:textId="77777777" w:rsidR="006A057C" w:rsidRPr="00F956F5" w:rsidRDefault="006A057C" w:rsidP="00340DF1">
      <w:pPr>
        <w:spacing w:after="0" w:line="360" w:lineRule="auto"/>
        <w:jc w:val="both"/>
        <w:rPr>
          <w:rFonts w:eastAsia="Calibri"/>
          <w:noProof/>
          <w:color w:val="4C4747"/>
          <w:lang w:val="es-DO"/>
        </w:rPr>
      </w:pPr>
    </w:p>
    <w:p w14:paraId="626E2DCB" w14:textId="584DBFCC" w:rsidR="00D45F91" w:rsidRPr="006823FE" w:rsidRDefault="00D45F91" w:rsidP="006823FE">
      <w:pPr>
        <w:spacing w:after="0" w:line="360" w:lineRule="auto"/>
        <w:jc w:val="both"/>
        <w:rPr>
          <w:rFonts w:eastAsia="Calibri"/>
          <w:noProof/>
          <w:color w:val="4C4747"/>
          <w:lang w:val="es-DO"/>
        </w:rPr>
      </w:pPr>
      <w:r w:rsidRPr="00F956F5">
        <w:rPr>
          <w:rFonts w:eastAsia="Calibri"/>
          <w:noProof/>
          <w:color w:val="4C4747"/>
          <w:lang w:val="es-DO"/>
        </w:rPr>
        <w:lastRenderedPageBreak/>
        <w:t>Dentro de los principales logros alcanzados durante el proceso de implementación del S</w:t>
      </w:r>
      <w:r w:rsidR="006823FE">
        <w:rPr>
          <w:rFonts w:eastAsia="Calibri"/>
          <w:noProof/>
          <w:color w:val="4C4747"/>
          <w:lang w:val="es-DO"/>
        </w:rPr>
        <w:t xml:space="preserve">istema de Gestión de Calidad. </w:t>
      </w:r>
    </w:p>
    <w:p w14:paraId="3F436A47" w14:textId="77777777" w:rsidR="00D45F91" w:rsidRPr="006823FE" w:rsidRDefault="00D45F91" w:rsidP="00340DF1">
      <w:pPr>
        <w:spacing w:after="0" w:line="360" w:lineRule="auto"/>
        <w:jc w:val="center"/>
        <w:rPr>
          <w:rFonts w:eastAsia="Calibri"/>
          <w:noProof/>
          <w:color w:val="4C4747"/>
          <w:lang w:val="es-DO"/>
        </w:rPr>
      </w:pPr>
    </w:p>
    <w:p w14:paraId="0BB75844" w14:textId="5B170FCD" w:rsidR="006A057C" w:rsidRPr="006823FE" w:rsidRDefault="00D45F91" w:rsidP="006823FE">
      <w:pPr>
        <w:spacing w:after="0" w:line="360" w:lineRule="auto"/>
        <w:jc w:val="both"/>
        <w:rPr>
          <w:rFonts w:eastAsia="Calibri"/>
          <w:noProof/>
          <w:color w:val="4C4747"/>
          <w:lang w:val="es-DO"/>
        </w:rPr>
      </w:pPr>
      <w:r w:rsidRPr="00F956F5">
        <w:rPr>
          <w:rFonts w:eastAsia="Calibri"/>
          <w:noProof/>
          <w:color w:val="4C4747"/>
          <w:lang w:val="es-DO"/>
        </w:rPr>
        <w:t>Con el cierre de la implementación del S</w:t>
      </w:r>
      <w:r w:rsidR="006823FE">
        <w:rPr>
          <w:rFonts w:eastAsia="Calibri"/>
          <w:noProof/>
          <w:color w:val="4C4747"/>
          <w:lang w:val="es-DO"/>
        </w:rPr>
        <w:t>GC</w:t>
      </w:r>
      <w:r w:rsidRPr="00F956F5">
        <w:rPr>
          <w:rFonts w:eastAsia="Calibri"/>
          <w:noProof/>
          <w:color w:val="4C4747"/>
          <w:lang w:val="es-DO"/>
        </w:rPr>
        <w:t>, se abre un nuevo capítulo, pues nos encaminamos hacia la certificación ISO 9001:2015, otro hito que sellará nuestro esfuerzo colectivo y nuestra determinación por alcanzar la excelencia institucional, por el bien de nuestro país.</w:t>
      </w:r>
    </w:p>
    <w:p w14:paraId="16BA3C58" w14:textId="77777777" w:rsidR="006A057C" w:rsidRDefault="006A057C" w:rsidP="00340DF1">
      <w:pPr>
        <w:spacing w:line="360" w:lineRule="auto"/>
        <w:jc w:val="both"/>
        <w:rPr>
          <w:lang w:val="es-DO"/>
        </w:rPr>
      </w:pPr>
    </w:p>
    <w:p w14:paraId="63C96A4D" w14:textId="77777777" w:rsidR="006823FE" w:rsidRDefault="006823FE" w:rsidP="00340DF1">
      <w:pPr>
        <w:spacing w:line="360" w:lineRule="auto"/>
        <w:jc w:val="both"/>
        <w:rPr>
          <w:lang w:val="es-DO"/>
        </w:rPr>
      </w:pPr>
    </w:p>
    <w:p w14:paraId="34BE471F" w14:textId="77777777" w:rsidR="006823FE" w:rsidRPr="0088570C" w:rsidRDefault="006823FE" w:rsidP="00340DF1">
      <w:pPr>
        <w:spacing w:line="360" w:lineRule="auto"/>
        <w:jc w:val="both"/>
        <w:rPr>
          <w:lang w:val="es-DO"/>
        </w:rPr>
      </w:pPr>
    </w:p>
    <w:p w14:paraId="5D8C5CE8" w14:textId="6B4B0F35" w:rsidR="00EA40A4" w:rsidRPr="004F32F7" w:rsidRDefault="00A82BBB" w:rsidP="00340DF1">
      <w:pPr>
        <w:pStyle w:val="Ttulo2"/>
        <w:spacing w:line="360" w:lineRule="auto"/>
        <w:rPr>
          <w:rFonts w:eastAsia="Calibri"/>
          <w:noProof/>
          <w:color w:val="4C4747"/>
          <w:lang w:val="es-DO"/>
        </w:rPr>
      </w:pPr>
      <w:bookmarkStart w:id="13" w:name="_Toc217035435"/>
      <w:r w:rsidRPr="00613C85">
        <w:rPr>
          <w:noProof/>
          <w:lang w:val="es-DO"/>
        </w:rPr>
        <w:t>4.</w:t>
      </w:r>
      <w:r>
        <w:rPr>
          <w:noProof/>
          <w:lang w:val="es-DO"/>
        </w:rPr>
        <w:t>5</w:t>
      </w:r>
      <w:r w:rsidRPr="00613C85">
        <w:rPr>
          <w:noProof/>
          <w:lang w:val="es-DO"/>
        </w:rPr>
        <w:t xml:space="preserve"> Desempeño </w:t>
      </w:r>
      <w:r>
        <w:rPr>
          <w:noProof/>
          <w:lang w:val="es-DO"/>
        </w:rPr>
        <w:t>las comunicaciones</w:t>
      </w:r>
      <w:bookmarkEnd w:id="13"/>
      <w:r>
        <w:rPr>
          <w:noProof/>
          <w:lang w:val="es-DO"/>
        </w:rPr>
        <w:t xml:space="preserve"> </w:t>
      </w:r>
    </w:p>
    <w:p w14:paraId="473C530A" w14:textId="77777777" w:rsidR="00EA40A4" w:rsidRDefault="00EA40A4" w:rsidP="00340DF1">
      <w:pPr>
        <w:spacing w:line="360" w:lineRule="auto"/>
        <w:jc w:val="both"/>
        <w:rPr>
          <w:rFonts w:eastAsia="Calibri"/>
          <w:noProof/>
          <w:color w:val="4C4747"/>
          <w:lang w:val="es-DO"/>
        </w:rPr>
      </w:pPr>
    </w:p>
    <w:p w14:paraId="07184D7B" w14:textId="20E37F24" w:rsidR="00CB56D8" w:rsidRPr="00CB56D8" w:rsidRDefault="00CB56D8" w:rsidP="00340DF1">
      <w:pPr>
        <w:spacing w:after="0" w:line="360" w:lineRule="auto"/>
        <w:jc w:val="both"/>
        <w:rPr>
          <w:rFonts w:eastAsia="Calibri"/>
          <w:noProof/>
          <w:color w:val="4C4747"/>
          <w:lang w:val="es-DO"/>
        </w:rPr>
      </w:pPr>
      <w:r w:rsidRPr="00CB56D8">
        <w:rPr>
          <w:rFonts w:eastAsia="Calibri"/>
          <w:noProof/>
          <w:color w:val="4C4747"/>
          <w:lang w:val="es-DO"/>
        </w:rPr>
        <w:t>Durante el año 2025, el Departamento de Comunicaciones de ProCompetencia ejecutó una agenda de trabajo dinámica y estructurada, orientada a fortalecer la visibilidad institucional y a promover la cultura de libre y leal competencia en la República Dominicana.</w:t>
      </w:r>
    </w:p>
    <w:p w14:paraId="4A6111F1" w14:textId="77777777" w:rsidR="00CB56D8" w:rsidRPr="00CB56D8" w:rsidRDefault="00CB56D8" w:rsidP="00340DF1">
      <w:pPr>
        <w:spacing w:after="0" w:line="360" w:lineRule="auto"/>
        <w:jc w:val="both"/>
        <w:rPr>
          <w:rFonts w:eastAsia="Calibri"/>
          <w:noProof/>
          <w:color w:val="4C4747"/>
          <w:lang w:val="es-DO"/>
        </w:rPr>
      </w:pPr>
      <w:r w:rsidRPr="00CB56D8">
        <w:rPr>
          <w:rFonts w:eastAsia="Calibri"/>
          <w:noProof/>
          <w:color w:val="4C4747"/>
          <w:lang w:val="es-DO"/>
        </w:rPr>
        <w:t>Mediante una estrategia integral de comunicación, que combinó medios tradicionales, plataformas digitales y vínculos directos con actores clave del ecosistema comunicacional, se llevaron a cabo acciones concretas que consolidaron la presencia de ProCompetencia en el ámbito mediático y social.</w:t>
      </w:r>
    </w:p>
    <w:p w14:paraId="7F7524A1" w14:textId="77777777" w:rsidR="001D3A2C" w:rsidRDefault="00CB56D8" w:rsidP="00340DF1">
      <w:pPr>
        <w:spacing w:line="360" w:lineRule="auto"/>
        <w:jc w:val="both"/>
        <w:rPr>
          <w:rFonts w:eastAsia="Calibri"/>
          <w:noProof/>
          <w:color w:val="4C4747"/>
          <w:lang w:val="es-DO"/>
        </w:rPr>
      </w:pPr>
      <w:r w:rsidRPr="00CB56D8">
        <w:rPr>
          <w:rFonts w:eastAsia="Calibri"/>
          <w:noProof/>
          <w:color w:val="4C4747"/>
          <w:lang w:val="es-DO"/>
        </w:rPr>
        <w:t xml:space="preserve">Entre las principales iniciativas implementadas se destacan las jornadas de capacitación y acercamiento a periodistas y comunicadores, desarrolladas en el marco del compromiso institucional con la formación y la transparencia. </w:t>
      </w:r>
    </w:p>
    <w:p w14:paraId="0E903FAC" w14:textId="77777777" w:rsidR="006823FE" w:rsidRDefault="006823FE" w:rsidP="00340DF1">
      <w:pPr>
        <w:spacing w:line="360" w:lineRule="auto"/>
        <w:jc w:val="both"/>
        <w:rPr>
          <w:rFonts w:eastAsia="Calibri"/>
          <w:noProof/>
          <w:color w:val="4C4747"/>
          <w:lang w:val="es-DO"/>
        </w:rPr>
      </w:pPr>
    </w:p>
    <w:p w14:paraId="08FA357A" w14:textId="52913B68" w:rsidR="00CB56D8" w:rsidRPr="00CB56D8" w:rsidRDefault="00CB56D8" w:rsidP="00340DF1">
      <w:pPr>
        <w:spacing w:line="360" w:lineRule="auto"/>
        <w:jc w:val="both"/>
        <w:rPr>
          <w:rFonts w:eastAsia="Calibri"/>
          <w:noProof/>
          <w:color w:val="4C4747"/>
          <w:lang w:val="es-DO"/>
        </w:rPr>
      </w:pPr>
      <w:r w:rsidRPr="00CB56D8">
        <w:rPr>
          <w:rFonts w:eastAsia="Calibri"/>
          <w:noProof/>
          <w:color w:val="4C4747"/>
          <w:lang w:val="es-DO"/>
        </w:rPr>
        <w:lastRenderedPageBreak/>
        <w:t xml:space="preserve">Estas actividades tuvieron como propósito fortalecer la comprensión y la difusión mediática de los temas vinculados a la competencia económica, contribuyendo a una cobertura informativa más precisa y alineada con los principios </w:t>
      </w:r>
      <w:r w:rsidR="002022B5">
        <w:rPr>
          <w:rFonts w:eastAsia="Calibri"/>
          <w:noProof/>
          <w:color w:val="4C4747"/>
          <w:lang w:val="es-DO"/>
        </w:rPr>
        <w:t xml:space="preserve">y los ejes centrales definidos </w:t>
      </w:r>
      <w:r w:rsidR="004C3D40">
        <w:rPr>
          <w:rFonts w:eastAsia="Calibri"/>
          <w:noProof/>
          <w:color w:val="4C4747"/>
          <w:lang w:val="es-DO"/>
        </w:rPr>
        <w:t xml:space="preserve">previamente </w:t>
      </w:r>
      <w:r w:rsidR="002022B5">
        <w:rPr>
          <w:rFonts w:eastAsia="Calibri"/>
          <w:noProof/>
          <w:color w:val="4C4747"/>
          <w:lang w:val="es-DO"/>
        </w:rPr>
        <w:t>para el logro de la misión institucional</w:t>
      </w:r>
      <w:r w:rsidRPr="00CB56D8">
        <w:rPr>
          <w:rFonts w:eastAsia="Calibri"/>
          <w:noProof/>
          <w:color w:val="4C4747"/>
          <w:lang w:val="es-DO"/>
        </w:rPr>
        <w:t>.</w:t>
      </w:r>
    </w:p>
    <w:p w14:paraId="7FD63356" w14:textId="77777777" w:rsidR="00906F50" w:rsidRPr="00906F50" w:rsidRDefault="00906F50" w:rsidP="00340DF1">
      <w:pPr>
        <w:spacing w:line="360" w:lineRule="auto"/>
        <w:jc w:val="both"/>
        <w:rPr>
          <w:rFonts w:eastAsia="Calibri"/>
          <w:noProof/>
          <w:color w:val="4C4747"/>
          <w:lang w:val="es-DO"/>
        </w:rPr>
      </w:pPr>
      <w:r w:rsidRPr="00906F50">
        <w:rPr>
          <w:rFonts w:eastAsia="Calibri"/>
          <w:noProof/>
          <w:color w:val="4C4747"/>
          <w:lang w:val="es-DO"/>
        </w:rPr>
        <w:t>En el año 2024, ProCompetencia organizó el Primer Taller Especializado en Derecho de la Competencia para Periodistas y Comunicadores, en el cual se capacitó a más de 40 profesionales de la comunicación sobre los fundamentos del derecho de la competencia y su impacto en la economía nacional.</w:t>
      </w:r>
    </w:p>
    <w:p w14:paraId="577C60C7" w14:textId="6987BCC3" w:rsidR="00906F50" w:rsidRPr="00726941" w:rsidRDefault="00906F50" w:rsidP="00340DF1">
      <w:pPr>
        <w:spacing w:line="360" w:lineRule="auto"/>
        <w:jc w:val="both"/>
        <w:rPr>
          <w:rFonts w:eastAsia="Calibri"/>
          <w:noProof/>
          <w:color w:val="4C4747"/>
          <w:lang w:val="es-DO"/>
        </w:rPr>
      </w:pPr>
      <w:r w:rsidRPr="00906F50">
        <w:rPr>
          <w:rFonts w:eastAsia="Calibri"/>
          <w:noProof/>
          <w:color w:val="4C4747"/>
          <w:lang w:val="es-DO"/>
        </w:rPr>
        <w:t xml:space="preserve">Como continuidad y fortalecimiento de esta iniciativa, en julio de 2025 se celebró el II Taller Internacional en Derecho de la Competencia para Periodistas y Comunicadores, con la participación de aproximadamente 100 profesionales del área. Este segundo encuentro contó con la intervención de reconocidos expositores, entre ellos José Monegro (director del periódico </w:t>
      </w:r>
      <w:r w:rsidRPr="00726941">
        <w:rPr>
          <w:rFonts w:eastAsia="Calibri"/>
          <w:noProof/>
          <w:color w:val="4C4747"/>
          <w:lang w:val="es-DO"/>
        </w:rPr>
        <w:t>El Día</w:t>
      </w:r>
      <w:r w:rsidRPr="00906F50">
        <w:rPr>
          <w:rFonts w:eastAsia="Calibri"/>
          <w:noProof/>
          <w:color w:val="4C4747"/>
          <w:lang w:val="es-DO"/>
        </w:rPr>
        <w:t xml:space="preserve">), Roberto Cavada (presentador de </w:t>
      </w:r>
      <w:r w:rsidRPr="00726941">
        <w:rPr>
          <w:rFonts w:eastAsia="Calibri"/>
          <w:noProof/>
          <w:color w:val="4C4747"/>
          <w:lang w:val="es-DO"/>
        </w:rPr>
        <w:t>Telenoticias</w:t>
      </w:r>
      <w:r w:rsidRPr="00906F50">
        <w:rPr>
          <w:rFonts w:eastAsia="Calibri"/>
          <w:noProof/>
          <w:color w:val="4C4747"/>
          <w:lang w:val="es-DO"/>
        </w:rPr>
        <w:t xml:space="preserve">), Nelson Rodríguez (director del periódico </w:t>
      </w:r>
      <w:r w:rsidRPr="00726941">
        <w:rPr>
          <w:rFonts w:eastAsia="Calibri"/>
          <w:noProof/>
          <w:color w:val="4C4747"/>
          <w:lang w:val="es-DO"/>
        </w:rPr>
        <w:t>El Caribe</w:t>
      </w:r>
      <w:r w:rsidRPr="00906F50">
        <w:rPr>
          <w:rFonts w:eastAsia="Calibri"/>
          <w:noProof/>
          <w:color w:val="4C4747"/>
          <w:lang w:val="es-DO"/>
        </w:rPr>
        <w:t xml:space="preserve">) y Albanelly Familia (directora de </w:t>
      </w:r>
      <w:r w:rsidRPr="00726941">
        <w:rPr>
          <w:rFonts w:eastAsia="Calibri"/>
          <w:noProof/>
          <w:color w:val="4C4747"/>
          <w:lang w:val="es-DO"/>
        </w:rPr>
        <w:t>CDN 37</w:t>
      </w:r>
      <w:r w:rsidRPr="00906F50">
        <w:rPr>
          <w:rFonts w:eastAsia="Calibri"/>
          <w:noProof/>
          <w:color w:val="4C4747"/>
          <w:lang w:val="es-DO"/>
        </w:rPr>
        <w:t>), junto a otros destacados periodistas y comunicadores de distintas generaciones</w:t>
      </w:r>
      <w:r w:rsidR="00507D07">
        <w:rPr>
          <w:rFonts w:eastAsia="Calibri"/>
          <w:noProof/>
          <w:color w:val="4C4747"/>
          <w:lang w:val="es-DO"/>
        </w:rPr>
        <w:t>,</w:t>
      </w:r>
      <w:r w:rsidR="00A135D7">
        <w:rPr>
          <w:rFonts w:eastAsia="Calibri"/>
          <w:noProof/>
          <w:color w:val="4C4747"/>
          <w:lang w:val="es-DO"/>
        </w:rPr>
        <w:t xml:space="preserve"> </w:t>
      </w:r>
      <w:r w:rsidR="00726941">
        <w:rPr>
          <w:rFonts w:eastAsia="Calibri"/>
          <w:noProof/>
          <w:color w:val="4C4747"/>
          <w:lang w:val="es-DO"/>
        </w:rPr>
        <w:t>l</w:t>
      </w:r>
      <w:r w:rsidR="00726941" w:rsidRPr="00726941">
        <w:rPr>
          <w:rFonts w:eastAsia="Calibri"/>
          <w:noProof/>
          <w:color w:val="4C4747"/>
          <w:lang w:val="es-DO"/>
        </w:rPr>
        <w:t>a actividad se desarrolló en cumplimiento del eje de abogacía y promoción de la competencia, con el objetivo de sensibilizar a la ciudadanía y contribuir al fortalecimiento de la cultura de la libre competencia en el país.</w:t>
      </w:r>
    </w:p>
    <w:p w14:paraId="599999EB" w14:textId="77777777" w:rsidR="00906F50" w:rsidRPr="00906F50" w:rsidRDefault="00906F50" w:rsidP="00340DF1">
      <w:pPr>
        <w:spacing w:line="360" w:lineRule="auto"/>
        <w:jc w:val="both"/>
        <w:rPr>
          <w:rFonts w:eastAsia="Calibri"/>
          <w:noProof/>
          <w:color w:val="4C4747"/>
          <w:lang w:val="es-DO"/>
        </w:rPr>
      </w:pPr>
      <w:r w:rsidRPr="00906F50">
        <w:rPr>
          <w:rFonts w:eastAsia="Calibri"/>
          <w:noProof/>
          <w:color w:val="4C4747"/>
          <w:lang w:val="es-DO"/>
        </w:rPr>
        <w:t>En total, cerca de 150 profesionales de la comunicación fueron impactados durante el período 2024-2025, contribuyendo a elevar la calidad informativa de los medios en materia de competencia económica y consolidando el compromiso institucional con la formación y la transparencia.</w:t>
      </w:r>
    </w:p>
    <w:p w14:paraId="006E11FC" w14:textId="77777777" w:rsidR="000C5FD8" w:rsidRPr="000C5FD8" w:rsidRDefault="000C5FD8" w:rsidP="00340DF1">
      <w:pPr>
        <w:spacing w:after="200" w:line="360" w:lineRule="auto"/>
        <w:jc w:val="both"/>
        <w:rPr>
          <w:rFonts w:eastAsia="Calibri"/>
          <w:noProof/>
          <w:color w:val="4C4747"/>
          <w:lang w:val="es-DO"/>
        </w:rPr>
      </w:pPr>
      <w:r w:rsidRPr="000C5FD8">
        <w:rPr>
          <w:rFonts w:eastAsia="Calibri"/>
          <w:noProof/>
          <w:color w:val="4C4747"/>
          <w:lang w:val="es-DO"/>
        </w:rPr>
        <w:lastRenderedPageBreak/>
        <w:t xml:space="preserve">Puesta en circulación de periódico institucional y renovación del boletín </w:t>
      </w:r>
    </w:p>
    <w:p w14:paraId="19B49A5C" w14:textId="5CC03202" w:rsidR="000C5FD8" w:rsidRPr="000C5FD8" w:rsidRDefault="000C5FD8" w:rsidP="00340DF1">
      <w:pPr>
        <w:spacing w:line="360" w:lineRule="auto"/>
        <w:jc w:val="both"/>
        <w:rPr>
          <w:rFonts w:eastAsia="Calibri"/>
          <w:noProof/>
          <w:color w:val="4C4747"/>
          <w:lang w:val="es-DO"/>
        </w:rPr>
      </w:pPr>
      <w:r w:rsidRPr="000C5FD8">
        <w:rPr>
          <w:rFonts w:eastAsia="Calibri"/>
          <w:noProof/>
          <w:color w:val="4C4747"/>
          <w:lang w:val="es-DO"/>
        </w:rPr>
        <w:t>Uno de los principales hitos del Departamento de Comunicaciones ha sido la puesta en circulación del periódico institucional “Más Competencia”, una publicación mensual que recopila informaciones nacionales e internacionales de interés, además de reportajes y artículos especializados elaborados por expertos de la institución. Esta iniciativa forma parte del plan estratégico de comunicación de informar, educar y difundir contenidos de valor para todo público</w:t>
      </w:r>
      <w:r w:rsidR="00B15BB9">
        <w:rPr>
          <w:rFonts w:eastAsia="Calibri"/>
          <w:noProof/>
          <w:color w:val="4C4747"/>
          <w:lang w:val="es-DO"/>
        </w:rPr>
        <w:t xml:space="preserve"> con un lenguaje comprensible para todo público</w:t>
      </w:r>
      <w:r w:rsidRPr="000C5FD8">
        <w:rPr>
          <w:rFonts w:eastAsia="Calibri"/>
          <w:noProof/>
          <w:color w:val="4C4747"/>
          <w:lang w:val="es-DO"/>
        </w:rPr>
        <w:t>.</w:t>
      </w:r>
    </w:p>
    <w:p w14:paraId="40927C89" w14:textId="28A0D405" w:rsidR="000C5FD8" w:rsidRPr="000C5FD8" w:rsidRDefault="000C5FD8" w:rsidP="00340DF1">
      <w:pPr>
        <w:spacing w:line="360" w:lineRule="auto"/>
        <w:jc w:val="both"/>
        <w:rPr>
          <w:rFonts w:eastAsia="Calibri"/>
          <w:noProof/>
          <w:color w:val="4C4747"/>
          <w:lang w:val="es-DO"/>
        </w:rPr>
      </w:pPr>
      <w:r w:rsidRPr="000C5FD8">
        <w:rPr>
          <w:rFonts w:eastAsia="Calibri"/>
          <w:noProof/>
          <w:color w:val="4C4747"/>
          <w:lang w:val="es-DO"/>
        </w:rPr>
        <w:t>También renovamos nuestro boletín institucional, que ahora lleva por nombre ProCompetencia al Día, una publicación dedicada a destacar los hechos más relevantes de la institución. Esta nueva edición incorpora una mayor participación de nuestros colaboradores y ofrece contenidos más variados y dinámicos, reflejando así el compromiso de mantener una comunicación cercana</w:t>
      </w:r>
      <w:r w:rsidR="00881DE8">
        <w:rPr>
          <w:rFonts w:eastAsia="Calibri"/>
          <w:noProof/>
          <w:color w:val="4C4747"/>
          <w:lang w:val="es-DO"/>
        </w:rPr>
        <w:t xml:space="preserve">, oportuna y relevante </w:t>
      </w:r>
      <w:r w:rsidRPr="000C5FD8">
        <w:rPr>
          <w:rFonts w:eastAsia="Calibri"/>
          <w:noProof/>
          <w:color w:val="4C4747"/>
          <w:lang w:val="es-DO"/>
        </w:rPr>
        <w:t>con nuestra gente.</w:t>
      </w:r>
    </w:p>
    <w:p w14:paraId="4EC07331" w14:textId="77777777" w:rsidR="000C5FD8" w:rsidRPr="002A572E" w:rsidRDefault="000C5FD8" w:rsidP="00340DF1">
      <w:pPr>
        <w:spacing w:after="200" w:line="360" w:lineRule="auto"/>
        <w:jc w:val="both"/>
        <w:rPr>
          <w:rFonts w:eastAsia="Calibri"/>
          <w:noProof/>
          <w:color w:val="4C4747"/>
          <w:lang w:val="es-DO"/>
        </w:rPr>
      </w:pPr>
      <w:r w:rsidRPr="002A572E">
        <w:rPr>
          <w:rFonts w:eastAsia="Calibri"/>
          <w:noProof/>
          <w:color w:val="4C4747"/>
          <w:lang w:val="es-DO"/>
        </w:rPr>
        <w:t>Relacionamiento con la prensa y medios tradicionales</w:t>
      </w:r>
    </w:p>
    <w:p w14:paraId="480FF1AC" w14:textId="77777777" w:rsidR="000C5FD8" w:rsidRPr="000C5FD8" w:rsidRDefault="000C5FD8" w:rsidP="00340DF1">
      <w:pPr>
        <w:spacing w:line="360" w:lineRule="auto"/>
        <w:jc w:val="both"/>
        <w:rPr>
          <w:rFonts w:eastAsia="Calibri"/>
          <w:noProof/>
          <w:color w:val="4C4747"/>
          <w:lang w:val="es-DO"/>
        </w:rPr>
      </w:pPr>
      <w:r w:rsidRPr="000C5FD8">
        <w:rPr>
          <w:rFonts w:eastAsia="Calibri"/>
          <w:noProof/>
          <w:color w:val="4C4747"/>
          <w:lang w:val="es-DO"/>
        </w:rPr>
        <w:t>En este último año por medio del área de comunicación y prensa de ProCompetencia hemos fortalecido de manera significativa los vínculos con los principales medios de comunicación del país a través de media tours, entrevistas, desayunos y almuerzos con directivos y líderes de opinión.</w:t>
      </w:r>
    </w:p>
    <w:p w14:paraId="253013F3" w14:textId="77777777" w:rsidR="000C5FD8" w:rsidRPr="002A572E" w:rsidRDefault="000C5FD8" w:rsidP="00340DF1">
      <w:pPr>
        <w:spacing w:after="200" w:line="360" w:lineRule="auto"/>
        <w:jc w:val="both"/>
        <w:rPr>
          <w:rFonts w:eastAsia="Calibri"/>
          <w:noProof/>
          <w:color w:val="4C4747"/>
          <w:lang w:val="es-DO"/>
        </w:rPr>
      </w:pPr>
      <w:r w:rsidRPr="002A572E">
        <w:rPr>
          <w:rFonts w:eastAsia="Calibri"/>
          <w:noProof/>
          <w:color w:val="4C4747"/>
          <w:lang w:val="es-DO"/>
        </w:rPr>
        <w:t>Impacto a través de nuestros canales digitales</w:t>
      </w:r>
    </w:p>
    <w:p w14:paraId="407A0B46" w14:textId="77777777" w:rsidR="000C5FD8" w:rsidRPr="000C5FD8" w:rsidRDefault="000C5FD8" w:rsidP="00340DF1">
      <w:pPr>
        <w:spacing w:line="360" w:lineRule="auto"/>
        <w:jc w:val="both"/>
        <w:rPr>
          <w:rFonts w:eastAsia="Calibri"/>
          <w:noProof/>
          <w:color w:val="4C4747"/>
          <w:lang w:val="es-DO"/>
        </w:rPr>
      </w:pPr>
      <w:r w:rsidRPr="000C5FD8">
        <w:rPr>
          <w:rFonts w:eastAsia="Calibri"/>
          <w:noProof/>
          <w:color w:val="4C4747"/>
          <w:lang w:val="es-DO"/>
        </w:rPr>
        <w:t xml:space="preserve">ProCompetencia tiene presencia activa en las principales redes sociales (Instagram, Facebook, X, Youtube, Threads, LinkedIn) a través de las cuales logra llegar a un público diverso incluyendo, por supuesto, nuevas generaciones. </w:t>
      </w:r>
    </w:p>
    <w:p w14:paraId="250F4689" w14:textId="712FFE46" w:rsidR="000C5FD8" w:rsidRPr="000C5FD8" w:rsidRDefault="000C5FD8" w:rsidP="00340DF1">
      <w:pPr>
        <w:spacing w:line="360" w:lineRule="auto"/>
        <w:jc w:val="both"/>
        <w:rPr>
          <w:rFonts w:eastAsia="Calibri"/>
          <w:noProof/>
          <w:color w:val="4C4747"/>
          <w:lang w:val="es-DO"/>
        </w:rPr>
      </w:pPr>
      <w:r w:rsidRPr="000C5FD8">
        <w:rPr>
          <w:rFonts w:eastAsia="Calibri"/>
          <w:noProof/>
          <w:color w:val="4C4747"/>
          <w:lang w:val="es-DO"/>
        </w:rPr>
        <w:lastRenderedPageBreak/>
        <w:t>Hasta octubre de est</w:t>
      </w:r>
      <w:r w:rsidR="002A572E">
        <w:rPr>
          <w:rFonts w:eastAsia="Calibri"/>
          <w:noProof/>
          <w:color w:val="4C4747"/>
          <w:lang w:val="es-DO"/>
        </w:rPr>
        <w:t xml:space="preserve">e 2025, </w:t>
      </w:r>
      <w:r w:rsidRPr="000C5FD8">
        <w:rPr>
          <w:rFonts w:eastAsia="Calibri"/>
          <w:noProof/>
          <w:color w:val="4C4747"/>
          <w:lang w:val="es-DO"/>
        </w:rPr>
        <w:t xml:space="preserve">alcanzamos un total de 20,000 seguidores, registrando un crecimiento tanto en Facebook como en Instagram de 7.63 y 26.90%, respectivamente. </w:t>
      </w:r>
    </w:p>
    <w:p w14:paraId="5611C1E5" w14:textId="77777777" w:rsidR="000C5FD8" w:rsidRPr="000C5FD8" w:rsidRDefault="000C5FD8" w:rsidP="00340DF1">
      <w:pPr>
        <w:spacing w:line="360" w:lineRule="auto"/>
        <w:jc w:val="both"/>
        <w:rPr>
          <w:rFonts w:eastAsia="Calibri"/>
          <w:noProof/>
          <w:color w:val="4C4747"/>
          <w:lang w:val="es-DO"/>
        </w:rPr>
      </w:pPr>
      <w:r w:rsidRPr="000C5FD8">
        <w:rPr>
          <w:rFonts w:eastAsia="Calibri"/>
          <w:noProof/>
          <w:color w:val="4C4747"/>
          <w:lang w:val="es-DO"/>
        </w:rPr>
        <w:t>Es preciso destacar que durante este período crecimos en casi todos los indicadores. Las impresiones en Facebook e Instagram aumentaron más de 123 % en conjunto; las interacciones crecieron 47.76 %; la cantidad de publicaciones creció 38.23 %, y el alcance promedio por día aumentó 69.44 % solo en Instagram.</w:t>
      </w:r>
    </w:p>
    <w:p w14:paraId="02485D04" w14:textId="77777777" w:rsidR="000C5FD8" w:rsidRPr="000C5FD8" w:rsidRDefault="000C5FD8" w:rsidP="00340DF1">
      <w:pPr>
        <w:spacing w:line="360" w:lineRule="auto"/>
        <w:jc w:val="both"/>
        <w:rPr>
          <w:rFonts w:eastAsia="Calibri"/>
          <w:noProof/>
          <w:color w:val="4C4747"/>
          <w:lang w:val="es-DO"/>
        </w:rPr>
      </w:pPr>
      <w:r w:rsidRPr="000C5FD8">
        <w:rPr>
          <w:rFonts w:eastAsia="Calibri"/>
          <w:noProof/>
          <w:color w:val="4C4747"/>
          <w:lang w:val="es-DO"/>
        </w:rPr>
        <w:t>Estos datos reflejan que en este período hemos fortalecido nuestra presencia e impacto en las redes sociales, lo cual nos ha permitido dar a conocer mejor la institución y cómo lo que hacemos impacta a la sociedad, al contribuir con una mayor eficiencia de los mercados en beneficio de los consumidores.</w:t>
      </w:r>
    </w:p>
    <w:p w14:paraId="2D25085E" w14:textId="77777777" w:rsidR="000C5FD8" w:rsidRPr="000C5FD8" w:rsidRDefault="000C5FD8" w:rsidP="00340DF1">
      <w:pPr>
        <w:spacing w:line="360" w:lineRule="auto"/>
        <w:jc w:val="both"/>
        <w:rPr>
          <w:rFonts w:eastAsia="Calibri"/>
          <w:noProof/>
          <w:color w:val="4C4747"/>
          <w:lang w:val="es-DO"/>
        </w:rPr>
      </w:pPr>
      <w:r w:rsidRPr="000C5FD8">
        <w:rPr>
          <w:rFonts w:eastAsia="Calibri"/>
          <w:noProof/>
          <w:color w:val="4C4747"/>
          <w:lang w:val="es-DO"/>
        </w:rPr>
        <w:t xml:space="preserve">Otro de los ejes estratégicos impulsados fue el fortalecimiento del portal institucional, que alcanzó 37,000 usuarios activos, lo que representa un incremento de 347.4 %. </w:t>
      </w:r>
    </w:p>
    <w:p w14:paraId="00BED48C" w14:textId="77777777" w:rsidR="000C5FD8" w:rsidRPr="000C5FD8" w:rsidRDefault="000C5FD8" w:rsidP="00340DF1">
      <w:pPr>
        <w:spacing w:line="360" w:lineRule="auto"/>
        <w:jc w:val="both"/>
        <w:rPr>
          <w:rFonts w:eastAsia="Calibri"/>
          <w:noProof/>
          <w:color w:val="4C4747"/>
          <w:lang w:val="es-DO"/>
        </w:rPr>
      </w:pPr>
      <w:r w:rsidRPr="000C5FD8">
        <w:rPr>
          <w:rFonts w:eastAsia="Calibri"/>
          <w:noProof/>
          <w:color w:val="4C4747"/>
          <w:lang w:val="es-DO"/>
        </w:rPr>
        <w:t xml:space="preserve">Asimismo, nuestra página registró 68,000 sesiones, con un crecimiento del 420.4 %. Durante este período se publicaron 76 notas de prensa, lo que nos permitió evidencia que mantuvimos una gestión comunicacional dinámica y sostenida. </w:t>
      </w:r>
    </w:p>
    <w:p w14:paraId="498AE103" w14:textId="77777777" w:rsidR="00DE45C1" w:rsidRDefault="00DE45C1" w:rsidP="00340DF1">
      <w:pPr>
        <w:spacing w:line="360" w:lineRule="auto"/>
        <w:jc w:val="both"/>
        <w:rPr>
          <w:rFonts w:eastAsia="Calibri"/>
          <w:noProof/>
          <w:color w:val="4C4747"/>
          <w:lang w:val="es-DO"/>
        </w:rPr>
      </w:pPr>
      <w:r w:rsidRPr="00DE45C1">
        <w:rPr>
          <w:rFonts w:eastAsia="Calibri"/>
          <w:noProof/>
          <w:color w:val="4C4747"/>
          <w:lang w:val="es-DO"/>
        </w:rPr>
        <w:t xml:space="preserve">Estas acciones han contribuido de manera significativa a fortalecer la relación de ProCompetencia con los medios de comunicación y los profesionales del área, generando vínculos de confianza y colaboración sostenida. Al mismo tiempo, han permitido ampliar la cobertura mediática y consolidar las alianzas con periodistas y medios aliados, lo que se traduce en una mayor presencia institucional en el debate público. </w:t>
      </w:r>
    </w:p>
    <w:p w14:paraId="3242AA7E" w14:textId="7E48CA6E" w:rsidR="00EA40A4" w:rsidRPr="00DE45C1" w:rsidRDefault="00DE45C1" w:rsidP="00340DF1">
      <w:pPr>
        <w:spacing w:line="360" w:lineRule="auto"/>
        <w:jc w:val="both"/>
        <w:rPr>
          <w:rFonts w:eastAsia="Calibri"/>
          <w:noProof/>
          <w:color w:val="4C4747"/>
          <w:lang w:val="es-DO"/>
        </w:rPr>
      </w:pPr>
      <w:r w:rsidRPr="00DE45C1">
        <w:rPr>
          <w:rFonts w:eastAsia="Calibri"/>
          <w:noProof/>
          <w:color w:val="4C4747"/>
          <w:lang w:val="es-DO"/>
        </w:rPr>
        <w:t xml:space="preserve">Finalmente, estas iniciativas han servido para dar a conocer con mayor amplitud el </w:t>
      </w:r>
      <w:r w:rsidRPr="00DE45C1">
        <w:rPr>
          <w:rFonts w:eastAsia="Calibri"/>
          <w:noProof/>
          <w:color w:val="4C4747"/>
          <w:lang w:val="es-DO"/>
        </w:rPr>
        <w:lastRenderedPageBreak/>
        <w:t>rol estratégico que desempeña ProCompetencia en la sociedad, posicionándola como una entidad clave en la promoción de la libre y leal competencia en la República Dominicana.</w:t>
      </w:r>
    </w:p>
    <w:p w14:paraId="2E160F6B" w14:textId="77777777" w:rsidR="00EA40A4" w:rsidRDefault="00EA40A4" w:rsidP="00340DF1">
      <w:pPr>
        <w:spacing w:line="360" w:lineRule="auto"/>
        <w:jc w:val="both"/>
        <w:rPr>
          <w:rFonts w:eastAsia="Calibri"/>
          <w:noProof/>
          <w:color w:val="4C4747"/>
          <w:lang w:val="es-DO"/>
        </w:rPr>
      </w:pPr>
    </w:p>
    <w:p w14:paraId="63FF222C" w14:textId="77777777" w:rsidR="00EA40A4" w:rsidRDefault="00EA40A4" w:rsidP="00340DF1">
      <w:pPr>
        <w:spacing w:line="360" w:lineRule="auto"/>
        <w:jc w:val="both"/>
        <w:rPr>
          <w:rFonts w:eastAsia="Calibri"/>
          <w:noProof/>
          <w:color w:val="4C4747"/>
          <w:lang w:val="es-DO"/>
        </w:rPr>
      </w:pPr>
    </w:p>
    <w:p w14:paraId="1384D746" w14:textId="77777777" w:rsidR="00EA40A4" w:rsidRDefault="00EA40A4" w:rsidP="00340DF1">
      <w:pPr>
        <w:spacing w:line="360" w:lineRule="auto"/>
        <w:jc w:val="both"/>
        <w:rPr>
          <w:rFonts w:eastAsia="Calibri"/>
          <w:noProof/>
          <w:color w:val="4C4747"/>
          <w:lang w:val="es-DO"/>
        </w:rPr>
      </w:pPr>
    </w:p>
    <w:p w14:paraId="5DD82C7A" w14:textId="77777777" w:rsidR="00DE5010" w:rsidRDefault="00DE5010" w:rsidP="00340DF1">
      <w:pPr>
        <w:spacing w:line="360" w:lineRule="auto"/>
        <w:jc w:val="both"/>
        <w:rPr>
          <w:rFonts w:eastAsia="Calibri"/>
          <w:noProof/>
          <w:color w:val="4C4747"/>
          <w:lang w:val="es-DO"/>
        </w:rPr>
      </w:pPr>
    </w:p>
    <w:p w14:paraId="3048B532" w14:textId="77777777" w:rsidR="00DE5010" w:rsidRDefault="00DE5010" w:rsidP="00340DF1">
      <w:pPr>
        <w:spacing w:line="360" w:lineRule="auto"/>
        <w:jc w:val="both"/>
        <w:rPr>
          <w:rFonts w:eastAsia="Calibri"/>
          <w:noProof/>
          <w:color w:val="4C4747"/>
          <w:lang w:val="es-DO"/>
        </w:rPr>
      </w:pPr>
    </w:p>
    <w:p w14:paraId="1771B5F6" w14:textId="77777777" w:rsidR="00DE5010" w:rsidRDefault="00DE5010" w:rsidP="00340DF1">
      <w:pPr>
        <w:spacing w:line="360" w:lineRule="auto"/>
        <w:jc w:val="both"/>
        <w:rPr>
          <w:rFonts w:eastAsia="Calibri"/>
          <w:noProof/>
          <w:color w:val="4C4747"/>
          <w:lang w:val="es-DO"/>
        </w:rPr>
      </w:pPr>
    </w:p>
    <w:p w14:paraId="08E55ADA" w14:textId="77777777" w:rsidR="00851221" w:rsidRDefault="00851221" w:rsidP="00340DF1">
      <w:pPr>
        <w:spacing w:line="360" w:lineRule="auto"/>
        <w:jc w:val="both"/>
        <w:rPr>
          <w:rFonts w:eastAsia="Calibri"/>
          <w:noProof/>
          <w:color w:val="4C4747"/>
          <w:lang w:val="es-DO"/>
        </w:rPr>
      </w:pPr>
    </w:p>
    <w:p w14:paraId="2E2CE3E5" w14:textId="77777777" w:rsidR="006823FE" w:rsidRDefault="006823FE" w:rsidP="00340DF1">
      <w:pPr>
        <w:spacing w:line="360" w:lineRule="auto"/>
        <w:jc w:val="both"/>
        <w:rPr>
          <w:rFonts w:eastAsia="Calibri"/>
          <w:noProof/>
          <w:color w:val="4C4747"/>
          <w:lang w:val="es-DO"/>
        </w:rPr>
      </w:pPr>
    </w:p>
    <w:p w14:paraId="39460E2C" w14:textId="77777777" w:rsidR="006823FE" w:rsidRDefault="006823FE" w:rsidP="00340DF1">
      <w:pPr>
        <w:spacing w:line="360" w:lineRule="auto"/>
        <w:jc w:val="both"/>
        <w:rPr>
          <w:rFonts w:eastAsia="Calibri"/>
          <w:noProof/>
          <w:color w:val="4C4747"/>
          <w:lang w:val="es-DO"/>
        </w:rPr>
      </w:pPr>
    </w:p>
    <w:p w14:paraId="73965B23" w14:textId="77777777" w:rsidR="006823FE" w:rsidRDefault="006823FE" w:rsidP="00340DF1">
      <w:pPr>
        <w:spacing w:line="360" w:lineRule="auto"/>
        <w:jc w:val="both"/>
        <w:rPr>
          <w:rFonts w:eastAsia="Calibri"/>
          <w:noProof/>
          <w:color w:val="4C4747"/>
          <w:lang w:val="es-DO"/>
        </w:rPr>
      </w:pPr>
    </w:p>
    <w:p w14:paraId="49E2A8EA" w14:textId="77777777" w:rsidR="006823FE" w:rsidRDefault="006823FE" w:rsidP="00340DF1">
      <w:pPr>
        <w:spacing w:line="360" w:lineRule="auto"/>
        <w:jc w:val="both"/>
        <w:rPr>
          <w:rFonts w:eastAsia="Calibri"/>
          <w:noProof/>
          <w:color w:val="4C4747"/>
          <w:lang w:val="es-DO"/>
        </w:rPr>
      </w:pPr>
    </w:p>
    <w:p w14:paraId="4B96C640" w14:textId="77777777" w:rsidR="006823FE" w:rsidRDefault="006823FE" w:rsidP="00340DF1">
      <w:pPr>
        <w:spacing w:line="360" w:lineRule="auto"/>
        <w:jc w:val="both"/>
        <w:rPr>
          <w:rFonts w:eastAsia="Calibri"/>
          <w:noProof/>
          <w:color w:val="4C4747"/>
          <w:lang w:val="es-DO"/>
        </w:rPr>
      </w:pPr>
    </w:p>
    <w:p w14:paraId="2B981B00" w14:textId="77777777" w:rsidR="006823FE" w:rsidRDefault="006823FE" w:rsidP="00340DF1">
      <w:pPr>
        <w:spacing w:line="360" w:lineRule="auto"/>
        <w:jc w:val="both"/>
        <w:rPr>
          <w:rFonts w:eastAsia="Calibri"/>
          <w:noProof/>
          <w:color w:val="4C4747"/>
          <w:lang w:val="es-DO"/>
        </w:rPr>
      </w:pPr>
    </w:p>
    <w:p w14:paraId="026A11C8" w14:textId="77777777" w:rsidR="006823FE" w:rsidRDefault="006823FE" w:rsidP="00340DF1">
      <w:pPr>
        <w:spacing w:line="360" w:lineRule="auto"/>
        <w:jc w:val="both"/>
        <w:rPr>
          <w:rFonts w:eastAsia="Calibri"/>
          <w:noProof/>
          <w:color w:val="4C4747"/>
          <w:lang w:val="es-DO"/>
        </w:rPr>
      </w:pPr>
    </w:p>
    <w:p w14:paraId="31DD7FCE" w14:textId="77777777" w:rsidR="006823FE" w:rsidRDefault="006823FE" w:rsidP="00340DF1">
      <w:pPr>
        <w:spacing w:line="360" w:lineRule="auto"/>
        <w:jc w:val="both"/>
        <w:rPr>
          <w:rFonts w:eastAsia="Calibri"/>
          <w:noProof/>
          <w:color w:val="4C4747"/>
          <w:lang w:val="es-DO"/>
        </w:rPr>
      </w:pPr>
    </w:p>
    <w:p w14:paraId="619AA058" w14:textId="77777777" w:rsidR="006823FE" w:rsidRDefault="006823FE" w:rsidP="00340DF1">
      <w:pPr>
        <w:spacing w:line="360" w:lineRule="auto"/>
        <w:jc w:val="both"/>
        <w:rPr>
          <w:rFonts w:eastAsia="Calibri"/>
          <w:noProof/>
          <w:color w:val="4C4747"/>
          <w:lang w:val="es-DO"/>
        </w:rPr>
      </w:pPr>
    </w:p>
    <w:p w14:paraId="7CAC8E4A" w14:textId="77777777" w:rsidR="006823FE" w:rsidRDefault="006823FE" w:rsidP="00340DF1">
      <w:pPr>
        <w:spacing w:line="360" w:lineRule="auto"/>
        <w:jc w:val="both"/>
        <w:rPr>
          <w:rFonts w:eastAsia="Calibri"/>
          <w:noProof/>
          <w:color w:val="4C4747"/>
          <w:lang w:val="es-DO"/>
        </w:rPr>
      </w:pPr>
    </w:p>
    <w:p w14:paraId="3EDFAA15" w14:textId="77777777" w:rsidR="006823FE" w:rsidRDefault="006823FE" w:rsidP="00340DF1">
      <w:pPr>
        <w:spacing w:line="360" w:lineRule="auto"/>
        <w:jc w:val="both"/>
        <w:rPr>
          <w:rFonts w:eastAsia="Calibri"/>
          <w:noProof/>
          <w:color w:val="4C4747"/>
          <w:lang w:val="es-DO"/>
        </w:rPr>
      </w:pPr>
    </w:p>
    <w:p w14:paraId="1266CB35" w14:textId="77777777" w:rsidR="006823FE" w:rsidRDefault="006823FE" w:rsidP="00340DF1">
      <w:pPr>
        <w:spacing w:line="360" w:lineRule="auto"/>
        <w:jc w:val="both"/>
        <w:rPr>
          <w:rFonts w:eastAsia="Calibri"/>
          <w:noProof/>
          <w:color w:val="4C4747"/>
          <w:lang w:val="es-DO"/>
        </w:rPr>
      </w:pPr>
    </w:p>
    <w:p w14:paraId="191CDD28" w14:textId="77777777" w:rsidR="00851221" w:rsidRDefault="00851221" w:rsidP="00340DF1">
      <w:pPr>
        <w:spacing w:line="360" w:lineRule="auto"/>
        <w:jc w:val="both"/>
        <w:rPr>
          <w:rFonts w:eastAsia="Calibri"/>
          <w:noProof/>
          <w:color w:val="4C4747"/>
          <w:lang w:val="es-DO"/>
        </w:rPr>
      </w:pPr>
    </w:p>
    <w:p w14:paraId="6D690888" w14:textId="71E8AEC6" w:rsidR="0035429F" w:rsidRPr="0058331C" w:rsidRDefault="00967739" w:rsidP="00340DF1">
      <w:pPr>
        <w:pStyle w:val="Ttulo1"/>
        <w:rPr>
          <w:rFonts w:cs="Times New Roman"/>
          <w:color w:val="4C4747"/>
          <w:lang w:val="es-DO"/>
        </w:rPr>
      </w:pPr>
      <w:bookmarkStart w:id="14" w:name="_Toc217035436"/>
      <w:bookmarkStart w:id="15" w:name="_Hlk216908818"/>
      <w:r w:rsidRPr="0058331C">
        <w:rPr>
          <w:rFonts w:cs="Times New Roman"/>
          <w:color w:val="4C4747"/>
          <w:lang w:val="es-DO"/>
        </w:rPr>
        <w:lastRenderedPageBreak/>
        <w:t xml:space="preserve">SERVICIO AL CIUDADANO Y </w:t>
      </w:r>
      <w:r w:rsidR="00485B71" w:rsidRPr="0058331C">
        <w:rPr>
          <w:rFonts w:cs="Times New Roman"/>
          <w:color w:val="4C4747"/>
          <w:lang w:val="es-DO"/>
        </w:rPr>
        <w:t>TRANSPARENCIA INSTITUCIONAL</w:t>
      </w:r>
      <w:bookmarkEnd w:id="14"/>
    </w:p>
    <w:bookmarkEnd w:id="15"/>
    <w:p w14:paraId="7179426A" w14:textId="77777777" w:rsidR="0035429F" w:rsidRPr="0058331C" w:rsidRDefault="0035429F" w:rsidP="00340DF1">
      <w:pPr>
        <w:spacing w:line="360" w:lineRule="auto"/>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8257"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FD9E0" id="Straight Connector 3"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0F4DC9A9" w:rsidR="0035429F" w:rsidRPr="0050380F" w:rsidRDefault="0035429F" w:rsidP="00340DF1">
      <w:pPr>
        <w:spacing w:line="360" w:lineRule="auto"/>
        <w:jc w:val="center"/>
        <w:rPr>
          <w:rFonts w:eastAsia="Calibri"/>
          <w:color w:val="4C4747"/>
          <w:szCs w:val="36"/>
          <w:lang w:val="es-DO"/>
        </w:rPr>
      </w:pPr>
      <w:r w:rsidRPr="0050380F">
        <w:rPr>
          <w:rFonts w:eastAsia="Calibri"/>
          <w:color w:val="4C4747"/>
          <w:szCs w:val="36"/>
          <w:lang w:val="es-DO"/>
        </w:rPr>
        <w:t xml:space="preserve">Memoria </w:t>
      </w:r>
      <w:r w:rsidR="009547F0" w:rsidRPr="0050380F">
        <w:rPr>
          <w:rFonts w:eastAsia="Calibri"/>
          <w:color w:val="4C4747"/>
          <w:szCs w:val="36"/>
          <w:lang w:val="es-DO"/>
        </w:rPr>
        <w:t>I</w:t>
      </w:r>
      <w:r w:rsidRPr="0050380F">
        <w:rPr>
          <w:rFonts w:eastAsia="Calibri"/>
          <w:color w:val="4C4747"/>
          <w:szCs w:val="36"/>
          <w:lang w:val="es-DO"/>
        </w:rPr>
        <w:t xml:space="preserve">nstitucional </w:t>
      </w:r>
      <w:r w:rsidR="007471AC" w:rsidRPr="0050380F">
        <w:rPr>
          <w:rFonts w:eastAsia="Calibri"/>
          <w:color w:val="4C4747"/>
          <w:szCs w:val="36"/>
          <w:lang w:val="es-DO"/>
        </w:rPr>
        <w:t>202</w:t>
      </w:r>
      <w:r w:rsidR="0051332F" w:rsidRPr="0050380F">
        <w:rPr>
          <w:rFonts w:eastAsia="Calibri"/>
          <w:color w:val="4C4747"/>
          <w:szCs w:val="36"/>
          <w:lang w:val="es-DO"/>
        </w:rPr>
        <w:t>5</w:t>
      </w:r>
    </w:p>
    <w:p w14:paraId="1666AECE" w14:textId="77777777" w:rsidR="0035429F" w:rsidRPr="0050380F" w:rsidRDefault="0035429F" w:rsidP="00340DF1">
      <w:pPr>
        <w:pStyle w:val="Ttulo2"/>
        <w:spacing w:line="360" w:lineRule="auto"/>
        <w:rPr>
          <w:lang w:val="es-DO"/>
        </w:rPr>
      </w:pPr>
    </w:p>
    <w:p w14:paraId="055BF74C" w14:textId="14875073" w:rsidR="000D28D7" w:rsidRDefault="000D28D7" w:rsidP="00340DF1">
      <w:pPr>
        <w:pStyle w:val="Ttulo2"/>
        <w:spacing w:line="360" w:lineRule="auto"/>
        <w:rPr>
          <w:noProof/>
          <w:lang w:val="es-DO"/>
        </w:rPr>
      </w:pPr>
      <w:bookmarkStart w:id="16" w:name="_Toc217035437"/>
      <w:r w:rsidRPr="000D28D7">
        <w:rPr>
          <w:noProof/>
          <w:lang w:val="es-DO"/>
        </w:rPr>
        <w:t>5.1 Nive</w:t>
      </w:r>
      <w:r>
        <w:rPr>
          <w:noProof/>
          <w:lang w:val="es-DO"/>
        </w:rPr>
        <w:t>l de satisfacción con el servicio</w:t>
      </w:r>
      <w:bookmarkEnd w:id="16"/>
      <w:r>
        <w:rPr>
          <w:noProof/>
          <w:lang w:val="es-DO"/>
        </w:rPr>
        <w:t xml:space="preserve"> </w:t>
      </w:r>
    </w:p>
    <w:p w14:paraId="0C0C1AFA" w14:textId="77777777" w:rsidR="00B93B52" w:rsidRDefault="00B93B52" w:rsidP="00340DF1">
      <w:pPr>
        <w:spacing w:line="360" w:lineRule="auto"/>
        <w:rPr>
          <w:lang w:val="es-DO"/>
        </w:rPr>
      </w:pPr>
    </w:p>
    <w:p w14:paraId="589CB1D8" w14:textId="3CF28DB2" w:rsidR="005E5F06" w:rsidRPr="006945E0" w:rsidRDefault="005E5F06" w:rsidP="00340DF1">
      <w:pPr>
        <w:spacing w:line="360" w:lineRule="auto"/>
        <w:jc w:val="both"/>
        <w:rPr>
          <w:rFonts w:eastAsia="Calibri"/>
          <w:noProof/>
          <w:color w:val="4C4747"/>
          <w:lang w:val="es-DO"/>
        </w:rPr>
      </w:pPr>
      <w:r w:rsidRPr="006945E0">
        <w:rPr>
          <w:rFonts w:eastAsia="Calibri"/>
          <w:noProof/>
          <w:color w:val="4C4747"/>
          <w:lang w:val="es-DO"/>
        </w:rPr>
        <w:t>En cuanto al nivel de satisfacción con los servicios prestados, a finales del 2024 fue aprobada nuestra Carta Compromiso, una vez completados los 11 requisitos establecidos por el Ministerio de Administración Pública (MAP).</w:t>
      </w:r>
    </w:p>
    <w:p w14:paraId="7AF0E2A7" w14:textId="1F816B5E" w:rsidR="000A7854" w:rsidRPr="006945E0" w:rsidRDefault="000A7854" w:rsidP="00340DF1">
      <w:pPr>
        <w:spacing w:line="360" w:lineRule="auto"/>
        <w:jc w:val="both"/>
        <w:rPr>
          <w:rFonts w:eastAsia="Calibri"/>
          <w:noProof/>
          <w:color w:val="4C4747"/>
          <w:lang w:val="es-DO"/>
        </w:rPr>
      </w:pPr>
      <w:r w:rsidRPr="006945E0">
        <w:rPr>
          <w:rFonts w:eastAsia="Calibri"/>
          <w:noProof/>
          <w:color w:val="4C4747"/>
          <w:lang w:val="es-DO"/>
        </w:rPr>
        <w:t xml:space="preserve">Durante </w:t>
      </w:r>
      <w:r w:rsidRPr="00C332C7">
        <w:rPr>
          <w:rFonts w:eastAsia="Calibri"/>
          <w:noProof/>
          <w:color w:val="4C4747"/>
          <w:lang w:val="es-DO"/>
        </w:rPr>
        <w:t xml:space="preserve">el período comprendido entre diciembre de 2024 y </w:t>
      </w:r>
      <w:r w:rsidR="009E6E8D" w:rsidRPr="00C332C7">
        <w:rPr>
          <w:rFonts w:eastAsia="Calibri"/>
          <w:noProof/>
          <w:color w:val="4C4747"/>
          <w:lang w:val="es-DO"/>
        </w:rPr>
        <w:t>noviembre</w:t>
      </w:r>
      <w:r w:rsidRPr="00C332C7">
        <w:rPr>
          <w:rFonts w:eastAsia="Calibri"/>
          <w:noProof/>
          <w:color w:val="4C4747"/>
          <w:lang w:val="es-DO"/>
        </w:rPr>
        <w:t xml:space="preserve"> de 202</w:t>
      </w:r>
      <w:r w:rsidR="009E6E8D" w:rsidRPr="00C332C7">
        <w:rPr>
          <w:rFonts w:eastAsia="Calibri"/>
          <w:noProof/>
          <w:color w:val="4C4747"/>
          <w:lang w:val="es-DO"/>
        </w:rPr>
        <w:t>5</w:t>
      </w:r>
      <w:r w:rsidRPr="00C332C7">
        <w:rPr>
          <w:rFonts w:eastAsia="Calibri"/>
          <w:noProof/>
          <w:color w:val="4C4747"/>
          <w:lang w:val="es-DO"/>
        </w:rPr>
        <w:t xml:space="preserve"> se evaluaron los servicios establecidos en la Carta Compromiso, obteniendo un nivel de cumplimiento del 100% en todos los indicadores.</w:t>
      </w:r>
      <w:r w:rsidR="006B7977" w:rsidRPr="00C332C7">
        <w:rPr>
          <w:rFonts w:eastAsia="Calibri"/>
          <w:noProof/>
          <w:color w:val="4C4747"/>
          <w:lang w:val="es-DO"/>
        </w:rPr>
        <w:t xml:space="preserve"> En relaciona </w:t>
      </w:r>
      <w:r w:rsidR="00475717" w:rsidRPr="00C332C7">
        <w:rPr>
          <w:rFonts w:eastAsia="Calibri"/>
          <w:noProof/>
          <w:color w:val="4C4747"/>
          <w:lang w:val="es-DO"/>
        </w:rPr>
        <w:t>la</w:t>
      </w:r>
      <w:r w:rsidR="001E27B7" w:rsidRPr="00C332C7">
        <w:rPr>
          <w:rFonts w:eastAsia="Calibri"/>
          <w:noProof/>
          <w:color w:val="4C4747"/>
          <w:lang w:val="es-DO"/>
        </w:rPr>
        <w:t>s</w:t>
      </w:r>
      <w:r w:rsidR="00475717" w:rsidRPr="00C332C7">
        <w:rPr>
          <w:rFonts w:eastAsia="Calibri"/>
          <w:noProof/>
          <w:color w:val="4C4747"/>
          <w:lang w:val="es-DO"/>
        </w:rPr>
        <w:t xml:space="preserve"> auditoria</w:t>
      </w:r>
      <w:r w:rsidR="001E27B7" w:rsidRPr="00C332C7">
        <w:rPr>
          <w:rFonts w:eastAsia="Calibri"/>
          <w:noProof/>
          <w:color w:val="4C4747"/>
          <w:lang w:val="es-DO"/>
        </w:rPr>
        <w:t>s</w:t>
      </w:r>
      <w:r w:rsidR="00475717" w:rsidRPr="00C332C7">
        <w:rPr>
          <w:rFonts w:eastAsia="Calibri"/>
          <w:noProof/>
          <w:color w:val="4C4747"/>
          <w:lang w:val="es-DO"/>
        </w:rPr>
        <w:t xml:space="preserve"> o evaluaci</w:t>
      </w:r>
      <w:r w:rsidR="001E27B7" w:rsidRPr="00C332C7">
        <w:rPr>
          <w:rFonts w:eastAsia="Calibri"/>
          <w:noProof/>
          <w:color w:val="4C4747"/>
          <w:lang w:val="es-DO"/>
        </w:rPr>
        <w:t>ones</w:t>
      </w:r>
      <w:r w:rsidR="00475717" w:rsidRPr="00C332C7">
        <w:rPr>
          <w:rFonts w:eastAsia="Calibri"/>
          <w:noProof/>
          <w:color w:val="4C4747"/>
          <w:lang w:val="es-DO"/>
        </w:rPr>
        <w:t xml:space="preserve"> </w:t>
      </w:r>
      <w:r w:rsidR="001E27B7" w:rsidRPr="00C332C7">
        <w:rPr>
          <w:rFonts w:eastAsia="Calibri"/>
          <w:noProof/>
          <w:color w:val="4C4747"/>
          <w:lang w:val="es-DO"/>
        </w:rPr>
        <w:t xml:space="preserve">realizadas por el MAP </w:t>
      </w:r>
      <w:r w:rsidR="00475717" w:rsidRPr="00C332C7">
        <w:rPr>
          <w:rFonts w:eastAsia="Calibri"/>
          <w:noProof/>
          <w:color w:val="4C4747"/>
          <w:lang w:val="es-DO"/>
        </w:rPr>
        <w:t>correspondientes a los</w:t>
      </w:r>
      <w:r w:rsidR="003238AB" w:rsidRPr="00C332C7">
        <w:rPr>
          <w:rFonts w:eastAsia="Calibri"/>
          <w:noProof/>
          <w:color w:val="4C4747"/>
          <w:lang w:val="es-DO"/>
        </w:rPr>
        <w:t xml:space="preserve"> primeros</w:t>
      </w:r>
      <w:r w:rsidR="00475717" w:rsidRPr="00C332C7">
        <w:rPr>
          <w:rFonts w:eastAsia="Calibri"/>
          <w:noProof/>
          <w:color w:val="4C4747"/>
          <w:lang w:val="es-DO"/>
        </w:rPr>
        <w:t xml:space="preserve"> seis meses (6) y al primer año</w:t>
      </w:r>
      <w:r w:rsidR="00E2543B" w:rsidRPr="00C332C7">
        <w:rPr>
          <w:rFonts w:eastAsia="Calibri"/>
          <w:noProof/>
          <w:color w:val="4C4747"/>
          <w:lang w:val="es-DO"/>
        </w:rPr>
        <w:t xml:space="preserve"> </w:t>
      </w:r>
      <w:r w:rsidR="001E27B7" w:rsidRPr="00C332C7">
        <w:rPr>
          <w:rFonts w:eastAsia="Calibri"/>
          <w:noProof/>
          <w:color w:val="4C4747"/>
          <w:lang w:val="es-DO"/>
        </w:rPr>
        <w:t xml:space="preserve">de ejecucion CCC </w:t>
      </w:r>
      <w:r w:rsidR="00515C66" w:rsidRPr="00C332C7">
        <w:rPr>
          <w:rFonts w:eastAsia="Calibri"/>
          <w:noProof/>
          <w:color w:val="4C4747"/>
          <w:lang w:val="es-DO"/>
        </w:rPr>
        <w:t xml:space="preserve">no </w:t>
      </w:r>
      <w:r w:rsidR="00C00946" w:rsidRPr="00C332C7">
        <w:rPr>
          <w:rFonts w:eastAsia="Calibri"/>
          <w:noProof/>
          <w:color w:val="4C4747"/>
          <w:lang w:val="es-DO"/>
        </w:rPr>
        <w:t xml:space="preserve">evidenciaron oportunidades </w:t>
      </w:r>
      <w:r w:rsidR="00515C66" w:rsidRPr="00C332C7">
        <w:rPr>
          <w:rFonts w:eastAsia="Calibri"/>
          <w:noProof/>
          <w:color w:val="4C4747"/>
          <w:lang w:val="es-DO"/>
        </w:rPr>
        <w:t>de mejora</w:t>
      </w:r>
      <w:r w:rsidR="00E07338" w:rsidRPr="00C332C7">
        <w:rPr>
          <w:rFonts w:eastAsia="Calibri"/>
          <w:noProof/>
          <w:color w:val="4C4747"/>
          <w:lang w:val="es-DO"/>
        </w:rPr>
        <w:t xml:space="preserve"> y resaltaron como puntos </w:t>
      </w:r>
      <w:r w:rsidR="004B4B02" w:rsidRPr="00C332C7">
        <w:rPr>
          <w:rFonts w:eastAsia="Calibri"/>
          <w:noProof/>
          <w:color w:val="4C4747"/>
          <w:lang w:val="es-DO"/>
        </w:rPr>
        <w:t>fuertes qu</w:t>
      </w:r>
      <w:r w:rsidR="00E07338" w:rsidRPr="00C332C7">
        <w:rPr>
          <w:rFonts w:eastAsia="Calibri"/>
          <w:noProof/>
          <w:color w:val="4C4747"/>
          <w:lang w:val="es-DO"/>
        </w:rPr>
        <w:t>e evidenci</w:t>
      </w:r>
      <w:r w:rsidR="0073327A" w:rsidRPr="00C332C7">
        <w:rPr>
          <w:rFonts w:eastAsia="Calibri"/>
          <w:noProof/>
          <w:color w:val="4C4747"/>
          <w:lang w:val="es-DO"/>
        </w:rPr>
        <w:t>a</w:t>
      </w:r>
      <w:r w:rsidR="009C0BC5" w:rsidRPr="00C332C7">
        <w:rPr>
          <w:rFonts w:eastAsia="Calibri"/>
          <w:noProof/>
          <w:color w:val="4C4747"/>
          <w:lang w:val="es-DO"/>
        </w:rPr>
        <w:t>ron como</w:t>
      </w:r>
      <w:r w:rsidR="00E07338" w:rsidRPr="00C332C7">
        <w:rPr>
          <w:rFonts w:eastAsia="Calibri"/>
          <w:noProof/>
          <w:color w:val="4C4747"/>
          <w:lang w:val="es-DO"/>
        </w:rPr>
        <w:t xml:space="preserve"> un buen manejo y seguimiento de las vías incluidas en el apartado de formas de comunicación y participación</w:t>
      </w:r>
      <w:r w:rsidR="004B4B02" w:rsidRPr="00C332C7">
        <w:rPr>
          <w:rFonts w:eastAsia="Calibri"/>
          <w:noProof/>
          <w:color w:val="4C4747"/>
          <w:lang w:val="es-DO"/>
        </w:rPr>
        <w:t xml:space="preserve">; </w:t>
      </w:r>
      <w:r w:rsidR="00E07338" w:rsidRPr="00C332C7">
        <w:rPr>
          <w:rFonts w:eastAsia="Calibri"/>
          <w:noProof/>
          <w:color w:val="4C4747"/>
          <w:lang w:val="es-DO"/>
        </w:rPr>
        <w:t>Transparencia en el Portal Web: Se ha cumplido con la publicación en el portal web institucional de: Brochure divulgativo</w:t>
      </w:r>
      <w:r w:rsidR="004B4B02" w:rsidRPr="00C332C7">
        <w:rPr>
          <w:rFonts w:eastAsia="Calibri"/>
          <w:noProof/>
          <w:color w:val="4C4747"/>
          <w:lang w:val="es-DO"/>
        </w:rPr>
        <w:t xml:space="preserve"> y lo r</w:t>
      </w:r>
      <w:r w:rsidR="00E07338" w:rsidRPr="00C332C7">
        <w:rPr>
          <w:rFonts w:eastAsia="Calibri"/>
          <w:noProof/>
          <w:color w:val="4C4747"/>
          <w:lang w:val="es-DO"/>
        </w:rPr>
        <w:t>esultados de las mediciones de encuestas de satisfacción, tiempo de respuestas y de quejas y sugerencias.</w:t>
      </w:r>
      <w:r w:rsidR="00C243BF" w:rsidRPr="00C332C7">
        <w:rPr>
          <w:rFonts w:eastAsia="Calibri"/>
          <w:noProof/>
          <w:color w:val="4C4747"/>
          <w:lang w:val="es-DO"/>
        </w:rPr>
        <w:t>,</w:t>
      </w:r>
      <w:r w:rsidR="004B4B02" w:rsidRPr="00C332C7">
        <w:rPr>
          <w:rFonts w:eastAsia="Calibri"/>
          <w:noProof/>
          <w:color w:val="4C4747"/>
          <w:lang w:val="es-DO"/>
        </w:rPr>
        <w:t xml:space="preserve"> entre otros as</w:t>
      </w:r>
      <w:r w:rsidR="00B363A1" w:rsidRPr="00C332C7">
        <w:rPr>
          <w:rFonts w:eastAsia="Calibri"/>
          <w:noProof/>
          <w:color w:val="4C4747"/>
          <w:lang w:val="es-DO"/>
        </w:rPr>
        <w:t xml:space="preserve">pectos que </w:t>
      </w:r>
      <w:r w:rsidR="00C243BF" w:rsidRPr="00C332C7">
        <w:rPr>
          <w:rFonts w:eastAsia="Calibri"/>
          <w:noProof/>
          <w:color w:val="4C4747"/>
          <w:lang w:val="es-DO"/>
        </w:rPr>
        <w:t>confirma</w:t>
      </w:r>
      <w:r w:rsidR="009C0BC5" w:rsidRPr="00C332C7">
        <w:rPr>
          <w:rFonts w:eastAsia="Calibri"/>
          <w:noProof/>
          <w:color w:val="4C4747"/>
          <w:lang w:val="es-DO"/>
        </w:rPr>
        <w:t>n</w:t>
      </w:r>
      <w:r w:rsidR="00BB0C22" w:rsidRPr="00C332C7">
        <w:rPr>
          <w:rFonts w:eastAsia="Calibri"/>
          <w:noProof/>
          <w:color w:val="4C4747"/>
          <w:lang w:val="es-DO"/>
        </w:rPr>
        <w:t xml:space="preserve"> </w:t>
      </w:r>
      <w:r w:rsidR="003D3E51" w:rsidRPr="00C332C7">
        <w:rPr>
          <w:rFonts w:eastAsia="Calibri"/>
          <w:noProof/>
          <w:color w:val="4C4747"/>
          <w:lang w:val="es-DO"/>
        </w:rPr>
        <w:t>el compromiso asumido por Pro Competencia</w:t>
      </w:r>
      <w:r w:rsidR="00DE64D0" w:rsidRPr="00C332C7">
        <w:rPr>
          <w:rFonts w:eastAsia="Calibri"/>
          <w:noProof/>
          <w:color w:val="4C4747"/>
          <w:lang w:val="es-DO"/>
        </w:rPr>
        <w:t>.</w:t>
      </w:r>
    </w:p>
    <w:p w14:paraId="063407B3" w14:textId="77777777" w:rsidR="000A7854" w:rsidRPr="006945E0" w:rsidRDefault="000A7854" w:rsidP="00340DF1">
      <w:pPr>
        <w:spacing w:line="360" w:lineRule="auto"/>
        <w:jc w:val="both"/>
        <w:rPr>
          <w:rFonts w:eastAsia="Calibri"/>
          <w:noProof/>
          <w:color w:val="4C4747"/>
          <w:lang w:val="es-DO"/>
        </w:rPr>
      </w:pPr>
      <w:r w:rsidRPr="006945E0">
        <w:rPr>
          <w:rFonts w:eastAsia="Calibri"/>
          <w:noProof/>
          <w:color w:val="4C4747"/>
          <w:lang w:val="es-DO"/>
        </w:rPr>
        <w:t xml:space="preserve">En el Servicio de Denuncia, el cumplimiento del plazo de respuesta de 30 días fue del 100% en los tres trimestres evaluados. En los dos primeros trimestres no se presentaron denuncias, mientras que en el </w:t>
      </w:r>
      <w:r w:rsidRPr="006945E0">
        <w:rPr>
          <w:rFonts w:eastAsia="Calibri"/>
          <w:noProof/>
          <w:color w:val="4C4747"/>
          <w:lang w:val="es-DO"/>
        </w:rPr>
        <w:lastRenderedPageBreak/>
        <w:t>tercero se recibió una denuncia que fue atendida dentro del plazo establecido.</w:t>
      </w:r>
    </w:p>
    <w:p w14:paraId="15180837" w14:textId="77777777" w:rsidR="000A7854" w:rsidRPr="006945E0" w:rsidRDefault="000A7854" w:rsidP="00340DF1">
      <w:pPr>
        <w:spacing w:line="360" w:lineRule="auto"/>
        <w:jc w:val="both"/>
        <w:rPr>
          <w:rFonts w:eastAsia="Calibri"/>
          <w:noProof/>
          <w:color w:val="4C4747"/>
          <w:lang w:val="es-DO"/>
        </w:rPr>
      </w:pPr>
      <w:r w:rsidRPr="006945E0">
        <w:rPr>
          <w:rFonts w:eastAsia="Calibri"/>
          <w:noProof/>
          <w:color w:val="4C4747"/>
          <w:lang w:val="es-DO"/>
        </w:rPr>
        <w:t>Respecto al Servicio de Capacitaciones y Actividades Educativas, los niveles de satisfacción en cuanto a accesibilidad, amabilidad y profesionalidad alcanzaron el 100% de valoración positiva en todos los trimestres, lo que evidencia una percepción altamente favorable por parte de los solicitantes.</w:t>
      </w:r>
    </w:p>
    <w:p w14:paraId="55FFE392" w14:textId="77777777" w:rsidR="000A7854" w:rsidRPr="006945E0" w:rsidRDefault="000A7854" w:rsidP="00340DF1">
      <w:pPr>
        <w:spacing w:line="360" w:lineRule="auto"/>
        <w:jc w:val="both"/>
        <w:rPr>
          <w:rFonts w:eastAsia="Calibri"/>
          <w:noProof/>
          <w:color w:val="4C4747"/>
          <w:lang w:val="es-DO"/>
        </w:rPr>
      </w:pPr>
      <w:r w:rsidRPr="006945E0">
        <w:rPr>
          <w:rFonts w:eastAsia="Calibri"/>
          <w:noProof/>
          <w:color w:val="4C4747"/>
          <w:lang w:val="es-DO"/>
        </w:rPr>
        <w:t>En el Servicio de Informes de Recomendación No Vinculantes, se mantuvo un nivel de satisfacción del 100% en los aspectos de fiabilidad y profesionalidad. Cabe destacar que en los dos últimos trimestres no se recibieron solicitudes de este tipo de informes, por lo que el cumplimiento se mantuvo conforme a lo establecido.</w:t>
      </w:r>
    </w:p>
    <w:p w14:paraId="54CA3DB7" w14:textId="77777777" w:rsidR="000A7854" w:rsidRPr="006945E0" w:rsidRDefault="000A7854" w:rsidP="00340DF1">
      <w:pPr>
        <w:spacing w:line="360" w:lineRule="auto"/>
        <w:jc w:val="both"/>
        <w:rPr>
          <w:rFonts w:eastAsia="Calibri"/>
          <w:noProof/>
          <w:color w:val="4C4747"/>
          <w:lang w:val="es-DO"/>
        </w:rPr>
      </w:pPr>
      <w:r w:rsidRPr="006945E0">
        <w:rPr>
          <w:rFonts w:eastAsia="Calibri"/>
          <w:noProof/>
          <w:color w:val="4C4747"/>
          <w:lang w:val="es-DO"/>
        </w:rPr>
        <w:t>Finalmente, en las Quejas y/o Sugerencias, la atención y respuesta dentro del plazo de 15 días se cumplió en un 100%. En el segundo trimestre se recibieron dos quejas, las cuales fueron atendidas oportunamente, mientras que en los demás períodos no se presentaron casos.</w:t>
      </w:r>
    </w:p>
    <w:p w14:paraId="6DAE81F9" w14:textId="77777777" w:rsidR="000A7854" w:rsidRDefault="000A7854" w:rsidP="00340DF1">
      <w:pPr>
        <w:spacing w:line="360" w:lineRule="auto"/>
        <w:jc w:val="both"/>
        <w:rPr>
          <w:rFonts w:eastAsia="Calibri"/>
          <w:noProof/>
          <w:color w:val="4C4747"/>
          <w:lang w:val="es-DO"/>
        </w:rPr>
      </w:pPr>
      <w:r w:rsidRPr="006945E0">
        <w:rPr>
          <w:rFonts w:eastAsia="Calibri"/>
          <w:noProof/>
          <w:color w:val="4C4747"/>
          <w:lang w:val="es-DO"/>
        </w:rPr>
        <w:t>En conclusión, los resultados reflejan un desempeño óptimo en todos los servicios evaluados, garantizando el cumplimiento de los compromisos asumidos y la satisfacción de los usuarios.</w:t>
      </w:r>
    </w:p>
    <w:p w14:paraId="75995F61" w14:textId="77777777" w:rsidR="006A3021" w:rsidRDefault="006A3021" w:rsidP="00340DF1">
      <w:pPr>
        <w:spacing w:line="360" w:lineRule="auto"/>
        <w:jc w:val="both"/>
        <w:rPr>
          <w:rFonts w:eastAsia="Calibri"/>
          <w:noProof/>
          <w:color w:val="4C4747"/>
          <w:lang w:val="es-DO"/>
        </w:rPr>
      </w:pPr>
    </w:p>
    <w:p w14:paraId="17BE3C0B" w14:textId="77777777" w:rsidR="006A3021" w:rsidRDefault="006A3021" w:rsidP="00340DF1">
      <w:pPr>
        <w:spacing w:line="360" w:lineRule="auto"/>
        <w:jc w:val="both"/>
        <w:rPr>
          <w:rFonts w:eastAsia="Calibri"/>
          <w:noProof/>
          <w:color w:val="4C4747"/>
          <w:lang w:val="es-DO"/>
        </w:rPr>
      </w:pPr>
    </w:p>
    <w:p w14:paraId="6FA99149" w14:textId="77777777" w:rsidR="006A3021" w:rsidRDefault="006A3021" w:rsidP="00340DF1">
      <w:pPr>
        <w:spacing w:line="360" w:lineRule="auto"/>
        <w:jc w:val="both"/>
        <w:rPr>
          <w:rFonts w:eastAsia="Calibri"/>
          <w:noProof/>
          <w:color w:val="4C4747"/>
          <w:lang w:val="es-DO"/>
        </w:rPr>
      </w:pPr>
    </w:p>
    <w:p w14:paraId="07E4BF69" w14:textId="77777777" w:rsidR="006A3021" w:rsidRDefault="006A3021" w:rsidP="00340DF1">
      <w:pPr>
        <w:spacing w:line="360" w:lineRule="auto"/>
        <w:jc w:val="both"/>
        <w:rPr>
          <w:rFonts w:eastAsia="Calibri"/>
          <w:noProof/>
          <w:color w:val="4C4747"/>
          <w:lang w:val="es-DO"/>
        </w:rPr>
      </w:pPr>
    </w:p>
    <w:p w14:paraId="4313FDFA" w14:textId="77777777" w:rsidR="006A3021" w:rsidRDefault="006A3021" w:rsidP="00340DF1">
      <w:pPr>
        <w:spacing w:line="360" w:lineRule="auto"/>
        <w:jc w:val="both"/>
        <w:rPr>
          <w:rFonts w:eastAsia="Calibri"/>
          <w:noProof/>
          <w:color w:val="4C4747"/>
          <w:lang w:val="es-DO"/>
        </w:rPr>
      </w:pPr>
    </w:p>
    <w:p w14:paraId="20D6BBF4" w14:textId="77777777" w:rsidR="006A3021" w:rsidRDefault="006A3021" w:rsidP="00340DF1">
      <w:pPr>
        <w:spacing w:line="360" w:lineRule="auto"/>
        <w:jc w:val="both"/>
        <w:rPr>
          <w:rFonts w:eastAsia="Calibri"/>
          <w:noProof/>
          <w:color w:val="4C4747"/>
          <w:lang w:val="es-DO"/>
        </w:rPr>
      </w:pPr>
    </w:p>
    <w:p w14:paraId="227A4EC7" w14:textId="77777777" w:rsidR="006A3021" w:rsidRDefault="006A3021" w:rsidP="00340DF1">
      <w:pPr>
        <w:spacing w:line="360" w:lineRule="auto"/>
        <w:jc w:val="both"/>
        <w:rPr>
          <w:rFonts w:eastAsia="Calibri"/>
          <w:noProof/>
          <w:color w:val="4C4747"/>
          <w:lang w:val="es-DO"/>
        </w:rPr>
      </w:pPr>
    </w:p>
    <w:p w14:paraId="5CE5F8F9" w14:textId="77777777" w:rsidR="006A3021" w:rsidRDefault="006A3021" w:rsidP="00340DF1">
      <w:pPr>
        <w:spacing w:line="360" w:lineRule="auto"/>
        <w:jc w:val="both"/>
        <w:rPr>
          <w:rFonts w:eastAsia="Calibri"/>
          <w:noProof/>
          <w:color w:val="4C4747"/>
          <w:lang w:val="es-DO"/>
        </w:rPr>
      </w:pPr>
    </w:p>
    <w:p w14:paraId="193D039E" w14:textId="45A8F251" w:rsidR="000D28D7" w:rsidRDefault="000D28D7" w:rsidP="00340DF1">
      <w:pPr>
        <w:pStyle w:val="Ttulo2"/>
        <w:spacing w:line="360" w:lineRule="auto"/>
        <w:rPr>
          <w:noProof/>
          <w:lang w:val="es-DO"/>
        </w:rPr>
      </w:pPr>
      <w:bookmarkStart w:id="17" w:name="_Toc217035438"/>
      <w:r>
        <w:rPr>
          <w:noProof/>
          <w:lang w:val="es-DO"/>
        </w:rPr>
        <w:t>5.2 Nivel de cumplimiento de acceso a la información</w:t>
      </w:r>
      <w:bookmarkEnd w:id="17"/>
      <w:r>
        <w:rPr>
          <w:noProof/>
          <w:lang w:val="es-DO"/>
        </w:rPr>
        <w:t xml:space="preserve"> </w:t>
      </w:r>
    </w:p>
    <w:p w14:paraId="0A4C8639" w14:textId="77777777" w:rsidR="00B94FB8" w:rsidRDefault="00B94FB8" w:rsidP="00340DF1">
      <w:pPr>
        <w:spacing w:line="360" w:lineRule="auto"/>
        <w:jc w:val="both"/>
        <w:rPr>
          <w:lang w:val="es-DO"/>
        </w:rPr>
      </w:pPr>
    </w:p>
    <w:p w14:paraId="3D0F0208" w14:textId="77777777" w:rsidR="00E93155" w:rsidRPr="006945E0" w:rsidRDefault="00E93155" w:rsidP="00340DF1">
      <w:pPr>
        <w:spacing w:line="360" w:lineRule="auto"/>
        <w:jc w:val="both"/>
        <w:rPr>
          <w:rFonts w:eastAsia="Calibri"/>
          <w:noProof/>
          <w:color w:val="4C4747"/>
          <w:lang w:val="es-DO"/>
        </w:rPr>
      </w:pPr>
      <w:r w:rsidRPr="006945E0">
        <w:rPr>
          <w:rFonts w:eastAsia="Calibri"/>
          <w:noProof/>
          <w:color w:val="4C4747"/>
          <w:lang w:val="es-DO"/>
        </w:rPr>
        <w:t>La Constitución de la República Dominicana reconoce, dentro del catálogo de derechos fundamentales, el libre acceso a la información pública, prerrogativa esencial en todo Estado social y democrático de derecho. En aras de garantizar su ejercicio efectivo, fue promulgada la Ley General de Libre Acceso a la Información Pública núm. 200-04, normativa que constituye la base sobre la cual se erige el andamiaje jurídico destinado a fortalecer la transparencia en la gestión y administración del erario público por parte de las instituciones del Estado, sean estas centralizadas, descentralizadas o autónomas.</w:t>
      </w:r>
    </w:p>
    <w:p w14:paraId="03CDD36A" w14:textId="77777777" w:rsidR="00E93155" w:rsidRPr="006945E0" w:rsidRDefault="00E93155" w:rsidP="00340DF1">
      <w:pPr>
        <w:spacing w:line="360" w:lineRule="auto"/>
        <w:jc w:val="both"/>
        <w:rPr>
          <w:rFonts w:eastAsia="Calibri"/>
          <w:noProof/>
          <w:color w:val="4C4747"/>
          <w:lang w:val="es-DO"/>
        </w:rPr>
      </w:pPr>
      <w:r w:rsidRPr="006945E0">
        <w:rPr>
          <w:rFonts w:eastAsia="Calibri"/>
          <w:noProof/>
          <w:color w:val="4C4747"/>
          <w:lang w:val="es-DO"/>
        </w:rPr>
        <w:t>En cumplimiento de los mandatos establecidos en dicha ley, y conforme a lo dispuesto en su Reglamento de Aplicación, contenido en el Decreto núm. 130-05, se crea la Oficina de Acceso a la Información (OAI), instancia responsable de asegurar la observancia del marco legal y de facilitar a la ciudadanía el acceso preciso, veraz y oportuno a las informaciones de carácter público. Su misión incluye brindar apoyo tanto a entidades públicas como a personas interesadas, garantizando que el flujo de información responda a los principios de transparencia, rendición de cuentas y buena administración.</w:t>
      </w:r>
    </w:p>
    <w:p w14:paraId="7A432848" w14:textId="77777777" w:rsidR="00B65688" w:rsidRPr="008C1227" w:rsidRDefault="00B65688" w:rsidP="00340DF1">
      <w:pPr>
        <w:spacing w:after="0" w:line="360" w:lineRule="auto"/>
        <w:jc w:val="both"/>
        <w:rPr>
          <w:rFonts w:eastAsia="Calibri"/>
          <w:noProof/>
          <w:color w:val="4C4747"/>
          <w:lang w:val="es-DO"/>
        </w:rPr>
      </w:pPr>
      <w:r w:rsidRPr="008C1227">
        <w:rPr>
          <w:rFonts w:eastAsia="Calibri"/>
          <w:noProof/>
          <w:color w:val="4C4747"/>
          <w:lang w:val="es-DO"/>
        </w:rPr>
        <w:t xml:space="preserve">Durante el año 2025, la Oficina de Acceso a la Información (OAI) recibió cuarenta (40) solicitudes de información al 30 de noviembre del año 2025, de estas, treinta y ocho (38) a través del Sistema Único de Solicitud de Información Pública (SAIP), y dos (2) mediante el correo electrónico de la Oficina de Libre Acceso a la Información (OAI), quedando solo una (1) pendiente de respuesta, siendo la población restante respondidas de conformidad con lo dispuesto en </w:t>
      </w:r>
      <w:r w:rsidRPr="008C1227">
        <w:rPr>
          <w:rFonts w:eastAsia="Calibri"/>
          <w:noProof/>
          <w:color w:val="4C4747"/>
          <w:lang w:val="es-DO"/>
        </w:rPr>
        <w:lastRenderedPageBreak/>
        <w:t xml:space="preserve">la Ley Núm. 200-04, cumpliendo así con los plazos señalados, y quedando el ciudadano debidamente notificado de la respuesta, según el medio utilizado para solicitar la misma. </w:t>
      </w:r>
    </w:p>
    <w:p w14:paraId="7D6D4A56" w14:textId="77777777" w:rsidR="00B65688" w:rsidRPr="008C1227" w:rsidRDefault="00B65688" w:rsidP="00340DF1">
      <w:pPr>
        <w:spacing w:after="0" w:line="360" w:lineRule="auto"/>
        <w:ind w:left="709"/>
        <w:jc w:val="both"/>
        <w:rPr>
          <w:rFonts w:eastAsia="Calibri"/>
          <w:noProof/>
          <w:color w:val="4C4747"/>
          <w:lang w:val="es-DO"/>
        </w:rPr>
      </w:pPr>
    </w:p>
    <w:p w14:paraId="1C2BC644" w14:textId="3E651146" w:rsidR="00A50D4C" w:rsidRDefault="00B65688" w:rsidP="00340DF1">
      <w:pPr>
        <w:spacing w:after="0" w:line="360" w:lineRule="auto"/>
        <w:jc w:val="both"/>
        <w:rPr>
          <w:rFonts w:eastAsia="Calibri"/>
          <w:noProof/>
          <w:color w:val="4C4747"/>
          <w:lang w:val="es-DO"/>
        </w:rPr>
      </w:pPr>
      <w:r w:rsidRPr="00167681">
        <w:rPr>
          <w:rFonts w:eastAsia="Calibri"/>
          <w:noProof/>
          <w:color w:val="4C4747"/>
          <w:lang w:val="es-DO"/>
        </w:rPr>
        <w:t>La información previamente señalada, queda debidamente evidenciada a través de los detalles estadísticos y de balance de gestión de la OAI efectuados durante el año 2025 y levantados hasta la fech</w:t>
      </w:r>
      <w:r w:rsidR="00167681">
        <w:rPr>
          <w:rFonts w:eastAsia="Calibri"/>
          <w:noProof/>
          <w:color w:val="4C4747"/>
          <w:lang w:val="es-DO"/>
        </w:rPr>
        <w:t>a</w:t>
      </w:r>
      <w:r w:rsidRPr="00167681">
        <w:rPr>
          <w:rFonts w:eastAsia="Calibri"/>
          <w:noProof/>
          <w:color w:val="4C4747"/>
          <w:lang w:val="es-DO"/>
        </w:rPr>
        <w:t>:</w:t>
      </w:r>
    </w:p>
    <w:tbl>
      <w:tblPr>
        <w:tblW w:w="8200" w:type="dxa"/>
        <w:tblCellMar>
          <w:left w:w="70" w:type="dxa"/>
          <w:right w:w="70" w:type="dxa"/>
        </w:tblCellMar>
        <w:tblLook w:val="04A0" w:firstRow="1" w:lastRow="0" w:firstColumn="1" w:lastColumn="0" w:noHBand="0" w:noVBand="1"/>
      </w:tblPr>
      <w:tblGrid>
        <w:gridCol w:w="2204"/>
        <w:gridCol w:w="1267"/>
        <w:gridCol w:w="1380"/>
        <w:gridCol w:w="918"/>
        <w:gridCol w:w="982"/>
        <w:gridCol w:w="709"/>
        <w:gridCol w:w="918"/>
      </w:tblGrid>
      <w:tr w:rsidR="00847624" w:rsidRPr="00116DFC" w14:paraId="1B88ECB4" w14:textId="77777777" w:rsidTr="00847624">
        <w:trPr>
          <w:trHeight w:val="290"/>
        </w:trPr>
        <w:tc>
          <w:tcPr>
            <w:tcW w:w="8200" w:type="dxa"/>
            <w:gridSpan w:val="7"/>
            <w:tcBorders>
              <w:top w:val="nil"/>
              <w:left w:val="nil"/>
              <w:bottom w:val="nil"/>
              <w:right w:val="nil"/>
            </w:tcBorders>
            <w:shd w:val="clear" w:color="000000" w:fill="002060"/>
            <w:noWrap/>
            <w:vAlign w:val="bottom"/>
            <w:hideMark/>
          </w:tcPr>
          <w:p w14:paraId="75DC3277"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COMISIÓN NACIONAL DE DEFENSA DE LA COMPETENCIA</w:t>
            </w:r>
          </w:p>
        </w:tc>
      </w:tr>
      <w:tr w:rsidR="00847624" w:rsidRPr="00847624" w14:paraId="270A853C" w14:textId="77777777" w:rsidTr="00847624">
        <w:trPr>
          <w:trHeight w:val="290"/>
        </w:trPr>
        <w:tc>
          <w:tcPr>
            <w:tcW w:w="8200" w:type="dxa"/>
            <w:gridSpan w:val="7"/>
            <w:tcBorders>
              <w:top w:val="nil"/>
              <w:left w:val="nil"/>
              <w:bottom w:val="nil"/>
              <w:right w:val="nil"/>
            </w:tcBorders>
            <w:shd w:val="clear" w:color="000000" w:fill="002060"/>
            <w:noWrap/>
            <w:vAlign w:val="bottom"/>
            <w:hideMark/>
          </w:tcPr>
          <w:p w14:paraId="6EED7766"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(PRO-COMPETENCIA)</w:t>
            </w:r>
          </w:p>
        </w:tc>
      </w:tr>
      <w:tr w:rsidR="00847624" w:rsidRPr="00116DFC" w14:paraId="518C7F46" w14:textId="77777777" w:rsidTr="00847624">
        <w:trPr>
          <w:trHeight w:val="290"/>
        </w:trPr>
        <w:tc>
          <w:tcPr>
            <w:tcW w:w="8200" w:type="dxa"/>
            <w:gridSpan w:val="7"/>
            <w:tcBorders>
              <w:top w:val="nil"/>
              <w:left w:val="nil"/>
              <w:bottom w:val="nil"/>
              <w:right w:val="nil"/>
            </w:tcBorders>
            <w:shd w:val="clear" w:color="000000" w:fill="002060"/>
            <w:noWrap/>
            <w:vAlign w:val="bottom"/>
            <w:hideMark/>
          </w:tcPr>
          <w:p w14:paraId="59A607F7"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Oficina de Libre Acceso a la Información (OAI)</w:t>
            </w:r>
          </w:p>
        </w:tc>
      </w:tr>
      <w:tr w:rsidR="00847624" w:rsidRPr="00847624" w14:paraId="6A8BC660" w14:textId="77777777" w:rsidTr="00847624">
        <w:trPr>
          <w:trHeight w:val="290"/>
        </w:trPr>
        <w:tc>
          <w:tcPr>
            <w:tcW w:w="8200" w:type="dxa"/>
            <w:gridSpan w:val="7"/>
            <w:tcBorders>
              <w:top w:val="nil"/>
              <w:left w:val="nil"/>
              <w:bottom w:val="nil"/>
              <w:right w:val="nil"/>
            </w:tcBorders>
            <w:shd w:val="clear" w:color="000000" w:fill="002060"/>
            <w:noWrap/>
            <w:vAlign w:val="bottom"/>
            <w:hideMark/>
          </w:tcPr>
          <w:p w14:paraId="15FB7387"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Estadísticas y Balance Gestión</w:t>
            </w:r>
          </w:p>
        </w:tc>
      </w:tr>
      <w:tr w:rsidR="00847624" w:rsidRPr="00847624" w14:paraId="15A754B4" w14:textId="77777777" w:rsidTr="00847624">
        <w:trPr>
          <w:trHeight w:val="290"/>
        </w:trPr>
        <w:tc>
          <w:tcPr>
            <w:tcW w:w="8200" w:type="dxa"/>
            <w:gridSpan w:val="7"/>
            <w:tcBorders>
              <w:top w:val="nil"/>
              <w:left w:val="nil"/>
              <w:bottom w:val="nil"/>
              <w:right w:val="nil"/>
            </w:tcBorders>
            <w:shd w:val="clear" w:color="000000" w:fill="002060"/>
            <w:noWrap/>
            <w:vAlign w:val="bottom"/>
            <w:hideMark/>
          </w:tcPr>
          <w:p w14:paraId="0F4643E5"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Primer Trimestre (Enero – Marzo) 2025</w:t>
            </w:r>
          </w:p>
        </w:tc>
      </w:tr>
      <w:tr w:rsidR="00847624" w:rsidRPr="00847624" w14:paraId="70F31D94" w14:textId="77777777" w:rsidTr="00847624">
        <w:trPr>
          <w:trHeight w:val="290"/>
        </w:trPr>
        <w:tc>
          <w:tcPr>
            <w:tcW w:w="2204"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4F692CD2"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Medio de Solicitud</w:t>
            </w:r>
          </w:p>
        </w:tc>
        <w:tc>
          <w:tcPr>
            <w:tcW w:w="1135"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10E94D4F"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Recibidas</w:t>
            </w:r>
          </w:p>
        </w:tc>
        <w:tc>
          <w:tcPr>
            <w:tcW w:w="1334"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61477B15"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Pendientes</w:t>
            </w:r>
          </w:p>
        </w:tc>
        <w:tc>
          <w:tcPr>
            <w:tcW w:w="1900" w:type="dxa"/>
            <w:gridSpan w:val="2"/>
            <w:tcBorders>
              <w:top w:val="nil"/>
              <w:left w:val="nil"/>
              <w:bottom w:val="single" w:sz="4" w:space="0" w:color="auto"/>
              <w:right w:val="single" w:sz="4" w:space="0" w:color="000000"/>
            </w:tcBorders>
            <w:shd w:val="clear" w:color="000000" w:fill="002060"/>
            <w:noWrap/>
            <w:vAlign w:val="bottom"/>
            <w:hideMark/>
          </w:tcPr>
          <w:p w14:paraId="0E49B4FD"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Resueltas </w:t>
            </w:r>
          </w:p>
        </w:tc>
        <w:tc>
          <w:tcPr>
            <w:tcW w:w="1627" w:type="dxa"/>
            <w:gridSpan w:val="2"/>
            <w:tcBorders>
              <w:top w:val="nil"/>
              <w:left w:val="nil"/>
              <w:bottom w:val="single" w:sz="4" w:space="0" w:color="auto"/>
              <w:right w:val="single" w:sz="4" w:space="0" w:color="000000"/>
            </w:tcBorders>
            <w:shd w:val="clear" w:color="000000" w:fill="002060"/>
            <w:noWrap/>
            <w:vAlign w:val="bottom"/>
            <w:hideMark/>
          </w:tcPr>
          <w:p w14:paraId="3CB11804"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Rechazadas </w:t>
            </w:r>
          </w:p>
        </w:tc>
      </w:tr>
      <w:tr w:rsidR="00847624" w:rsidRPr="00847624" w14:paraId="400E446A" w14:textId="77777777" w:rsidTr="00847624">
        <w:trPr>
          <w:trHeight w:val="290"/>
        </w:trPr>
        <w:tc>
          <w:tcPr>
            <w:tcW w:w="2204" w:type="dxa"/>
            <w:vMerge/>
            <w:tcBorders>
              <w:top w:val="nil"/>
              <w:left w:val="single" w:sz="4" w:space="0" w:color="auto"/>
              <w:bottom w:val="single" w:sz="4" w:space="0" w:color="000000"/>
              <w:right w:val="single" w:sz="4" w:space="0" w:color="auto"/>
            </w:tcBorders>
            <w:vAlign w:val="center"/>
            <w:hideMark/>
          </w:tcPr>
          <w:p w14:paraId="39C2A596" w14:textId="77777777" w:rsidR="00847624" w:rsidRPr="00847624" w:rsidRDefault="00847624" w:rsidP="00847624">
            <w:pPr>
              <w:spacing w:after="0" w:line="240" w:lineRule="auto"/>
              <w:rPr>
                <w:rFonts w:eastAsia="Calibri"/>
                <w:noProof/>
                <w:color w:val="FFFFFF" w:themeColor="background1"/>
                <w:lang w:val="es-DO"/>
              </w:rPr>
            </w:pPr>
          </w:p>
        </w:tc>
        <w:tc>
          <w:tcPr>
            <w:tcW w:w="1135" w:type="dxa"/>
            <w:vMerge/>
            <w:tcBorders>
              <w:top w:val="nil"/>
              <w:left w:val="single" w:sz="4" w:space="0" w:color="auto"/>
              <w:bottom w:val="single" w:sz="4" w:space="0" w:color="000000"/>
              <w:right w:val="single" w:sz="4" w:space="0" w:color="auto"/>
            </w:tcBorders>
            <w:vAlign w:val="center"/>
            <w:hideMark/>
          </w:tcPr>
          <w:p w14:paraId="7B5737D7" w14:textId="77777777" w:rsidR="00847624" w:rsidRPr="00847624" w:rsidRDefault="00847624" w:rsidP="00847624">
            <w:pPr>
              <w:spacing w:after="0" w:line="240" w:lineRule="auto"/>
              <w:rPr>
                <w:rFonts w:eastAsia="Calibri"/>
                <w:noProof/>
                <w:color w:val="FFFFFF" w:themeColor="background1"/>
                <w:lang w:val="es-DO"/>
              </w:rPr>
            </w:pPr>
          </w:p>
        </w:tc>
        <w:tc>
          <w:tcPr>
            <w:tcW w:w="1334" w:type="dxa"/>
            <w:vMerge/>
            <w:tcBorders>
              <w:top w:val="nil"/>
              <w:left w:val="single" w:sz="4" w:space="0" w:color="auto"/>
              <w:bottom w:val="single" w:sz="4" w:space="0" w:color="000000"/>
              <w:right w:val="single" w:sz="4" w:space="0" w:color="auto"/>
            </w:tcBorders>
            <w:vAlign w:val="center"/>
            <w:hideMark/>
          </w:tcPr>
          <w:p w14:paraId="5C0636D4" w14:textId="77777777" w:rsidR="00847624" w:rsidRPr="00847624" w:rsidRDefault="00847624" w:rsidP="00847624">
            <w:pPr>
              <w:spacing w:after="0" w:line="240" w:lineRule="auto"/>
              <w:rPr>
                <w:rFonts w:eastAsia="Calibri"/>
                <w:noProof/>
                <w:color w:val="FFFFFF" w:themeColor="background1"/>
                <w:lang w:val="es-DO"/>
              </w:rPr>
            </w:pPr>
          </w:p>
        </w:tc>
        <w:tc>
          <w:tcPr>
            <w:tcW w:w="918" w:type="dxa"/>
            <w:tcBorders>
              <w:top w:val="nil"/>
              <w:left w:val="nil"/>
              <w:bottom w:val="single" w:sz="4" w:space="0" w:color="auto"/>
              <w:right w:val="nil"/>
            </w:tcBorders>
            <w:shd w:val="clear" w:color="000000" w:fill="002060"/>
            <w:noWrap/>
            <w:vAlign w:val="bottom"/>
            <w:hideMark/>
          </w:tcPr>
          <w:p w14:paraId="75724971"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&lt; 5 días</w:t>
            </w:r>
          </w:p>
        </w:tc>
        <w:tc>
          <w:tcPr>
            <w:tcW w:w="982" w:type="dxa"/>
            <w:tcBorders>
              <w:top w:val="nil"/>
              <w:left w:val="single" w:sz="4" w:space="0" w:color="auto"/>
              <w:bottom w:val="single" w:sz="4" w:space="0" w:color="auto"/>
              <w:right w:val="nil"/>
            </w:tcBorders>
            <w:shd w:val="clear" w:color="000000" w:fill="002060"/>
            <w:noWrap/>
            <w:vAlign w:val="bottom"/>
            <w:hideMark/>
          </w:tcPr>
          <w:p w14:paraId="3C785981"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 &gt; 5 días</w:t>
            </w:r>
          </w:p>
        </w:tc>
        <w:tc>
          <w:tcPr>
            <w:tcW w:w="709" w:type="dxa"/>
            <w:tcBorders>
              <w:top w:val="nil"/>
              <w:left w:val="single" w:sz="4" w:space="0" w:color="auto"/>
              <w:bottom w:val="single" w:sz="4" w:space="0" w:color="auto"/>
              <w:right w:val="nil"/>
            </w:tcBorders>
            <w:shd w:val="clear" w:color="000000" w:fill="002060"/>
            <w:noWrap/>
            <w:vAlign w:val="bottom"/>
            <w:hideMark/>
          </w:tcPr>
          <w:p w14:paraId="700E819A"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&lt; días</w:t>
            </w:r>
          </w:p>
        </w:tc>
        <w:tc>
          <w:tcPr>
            <w:tcW w:w="918" w:type="dxa"/>
            <w:tcBorders>
              <w:top w:val="nil"/>
              <w:left w:val="nil"/>
              <w:bottom w:val="single" w:sz="4" w:space="0" w:color="auto"/>
              <w:right w:val="single" w:sz="4" w:space="0" w:color="auto"/>
            </w:tcBorders>
            <w:shd w:val="clear" w:color="000000" w:fill="002060"/>
            <w:noWrap/>
            <w:vAlign w:val="bottom"/>
            <w:hideMark/>
          </w:tcPr>
          <w:p w14:paraId="778EE5AE" w14:textId="77777777" w:rsidR="00847624" w:rsidRPr="00847624" w:rsidRDefault="00847624" w:rsidP="00847624">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&gt; 5 días</w:t>
            </w:r>
          </w:p>
        </w:tc>
      </w:tr>
      <w:tr w:rsidR="00847624" w:rsidRPr="00847624" w14:paraId="3B736DD3" w14:textId="77777777" w:rsidTr="00847624">
        <w:trPr>
          <w:trHeight w:val="290"/>
        </w:trPr>
        <w:tc>
          <w:tcPr>
            <w:tcW w:w="2204" w:type="dxa"/>
            <w:tcBorders>
              <w:top w:val="nil"/>
              <w:left w:val="single" w:sz="4" w:space="0" w:color="auto"/>
              <w:bottom w:val="single" w:sz="4" w:space="0" w:color="auto"/>
              <w:right w:val="single" w:sz="4" w:space="0" w:color="auto"/>
            </w:tcBorders>
            <w:noWrap/>
            <w:vAlign w:val="bottom"/>
            <w:hideMark/>
          </w:tcPr>
          <w:p w14:paraId="7E636840" w14:textId="77777777" w:rsidR="00847624" w:rsidRPr="00847624" w:rsidRDefault="00847624" w:rsidP="00847624">
            <w:pPr>
              <w:spacing w:after="0" w:line="240" w:lineRule="auto"/>
              <w:rPr>
                <w:rFonts w:eastAsia="Calibri"/>
                <w:noProof/>
                <w:color w:val="4C4747"/>
                <w:lang w:val="es-DO"/>
              </w:rPr>
            </w:pPr>
            <w:r w:rsidRPr="00847624">
              <w:rPr>
                <w:rFonts w:eastAsia="Calibri"/>
                <w:noProof/>
                <w:color w:val="4C4747"/>
                <w:lang w:val="es-DO"/>
              </w:rPr>
              <w:t>Física</w:t>
            </w:r>
          </w:p>
        </w:tc>
        <w:tc>
          <w:tcPr>
            <w:tcW w:w="1135" w:type="dxa"/>
            <w:tcBorders>
              <w:top w:val="nil"/>
              <w:left w:val="nil"/>
              <w:bottom w:val="single" w:sz="4" w:space="0" w:color="auto"/>
              <w:right w:val="single" w:sz="4" w:space="0" w:color="auto"/>
            </w:tcBorders>
            <w:noWrap/>
            <w:vAlign w:val="bottom"/>
            <w:hideMark/>
          </w:tcPr>
          <w:p w14:paraId="46A365F9"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058BCBB7"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5F12DF2E"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7208CE49"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56DEB9E8"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398EEEFF"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r>
      <w:tr w:rsidR="00847624" w:rsidRPr="00847624" w14:paraId="022FF3AB" w14:textId="77777777" w:rsidTr="00847624">
        <w:trPr>
          <w:trHeight w:val="290"/>
        </w:trPr>
        <w:tc>
          <w:tcPr>
            <w:tcW w:w="2204" w:type="dxa"/>
            <w:tcBorders>
              <w:top w:val="nil"/>
              <w:left w:val="single" w:sz="4" w:space="0" w:color="auto"/>
              <w:bottom w:val="single" w:sz="4" w:space="0" w:color="auto"/>
              <w:right w:val="single" w:sz="4" w:space="0" w:color="auto"/>
            </w:tcBorders>
            <w:noWrap/>
            <w:vAlign w:val="bottom"/>
            <w:hideMark/>
          </w:tcPr>
          <w:p w14:paraId="5649128A" w14:textId="77777777" w:rsidR="00847624" w:rsidRPr="00847624" w:rsidRDefault="00847624" w:rsidP="00847624">
            <w:pPr>
              <w:spacing w:after="0" w:line="240" w:lineRule="auto"/>
              <w:rPr>
                <w:rFonts w:eastAsia="Calibri"/>
                <w:noProof/>
                <w:color w:val="4C4747"/>
                <w:lang w:val="es-DO"/>
              </w:rPr>
            </w:pPr>
            <w:r w:rsidRPr="00847624">
              <w:rPr>
                <w:rFonts w:eastAsia="Calibri"/>
                <w:noProof/>
                <w:color w:val="4C4747"/>
                <w:lang w:val="es-DO"/>
              </w:rPr>
              <w:t>Portal SAIP</w:t>
            </w:r>
          </w:p>
        </w:tc>
        <w:tc>
          <w:tcPr>
            <w:tcW w:w="1135" w:type="dxa"/>
            <w:tcBorders>
              <w:top w:val="nil"/>
              <w:left w:val="nil"/>
              <w:bottom w:val="single" w:sz="4" w:space="0" w:color="auto"/>
              <w:right w:val="single" w:sz="4" w:space="0" w:color="auto"/>
            </w:tcBorders>
            <w:noWrap/>
            <w:vAlign w:val="bottom"/>
            <w:hideMark/>
          </w:tcPr>
          <w:p w14:paraId="4C591EA2"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5</w:t>
            </w:r>
          </w:p>
        </w:tc>
        <w:tc>
          <w:tcPr>
            <w:tcW w:w="1334" w:type="dxa"/>
            <w:tcBorders>
              <w:top w:val="nil"/>
              <w:left w:val="nil"/>
              <w:bottom w:val="single" w:sz="4" w:space="0" w:color="auto"/>
              <w:right w:val="single" w:sz="4" w:space="0" w:color="auto"/>
            </w:tcBorders>
            <w:noWrap/>
            <w:vAlign w:val="bottom"/>
            <w:hideMark/>
          </w:tcPr>
          <w:p w14:paraId="11F91947"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1C4B65E7"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3</w:t>
            </w:r>
          </w:p>
        </w:tc>
        <w:tc>
          <w:tcPr>
            <w:tcW w:w="982" w:type="dxa"/>
            <w:tcBorders>
              <w:top w:val="nil"/>
              <w:left w:val="nil"/>
              <w:bottom w:val="single" w:sz="4" w:space="0" w:color="auto"/>
              <w:right w:val="single" w:sz="4" w:space="0" w:color="auto"/>
            </w:tcBorders>
            <w:noWrap/>
            <w:vAlign w:val="bottom"/>
            <w:hideMark/>
          </w:tcPr>
          <w:p w14:paraId="13910FBC"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2</w:t>
            </w:r>
          </w:p>
        </w:tc>
        <w:tc>
          <w:tcPr>
            <w:tcW w:w="709" w:type="dxa"/>
            <w:tcBorders>
              <w:top w:val="nil"/>
              <w:left w:val="nil"/>
              <w:bottom w:val="single" w:sz="4" w:space="0" w:color="auto"/>
              <w:right w:val="single" w:sz="4" w:space="0" w:color="auto"/>
            </w:tcBorders>
            <w:noWrap/>
            <w:vAlign w:val="bottom"/>
            <w:hideMark/>
          </w:tcPr>
          <w:p w14:paraId="3F155758"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30C49FB7"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1</w:t>
            </w:r>
          </w:p>
        </w:tc>
      </w:tr>
      <w:tr w:rsidR="00847624" w:rsidRPr="00847624" w14:paraId="4983CC28" w14:textId="77777777" w:rsidTr="00847624">
        <w:trPr>
          <w:trHeight w:val="290"/>
        </w:trPr>
        <w:tc>
          <w:tcPr>
            <w:tcW w:w="2204" w:type="dxa"/>
            <w:tcBorders>
              <w:top w:val="nil"/>
              <w:left w:val="single" w:sz="4" w:space="0" w:color="auto"/>
              <w:bottom w:val="single" w:sz="4" w:space="0" w:color="auto"/>
              <w:right w:val="single" w:sz="4" w:space="0" w:color="auto"/>
            </w:tcBorders>
            <w:noWrap/>
            <w:vAlign w:val="bottom"/>
            <w:hideMark/>
          </w:tcPr>
          <w:p w14:paraId="04A3A5D7" w14:textId="77777777" w:rsidR="00847624" w:rsidRPr="00847624" w:rsidRDefault="00847624" w:rsidP="00847624">
            <w:pPr>
              <w:spacing w:after="0" w:line="240" w:lineRule="auto"/>
              <w:rPr>
                <w:rFonts w:eastAsia="Calibri"/>
                <w:noProof/>
                <w:color w:val="4C4747"/>
                <w:lang w:val="es-DO"/>
              </w:rPr>
            </w:pPr>
            <w:r w:rsidRPr="00847624">
              <w:rPr>
                <w:rFonts w:eastAsia="Calibri"/>
                <w:noProof/>
                <w:color w:val="4C4747"/>
                <w:lang w:val="es-DO"/>
              </w:rPr>
              <w:t>311</w:t>
            </w:r>
          </w:p>
        </w:tc>
        <w:tc>
          <w:tcPr>
            <w:tcW w:w="1135" w:type="dxa"/>
            <w:tcBorders>
              <w:top w:val="nil"/>
              <w:left w:val="nil"/>
              <w:bottom w:val="single" w:sz="4" w:space="0" w:color="auto"/>
              <w:right w:val="single" w:sz="4" w:space="0" w:color="auto"/>
            </w:tcBorders>
            <w:noWrap/>
            <w:vAlign w:val="bottom"/>
            <w:hideMark/>
          </w:tcPr>
          <w:p w14:paraId="151DDDDC"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35D50699"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486AE353"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479FD11A"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5925A624"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146388CD"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r>
      <w:tr w:rsidR="00847624" w:rsidRPr="00847624" w14:paraId="039B068D" w14:textId="77777777" w:rsidTr="00847624">
        <w:trPr>
          <w:trHeight w:val="290"/>
        </w:trPr>
        <w:tc>
          <w:tcPr>
            <w:tcW w:w="2204" w:type="dxa"/>
            <w:tcBorders>
              <w:top w:val="nil"/>
              <w:left w:val="single" w:sz="4" w:space="0" w:color="auto"/>
              <w:bottom w:val="single" w:sz="4" w:space="0" w:color="auto"/>
              <w:right w:val="single" w:sz="4" w:space="0" w:color="auto"/>
            </w:tcBorders>
            <w:noWrap/>
            <w:vAlign w:val="bottom"/>
            <w:hideMark/>
          </w:tcPr>
          <w:p w14:paraId="603BF066" w14:textId="77777777" w:rsidR="00847624" w:rsidRPr="00847624" w:rsidRDefault="00847624" w:rsidP="00847624">
            <w:pPr>
              <w:spacing w:after="0" w:line="240" w:lineRule="auto"/>
              <w:rPr>
                <w:rFonts w:eastAsia="Calibri"/>
                <w:noProof/>
                <w:color w:val="4C4747"/>
                <w:lang w:val="es-DO"/>
              </w:rPr>
            </w:pPr>
            <w:r w:rsidRPr="00847624">
              <w:rPr>
                <w:rFonts w:eastAsia="Calibri"/>
                <w:noProof/>
                <w:color w:val="4C4747"/>
                <w:lang w:val="es-DO"/>
              </w:rPr>
              <w:t>Correo electrónico</w:t>
            </w:r>
          </w:p>
        </w:tc>
        <w:tc>
          <w:tcPr>
            <w:tcW w:w="1135" w:type="dxa"/>
            <w:tcBorders>
              <w:top w:val="nil"/>
              <w:left w:val="nil"/>
              <w:bottom w:val="single" w:sz="4" w:space="0" w:color="auto"/>
              <w:right w:val="single" w:sz="4" w:space="0" w:color="auto"/>
            </w:tcBorders>
            <w:noWrap/>
            <w:vAlign w:val="bottom"/>
            <w:hideMark/>
          </w:tcPr>
          <w:p w14:paraId="76825909"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019EA243"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3DC39EB6"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14AC72B4"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36B92661"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7802198C"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r>
      <w:tr w:rsidR="00847624" w:rsidRPr="00847624" w14:paraId="0863F259" w14:textId="77777777" w:rsidTr="00847624">
        <w:trPr>
          <w:trHeight w:val="290"/>
        </w:trPr>
        <w:tc>
          <w:tcPr>
            <w:tcW w:w="2204" w:type="dxa"/>
            <w:tcBorders>
              <w:top w:val="nil"/>
              <w:left w:val="single" w:sz="4" w:space="0" w:color="auto"/>
              <w:bottom w:val="single" w:sz="4" w:space="0" w:color="auto"/>
              <w:right w:val="single" w:sz="4" w:space="0" w:color="auto"/>
            </w:tcBorders>
            <w:noWrap/>
            <w:vAlign w:val="bottom"/>
            <w:hideMark/>
          </w:tcPr>
          <w:p w14:paraId="6D56F7E8" w14:textId="77777777" w:rsidR="00847624" w:rsidRPr="00847624" w:rsidRDefault="00847624" w:rsidP="00847624">
            <w:pPr>
              <w:spacing w:after="0" w:line="240" w:lineRule="auto"/>
              <w:rPr>
                <w:rFonts w:eastAsia="Calibri"/>
                <w:noProof/>
                <w:color w:val="4C4747"/>
                <w:lang w:val="es-DO"/>
              </w:rPr>
            </w:pPr>
            <w:r w:rsidRPr="00847624">
              <w:rPr>
                <w:rFonts w:eastAsia="Calibri"/>
                <w:noProof/>
                <w:color w:val="4C4747"/>
                <w:lang w:val="es-DO"/>
              </w:rPr>
              <w:t>Otra</w:t>
            </w:r>
          </w:p>
        </w:tc>
        <w:tc>
          <w:tcPr>
            <w:tcW w:w="1135" w:type="dxa"/>
            <w:tcBorders>
              <w:top w:val="nil"/>
              <w:left w:val="nil"/>
              <w:bottom w:val="single" w:sz="4" w:space="0" w:color="auto"/>
              <w:right w:val="single" w:sz="4" w:space="0" w:color="auto"/>
            </w:tcBorders>
            <w:noWrap/>
            <w:vAlign w:val="bottom"/>
            <w:hideMark/>
          </w:tcPr>
          <w:p w14:paraId="3C717153"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6715424F"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359DC3A4"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0067367C"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12A1E69A"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68185439"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r>
      <w:tr w:rsidR="00847624" w:rsidRPr="00847624" w14:paraId="3A5EB0AD" w14:textId="77777777" w:rsidTr="00847624">
        <w:trPr>
          <w:trHeight w:val="290"/>
        </w:trPr>
        <w:tc>
          <w:tcPr>
            <w:tcW w:w="2204" w:type="dxa"/>
            <w:tcBorders>
              <w:top w:val="nil"/>
              <w:left w:val="single" w:sz="4" w:space="0" w:color="auto"/>
              <w:bottom w:val="single" w:sz="4" w:space="0" w:color="auto"/>
              <w:right w:val="single" w:sz="4" w:space="0" w:color="auto"/>
            </w:tcBorders>
            <w:noWrap/>
            <w:vAlign w:val="bottom"/>
            <w:hideMark/>
          </w:tcPr>
          <w:p w14:paraId="7D54EBA3" w14:textId="77777777" w:rsidR="00847624" w:rsidRPr="00847624" w:rsidRDefault="00847624" w:rsidP="00847624">
            <w:pPr>
              <w:spacing w:after="0" w:line="240" w:lineRule="auto"/>
              <w:rPr>
                <w:rFonts w:eastAsia="Calibri"/>
                <w:noProof/>
                <w:color w:val="4C4747"/>
                <w:lang w:val="es-DO"/>
              </w:rPr>
            </w:pPr>
            <w:r w:rsidRPr="00847624">
              <w:rPr>
                <w:rFonts w:eastAsia="Calibri"/>
                <w:noProof/>
                <w:color w:val="4C4747"/>
                <w:lang w:val="es-DO"/>
              </w:rPr>
              <w:t>Total</w:t>
            </w:r>
          </w:p>
        </w:tc>
        <w:tc>
          <w:tcPr>
            <w:tcW w:w="1135" w:type="dxa"/>
            <w:tcBorders>
              <w:top w:val="nil"/>
              <w:left w:val="nil"/>
              <w:bottom w:val="single" w:sz="4" w:space="0" w:color="auto"/>
              <w:right w:val="single" w:sz="4" w:space="0" w:color="auto"/>
            </w:tcBorders>
            <w:noWrap/>
            <w:vAlign w:val="bottom"/>
            <w:hideMark/>
          </w:tcPr>
          <w:p w14:paraId="3DE0CBF8"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5</w:t>
            </w:r>
          </w:p>
        </w:tc>
        <w:tc>
          <w:tcPr>
            <w:tcW w:w="1334" w:type="dxa"/>
            <w:tcBorders>
              <w:top w:val="nil"/>
              <w:left w:val="nil"/>
              <w:bottom w:val="single" w:sz="4" w:space="0" w:color="auto"/>
              <w:right w:val="single" w:sz="4" w:space="0" w:color="auto"/>
            </w:tcBorders>
            <w:noWrap/>
            <w:vAlign w:val="bottom"/>
            <w:hideMark/>
          </w:tcPr>
          <w:p w14:paraId="73FDB764"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67717069"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3</w:t>
            </w:r>
          </w:p>
        </w:tc>
        <w:tc>
          <w:tcPr>
            <w:tcW w:w="982" w:type="dxa"/>
            <w:tcBorders>
              <w:top w:val="nil"/>
              <w:left w:val="nil"/>
              <w:bottom w:val="single" w:sz="4" w:space="0" w:color="auto"/>
              <w:right w:val="single" w:sz="4" w:space="0" w:color="auto"/>
            </w:tcBorders>
            <w:noWrap/>
            <w:vAlign w:val="bottom"/>
            <w:hideMark/>
          </w:tcPr>
          <w:p w14:paraId="05F25A5E"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2</w:t>
            </w:r>
          </w:p>
        </w:tc>
        <w:tc>
          <w:tcPr>
            <w:tcW w:w="709" w:type="dxa"/>
            <w:tcBorders>
              <w:top w:val="nil"/>
              <w:left w:val="nil"/>
              <w:bottom w:val="single" w:sz="4" w:space="0" w:color="auto"/>
              <w:right w:val="single" w:sz="4" w:space="0" w:color="auto"/>
            </w:tcBorders>
            <w:noWrap/>
            <w:vAlign w:val="bottom"/>
            <w:hideMark/>
          </w:tcPr>
          <w:p w14:paraId="3D81830B"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2C8D0DFF" w14:textId="77777777" w:rsidR="00847624" w:rsidRPr="00847624" w:rsidRDefault="00847624" w:rsidP="00847624">
            <w:pPr>
              <w:spacing w:after="0" w:line="240" w:lineRule="auto"/>
              <w:jc w:val="right"/>
              <w:rPr>
                <w:rFonts w:eastAsia="Calibri"/>
                <w:noProof/>
                <w:color w:val="4C4747"/>
                <w:lang w:val="es-DO"/>
              </w:rPr>
            </w:pPr>
            <w:r w:rsidRPr="00847624">
              <w:rPr>
                <w:rFonts w:eastAsia="Calibri"/>
                <w:noProof/>
                <w:color w:val="4C4747"/>
                <w:lang w:val="es-DO"/>
              </w:rPr>
              <w:t>1</w:t>
            </w:r>
          </w:p>
        </w:tc>
      </w:tr>
    </w:tbl>
    <w:p w14:paraId="018CA31A" w14:textId="77777777" w:rsidR="00A50D4C" w:rsidRPr="00167681" w:rsidRDefault="00A50D4C" w:rsidP="00340DF1">
      <w:pPr>
        <w:spacing w:after="0" w:line="360" w:lineRule="auto"/>
        <w:jc w:val="both"/>
        <w:rPr>
          <w:rFonts w:eastAsia="Calibri"/>
          <w:noProof/>
          <w:color w:val="4C4747"/>
          <w:lang w:val="es-DO"/>
        </w:rPr>
      </w:pPr>
    </w:p>
    <w:tbl>
      <w:tblPr>
        <w:tblW w:w="8200" w:type="dxa"/>
        <w:tblCellMar>
          <w:left w:w="70" w:type="dxa"/>
          <w:right w:w="70" w:type="dxa"/>
        </w:tblCellMar>
        <w:tblLook w:val="04A0" w:firstRow="1" w:lastRow="0" w:firstColumn="1" w:lastColumn="0" w:noHBand="0" w:noVBand="1"/>
      </w:tblPr>
      <w:tblGrid>
        <w:gridCol w:w="2204"/>
        <w:gridCol w:w="1267"/>
        <w:gridCol w:w="1380"/>
        <w:gridCol w:w="918"/>
        <w:gridCol w:w="982"/>
        <w:gridCol w:w="709"/>
        <w:gridCol w:w="918"/>
      </w:tblGrid>
      <w:tr w:rsidR="00847624" w:rsidRPr="00116DFC" w14:paraId="36694BF2"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03498468"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COMISIÓN NACIONAL DE DEFENSA DE LA COMPETENCIA</w:t>
            </w:r>
          </w:p>
        </w:tc>
      </w:tr>
      <w:tr w:rsidR="00847624" w:rsidRPr="00847624" w14:paraId="2CD68945"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0093454F"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(PRO-COMPETENCIA)</w:t>
            </w:r>
          </w:p>
        </w:tc>
      </w:tr>
      <w:tr w:rsidR="00847624" w:rsidRPr="00116DFC" w14:paraId="2EBACBD7"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3D5CDDEE"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Oficina de Libre Acceso a la Información (OAI)</w:t>
            </w:r>
          </w:p>
        </w:tc>
      </w:tr>
      <w:tr w:rsidR="00847624" w:rsidRPr="00847624" w14:paraId="37261687"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4F2AC721"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Estadísticas y Balance Gestión</w:t>
            </w:r>
          </w:p>
        </w:tc>
      </w:tr>
      <w:tr w:rsidR="00847624" w:rsidRPr="00847624" w14:paraId="34A955C4"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4B3B1534" w14:textId="306EBD87" w:rsidR="00847624" w:rsidRPr="00847624" w:rsidRDefault="00847624" w:rsidP="0021165E">
            <w:pPr>
              <w:spacing w:after="0" w:line="240" w:lineRule="auto"/>
              <w:jc w:val="center"/>
              <w:rPr>
                <w:rFonts w:eastAsia="Calibri"/>
                <w:noProof/>
                <w:color w:val="FFFFFF" w:themeColor="background1"/>
                <w:lang w:val="es-DO"/>
              </w:rPr>
            </w:pPr>
            <w:r w:rsidRPr="00F77F22">
              <w:rPr>
                <w:rFonts w:eastAsia="Calibri"/>
                <w:noProof/>
                <w:color w:val="FFFFFF" w:themeColor="background1"/>
                <w:lang w:val="es-DO"/>
              </w:rPr>
              <w:t>Segundo</w:t>
            </w:r>
            <w:r w:rsidRPr="00847624">
              <w:rPr>
                <w:rFonts w:eastAsia="Calibri"/>
                <w:noProof/>
                <w:color w:val="FFFFFF" w:themeColor="background1"/>
                <w:lang w:val="es-DO"/>
              </w:rPr>
              <w:t xml:space="preserve"> Trimestre (</w:t>
            </w:r>
            <w:r w:rsidRPr="00F77F22">
              <w:rPr>
                <w:rFonts w:eastAsia="Calibri"/>
                <w:noProof/>
                <w:color w:val="FFFFFF" w:themeColor="background1"/>
                <w:lang w:val="es-DO"/>
              </w:rPr>
              <w:t>Abril</w:t>
            </w:r>
            <w:r w:rsidRPr="00847624">
              <w:rPr>
                <w:rFonts w:eastAsia="Calibri"/>
                <w:noProof/>
                <w:color w:val="FFFFFF" w:themeColor="background1"/>
                <w:lang w:val="es-DO"/>
              </w:rPr>
              <w:t xml:space="preserve"> – </w:t>
            </w:r>
            <w:r w:rsidR="003F633B" w:rsidRPr="00F77F22">
              <w:rPr>
                <w:rFonts w:eastAsia="Calibri"/>
                <w:noProof/>
                <w:color w:val="FFFFFF" w:themeColor="background1"/>
                <w:lang w:val="es-DO"/>
              </w:rPr>
              <w:t>Junio</w:t>
            </w:r>
            <w:r w:rsidRPr="00847624">
              <w:rPr>
                <w:rFonts w:eastAsia="Calibri"/>
                <w:noProof/>
                <w:color w:val="FFFFFF" w:themeColor="background1"/>
                <w:lang w:val="es-DO"/>
              </w:rPr>
              <w:t>) 2025</w:t>
            </w:r>
          </w:p>
        </w:tc>
      </w:tr>
      <w:tr w:rsidR="00847624" w:rsidRPr="00847624" w14:paraId="7A82688F" w14:textId="77777777" w:rsidTr="0021165E">
        <w:trPr>
          <w:trHeight w:val="290"/>
        </w:trPr>
        <w:tc>
          <w:tcPr>
            <w:tcW w:w="2204"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5F4C0CEE"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Medio de Solicitud</w:t>
            </w:r>
          </w:p>
        </w:tc>
        <w:tc>
          <w:tcPr>
            <w:tcW w:w="1135"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0398E04E"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Recibidas</w:t>
            </w:r>
          </w:p>
        </w:tc>
        <w:tc>
          <w:tcPr>
            <w:tcW w:w="1334"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1AE1BBA6"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Pendientes</w:t>
            </w:r>
          </w:p>
        </w:tc>
        <w:tc>
          <w:tcPr>
            <w:tcW w:w="1900" w:type="dxa"/>
            <w:gridSpan w:val="2"/>
            <w:tcBorders>
              <w:top w:val="nil"/>
              <w:left w:val="nil"/>
              <w:bottom w:val="single" w:sz="4" w:space="0" w:color="auto"/>
              <w:right w:val="single" w:sz="4" w:space="0" w:color="000000"/>
            </w:tcBorders>
            <w:shd w:val="clear" w:color="000000" w:fill="002060"/>
            <w:noWrap/>
            <w:vAlign w:val="bottom"/>
            <w:hideMark/>
          </w:tcPr>
          <w:p w14:paraId="60E88254"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Resueltas </w:t>
            </w:r>
          </w:p>
        </w:tc>
        <w:tc>
          <w:tcPr>
            <w:tcW w:w="1627" w:type="dxa"/>
            <w:gridSpan w:val="2"/>
            <w:tcBorders>
              <w:top w:val="nil"/>
              <w:left w:val="nil"/>
              <w:bottom w:val="single" w:sz="4" w:space="0" w:color="auto"/>
              <w:right w:val="single" w:sz="4" w:space="0" w:color="000000"/>
            </w:tcBorders>
            <w:shd w:val="clear" w:color="000000" w:fill="002060"/>
            <w:noWrap/>
            <w:vAlign w:val="bottom"/>
            <w:hideMark/>
          </w:tcPr>
          <w:p w14:paraId="52DCC51A"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Rechazadas </w:t>
            </w:r>
          </w:p>
        </w:tc>
      </w:tr>
      <w:tr w:rsidR="00847624" w:rsidRPr="00847624" w14:paraId="4240740C" w14:textId="77777777" w:rsidTr="0021165E">
        <w:trPr>
          <w:trHeight w:val="290"/>
        </w:trPr>
        <w:tc>
          <w:tcPr>
            <w:tcW w:w="2204" w:type="dxa"/>
            <w:vMerge/>
            <w:tcBorders>
              <w:top w:val="nil"/>
              <w:left w:val="single" w:sz="4" w:space="0" w:color="auto"/>
              <w:bottom w:val="single" w:sz="4" w:space="0" w:color="000000"/>
              <w:right w:val="single" w:sz="4" w:space="0" w:color="auto"/>
            </w:tcBorders>
            <w:vAlign w:val="center"/>
            <w:hideMark/>
          </w:tcPr>
          <w:p w14:paraId="77F22849" w14:textId="77777777" w:rsidR="00847624" w:rsidRPr="00847624" w:rsidRDefault="00847624" w:rsidP="0021165E">
            <w:pPr>
              <w:spacing w:after="0" w:line="240" w:lineRule="auto"/>
              <w:rPr>
                <w:rFonts w:eastAsia="Calibri"/>
                <w:noProof/>
                <w:color w:val="FFFFFF" w:themeColor="background1"/>
                <w:lang w:val="es-DO"/>
              </w:rPr>
            </w:pPr>
          </w:p>
        </w:tc>
        <w:tc>
          <w:tcPr>
            <w:tcW w:w="1135" w:type="dxa"/>
            <w:vMerge/>
            <w:tcBorders>
              <w:top w:val="nil"/>
              <w:left w:val="single" w:sz="4" w:space="0" w:color="auto"/>
              <w:bottom w:val="single" w:sz="4" w:space="0" w:color="000000"/>
              <w:right w:val="single" w:sz="4" w:space="0" w:color="auto"/>
            </w:tcBorders>
            <w:vAlign w:val="center"/>
            <w:hideMark/>
          </w:tcPr>
          <w:p w14:paraId="20007FEB" w14:textId="77777777" w:rsidR="00847624" w:rsidRPr="00847624" w:rsidRDefault="00847624" w:rsidP="0021165E">
            <w:pPr>
              <w:spacing w:after="0" w:line="240" w:lineRule="auto"/>
              <w:rPr>
                <w:rFonts w:eastAsia="Calibri"/>
                <w:noProof/>
                <w:color w:val="FFFFFF" w:themeColor="background1"/>
                <w:lang w:val="es-DO"/>
              </w:rPr>
            </w:pPr>
          </w:p>
        </w:tc>
        <w:tc>
          <w:tcPr>
            <w:tcW w:w="1334" w:type="dxa"/>
            <w:vMerge/>
            <w:tcBorders>
              <w:top w:val="nil"/>
              <w:left w:val="single" w:sz="4" w:space="0" w:color="auto"/>
              <w:bottom w:val="single" w:sz="4" w:space="0" w:color="000000"/>
              <w:right w:val="single" w:sz="4" w:space="0" w:color="auto"/>
            </w:tcBorders>
            <w:vAlign w:val="center"/>
            <w:hideMark/>
          </w:tcPr>
          <w:p w14:paraId="4E38168A" w14:textId="77777777" w:rsidR="00847624" w:rsidRPr="00847624" w:rsidRDefault="00847624" w:rsidP="0021165E">
            <w:pPr>
              <w:spacing w:after="0" w:line="240" w:lineRule="auto"/>
              <w:rPr>
                <w:rFonts w:eastAsia="Calibri"/>
                <w:noProof/>
                <w:color w:val="FFFFFF" w:themeColor="background1"/>
                <w:lang w:val="es-DO"/>
              </w:rPr>
            </w:pPr>
          </w:p>
        </w:tc>
        <w:tc>
          <w:tcPr>
            <w:tcW w:w="918" w:type="dxa"/>
            <w:tcBorders>
              <w:top w:val="nil"/>
              <w:left w:val="nil"/>
              <w:bottom w:val="single" w:sz="4" w:space="0" w:color="auto"/>
              <w:right w:val="nil"/>
            </w:tcBorders>
            <w:shd w:val="clear" w:color="000000" w:fill="002060"/>
            <w:noWrap/>
            <w:vAlign w:val="bottom"/>
            <w:hideMark/>
          </w:tcPr>
          <w:p w14:paraId="58C58080"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&lt; 5 días</w:t>
            </w:r>
          </w:p>
        </w:tc>
        <w:tc>
          <w:tcPr>
            <w:tcW w:w="982" w:type="dxa"/>
            <w:tcBorders>
              <w:top w:val="nil"/>
              <w:left w:val="single" w:sz="4" w:space="0" w:color="auto"/>
              <w:bottom w:val="single" w:sz="4" w:space="0" w:color="auto"/>
              <w:right w:val="nil"/>
            </w:tcBorders>
            <w:shd w:val="clear" w:color="000000" w:fill="002060"/>
            <w:noWrap/>
            <w:vAlign w:val="bottom"/>
            <w:hideMark/>
          </w:tcPr>
          <w:p w14:paraId="2BDF9C92"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 &gt; 5 días</w:t>
            </w:r>
          </w:p>
        </w:tc>
        <w:tc>
          <w:tcPr>
            <w:tcW w:w="709" w:type="dxa"/>
            <w:tcBorders>
              <w:top w:val="nil"/>
              <w:left w:val="single" w:sz="4" w:space="0" w:color="auto"/>
              <w:bottom w:val="single" w:sz="4" w:space="0" w:color="auto"/>
              <w:right w:val="nil"/>
            </w:tcBorders>
            <w:shd w:val="clear" w:color="000000" w:fill="002060"/>
            <w:noWrap/>
            <w:vAlign w:val="bottom"/>
            <w:hideMark/>
          </w:tcPr>
          <w:p w14:paraId="3C86605C"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&lt; días</w:t>
            </w:r>
          </w:p>
        </w:tc>
        <w:tc>
          <w:tcPr>
            <w:tcW w:w="918" w:type="dxa"/>
            <w:tcBorders>
              <w:top w:val="nil"/>
              <w:left w:val="nil"/>
              <w:bottom w:val="single" w:sz="4" w:space="0" w:color="auto"/>
              <w:right w:val="single" w:sz="4" w:space="0" w:color="auto"/>
            </w:tcBorders>
            <w:shd w:val="clear" w:color="000000" w:fill="002060"/>
            <w:noWrap/>
            <w:vAlign w:val="bottom"/>
            <w:hideMark/>
          </w:tcPr>
          <w:p w14:paraId="0A2B82AA" w14:textId="77777777" w:rsidR="00847624" w:rsidRPr="00847624" w:rsidRDefault="00847624"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&gt; 5 días</w:t>
            </w:r>
          </w:p>
        </w:tc>
      </w:tr>
      <w:tr w:rsidR="00847624" w:rsidRPr="00847624" w14:paraId="5D8FD096"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3DB0C45B" w14:textId="77777777" w:rsidR="00847624" w:rsidRPr="00847624" w:rsidRDefault="00847624" w:rsidP="0021165E">
            <w:pPr>
              <w:spacing w:after="0" w:line="240" w:lineRule="auto"/>
              <w:rPr>
                <w:rFonts w:eastAsia="Calibri"/>
                <w:noProof/>
                <w:color w:val="4C4747"/>
                <w:lang w:val="es-DO"/>
              </w:rPr>
            </w:pPr>
            <w:r w:rsidRPr="00847624">
              <w:rPr>
                <w:rFonts w:eastAsia="Calibri"/>
                <w:noProof/>
                <w:color w:val="4C4747"/>
                <w:lang w:val="es-DO"/>
              </w:rPr>
              <w:t>Física</w:t>
            </w:r>
          </w:p>
        </w:tc>
        <w:tc>
          <w:tcPr>
            <w:tcW w:w="1135" w:type="dxa"/>
            <w:tcBorders>
              <w:top w:val="nil"/>
              <w:left w:val="nil"/>
              <w:bottom w:val="single" w:sz="4" w:space="0" w:color="auto"/>
              <w:right w:val="single" w:sz="4" w:space="0" w:color="auto"/>
            </w:tcBorders>
            <w:noWrap/>
            <w:vAlign w:val="bottom"/>
            <w:hideMark/>
          </w:tcPr>
          <w:p w14:paraId="4169A249"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0C83B273"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336196C8"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41E2488E"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21063785"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068CAB2F" w14:textId="77777777" w:rsidR="00847624" w:rsidRPr="00847624" w:rsidRDefault="00847624"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847624" w:rsidRPr="00847624" w14:paraId="4AB1C726"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7141F244" w14:textId="77777777" w:rsidR="00847624" w:rsidRPr="00847624" w:rsidRDefault="00847624" w:rsidP="0021165E">
            <w:pPr>
              <w:spacing w:after="0" w:line="240" w:lineRule="auto"/>
              <w:rPr>
                <w:rFonts w:eastAsia="Calibri"/>
                <w:noProof/>
                <w:color w:val="4C4747"/>
                <w:lang w:val="es-DO"/>
              </w:rPr>
            </w:pPr>
            <w:r w:rsidRPr="00847624">
              <w:rPr>
                <w:rFonts w:eastAsia="Calibri"/>
                <w:noProof/>
                <w:color w:val="4C4747"/>
                <w:lang w:val="es-DO"/>
              </w:rPr>
              <w:t>Portal SAIP</w:t>
            </w:r>
          </w:p>
        </w:tc>
        <w:tc>
          <w:tcPr>
            <w:tcW w:w="1135" w:type="dxa"/>
            <w:tcBorders>
              <w:top w:val="nil"/>
              <w:left w:val="nil"/>
              <w:bottom w:val="single" w:sz="4" w:space="0" w:color="auto"/>
              <w:right w:val="single" w:sz="4" w:space="0" w:color="auto"/>
            </w:tcBorders>
            <w:noWrap/>
            <w:vAlign w:val="bottom"/>
            <w:hideMark/>
          </w:tcPr>
          <w:p w14:paraId="09F80A80" w14:textId="2705E28C" w:rsidR="00847624" w:rsidRPr="00847624" w:rsidRDefault="003F633B" w:rsidP="003F633B">
            <w:pPr>
              <w:spacing w:after="0" w:line="240" w:lineRule="auto"/>
              <w:jc w:val="right"/>
              <w:rPr>
                <w:rFonts w:eastAsia="Calibri"/>
                <w:noProof/>
                <w:color w:val="4C4747"/>
                <w:lang w:val="es-DO"/>
              </w:rPr>
            </w:pPr>
            <w:r w:rsidRPr="00F77F22">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0BB78447"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1A5A5EFA" w14:textId="27F31410" w:rsidR="00847624" w:rsidRPr="00847624" w:rsidRDefault="003F633B" w:rsidP="003F633B">
            <w:pPr>
              <w:spacing w:after="0" w:line="240" w:lineRule="auto"/>
              <w:jc w:val="right"/>
              <w:rPr>
                <w:rFonts w:eastAsia="Calibri"/>
                <w:noProof/>
                <w:color w:val="4C4747"/>
                <w:lang w:val="es-DO"/>
              </w:rPr>
            </w:pPr>
            <w:r w:rsidRPr="00F77F22">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17FA65BA" w14:textId="5EFD4B0C" w:rsidR="00847624" w:rsidRPr="00847624" w:rsidRDefault="003F633B" w:rsidP="003F633B">
            <w:pPr>
              <w:spacing w:after="0" w:line="240" w:lineRule="auto"/>
              <w:jc w:val="right"/>
              <w:rPr>
                <w:rFonts w:eastAsia="Calibri"/>
                <w:noProof/>
                <w:color w:val="4C4747"/>
                <w:lang w:val="es-DO"/>
              </w:rPr>
            </w:pPr>
            <w:r w:rsidRPr="00F77F22">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7C1D604A"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0E040147" w14:textId="45DEE1BD" w:rsidR="00847624" w:rsidRPr="00847624" w:rsidRDefault="003F633B" w:rsidP="0021165E">
            <w:pPr>
              <w:spacing w:after="0" w:line="240" w:lineRule="auto"/>
              <w:jc w:val="right"/>
              <w:rPr>
                <w:rFonts w:eastAsia="Calibri"/>
                <w:noProof/>
                <w:color w:val="4C4747"/>
                <w:lang w:val="es-DO"/>
              </w:rPr>
            </w:pPr>
            <w:r w:rsidRPr="00F77F22">
              <w:rPr>
                <w:rFonts w:eastAsia="Calibri"/>
                <w:noProof/>
                <w:color w:val="4C4747"/>
                <w:lang w:val="es-DO"/>
              </w:rPr>
              <w:t>0</w:t>
            </w:r>
          </w:p>
        </w:tc>
      </w:tr>
      <w:tr w:rsidR="00847624" w:rsidRPr="00847624" w14:paraId="5A5690DF"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2131EC26" w14:textId="77777777" w:rsidR="00847624" w:rsidRPr="00847624" w:rsidRDefault="00847624" w:rsidP="0021165E">
            <w:pPr>
              <w:spacing w:after="0" w:line="240" w:lineRule="auto"/>
              <w:rPr>
                <w:rFonts w:eastAsia="Calibri"/>
                <w:noProof/>
                <w:color w:val="4C4747"/>
                <w:lang w:val="es-DO"/>
              </w:rPr>
            </w:pPr>
            <w:r w:rsidRPr="00847624">
              <w:rPr>
                <w:rFonts w:eastAsia="Calibri"/>
                <w:noProof/>
                <w:color w:val="4C4747"/>
                <w:lang w:val="es-DO"/>
              </w:rPr>
              <w:t>311</w:t>
            </w:r>
          </w:p>
        </w:tc>
        <w:tc>
          <w:tcPr>
            <w:tcW w:w="1135" w:type="dxa"/>
            <w:tcBorders>
              <w:top w:val="nil"/>
              <w:left w:val="nil"/>
              <w:bottom w:val="single" w:sz="4" w:space="0" w:color="auto"/>
              <w:right w:val="single" w:sz="4" w:space="0" w:color="auto"/>
            </w:tcBorders>
            <w:noWrap/>
            <w:vAlign w:val="bottom"/>
            <w:hideMark/>
          </w:tcPr>
          <w:p w14:paraId="133D4480"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30799C0C"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44643F04"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54D2614E"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25EBD9E9"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64137AB0" w14:textId="77777777" w:rsidR="00847624" w:rsidRPr="00847624" w:rsidRDefault="00847624"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847624" w:rsidRPr="00847624" w14:paraId="4AD1729C"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46009A2C" w14:textId="77777777" w:rsidR="00847624" w:rsidRPr="00847624" w:rsidRDefault="00847624" w:rsidP="0021165E">
            <w:pPr>
              <w:spacing w:after="0" w:line="240" w:lineRule="auto"/>
              <w:rPr>
                <w:rFonts w:eastAsia="Calibri"/>
                <w:noProof/>
                <w:color w:val="4C4747"/>
                <w:lang w:val="es-DO"/>
              </w:rPr>
            </w:pPr>
            <w:r w:rsidRPr="00847624">
              <w:rPr>
                <w:rFonts w:eastAsia="Calibri"/>
                <w:noProof/>
                <w:color w:val="4C4747"/>
                <w:lang w:val="es-DO"/>
              </w:rPr>
              <w:t>Correo electrónico</w:t>
            </w:r>
          </w:p>
        </w:tc>
        <w:tc>
          <w:tcPr>
            <w:tcW w:w="1135" w:type="dxa"/>
            <w:tcBorders>
              <w:top w:val="nil"/>
              <w:left w:val="nil"/>
              <w:bottom w:val="single" w:sz="4" w:space="0" w:color="auto"/>
              <w:right w:val="single" w:sz="4" w:space="0" w:color="auto"/>
            </w:tcBorders>
            <w:noWrap/>
            <w:vAlign w:val="bottom"/>
            <w:hideMark/>
          </w:tcPr>
          <w:p w14:paraId="202757B0"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205BBC47"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7A52B240"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518D45DF"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33BE6955"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2ADBBC3E" w14:textId="77777777" w:rsidR="00847624" w:rsidRPr="00847624" w:rsidRDefault="00847624"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847624" w:rsidRPr="00847624" w14:paraId="60C8D4D9"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6026AD93" w14:textId="77777777" w:rsidR="00847624" w:rsidRPr="00847624" w:rsidRDefault="00847624" w:rsidP="0021165E">
            <w:pPr>
              <w:spacing w:after="0" w:line="240" w:lineRule="auto"/>
              <w:rPr>
                <w:rFonts w:eastAsia="Calibri"/>
                <w:noProof/>
                <w:color w:val="4C4747"/>
                <w:lang w:val="es-DO"/>
              </w:rPr>
            </w:pPr>
            <w:r w:rsidRPr="00847624">
              <w:rPr>
                <w:rFonts w:eastAsia="Calibri"/>
                <w:noProof/>
                <w:color w:val="4C4747"/>
                <w:lang w:val="es-DO"/>
              </w:rPr>
              <w:t>Otra</w:t>
            </w:r>
          </w:p>
        </w:tc>
        <w:tc>
          <w:tcPr>
            <w:tcW w:w="1135" w:type="dxa"/>
            <w:tcBorders>
              <w:top w:val="nil"/>
              <w:left w:val="nil"/>
              <w:bottom w:val="single" w:sz="4" w:space="0" w:color="auto"/>
              <w:right w:val="single" w:sz="4" w:space="0" w:color="auto"/>
            </w:tcBorders>
            <w:noWrap/>
            <w:vAlign w:val="bottom"/>
            <w:hideMark/>
          </w:tcPr>
          <w:p w14:paraId="46DDD79D"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47A57B80"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327FB2B2"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67F71E4B"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0E5215F7"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7E215BB9" w14:textId="77777777" w:rsidR="00847624" w:rsidRPr="00847624" w:rsidRDefault="00847624"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847624" w:rsidRPr="00847624" w14:paraId="303715D3"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139A606D" w14:textId="77777777" w:rsidR="00847624" w:rsidRPr="00847624" w:rsidRDefault="00847624" w:rsidP="0021165E">
            <w:pPr>
              <w:spacing w:after="0" w:line="240" w:lineRule="auto"/>
              <w:rPr>
                <w:rFonts w:eastAsia="Calibri"/>
                <w:noProof/>
                <w:color w:val="4C4747"/>
                <w:lang w:val="es-DO"/>
              </w:rPr>
            </w:pPr>
            <w:r w:rsidRPr="00847624">
              <w:rPr>
                <w:rFonts w:eastAsia="Calibri"/>
                <w:noProof/>
                <w:color w:val="4C4747"/>
                <w:lang w:val="es-DO"/>
              </w:rPr>
              <w:t>Total</w:t>
            </w:r>
          </w:p>
        </w:tc>
        <w:tc>
          <w:tcPr>
            <w:tcW w:w="1135" w:type="dxa"/>
            <w:tcBorders>
              <w:top w:val="nil"/>
              <w:left w:val="nil"/>
              <w:bottom w:val="single" w:sz="4" w:space="0" w:color="auto"/>
              <w:right w:val="single" w:sz="4" w:space="0" w:color="auto"/>
            </w:tcBorders>
            <w:noWrap/>
            <w:vAlign w:val="bottom"/>
            <w:hideMark/>
          </w:tcPr>
          <w:p w14:paraId="2471F60A" w14:textId="13934F86" w:rsidR="00847624" w:rsidRPr="00847624" w:rsidRDefault="003F633B" w:rsidP="003F633B">
            <w:pPr>
              <w:spacing w:after="0" w:line="240" w:lineRule="auto"/>
              <w:jc w:val="right"/>
              <w:rPr>
                <w:rFonts w:eastAsia="Calibri"/>
                <w:noProof/>
                <w:color w:val="4C4747"/>
                <w:lang w:val="es-DO"/>
              </w:rPr>
            </w:pPr>
            <w:r w:rsidRPr="00F77F22">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42F89933"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561A22E0" w14:textId="66484C73" w:rsidR="00847624" w:rsidRPr="00847624" w:rsidRDefault="003F633B" w:rsidP="003F633B">
            <w:pPr>
              <w:spacing w:after="0" w:line="240" w:lineRule="auto"/>
              <w:jc w:val="right"/>
              <w:rPr>
                <w:rFonts w:eastAsia="Calibri"/>
                <w:noProof/>
                <w:color w:val="4C4747"/>
                <w:lang w:val="es-DO"/>
              </w:rPr>
            </w:pPr>
            <w:r w:rsidRPr="00F77F22">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43B8D40D" w14:textId="516E50C8" w:rsidR="00847624" w:rsidRPr="00847624" w:rsidRDefault="003F633B" w:rsidP="003F633B">
            <w:pPr>
              <w:spacing w:after="0" w:line="240" w:lineRule="auto"/>
              <w:jc w:val="right"/>
              <w:rPr>
                <w:rFonts w:eastAsia="Calibri"/>
                <w:noProof/>
                <w:color w:val="4C4747"/>
                <w:lang w:val="es-DO"/>
              </w:rPr>
            </w:pPr>
            <w:r w:rsidRPr="00F77F22">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24ABC70C" w14:textId="77777777" w:rsidR="00847624" w:rsidRPr="00847624" w:rsidRDefault="00847624" w:rsidP="003F633B">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6CFFE668" w14:textId="67641E57" w:rsidR="00847624" w:rsidRPr="00847624" w:rsidRDefault="003F633B" w:rsidP="0021165E">
            <w:pPr>
              <w:spacing w:after="0" w:line="240" w:lineRule="auto"/>
              <w:jc w:val="right"/>
              <w:rPr>
                <w:rFonts w:eastAsia="Calibri"/>
                <w:noProof/>
                <w:color w:val="4C4747"/>
                <w:lang w:val="es-DO"/>
              </w:rPr>
            </w:pPr>
            <w:r w:rsidRPr="00F77F22">
              <w:rPr>
                <w:rFonts w:eastAsia="Calibri"/>
                <w:noProof/>
                <w:color w:val="4C4747"/>
                <w:lang w:val="es-DO"/>
              </w:rPr>
              <w:t>0</w:t>
            </w:r>
          </w:p>
        </w:tc>
      </w:tr>
    </w:tbl>
    <w:p w14:paraId="2DADE0E2" w14:textId="6C4F4A3B" w:rsidR="00B65688" w:rsidRPr="00F77F22" w:rsidRDefault="00B65688" w:rsidP="00340DF1">
      <w:pPr>
        <w:spacing w:after="0" w:line="360" w:lineRule="auto"/>
        <w:rPr>
          <w:rFonts w:eastAsia="Calibri"/>
          <w:noProof/>
          <w:color w:val="4C4747"/>
          <w:lang w:val="es-DO"/>
        </w:rPr>
      </w:pPr>
    </w:p>
    <w:p w14:paraId="02991193" w14:textId="335560BC" w:rsidR="00B65688" w:rsidRPr="00F77F22" w:rsidRDefault="00B65688" w:rsidP="00340DF1">
      <w:pPr>
        <w:spacing w:after="0" w:line="360" w:lineRule="auto"/>
        <w:rPr>
          <w:rFonts w:eastAsia="Calibri"/>
          <w:noProof/>
          <w:color w:val="4C4747"/>
          <w:lang w:val="es-DO"/>
        </w:rPr>
      </w:pPr>
    </w:p>
    <w:tbl>
      <w:tblPr>
        <w:tblW w:w="8200" w:type="dxa"/>
        <w:tblCellMar>
          <w:left w:w="70" w:type="dxa"/>
          <w:right w:w="70" w:type="dxa"/>
        </w:tblCellMar>
        <w:tblLook w:val="04A0" w:firstRow="1" w:lastRow="0" w:firstColumn="1" w:lastColumn="0" w:noHBand="0" w:noVBand="1"/>
      </w:tblPr>
      <w:tblGrid>
        <w:gridCol w:w="2204"/>
        <w:gridCol w:w="1267"/>
        <w:gridCol w:w="1380"/>
        <w:gridCol w:w="918"/>
        <w:gridCol w:w="982"/>
        <w:gridCol w:w="709"/>
        <w:gridCol w:w="918"/>
      </w:tblGrid>
      <w:tr w:rsidR="003F633B" w:rsidRPr="00116DFC" w14:paraId="74B35504"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1BADC6E1"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COMISIÓN NACIONAL DE DEFENSA DE LA COMPETENCIA</w:t>
            </w:r>
          </w:p>
        </w:tc>
      </w:tr>
      <w:tr w:rsidR="003F633B" w:rsidRPr="00847624" w14:paraId="63250A54"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1ED16BE6"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(PRO-COMPETENCIA)</w:t>
            </w:r>
          </w:p>
        </w:tc>
      </w:tr>
      <w:tr w:rsidR="003F633B" w:rsidRPr="00116DFC" w14:paraId="6362FCB7"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1F0A2610"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Oficina de Libre Acceso a la Información (OAI)</w:t>
            </w:r>
          </w:p>
        </w:tc>
      </w:tr>
      <w:tr w:rsidR="003F633B" w:rsidRPr="00847624" w14:paraId="181E14B5"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6785EE91"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Estadísticas y Balance Gestión</w:t>
            </w:r>
          </w:p>
        </w:tc>
      </w:tr>
      <w:tr w:rsidR="003F633B" w:rsidRPr="00847624" w14:paraId="751283A4"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550D2A09" w14:textId="58E431FE" w:rsidR="003F633B" w:rsidRPr="00847624" w:rsidRDefault="003F633B" w:rsidP="0021165E">
            <w:pPr>
              <w:spacing w:after="0" w:line="240" w:lineRule="auto"/>
              <w:jc w:val="center"/>
              <w:rPr>
                <w:rFonts w:eastAsia="Calibri"/>
                <w:noProof/>
                <w:color w:val="FFFFFF" w:themeColor="background1"/>
                <w:lang w:val="es-DO"/>
              </w:rPr>
            </w:pPr>
            <w:r w:rsidRPr="00F77F22">
              <w:rPr>
                <w:rFonts w:eastAsia="Calibri"/>
                <w:noProof/>
                <w:color w:val="FFFFFF" w:themeColor="background1"/>
                <w:lang w:val="es-DO"/>
              </w:rPr>
              <w:t xml:space="preserve">Tercer </w:t>
            </w:r>
            <w:r w:rsidRPr="00847624">
              <w:rPr>
                <w:rFonts w:eastAsia="Calibri"/>
                <w:noProof/>
                <w:color w:val="FFFFFF" w:themeColor="background1"/>
                <w:lang w:val="es-DO"/>
              </w:rPr>
              <w:t>Trimestre (</w:t>
            </w:r>
            <w:r w:rsidRPr="00F77F22">
              <w:rPr>
                <w:rFonts w:eastAsia="Calibri"/>
                <w:noProof/>
                <w:color w:val="FFFFFF" w:themeColor="background1"/>
                <w:lang w:val="es-DO"/>
              </w:rPr>
              <w:t>Julio</w:t>
            </w:r>
            <w:r w:rsidRPr="00847624">
              <w:rPr>
                <w:rFonts w:eastAsia="Calibri"/>
                <w:noProof/>
                <w:color w:val="FFFFFF" w:themeColor="background1"/>
                <w:lang w:val="es-DO"/>
              </w:rPr>
              <w:t xml:space="preserve"> – </w:t>
            </w:r>
            <w:r w:rsidR="00D0537B" w:rsidRPr="00F77F22">
              <w:rPr>
                <w:rFonts w:eastAsia="Calibri"/>
                <w:noProof/>
                <w:color w:val="FFFFFF" w:themeColor="background1"/>
                <w:lang w:val="es-DO"/>
              </w:rPr>
              <w:t>Septiembre</w:t>
            </w:r>
            <w:r w:rsidRPr="00847624">
              <w:rPr>
                <w:rFonts w:eastAsia="Calibri"/>
                <w:noProof/>
                <w:color w:val="FFFFFF" w:themeColor="background1"/>
                <w:lang w:val="es-DO"/>
              </w:rPr>
              <w:t>) 2025</w:t>
            </w:r>
          </w:p>
        </w:tc>
      </w:tr>
      <w:tr w:rsidR="003F633B" w:rsidRPr="00847624" w14:paraId="070CD5F3" w14:textId="77777777" w:rsidTr="0021165E">
        <w:trPr>
          <w:trHeight w:val="290"/>
        </w:trPr>
        <w:tc>
          <w:tcPr>
            <w:tcW w:w="2204"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62512BC1"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Medio de Solicitud</w:t>
            </w:r>
          </w:p>
        </w:tc>
        <w:tc>
          <w:tcPr>
            <w:tcW w:w="1135"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5F086AA5"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Recibidas</w:t>
            </w:r>
          </w:p>
        </w:tc>
        <w:tc>
          <w:tcPr>
            <w:tcW w:w="1334"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60F02C7B"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Pendientes</w:t>
            </w:r>
          </w:p>
        </w:tc>
        <w:tc>
          <w:tcPr>
            <w:tcW w:w="1900" w:type="dxa"/>
            <w:gridSpan w:val="2"/>
            <w:tcBorders>
              <w:top w:val="nil"/>
              <w:left w:val="nil"/>
              <w:bottom w:val="single" w:sz="4" w:space="0" w:color="auto"/>
              <w:right w:val="single" w:sz="4" w:space="0" w:color="000000"/>
            </w:tcBorders>
            <w:shd w:val="clear" w:color="000000" w:fill="002060"/>
            <w:noWrap/>
            <w:vAlign w:val="bottom"/>
            <w:hideMark/>
          </w:tcPr>
          <w:p w14:paraId="78E76424"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Resueltas </w:t>
            </w:r>
          </w:p>
        </w:tc>
        <w:tc>
          <w:tcPr>
            <w:tcW w:w="1627" w:type="dxa"/>
            <w:gridSpan w:val="2"/>
            <w:tcBorders>
              <w:top w:val="nil"/>
              <w:left w:val="nil"/>
              <w:bottom w:val="single" w:sz="4" w:space="0" w:color="auto"/>
              <w:right w:val="single" w:sz="4" w:space="0" w:color="000000"/>
            </w:tcBorders>
            <w:shd w:val="clear" w:color="000000" w:fill="002060"/>
            <w:noWrap/>
            <w:vAlign w:val="bottom"/>
            <w:hideMark/>
          </w:tcPr>
          <w:p w14:paraId="5FF9A3C6"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Rechazadas </w:t>
            </w:r>
          </w:p>
        </w:tc>
      </w:tr>
      <w:tr w:rsidR="003F633B" w:rsidRPr="00847624" w14:paraId="11BE5064" w14:textId="77777777" w:rsidTr="0021165E">
        <w:trPr>
          <w:trHeight w:val="290"/>
        </w:trPr>
        <w:tc>
          <w:tcPr>
            <w:tcW w:w="2204" w:type="dxa"/>
            <w:vMerge/>
            <w:tcBorders>
              <w:top w:val="nil"/>
              <w:left w:val="single" w:sz="4" w:space="0" w:color="auto"/>
              <w:bottom w:val="single" w:sz="4" w:space="0" w:color="000000"/>
              <w:right w:val="single" w:sz="4" w:space="0" w:color="auto"/>
            </w:tcBorders>
            <w:vAlign w:val="center"/>
            <w:hideMark/>
          </w:tcPr>
          <w:p w14:paraId="127877CA" w14:textId="77777777" w:rsidR="003F633B" w:rsidRPr="00847624" w:rsidRDefault="003F633B" w:rsidP="0021165E">
            <w:pPr>
              <w:spacing w:after="0" w:line="240" w:lineRule="auto"/>
              <w:rPr>
                <w:rFonts w:eastAsia="Calibri"/>
                <w:noProof/>
                <w:color w:val="FFFFFF" w:themeColor="background1"/>
                <w:lang w:val="es-DO"/>
              </w:rPr>
            </w:pPr>
          </w:p>
        </w:tc>
        <w:tc>
          <w:tcPr>
            <w:tcW w:w="1135" w:type="dxa"/>
            <w:vMerge/>
            <w:tcBorders>
              <w:top w:val="nil"/>
              <w:left w:val="single" w:sz="4" w:space="0" w:color="auto"/>
              <w:bottom w:val="single" w:sz="4" w:space="0" w:color="000000"/>
              <w:right w:val="single" w:sz="4" w:space="0" w:color="auto"/>
            </w:tcBorders>
            <w:vAlign w:val="center"/>
            <w:hideMark/>
          </w:tcPr>
          <w:p w14:paraId="32982FD0" w14:textId="77777777" w:rsidR="003F633B" w:rsidRPr="00847624" w:rsidRDefault="003F633B" w:rsidP="0021165E">
            <w:pPr>
              <w:spacing w:after="0" w:line="240" w:lineRule="auto"/>
              <w:rPr>
                <w:rFonts w:eastAsia="Calibri"/>
                <w:noProof/>
                <w:color w:val="FFFFFF" w:themeColor="background1"/>
                <w:lang w:val="es-DO"/>
              </w:rPr>
            </w:pPr>
          </w:p>
        </w:tc>
        <w:tc>
          <w:tcPr>
            <w:tcW w:w="1334" w:type="dxa"/>
            <w:vMerge/>
            <w:tcBorders>
              <w:top w:val="nil"/>
              <w:left w:val="single" w:sz="4" w:space="0" w:color="auto"/>
              <w:bottom w:val="single" w:sz="4" w:space="0" w:color="000000"/>
              <w:right w:val="single" w:sz="4" w:space="0" w:color="auto"/>
            </w:tcBorders>
            <w:vAlign w:val="center"/>
            <w:hideMark/>
          </w:tcPr>
          <w:p w14:paraId="136F1795" w14:textId="77777777" w:rsidR="003F633B" w:rsidRPr="00847624" w:rsidRDefault="003F633B" w:rsidP="0021165E">
            <w:pPr>
              <w:spacing w:after="0" w:line="240" w:lineRule="auto"/>
              <w:rPr>
                <w:rFonts w:eastAsia="Calibri"/>
                <w:noProof/>
                <w:color w:val="FFFFFF" w:themeColor="background1"/>
                <w:lang w:val="es-DO"/>
              </w:rPr>
            </w:pPr>
          </w:p>
        </w:tc>
        <w:tc>
          <w:tcPr>
            <w:tcW w:w="918" w:type="dxa"/>
            <w:tcBorders>
              <w:top w:val="nil"/>
              <w:left w:val="nil"/>
              <w:bottom w:val="single" w:sz="4" w:space="0" w:color="auto"/>
              <w:right w:val="nil"/>
            </w:tcBorders>
            <w:shd w:val="clear" w:color="000000" w:fill="002060"/>
            <w:noWrap/>
            <w:vAlign w:val="bottom"/>
            <w:hideMark/>
          </w:tcPr>
          <w:p w14:paraId="27E85A84"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&lt; 5 días</w:t>
            </w:r>
          </w:p>
        </w:tc>
        <w:tc>
          <w:tcPr>
            <w:tcW w:w="982" w:type="dxa"/>
            <w:tcBorders>
              <w:top w:val="nil"/>
              <w:left w:val="single" w:sz="4" w:space="0" w:color="auto"/>
              <w:bottom w:val="single" w:sz="4" w:space="0" w:color="auto"/>
              <w:right w:val="nil"/>
            </w:tcBorders>
            <w:shd w:val="clear" w:color="000000" w:fill="002060"/>
            <w:noWrap/>
            <w:vAlign w:val="bottom"/>
            <w:hideMark/>
          </w:tcPr>
          <w:p w14:paraId="17E533F3"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 &gt; 5 días</w:t>
            </w:r>
          </w:p>
        </w:tc>
        <w:tc>
          <w:tcPr>
            <w:tcW w:w="709" w:type="dxa"/>
            <w:tcBorders>
              <w:top w:val="nil"/>
              <w:left w:val="single" w:sz="4" w:space="0" w:color="auto"/>
              <w:bottom w:val="single" w:sz="4" w:space="0" w:color="auto"/>
              <w:right w:val="nil"/>
            </w:tcBorders>
            <w:shd w:val="clear" w:color="000000" w:fill="002060"/>
            <w:noWrap/>
            <w:vAlign w:val="bottom"/>
            <w:hideMark/>
          </w:tcPr>
          <w:p w14:paraId="4F06BB61"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&lt; días</w:t>
            </w:r>
          </w:p>
        </w:tc>
        <w:tc>
          <w:tcPr>
            <w:tcW w:w="918" w:type="dxa"/>
            <w:tcBorders>
              <w:top w:val="nil"/>
              <w:left w:val="nil"/>
              <w:bottom w:val="single" w:sz="4" w:space="0" w:color="auto"/>
              <w:right w:val="single" w:sz="4" w:space="0" w:color="auto"/>
            </w:tcBorders>
            <w:shd w:val="clear" w:color="000000" w:fill="002060"/>
            <w:noWrap/>
            <w:vAlign w:val="bottom"/>
            <w:hideMark/>
          </w:tcPr>
          <w:p w14:paraId="504F6ABA" w14:textId="77777777" w:rsidR="003F633B" w:rsidRPr="00847624" w:rsidRDefault="003F633B"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&gt; 5 días</w:t>
            </w:r>
          </w:p>
        </w:tc>
      </w:tr>
      <w:tr w:rsidR="003F633B" w:rsidRPr="00847624" w14:paraId="1CEB10DB"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4D1ED89B" w14:textId="77777777" w:rsidR="003F633B" w:rsidRPr="00847624" w:rsidRDefault="003F633B" w:rsidP="0021165E">
            <w:pPr>
              <w:spacing w:after="0" w:line="240" w:lineRule="auto"/>
              <w:rPr>
                <w:rFonts w:eastAsia="Calibri"/>
                <w:noProof/>
                <w:color w:val="4C4747"/>
                <w:lang w:val="es-DO"/>
              </w:rPr>
            </w:pPr>
            <w:r w:rsidRPr="00847624">
              <w:rPr>
                <w:rFonts w:eastAsia="Calibri"/>
                <w:noProof/>
                <w:color w:val="4C4747"/>
                <w:lang w:val="es-DO"/>
              </w:rPr>
              <w:t>Física</w:t>
            </w:r>
          </w:p>
        </w:tc>
        <w:tc>
          <w:tcPr>
            <w:tcW w:w="1135" w:type="dxa"/>
            <w:tcBorders>
              <w:top w:val="nil"/>
              <w:left w:val="nil"/>
              <w:bottom w:val="single" w:sz="4" w:space="0" w:color="auto"/>
              <w:right w:val="single" w:sz="4" w:space="0" w:color="auto"/>
            </w:tcBorders>
            <w:noWrap/>
            <w:vAlign w:val="bottom"/>
            <w:hideMark/>
          </w:tcPr>
          <w:p w14:paraId="336888B4"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4C51256D"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60159DBD"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38513F04"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1FEB50C0"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2185967D"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3F633B" w:rsidRPr="00847624" w14:paraId="092D4031"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00F25410" w14:textId="77777777" w:rsidR="003F633B" w:rsidRPr="00847624" w:rsidRDefault="003F633B" w:rsidP="0021165E">
            <w:pPr>
              <w:spacing w:after="0" w:line="240" w:lineRule="auto"/>
              <w:rPr>
                <w:rFonts w:eastAsia="Calibri"/>
                <w:noProof/>
                <w:color w:val="4C4747"/>
                <w:lang w:val="es-DO"/>
              </w:rPr>
            </w:pPr>
            <w:r w:rsidRPr="00847624">
              <w:rPr>
                <w:rFonts w:eastAsia="Calibri"/>
                <w:noProof/>
                <w:color w:val="4C4747"/>
                <w:lang w:val="es-DO"/>
              </w:rPr>
              <w:t>Portal SAIP</w:t>
            </w:r>
          </w:p>
        </w:tc>
        <w:tc>
          <w:tcPr>
            <w:tcW w:w="1135" w:type="dxa"/>
            <w:tcBorders>
              <w:top w:val="nil"/>
              <w:left w:val="nil"/>
              <w:bottom w:val="single" w:sz="4" w:space="0" w:color="auto"/>
              <w:right w:val="single" w:sz="4" w:space="0" w:color="auto"/>
            </w:tcBorders>
            <w:noWrap/>
            <w:vAlign w:val="bottom"/>
            <w:hideMark/>
          </w:tcPr>
          <w:p w14:paraId="6B8FAD9F" w14:textId="5D9825B9" w:rsidR="003F633B" w:rsidRPr="00847624" w:rsidRDefault="00D0537B" w:rsidP="0021165E">
            <w:pPr>
              <w:spacing w:after="0" w:line="240" w:lineRule="auto"/>
              <w:jc w:val="right"/>
              <w:rPr>
                <w:rFonts w:eastAsia="Calibri"/>
                <w:noProof/>
                <w:color w:val="4C4747"/>
                <w:lang w:val="es-DO"/>
              </w:rPr>
            </w:pPr>
            <w:r w:rsidRPr="00F77F22">
              <w:rPr>
                <w:rFonts w:eastAsia="Calibri"/>
                <w:noProof/>
                <w:color w:val="4C4747"/>
                <w:lang w:val="es-DO"/>
              </w:rPr>
              <w:t>4</w:t>
            </w:r>
          </w:p>
        </w:tc>
        <w:tc>
          <w:tcPr>
            <w:tcW w:w="1334" w:type="dxa"/>
            <w:tcBorders>
              <w:top w:val="nil"/>
              <w:left w:val="nil"/>
              <w:bottom w:val="single" w:sz="4" w:space="0" w:color="auto"/>
              <w:right w:val="single" w:sz="4" w:space="0" w:color="auto"/>
            </w:tcBorders>
            <w:noWrap/>
            <w:vAlign w:val="bottom"/>
            <w:hideMark/>
          </w:tcPr>
          <w:p w14:paraId="0204955E"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04E2E5AF" w14:textId="77777777" w:rsidR="003F633B" w:rsidRPr="00847624" w:rsidRDefault="003F633B" w:rsidP="0021165E">
            <w:pPr>
              <w:spacing w:after="0" w:line="240" w:lineRule="auto"/>
              <w:jc w:val="right"/>
              <w:rPr>
                <w:rFonts w:eastAsia="Calibri"/>
                <w:noProof/>
                <w:color w:val="4C4747"/>
                <w:lang w:val="es-DO"/>
              </w:rPr>
            </w:pPr>
            <w:r w:rsidRPr="00F77F22">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0F921657" w14:textId="4D7CC0C0" w:rsidR="003F633B" w:rsidRPr="00847624" w:rsidRDefault="00A53C3C" w:rsidP="0021165E">
            <w:pPr>
              <w:spacing w:after="0" w:line="240" w:lineRule="auto"/>
              <w:jc w:val="right"/>
              <w:rPr>
                <w:rFonts w:eastAsia="Calibri"/>
                <w:noProof/>
                <w:color w:val="4C4747"/>
                <w:lang w:val="es-DO"/>
              </w:rPr>
            </w:pPr>
            <w:r w:rsidRPr="00F77F22">
              <w:rPr>
                <w:rFonts w:eastAsia="Calibri"/>
                <w:noProof/>
                <w:color w:val="4C4747"/>
                <w:lang w:val="es-DO"/>
              </w:rPr>
              <w:t>4</w:t>
            </w:r>
          </w:p>
        </w:tc>
        <w:tc>
          <w:tcPr>
            <w:tcW w:w="709" w:type="dxa"/>
            <w:tcBorders>
              <w:top w:val="nil"/>
              <w:left w:val="nil"/>
              <w:bottom w:val="single" w:sz="4" w:space="0" w:color="auto"/>
              <w:right w:val="single" w:sz="4" w:space="0" w:color="auto"/>
            </w:tcBorders>
            <w:noWrap/>
            <w:vAlign w:val="bottom"/>
            <w:hideMark/>
          </w:tcPr>
          <w:p w14:paraId="726FAEB5"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418E3FAA" w14:textId="77777777" w:rsidR="003F633B" w:rsidRPr="00847624" w:rsidRDefault="003F633B" w:rsidP="0021165E">
            <w:pPr>
              <w:spacing w:after="0" w:line="240" w:lineRule="auto"/>
              <w:jc w:val="right"/>
              <w:rPr>
                <w:rFonts w:eastAsia="Calibri"/>
                <w:noProof/>
                <w:color w:val="4C4747"/>
                <w:lang w:val="es-DO"/>
              </w:rPr>
            </w:pPr>
            <w:r w:rsidRPr="00F77F22">
              <w:rPr>
                <w:rFonts w:eastAsia="Calibri"/>
                <w:noProof/>
                <w:color w:val="4C4747"/>
                <w:lang w:val="es-DO"/>
              </w:rPr>
              <w:t>0</w:t>
            </w:r>
          </w:p>
        </w:tc>
      </w:tr>
      <w:tr w:rsidR="003F633B" w:rsidRPr="00847624" w14:paraId="0A2F18C6"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28044CB4" w14:textId="77777777" w:rsidR="003F633B" w:rsidRPr="00847624" w:rsidRDefault="003F633B" w:rsidP="0021165E">
            <w:pPr>
              <w:spacing w:after="0" w:line="240" w:lineRule="auto"/>
              <w:rPr>
                <w:rFonts w:eastAsia="Calibri"/>
                <w:noProof/>
                <w:color w:val="4C4747"/>
                <w:lang w:val="es-DO"/>
              </w:rPr>
            </w:pPr>
            <w:r w:rsidRPr="00847624">
              <w:rPr>
                <w:rFonts w:eastAsia="Calibri"/>
                <w:noProof/>
                <w:color w:val="4C4747"/>
                <w:lang w:val="es-DO"/>
              </w:rPr>
              <w:t>311</w:t>
            </w:r>
          </w:p>
        </w:tc>
        <w:tc>
          <w:tcPr>
            <w:tcW w:w="1135" w:type="dxa"/>
            <w:tcBorders>
              <w:top w:val="nil"/>
              <w:left w:val="nil"/>
              <w:bottom w:val="single" w:sz="4" w:space="0" w:color="auto"/>
              <w:right w:val="single" w:sz="4" w:space="0" w:color="auto"/>
            </w:tcBorders>
            <w:noWrap/>
            <w:vAlign w:val="bottom"/>
            <w:hideMark/>
          </w:tcPr>
          <w:p w14:paraId="47FF5202"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28F9EE8B"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17411FD8"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386F50AD"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2176C0F6"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63D5551D"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3F633B" w:rsidRPr="00847624" w14:paraId="447F953E"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4BD6123C" w14:textId="77777777" w:rsidR="003F633B" w:rsidRPr="00847624" w:rsidRDefault="003F633B" w:rsidP="0021165E">
            <w:pPr>
              <w:spacing w:after="0" w:line="240" w:lineRule="auto"/>
              <w:rPr>
                <w:rFonts w:eastAsia="Calibri"/>
                <w:noProof/>
                <w:color w:val="4C4747"/>
                <w:lang w:val="es-DO"/>
              </w:rPr>
            </w:pPr>
            <w:r w:rsidRPr="00847624">
              <w:rPr>
                <w:rFonts w:eastAsia="Calibri"/>
                <w:noProof/>
                <w:color w:val="4C4747"/>
                <w:lang w:val="es-DO"/>
              </w:rPr>
              <w:t>Correo electrónico</w:t>
            </w:r>
          </w:p>
        </w:tc>
        <w:tc>
          <w:tcPr>
            <w:tcW w:w="1135" w:type="dxa"/>
            <w:tcBorders>
              <w:top w:val="nil"/>
              <w:left w:val="nil"/>
              <w:bottom w:val="single" w:sz="4" w:space="0" w:color="auto"/>
              <w:right w:val="single" w:sz="4" w:space="0" w:color="auto"/>
            </w:tcBorders>
            <w:noWrap/>
            <w:vAlign w:val="bottom"/>
            <w:hideMark/>
          </w:tcPr>
          <w:p w14:paraId="6E866B60" w14:textId="6BCB365A" w:rsidR="003F633B" w:rsidRPr="00847624" w:rsidRDefault="00D0537B" w:rsidP="0021165E">
            <w:pPr>
              <w:spacing w:after="0" w:line="240" w:lineRule="auto"/>
              <w:jc w:val="right"/>
              <w:rPr>
                <w:rFonts w:eastAsia="Calibri"/>
                <w:noProof/>
                <w:color w:val="4C4747"/>
                <w:lang w:val="es-DO"/>
              </w:rPr>
            </w:pPr>
            <w:r w:rsidRPr="00F77F22">
              <w:rPr>
                <w:rFonts w:eastAsia="Calibri"/>
                <w:noProof/>
                <w:color w:val="4C4747"/>
                <w:lang w:val="es-DO"/>
              </w:rPr>
              <w:t>2</w:t>
            </w:r>
          </w:p>
        </w:tc>
        <w:tc>
          <w:tcPr>
            <w:tcW w:w="1334" w:type="dxa"/>
            <w:tcBorders>
              <w:top w:val="nil"/>
              <w:left w:val="nil"/>
              <w:bottom w:val="single" w:sz="4" w:space="0" w:color="auto"/>
              <w:right w:val="single" w:sz="4" w:space="0" w:color="auto"/>
            </w:tcBorders>
            <w:noWrap/>
            <w:vAlign w:val="bottom"/>
            <w:hideMark/>
          </w:tcPr>
          <w:p w14:paraId="35D22B13" w14:textId="527F5F68" w:rsidR="003F633B" w:rsidRPr="00847624" w:rsidRDefault="00D0537B" w:rsidP="0021165E">
            <w:pPr>
              <w:spacing w:after="0" w:line="240" w:lineRule="auto"/>
              <w:jc w:val="right"/>
              <w:rPr>
                <w:rFonts w:eastAsia="Calibri"/>
                <w:noProof/>
                <w:color w:val="4C4747"/>
                <w:lang w:val="es-DO"/>
              </w:rPr>
            </w:pPr>
            <w:r w:rsidRPr="00F77F22">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5ACB52A4" w14:textId="6D93EB81" w:rsidR="003F633B" w:rsidRPr="00847624" w:rsidRDefault="00D0537B" w:rsidP="0021165E">
            <w:pPr>
              <w:spacing w:after="0" w:line="240" w:lineRule="auto"/>
              <w:jc w:val="right"/>
              <w:rPr>
                <w:rFonts w:eastAsia="Calibri"/>
                <w:noProof/>
                <w:color w:val="4C4747"/>
                <w:lang w:val="es-DO"/>
              </w:rPr>
            </w:pPr>
            <w:r w:rsidRPr="00F77F22">
              <w:rPr>
                <w:rFonts w:eastAsia="Calibri"/>
                <w:noProof/>
                <w:color w:val="4C4747"/>
                <w:lang w:val="es-DO"/>
              </w:rPr>
              <w:t>1</w:t>
            </w:r>
          </w:p>
        </w:tc>
        <w:tc>
          <w:tcPr>
            <w:tcW w:w="982" w:type="dxa"/>
            <w:tcBorders>
              <w:top w:val="nil"/>
              <w:left w:val="nil"/>
              <w:bottom w:val="single" w:sz="4" w:space="0" w:color="auto"/>
              <w:right w:val="single" w:sz="4" w:space="0" w:color="auto"/>
            </w:tcBorders>
            <w:noWrap/>
            <w:vAlign w:val="bottom"/>
            <w:hideMark/>
          </w:tcPr>
          <w:p w14:paraId="452E3625" w14:textId="5915E3F0" w:rsidR="003F633B" w:rsidRPr="00847624" w:rsidRDefault="00A53C3C" w:rsidP="0021165E">
            <w:pPr>
              <w:spacing w:after="0" w:line="240" w:lineRule="auto"/>
              <w:jc w:val="right"/>
              <w:rPr>
                <w:rFonts w:eastAsia="Calibri"/>
                <w:noProof/>
                <w:color w:val="4C4747"/>
                <w:lang w:val="es-DO"/>
              </w:rPr>
            </w:pPr>
            <w:r w:rsidRPr="00F77F22">
              <w:rPr>
                <w:rFonts w:eastAsia="Calibri"/>
                <w:noProof/>
                <w:color w:val="4C4747"/>
                <w:lang w:val="es-DO"/>
              </w:rPr>
              <w:t>1</w:t>
            </w:r>
          </w:p>
        </w:tc>
        <w:tc>
          <w:tcPr>
            <w:tcW w:w="709" w:type="dxa"/>
            <w:tcBorders>
              <w:top w:val="nil"/>
              <w:left w:val="nil"/>
              <w:bottom w:val="single" w:sz="4" w:space="0" w:color="auto"/>
              <w:right w:val="single" w:sz="4" w:space="0" w:color="auto"/>
            </w:tcBorders>
            <w:noWrap/>
            <w:vAlign w:val="bottom"/>
            <w:hideMark/>
          </w:tcPr>
          <w:p w14:paraId="18DFF7BF"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633006BE"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3F633B" w:rsidRPr="00847624" w14:paraId="51EA7312"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6D8D4CC7" w14:textId="77777777" w:rsidR="003F633B" w:rsidRPr="00847624" w:rsidRDefault="003F633B" w:rsidP="0021165E">
            <w:pPr>
              <w:spacing w:after="0" w:line="240" w:lineRule="auto"/>
              <w:rPr>
                <w:rFonts w:eastAsia="Calibri"/>
                <w:noProof/>
                <w:color w:val="4C4747"/>
                <w:lang w:val="es-DO"/>
              </w:rPr>
            </w:pPr>
            <w:r w:rsidRPr="00847624">
              <w:rPr>
                <w:rFonts w:eastAsia="Calibri"/>
                <w:noProof/>
                <w:color w:val="4C4747"/>
                <w:lang w:val="es-DO"/>
              </w:rPr>
              <w:t>Otra</w:t>
            </w:r>
          </w:p>
        </w:tc>
        <w:tc>
          <w:tcPr>
            <w:tcW w:w="1135" w:type="dxa"/>
            <w:tcBorders>
              <w:top w:val="nil"/>
              <w:left w:val="nil"/>
              <w:bottom w:val="single" w:sz="4" w:space="0" w:color="auto"/>
              <w:right w:val="single" w:sz="4" w:space="0" w:color="auto"/>
            </w:tcBorders>
            <w:noWrap/>
            <w:vAlign w:val="bottom"/>
            <w:hideMark/>
          </w:tcPr>
          <w:p w14:paraId="60C765A7"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5C939F24"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264D225D"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782C0E0B"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4D23A80B"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6BF28523"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3F633B" w:rsidRPr="00847624" w14:paraId="52BB2845"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2A4D4DFC" w14:textId="77777777" w:rsidR="003F633B" w:rsidRPr="00847624" w:rsidRDefault="003F633B" w:rsidP="0021165E">
            <w:pPr>
              <w:spacing w:after="0" w:line="240" w:lineRule="auto"/>
              <w:rPr>
                <w:rFonts w:eastAsia="Calibri"/>
                <w:noProof/>
                <w:color w:val="4C4747"/>
                <w:lang w:val="es-DO"/>
              </w:rPr>
            </w:pPr>
            <w:r w:rsidRPr="00847624">
              <w:rPr>
                <w:rFonts w:eastAsia="Calibri"/>
                <w:noProof/>
                <w:color w:val="4C4747"/>
                <w:lang w:val="es-DO"/>
              </w:rPr>
              <w:t>Total</w:t>
            </w:r>
          </w:p>
        </w:tc>
        <w:tc>
          <w:tcPr>
            <w:tcW w:w="1135" w:type="dxa"/>
            <w:tcBorders>
              <w:top w:val="nil"/>
              <w:left w:val="nil"/>
              <w:bottom w:val="single" w:sz="4" w:space="0" w:color="auto"/>
              <w:right w:val="single" w:sz="4" w:space="0" w:color="auto"/>
            </w:tcBorders>
            <w:noWrap/>
            <w:vAlign w:val="bottom"/>
            <w:hideMark/>
          </w:tcPr>
          <w:p w14:paraId="72B58B38" w14:textId="55A1BB4D" w:rsidR="003F633B" w:rsidRPr="00847624" w:rsidRDefault="00D0537B" w:rsidP="0021165E">
            <w:pPr>
              <w:spacing w:after="0" w:line="240" w:lineRule="auto"/>
              <w:jc w:val="right"/>
              <w:rPr>
                <w:rFonts w:eastAsia="Calibri"/>
                <w:noProof/>
                <w:color w:val="4C4747"/>
                <w:lang w:val="es-DO"/>
              </w:rPr>
            </w:pPr>
            <w:r w:rsidRPr="00F77F22">
              <w:rPr>
                <w:rFonts w:eastAsia="Calibri"/>
                <w:noProof/>
                <w:color w:val="4C4747"/>
                <w:lang w:val="es-DO"/>
              </w:rPr>
              <w:t>6</w:t>
            </w:r>
          </w:p>
        </w:tc>
        <w:tc>
          <w:tcPr>
            <w:tcW w:w="1334" w:type="dxa"/>
            <w:tcBorders>
              <w:top w:val="nil"/>
              <w:left w:val="nil"/>
              <w:bottom w:val="single" w:sz="4" w:space="0" w:color="auto"/>
              <w:right w:val="single" w:sz="4" w:space="0" w:color="auto"/>
            </w:tcBorders>
            <w:noWrap/>
            <w:vAlign w:val="bottom"/>
            <w:hideMark/>
          </w:tcPr>
          <w:p w14:paraId="39AAD8E8"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6A5015F8" w14:textId="60E60397" w:rsidR="003F633B" w:rsidRPr="00847624" w:rsidRDefault="00D0537B" w:rsidP="0021165E">
            <w:pPr>
              <w:spacing w:after="0" w:line="240" w:lineRule="auto"/>
              <w:jc w:val="right"/>
              <w:rPr>
                <w:rFonts w:eastAsia="Calibri"/>
                <w:noProof/>
                <w:color w:val="4C4747"/>
                <w:lang w:val="es-DO"/>
              </w:rPr>
            </w:pPr>
            <w:r w:rsidRPr="00F77F22">
              <w:rPr>
                <w:rFonts w:eastAsia="Calibri"/>
                <w:noProof/>
                <w:color w:val="4C4747"/>
                <w:lang w:val="es-DO"/>
              </w:rPr>
              <w:t>1</w:t>
            </w:r>
          </w:p>
        </w:tc>
        <w:tc>
          <w:tcPr>
            <w:tcW w:w="982" w:type="dxa"/>
            <w:tcBorders>
              <w:top w:val="nil"/>
              <w:left w:val="nil"/>
              <w:bottom w:val="single" w:sz="4" w:space="0" w:color="auto"/>
              <w:right w:val="single" w:sz="4" w:space="0" w:color="auto"/>
            </w:tcBorders>
            <w:noWrap/>
            <w:vAlign w:val="bottom"/>
            <w:hideMark/>
          </w:tcPr>
          <w:p w14:paraId="1D67B532" w14:textId="34C3AD20" w:rsidR="003F633B" w:rsidRPr="00847624" w:rsidRDefault="00A53C3C" w:rsidP="0021165E">
            <w:pPr>
              <w:spacing w:after="0" w:line="240" w:lineRule="auto"/>
              <w:jc w:val="right"/>
              <w:rPr>
                <w:rFonts w:eastAsia="Calibri"/>
                <w:noProof/>
                <w:color w:val="4C4747"/>
                <w:lang w:val="es-DO"/>
              </w:rPr>
            </w:pPr>
            <w:r w:rsidRPr="00F77F22">
              <w:rPr>
                <w:rFonts w:eastAsia="Calibri"/>
                <w:noProof/>
                <w:color w:val="4C4747"/>
                <w:lang w:val="es-DO"/>
              </w:rPr>
              <w:t>5</w:t>
            </w:r>
          </w:p>
        </w:tc>
        <w:tc>
          <w:tcPr>
            <w:tcW w:w="709" w:type="dxa"/>
            <w:tcBorders>
              <w:top w:val="nil"/>
              <w:left w:val="nil"/>
              <w:bottom w:val="single" w:sz="4" w:space="0" w:color="auto"/>
              <w:right w:val="single" w:sz="4" w:space="0" w:color="auto"/>
            </w:tcBorders>
            <w:noWrap/>
            <w:vAlign w:val="bottom"/>
            <w:hideMark/>
          </w:tcPr>
          <w:p w14:paraId="2E9EFA6F" w14:textId="77777777" w:rsidR="003F633B" w:rsidRPr="00847624" w:rsidRDefault="003F633B"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23FA41CD" w14:textId="77777777" w:rsidR="003F633B" w:rsidRPr="00847624" w:rsidRDefault="003F633B" w:rsidP="0021165E">
            <w:pPr>
              <w:spacing w:after="0" w:line="240" w:lineRule="auto"/>
              <w:jc w:val="right"/>
              <w:rPr>
                <w:rFonts w:eastAsia="Calibri"/>
                <w:noProof/>
                <w:color w:val="4C4747"/>
                <w:lang w:val="es-DO"/>
              </w:rPr>
            </w:pPr>
            <w:r w:rsidRPr="00F77F22">
              <w:rPr>
                <w:rFonts w:eastAsia="Calibri"/>
                <w:noProof/>
                <w:color w:val="4C4747"/>
                <w:lang w:val="es-DO"/>
              </w:rPr>
              <w:t>0</w:t>
            </w:r>
          </w:p>
        </w:tc>
      </w:tr>
    </w:tbl>
    <w:p w14:paraId="4543F537" w14:textId="6B77147D" w:rsidR="00B65688" w:rsidRPr="00F77F22" w:rsidRDefault="00B65688" w:rsidP="00340DF1">
      <w:pPr>
        <w:spacing w:after="0" w:line="360" w:lineRule="auto"/>
        <w:rPr>
          <w:rFonts w:eastAsia="Calibri"/>
          <w:noProof/>
          <w:color w:val="4C4747"/>
          <w:lang w:val="es-DO"/>
        </w:rPr>
      </w:pPr>
    </w:p>
    <w:tbl>
      <w:tblPr>
        <w:tblW w:w="8200" w:type="dxa"/>
        <w:tblCellMar>
          <w:left w:w="70" w:type="dxa"/>
          <w:right w:w="70" w:type="dxa"/>
        </w:tblCellMar>
        <w:tblLook w:val="04A0" w:firstRow="1" w:lastRow="0" w:firstColumn="1" w:lastColumn="0" w:noHBand="0" w:noVBand="1"/>
      </w:tblPr>
      <w:tblGrid>
        <w:gridCol w:w="2204"/>
        <w:gridCol w:w="1267"/>
        <w:gridCol w:w="1380"/>
        <w:gridCol w:w="918"/>
        <w:gridCol w:w="982"/>
        <w:gridCol w:w="709"/>
        <w:gridCol w:w="918"/>
      </w:tblGrid>
      <w:tr w:rsidR="00A53C3C" w:rsidRPr="00116DFC" w14:paraId="7263D5FC"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2191D34C"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COMISIÓN NACIONAL DE DEFENSA DE LA COMPETENCIA</w:t>
            </w:r>
          </w:p>
        </w:tc>
      </w:tr>
      <w:tr w:rsidR="00A53C3C" w:rsidRPr="00847624" w14:paraId="73A2FD57"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7B151A68"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(PRO-COMPETENCIA)</w:t>
            </w:r>
          </w:p>
        </w:tc>
      </w:tr>
      <w:tr w:rsidR="00A53C3C" w:rsidRPr="00116DFC" w14:paraId="33B30135"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4EDDF2A8"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Oficina de Libre Acceso a la Información (OAI)</w:t>
            </w:r>
          </w:p>
        </w:tc>
      </w:tr>
      <w:tr w:rsidR="00A53C3C" w:rsidRPr="00847624" w14:paraId="027F7B22"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7542107D"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Estadísticas y Balance Gestión</w:t>
            </w:r>
          </w:p>
        </w:tc>
      </w:tr>
      <w:tr w:rsidR="00A53C3C" w:rsidRPr="00847624" w14:paraId="6CAEF411" w14:textId="77777777" w:rsidTr="0021165E">
        <w:trPr>
          <w:trHeight w:val="290"/>
        </w:trPr>
        <w:tc>
          <w:tcPr>
            <w:tcW w:w="8200" w:type="dxa"/>
            <w:gridSpan w:val="7"/>
            <w:tcBorders>
              <w:top w:val="nil"/>
              <w:left w:val="nil"/>
              <w:bottom w:val="nil"/>
              <w:right w:val="nil"/>
            </w:tcBorders>
            <w:shd w:val="clear" w:color="000000" w:fill="002060"/>
            <w:noWrap/>
            <w:vAlign w:val="bottom"/>
            <w:hideMark/>
          </w:tcPr>
          <w:p w14:paraId="6FA3743B" w14:textId="747B9BCA" w:rsidR="00A53C3C" w:rsidRPr="00847624" w:rsidRDefault="00A53C3C" w:rsidP="0021165E">
            <w:pPr>
              <w:spacing w:after="0" w:line="240" w:lineRule="auto"/>
              <w:jc w:val="center"/>
              <w:rPr>
                <w:rFonts w:eastAsia="Calibri"/>
                <w:noProof/>
                <w:color w:val="FFFFFF" w:themeColor="background1"/>
                <w:lang w:val="es-DO"/>
              </w:rPr>
            </w:pPr>
            <w:r w:rsidRPr="00F77F22">
              <w:rPr>
                <w:rFonts w:eastAsia="Calibri"/>
                <w:noProof/>
                <w:color w:val="FFFFFF" w:themeColor="background1"/>
                <w:lang w:val="es-DO"/>
              </w:rPr>
              <w:t xml:space="preserve">Cuarto </w:t>
            </w:r>
            <w:r w:rsidRPr="00847624">
              <w:rPr>
                <w:rFonts w:eastAsia="Calibri"/>
                <w:noProof/>
                <w:color w:val="FFFFFF" w:themeColor="background1"/>
                <w:lang w:val="es-DO"/>
              </w:rPr>
              <w:t>Trimestre (</w:t>
            </w:r>
            <w:r w:rsidRPr="00F77F22">
              <w:rPr>
                <w:rFonts w:eastAsia="Calibri"/>
                <w:noProof/>
                <w:color w:val="FFFFFF" w:themeColor="background1"/>
                <w:lang w:val="es-DO"/>
              </w:rPr>
              <w:t>Octubre</w:t>
            </w:r>
            <w:r w:rsidRPr="00847624">
              <w:rPr>
                <w:rFonts w:eastAsia="Calibri"/>
                <w:noProof/>
                <w:color w:val="FFFFFF" w:themeColor="background1"/>
                <w:lang w:val="es-DO"/>
              </w:rPr>
              <w:t xml:space="preserve"> – </w:t>
            </w:r>
            <w:r w:rsidR="00F77F22" w:rsidRPr="00F77F22">
              <w:rPr>
                <w:rFonts w:eastAsia="Calibri"/>
                <w:noProof/>
                <w:color w:val="FFFFFF" w:themeColor="background1"/>
                <w:lang w:val="es-DO"/>
              </w:rPr>
              <w:t>noviembre</w:t>
            </w:r>
            <w:r w:rsidRPr="00847624">
              <w:rPr>
                <w:rFonts w:eastAsia="Calibri"/>
                <w:noProof/>
                <w:color w:val="FFFFFF" w:themeColor="background1"/>
                <w:lang w:val="es-DO"/>
              </w:rPr>
              <w:t>) 2025</w:t>
            </w:r>
          </w:p>
        </w:tc>
      </w:tr>
      <w:tr w:rsidR="00A53C3C" w:rsidRPr="00847624" w14:paraId="2786921E" w14:textId="77777777" w:rsidTr="0021165E">
        <w:trPr>
          <w:trHeight w:val="290"/>
        </w:trPr>
        <w:tc>
          <w:tcPr>
            <w:tcW w:w="2204"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0ED63208"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Medio de Solicitud</w:t>
            </w:r>
          </w:p>
        </w:tc>
        <w:tc>
          <w:tcPr>
            <w:tcW w:w="1135"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4A4A0824"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Recibidas</w:t>
            </w:r>
          </w:p>
        </w:tc>
        <w:tc>
          <w:tcPr>
            <w:tcW w:w="1334" w:type="dxa"/>
            <w:vMerge w:val="restart"/>
            <w:tcBorders>
              <w:top w:val="nil"/>
              <w:left w:val="single" w:sz="4" w:space="0" w:color="auto"/>
              <w:bottom w:val="single" w:sz="4" w:space="0" w:color="000000"/>
              <w:right w:val="single" w:sz="4" w:space="0" w:color="auto"/>
            </w:tcBorders>
            <w:shd w:val="clear" w:color="000000" w:fill="002060"/>
            <w:noWrap/>
            <w:vAlign w:val="center"/>
            <w:hideMark/>
          </w:tcPr>
          <w:p w14:paraId="15271F81"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Pendientes</w:t>
            </w:r>
          </w:p>
        </w:tc>
        <w:tc>
          <w:tcPr>
            <w:tcW w:w="1900" w:type="dxa"/>
            <w:gridSpan w:val="2"/>
            <w:tcBorders>
              <w:top w:val="nil"/>
              <w:left w:val="nil"/>
              <w:bottom w:val="single" w:sz="4" w:space="0" w:color="auto"/>
              <w:right w:val="single" w:sz="4" w:space="0" w:color="000000"/>
            </w:tcBorders>
            <w:shd w:val="clear" w:color="000000" w:fill="002060"/>
            <w:noWrap/>
            <w:vAlign w:val="bottom"/>
            <w:hideMark/>
          </w:tcPr>
          <w:p w14:paraId="18F043D9"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Resueltas </w:t>
            </w:r>
          </w:p>
        </w:tc>
        <w:tc>
          <w:tcPr>
            <w:tcW w:w="1627" w:type="dxa"/>
            <w:gridSpan w:val="2"/>
            <w:tcBorders>
              <w:top w:val="nil"/>
              <w:left w:val="nil"/>
              <w:bottom w:val="single" w:sz="4" w:space="0" w:color="auto"/>
              <w:right w:val="single" w:sz="4" w:space="0" w:color="000000"/>
            </w:tcBorders>
            <w:shd w:val="clear" w:color="000000" w:fill="002060"/>
            <w:noWrap/>
            <w:vAlign w:val="bottom"/>
            <w:hideMark/>
          </w:tcPr>
          <w:p w14:paraId="5467A735"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Rechazadas </w:t>
            </w:r>
          </w:p>
        </w:tc>
      </w:tr>
      <w:tr w:rsidR="00A53C3C" w:rsidRPr="00847624" w14:paraId="1A4DE538" w14:textId="77777777" w:rsidTr="0021165E">
        <w:trPr>
          <w:trHeight w:val="290"/>
        </w:trPr>
        <w:tc>
          <w:tcPr>
            <w:tcW w:w="2204" w:type="dxa"/>
            <w:vMerge/>
            <w:tcBorders>
              <w:top w:val="nil"/>
              <w:left w:val="single" w:sz="4" w:space="0" w:color="auto"/>
              <w:bottom w:val="single" w:sz="4" w:space="0" w:color="000000"/>
              <w:right w:val="single" w:sz="4" w:space="0" w:color="auto"/>
            </w:tcBorders>
            <w:vAlign w:val="center"/>
            <w:hideMark/>
          </w:tcPr>
          <w:p w14:paraId="70A05805" w14:textId="77777777" w:rsidR="00A53C3C" w:rsidRPr="00847624" w:rsidRDefault="00A53C3C" w:rsidP="0021165E">
            <w:pPr>
              <w:spacing w:after="0" w:line="240" w:lineRule="auto"/>
              <w:rPr>
                <w:rFonts w:eastAsia="Calibri"/>
                <w:noProof/>
                <w:color w:val="FFFFFF" w:themeColor="background1"/>
                <w:lang w:val="es-DO"/>
              </w:rPr>
            </w:pPr>
          </w:p>
        </w:tc>
        <w:tc>
          <w:tcPr>
            <w:tcW w:w="1135" w:type="dxa"/>
            <w:vMerge/>
            <w:tcBorders>
              <w:top w:val="nil"/>
              <w:left w:val="single" w:sz="4" w:space="0" w:color="auto"/>
              <w:bottom w:val="single" w:sz="4" w:space="0" w:color="000000"/>
              <w:right w:val="single" w:sz="4" w:space="0" w:color="auto"/>
            </w:tcBorders>
            <w:vAlign w:val="center"/>
            <w:hideMark/>
          </w:tcPr>
          <w:p w14:paraId="525DB0D3" w14:textId="77777777" w:rsidR="00A53C3C" w:rsidRPr="00847624" w:rsidRDefault="00A53C3C" w:rsidP="0021165E">
            <w:pPr>
              <w:spacing w:after="0" w:line="240" w:lineRule="auto"/>
              <w:rPr>
                <w:rFonts w:eastAsia="Calibri"/>
                <w:noProof/>
                <w:color w:val="FFFFFF" w:themeColor="background1"/>
                <w:lang w:val="es-DO"/>
              </w:rPr>
            </w:pPr>
          </w:p>
        </w:tc>
        <w:tc>
          <w:tcPr>
            <w:tcW w:w="1334" w:type="dxa"/>
            <w:vMerge/>
            <w:tcBorders>
              <w:top w:val="nil"/>
              <w:left w:val="single" w:sz="4" w:space="0" w:color="auto"/>
              <w:bottom w:val="single" w:sz="4" w:space="0" w:color="000000"/>
              <w:right w:val="single" w:sz="4" w:space="0" w:color="auto"/>
            </w:tcBorders>
            <w:vAlign w:val="center"/>
            <w:hideMark/>
          </w:tcPr>
          <w:p w14:paraId="6F5575FA" w14:textId="77777777" w:rsidR="00A53C3C" w:rsidRPr="00847624" w:rsidRDefault="00A53C3C" w:rsidP="0021165E">
            <w:pPr>
              <w:spacing w:after="0" w:line="240" w:lineRule="auto"/>
              <w:rPr>
                <w:rFonts w:eastAsia="Calibri"/>
                <w:noProof/>
                <w:color w:val="FFFFFF" w:themeColor="background1"/>
                <w:lang w:val="es-DO"/>
              </w:rPr>
            </w:pPr>
          </w:p>
        </w:tc>
        <w:tc>
          <w:tcPr>
            <w:tcW w:w="918" w:type="dxa"/>
            <w:tcBorders>
              <w:top w:val="nil"/>
              <w:left w:val="nil"/>
              <w:bottom w:val="single" w:sz="4" w:space="0" w:color="auto"/>
              <w:right w:val="nil"/>
            </w:tcBorders>
            <w:shd w:val="clear" w:color="000000" w:fill="002060"/>
            <w:noWrap/>
            <w:vAlign w:val="bottom"/>
            <w:hideMark/>
          </w:tcPr>
          <w:p w14:paraId="3C9BE42B"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&lt; 5 días</w:t>
            </w:r>
          </w:p>
        </w:tc>
        <w:tc>
          <w:tcPr>
            <w:tcW w:w="982" w:type="dxa"/>
            <w:tcBorders>
              <w:top w:val="nil"/>
              <w:left w:val="single" w:sz="4" w:space="0" w:color="auto"/>
              <w:bottom w:val="single" w:sz="4" w:space="0" w:color="auto"/>
              <w:right w:val="nil"/>
            </w:tcBorders>
            <w:shd w:val="clear" w:color="000000" w:fill="002060"/>
            <w:noWrap/>
            <w:vAlign w:val="bottom"/>
            <w:hideMark/>
          </w:tcPr>
          <w:p w14:paraId="438D1246"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 xml:space="preserve"> &gt; 5 días</w:t>
            </w:r>
          </w:p>
        </w:tc>
        <w:tc>
          <w:tcPr>
            <w:tcW w:w="709" w:type="dxa"/>
            <w:tcBorders>
              <w:top w:val="nil"/>
              <w:left w:val="single" w:sz="4" w:space="0" w:color="auto"/>
              <w:bottom w:val="single" w:sz="4" w:space="0" w:color="auto"/>
              <w:right w:val="nil"/>
            </w:tcBorders>
            <w:shd w:val="clear" w:color="000000" w:fill="002060"/>
            <w:noWrap/>
            <w:vAlign w:val="bottom"/>
            <w:hideMark/>
          </w:tcPr>
          <w:p w14:paraId="1602DA4E"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&lt; días</w:t>
            </w:r>
          </w:p>
        </w:tc>
        <w:tc>
          <w:tcPr>
            <w:tcW w:w="918" w:type="dxa"/>
            <w:tcBorders>
              <w:top w:val="nil"/>
              <w:left w:val="nil"/>
              <w:bottom w:val="single" w:sz="4" w:space="0" w:color="auto"/>
              <w:right w:val="single" w:sz="4" w:space="0" w:color="auto"/>
            </w:tcBorders>
            <w:shd w:val="clear" w:color="000000" w:fill="002060"/>
            <w:noWrap/>
            <w:vAlign w:val="bottom"/>
            <w:hideMark/>
          </w:tcPr>
          <w:p w14:paraId="067D91C5" w14:textId="77777777" w:rsidR="00A53C3C" w:rsidRPr="00847624" w:rsidRDefault="00A53C3C" w:rsidP="0021165E">
            <w:pPr>
              <w:spacing w:after="0" w:line="240" w:lineRule="auto"/>
              <w:jc w:val="center"/>
              <w:rPr>
                <w:rFonts w:eastAsia="Calibri"/>
                <w:noProof/>
                <w:color w:val="FFFFFF" w:themeColor="background1"/>
                <w:lang w:val="es-DO"/>
              </w:rPr>
            </w:pPr>
            <w:r w:rsidRPr="00847624">
              <w:rPr>
                <w:rFonts w:eastAsia="Calibri"/>
                <w:noProof/>
                <w:color w:val="FFFFFF" w:themeColor="background1"/>
                <w:lang w:val="es-DO"/>
              </w:rPr>
              <w:t>&gt; 5 días</w:t>
            </w:r>
          </w:p>
        </w:tc>
      </w:tr>
      <w:tr w:rsidR="00A53C3C" w:rsidRPr="00847624" w14:paraId="64402353"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395F6717" w14:textId="77777777" w:rsidR="00A53C3C" w:rsidRPr="00847624" w:rsidRDefault="00A53C3C" w:rsidP="0021165E">
            <w:pPr>
              <w:spacing w:after="0" w:line="240" w:lineRule="auto"/>
              <w:rPr>
                <w:rFonts w:eastAsia="Calibri"/>
                <w:noProof/>
                <w:color w:val="4C4747"/>
                <w:lang w:val="es-DO"/>
              </w:rPr>
            </w:pPr>
            <w:r w:rsidRPr="00847624">
              <w:rPr>
                <w:rFonts w:eastAsia="Calibri"/>
                <w:noProof/>
                <w:color w:val="4C4747"/>
                <w:lang w:val="es-DO"/>
              </w:rPr>
              <w:t>Física</w:t>
            </w:r>
          </w:p>
        </w:tc>
        <w:tc>
          <w:tcPr>
            <w:tcW w:w="1135" w:type="dxa"/>
            <w:tcBorders>
              <w:top w:val="nil"/>
              <w:left w:val="nil"/>
              <w:bottom w:val="single" w:sz="4" w:space="0" w:color="auto"/>
              <w:right w:val="single" w:sz="4" w:space="0" w:color="auto"/>
            </w:tcBorders>
            <w:noWrap/>
            <w:vAlign w:val="bottom"/>
            <w:hideMark/>
          </w:tcPr>
          <w:p w14:paraId="1C02BDB7"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3034DF96"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7772499E"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767F2137"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062A2DB3"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1B27E31A"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A53C3C" w:rsidRPr="00847624" w14:paraId="4ACC657C"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0B9820EA" w14:textId="77777777" w:rsidR="00A53C3C" w:rsidRPr="00847624" w:rsidRDefault="00A53C3C" w:rsidP="0021165E">
            <w:pPr>
              <w:spacing w:after="0" w:line="240" w:lineRule="auto"/>
              <w:rPr>
                <w:rFonts w:eastAsia="Calibri"/>
                <w:noProof/>
                <w:color w:val="4C4747"/>
                <w:lang w:val="es-DO"/>
              </w:rPr>
            </w:pPr>
            <w:r w:rsidRPr="00847624">
              <w:rPr>
                <w:rFonts w:eastAsia="Calibri"/>
                <w:noProof/>
                <w:color w:val="4C4747"/>
                <w:lang w:val="es-DO"/>
              </w:rPr>
              <w:t>Portal SAIP</w:t>
            </w:r>
          </w:p>
        </w:tc>
        <w:tc>
          <w:tcPr>
            <w:tcW w:w="1135" w:type="dxa"/>
            <w:tcBorders>
              <w:top w:val="nil"/>
              <w:left w:val="nil"/>
              <w:bottom w:val="single" w:sz="4" w:space="0" w:color="auto"/>
              <w:right w:val="single" w:sz="4" w:space="0" w:color="auto"/>
            </w:tcBorders>
            <w:noWrap/>
            <w:vAlign w:val="bottom"/>
            <w:hideMark/>
          </w:tcPr>
          <w:p w14:paraId="66336ADA" w14:textId="515AED60"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29</w:t>
            </w:r>
          </w:p>
        </w:tc>
        <w:tc>
          <w:tcPr>
            <w:tcW w:w="1334" w:type="dxa"/>
            <w:tcBorders>
              <w:top w:val="nil"/>
              <w:left w:val="nil"/>
              <w:bottom w:val="single" w:sz="4" w:space="0" w:color="auto"/>
              <w:right w:val="single" w:sz="4" w:space="0" w:color="auto"/>
            </w:tcBorders>
            <w:noWrap/>
            <w:vAlign w:val="bottom"/>
            <w:hideMark/>
          </w:tcPr>
          <w:p w14:paraId="5D970FB9" w14:textId="363BCA17"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1</w:t>
            </w:r>
          </w:p>
        </w:tc>
        <w:tc>
          <w:tcPr>
            <w:tcW w:w="918" w:type="dxa"/>
            <w:tcBorders>
              <w:top w:val="nil"/>
              <w:left w:val="nil"/>
              <w:bottom w:val="single" w:sz="4" w:space="0" w:color="auto"/>
              <w:right w:val="single" w:sz="4" w:space="0" w:color="auto"/>
            </w:tcBorders>
            <w:noWrap/>
            <w:vAlign w:val="bottom"/>
            <w:hideMark/>
          </w:tcPr>
          <w:p w14:paraId="074326F1" w14:textId="5B813420"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7</w:t>
            </w:r>
          </w:p>
        </w:tc>
        <w:tc>
          <w:tcPr>
            <w:tcW w:w="982" w:type="dxa"/>
            <w:tcBorders>
              <w:top w:val="nil"/>
              <w:left w:val="nil"/>
              <w:bottom w:val="single" w:sz="4" w:space="0" w:color="auto"/>
              <w:right w:val="single" w:sz="4" w:space="0" w:color="auto"/>
            </w:tcBorders>
            <w:noWrap/>
            <w:vAlign w:val="bottom"/>
            <w:hideMark/>
          </w:tcPr>
          <w:p w14:paraId="3639B342" w14:textId="3E911D74"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21</w:t>
            </w:r>
          </w:p>
        </w:tc>
        <w:tc>
          <w:tcPr>
            <w:tcW w:w="709" w:type="dxa"/>
            <w:tcBorders>
              <w:top w:val="nil"/>
              <w:left w:val="nil"/>
              <w:bottom w:val="single" w:sz="4" w:space="0" w:color="auto"/>
              <w:right w:val="single" w:sz="4" w:space="0" w:color="auto"/>
            </w:tcBorders>
            <w:noWrap/>
            <w:vAlign w:val="bottom"/>
            <w:hideMark/>
          </w:tcPr>
          <w:p w14:paraId="5E9EBE4C" w14:textId="0363AC6C"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7</w:t>
            </w:r>
          </w:p>
        </w:tc>
        <w:tc>
          <w:tcPr>
            <w:tcW w:w="918" w:type="dxa"/>
            <w:tcBorders>
              <w:top w:val="nil"/>
              <w:left w:val="nil"/>
              <w:bottom w:val="single" w:sz="4" w:space="0" w:color="auto"/>
              <w:right w:val="single" w:sz="4" w:space="0" w:color="auto"/>
            </w:tcBorders>
            <w:noWrap/>
            <w:vAlign w:val="bottom"/>
            <w:hideMark/>
          </w:tcPr>
          <w:p w14:paraId="0AF742DA" w14:textId="77777777" w:rsidR="00A53C3C" w:rsidRPr="00847624" w:rsidRDefault="00A53C3C" w:rsidP="0021165E">
            <w:pPr>
              <w:spacing w:after="0" w:line="240" w:lineRule="auto"/>
              <w:jc w:val="right"/>
              <w:rPr>
                <w:rFonts w:eastAsia="Calibri"/>
                <w:noProof/>
                <w:color w:val="4C4747"/>
                <w:lang w:val="es-DO"/>
              </w:rPr>
            </w:pPr>
            <w:r w:rsidRPr="00F77F22">
              <w:rPr>
                <w:rFonts w:eastAsia="Calibri"/>
                <w:noProof/>
                <w:color w:val="4C4747"/>
                <w:lang w:val="es-DO"/>
              </w:rPr>
              <w:t>0</w:t>
            </w:r>
          </w:p>
        </w:tc>
      </w:tr>
      <w:tr w:rsidR="00A53C3C" w:rsidRPr="00847624" w14:paraId="51392806"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1E5E1A0B" w14:textId="77777777" w:rsidR="00A53C3C" w:rsidRPr="00847624" w:rsidRDefault="00A53C3C" w:rsidP="0021165E">
            <w:pPr>
              <w:spacing w:after="0" w:line="240" w:lineRule="auto"/>
              <w:rPr>
                <w:rFonts w:eastAsia="Calibri"/>
                <w:noProof/>
                <w:color w:val="4C4747"/>
                <w:lang w:val="es-DO"/>
              </w:rPr>
            </w:pPr>
            <w:r w:rsidRPr="00847624">
              <w:rPr>
                <w:rFonts w:eastAsia="Calibri"/>
                <w:noProof/>
                <w:color w:val="4C4747"/>
                <w:lang w:val="es-DO"/>
              </w:rPr>
              <w:t>311</w:t>
            </w:r>
          </w:p>
        </w:tc>
        <w:tc>
          <w:tcPr>
            <w:tcW w:w="1135" w:type="dxa"/>
            <w:tcBorders>
              <w:top w:val="nil"/>
              <w:left w:val="nil"/>
              <w:bottom w:val="single" w:sz="4" w:space="0" w:color="auto"/>
              <w:right w:val="single" w:sz="4" w:space="0" w:color="auto"/>
            </w:tcBorders>
            <w:noWrap/>
            <w:vAlign w:val="bottom"/>
            <w:hideMark/>
          </w:tcPr>
          <w:p w14:paraId="1B19E33A"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4B2EE9A2"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61C5C337"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7ADF0D3D"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5A0BCB74"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1189095E"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A53C3C" w:rsidRPr="00847624" w14:paraId="6680E4EB"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18C155F5" w14:textId="77777777" w:rsidR="00A53C3C" w:rsidRPr="00847624" w:rsidRDefault="00A53C3C" w:rsidP="0021165E">
            <w:pPr>
              <w:spacing w:after="0" w:line="240" w:lineRule="auto"/>
              <w:rPr>
                <w:rFonts w:eastAsia="Calibri"/>
                <w:noProof/>
                <w:color w:val="4C4747"/>
                <w:lang w:val="es-DO"/>
              </w:rPr>
            </w:pPr>
            <w:r w:rsidRPr="00847624">
              <w:rPr>
                <w:rFonts w:eastAsia="Calibri"/>
                <w:noProof/>
                <w:color w:val="4C4747"/>
                <w:lang w:val="es-DO"/>
              </w:rPr>
              <w:t>Correo electrónico</w:t>
            </w:r>
          </w:p>
        </w:tc>
        <w:tc>
          <w:tcPr>
            <w:tcW w:w="1135" w:type="dxa"/>
            <w:tcBorders>
              <w:top w:val="nil"/>
              <w:left w:val="nil"/>
              <w:bottom w:val="single" w:sz="4" w:space="0" w:color="auto"/>
              <w:right w:val="single" w:sz="4" w:space="0" w:color="auto"/>
            </w:tcBorders>
            <w:noWrap/>
            <w:vAlign w:val="bottom"/>
            <w:hideMark/>
          </w:tcPr>
          <w:p w14:paraId="4C0B616F" w14:textId="5706B479"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6BA5B976" w14:textId="77777777" w:rsidR="00A53C3C" w:rsidRPr="00847624" w:rsidRDefault="00A53C3C" w:rsidP="0021165E">
            <w:pPr>
              <w:spacing w:after="0" w:line="240" w:lineRule="auto"/>
              <w:jc w:val="right"/>
              <w:rPr>
                <w:rFonts w:eastAsia="Calibri"/>
                <w:noProof/>
                <w:color w:val="4C4747"/>
                <w:lang w:val="es-DO"/>
              </w:rPr>
            </w:pPr>
            <w:r w:rsidRPr="00F77F22">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4FC8D169" w14:textId="1651721D"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66169890" w14:textId="56AD69D7"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0BE7A9FA"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5170913E"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A53C3C" w:rsidRPr="00847624" w14:paraId="77D600B8"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79DAECB3" w14:textId="77777777" w:rsidR="00A53C3C" w:rsidRPr="00847624" w:rsidRDefault="00A53C3C" w:rsidP="0021165E">
            <w:pPr>
              <w:spacing w:after="0" w:line="240" w:lineRule="auto"/>
              <w:rPr>
                <w:rFonts w:eastAsia="Calibri"/>
                <w:noProof/>
                <w:color w:val="4C4747"/>
                <w:lang w:val="es-DO"/>
              </w:rPr>
            </w:pPr>
            <w:r w:rsidRPr="00847624">
              <w:rPr>
                <w:rFonts w:eastAsia="Calibri"/>
                <w:noProof/>
                <w:color w:val="4C4747"/>
                <w:lang w:val="es-DO"/>
              </w:rPr>
              <w:t>Otra</w:t>
            </w:r>
          </w:p>
        </w:tc>
        <w:tc>
          <w:tcPr>
            <w:tcW w:w="1135" w:type="dxa"/>
            <w:tcBorders>
              <w:top w:val="nil"/>
              <w:left w:val="nil"/>
              <w:bottom w:val="single" w:sz="4" w:space="0" w:color="auto"/>
              <w:right w:val="single" w:sz="4" w:space="0" w:color="auto"/>
            </w:tcBorders>
            <w:noWrap/>
            <w:vAlign w:val="bottom"/>
            <w:hideMark/>
          </w:tcPr>
          <w:p w14:paraId="5EB78D5B"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1334" w:type="dxa"/>
            <w:tcBorders>
              <w:top w:val="nil"/>
              <w:left w:val="nil"/>
              <w:bottom w:val="single" w:sz="4" w:space="0" w:color="auto"/>
              <w:right w:val="single" w:sz="4" w:space="0" w:color="auto"/>
            </w:tcBorders>
            <w:noWrap/>
            <w:vAlign w:val="bottom"/>
            <w:hideMark/>
          </w:tcPr>
          <w:p w14:paraId="42B6BF7D"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77DCF9AB"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82" w:type="dxa"/>
            <w:tcBorders>
              <w:top w:val="nil"/>
              <w:left w:val="nil"/>
              <w:bottom w:val="single" w:sz="4" w:space="0" w:color="auto"/>
              <w:right w:val="single" w:sz="4" w:space="0" w:color="auto"/>
            </w:tcBorders>
            <w:noWrap/>
            <w:vAlign w:val="bottom"/>
            <w:hideMark/>
          </w:tcPr>
          <w:p w14:paraId="73631E76"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709" w:type="dxa"/>
            <w:tcBorders>
              <w:top w:val="nil"/>
              <w:left w:val="nil"/>
              <w:bottom w:val="single" w:sz="4" w:space="0" w:color="auto"/>
              <w:right w:val="single" w:sz="4" w:space="0" w:color="auto"/>
            </w:tcBorders>
            <w:noWrap/>
            <w:vAlign w:val="bottom"/>
            <w:hideMark/>
          </w:tcPr>
          <w:p w14:paraId="3C94931F"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c>
          <w:tcPr>
            <w:tcW w:w="918" w:type="dxa"/>
            <w:tcBorders>
              <w:top w:val="nil"/>
              <w:left w:val="nil"/>
              <w:bottom w:val="single" w:sz="4" w:space="0" w:color="auto"/>
              <w:right w:val="single" w:sz="4" w:space="0" w:color="auto"/>
            </w:tcBorders>
            <w:noWrap/>
            <w:vAlign w:val="bottom"/>
            <w:hideMark/>
          </w:tcPr>
          <w:p w14:paraId="2ADCE8A6" w14:textId="77777777" w:rsidR="00A53C3C" w:rsidRPr="00847624" w:rsidRDefault="00A53C3C" w:rsidP="0021165E">
            <w:pPr>
              <w:spacing w:after="0" w:line="240" w:lineRule="auto"/>
              <w:jc w:val="right"/>
              <w:rPr>
                <w:rFonts w:eastAsia="Calibri"/>
                <w:noProof/>
                <w:color w:val="4C4747"/>
                <w:lang w:val="es-DO"/>
              </w:rPr>
            </w:pPr>
            <w:r w:rsidRPr="00847624">
              <w:rPr>
                <w:rFonts w:eastAsia="Calibri"/>
                <w:noProof/>
                <w:color w:val="4C4747"/>
                <w:lang w:val="es-DO"/>
              </w:rPr>
              <w:t>0</w:t>
            </w:r>
          </w:p>
        </w:tc>
      </w:tr>
      <w:tr w:rsidR="00A53C3C" w:rsidRPr="00847624" w14:paraId="4380E78F" w14:textId="77777777" w:rsidTr="0021165E">
        <w:trPr>
          <w:trHeight w:val="290"/>
        </w:trPr>
        <w:tc>
          <w:tcPr>
            <w:tcW w:w="2204" w:type="dxa"/>
            <w:tcBorders>
              <w:top w:val="nil"/>
              <w:left w:val="single" w:sz="4" w:space="0" w:color="auto"/>
              <w:bottom w:val="single" w:sz="4" w:space="0" w:color="auto"/>
              <w:right w:val="single" w:sz="4" w:space="0" w:color="auto"/>
            </w:tcBorders>
            <w:noWrap/>
            <w:vAlign w:val="bottom"/>
            <w:hideMark/>
          </w:tcPr>
          <w:p w14:paraId="67E67991" w14:textId="77777777" w:rsidR="00A53C3C" w:rsidRPr="00847624" w:rsidRDefault="00A53C3C" w:rsidP="0021165E">
            <w:pPr>
              <w:spacing w:after="0" w:line="240" w:lineRule="auto"/>
              <w:rPr>
                <w:rFonts w:eastAsia="Calibri"/>
                <w:noProof/>
                <w:color w:val="4C4747"/>
                <w:lang w:val="es-DO"/>
              </w:rPr>
            </w:pPr>
            <w:r w:rsidRPr="00847624">
              <w:rPr>
                <w:rFonts w:eastAsia="Calibri"/>
                <w:noProof/>
                <w:color w:val="4C4747"/>
                <w:lang w:val="es-DO"/>
              </w:rPr>
              <w:t>Total</w:t>
            </w:r>
          </w:p>
        </w:tc>
        <w:tc>
          <w:tcPr>
            <w:tcW w:w="1135" w:type="dxa"/>
            <w:tcBorders>
              <w:top w:val="nil"/>
              <w:left w:val="nil"/>
              <w:bottom w:val="single" w:sz="4" w:space="0" w:color="auto"/>
              <w:right w:val="single" w:sz="4" w:space="0" w:color="auto"/>
            </w:tcBorders>
            <w:noWrap/>
            <w:vAlign w:val="bottom"/>
            <w:hideMark/>
          </w:tcPr>
          <w:p w14:paraId="0FD2B115" w14:textId="09ED89DF"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29</w:t>
            </w:r>
          </w:p>
        </w:tc>
        <w:tc>
          <w:tcPr>
            <w:tcW w:w="1334" w:type="dxa"/>
            <w:tcBorders>
              <w:top w:val="nil"/>
              <w:left w:val="nil"/>
              <w:bottom w:val="single" w:sz="4" w:space="0" w:color="auto"/>
              <w:right w:val="single" w:sz="4" w:space="0" w:color="auto"/>
            </w:tcBorders>
            <w:noWrap/>
            <w:vAlign w:val="bottom"/>
            <w:hideMark/>
          </w:tcPr>
          <w:p w14:paraId="20E01A58" w14:textId="46E62DAB"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1</w:t>
            </w:r>
          </w:p>
        </w:tc>
        <w:tc>
          <w:tcPr>
            <w:tcW w:w="918" w:type="dxa"/>
            <w:tcBorders>
              <w:top w:val="nil"/>
              <w:left w:val="nil"/>
              <w:bottom w:val="single" w:sz="4" w:space="0" w:color="auto"/>
              <w:right w:val="single" w:sz="4" w:space="0" w:color="auto"/>
            </w:tcBorders>
            <w:noWrap/>
            <w:vAlign w:val="bottom"/>
            <w:hideMark/>
          </w:tcPr>
          <w:p w14:paraId="505F5FC9" w14:textId="2DF7D931"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7</w:t>
            </w:r>
          </w:p>
        </w:tc>
        <w:tc>
          <w:tcPr>
            <w:tcW w:w="982" w:type="dxa"/>
            <w:tcBorders>
              <w:top w:val="nil"/>
              <w:left w:val="nil"/>
              <w:bottom w:val="single" w:sz="4" w:space="0" w:color="auto"/>
              <w:right w:val="single" w:sz="4" w:space="0" w:color="auto"/>
            </w:tcBorders>
            <w:noWrap/>
            <w:vAlign w:val="bottom"/>
            <w:hideMark/>
          </w:tcPr>
          <w:p w14:paraId="75EA763C" w14:textId="40BBAEB1"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21</w:t>
            </w:r>
          </w:p>
        </w:tc>
        <w:tc>
          <w:tcPr>
            <w:tcW w:w="709" w:type="dxa"/>
            <w:tcBorders>
              <w:top w:val="nil"/>
              <w:left w:val="nil"/>
              <w:bottom w:val="single" w:sz="4" w:space="0" w:color="auto"/>
              <w:right w:val="single" w:sz="4" w:space="0" w:color="auto"/>
            </w:tcBorders>
            <w:noWrap/>
            <w:vAlign w:val="bottom"/>
            <w:hideMark/>
          </w:tcPr>
          <w:p w14:paraId="3EC6E24B" w14:textId="4F6AD511" w:rsidR="00A53C3C" w:rsidRPr="00847624" w:rsidRDefault="00F77F22" w:rsidP="0021165E">
            <w:pPr>
              <w:spacing w:after="0" w:line="240" w:lineRule="auto"/>
              <w:jc w:val="right"/>
              <w:rPr>
                <w:rFonts w:eastAsia="Calibri"/>
                <w:noProof/>
                <w:color w:val="4C4747"/>
                <w:lang w:val="es-DO"/>
              </w:rPr>
            </w:pPr>
            <w:r w:rsidRPr="00F77F22">
              <w:rPr>
                <w:rFonts w:eastAsia="Calibri"/>
                <w:noProof/>
                <w:color w:val="4C4747"/>
                <w:lang w:val="es-DO"/>
              </w:rPr>
              <w:t>7</w:t>
            </w:r>
          </w:p>
        </w:tc>
        <w:tc>
          <w:tcPr>
            <w:tcW w:w="918" w:type="dxa"/>
            <w:tcBorders>
              <w:top w:val="nil"/>
              <w:left w:val="nil"/>
              <w:bottom w:val="single" w:sz="4" w:space="0" w:color="auto"/>
              <w:right w:val="single" w:sz="4" w:space="0" w:color="auto"/>
            </w:tcBorders>
            <w:noWrap/>
            <w:vAlign w:val="bottom"/>
            <w:hideMark/>
          </w:tcPr>
          <w:p w14:paraId="6EE432E1" w14:textId="77777777" w:rsidR="00A53C3C" w:rsidRPr="00847624" w:rsidRDefault="00A53C3C" w:rsidP="0021165E">
            <w:pPr>
              <w:spacing w:after="0" w:line="240" w:lineRule="auto"/>
              <w:jc w:val="right"/>
              <w:rPr>
                <w:rFonts w:eastAsia="Calibri"/>
                <w:noProof/>
                <w:color w:val="4C4747"/>
                <w:lang w:val="es-DO"/>
              </w:rPr>
            </w:pPr>
            <w:r w:rsidRPr="00F77F22">
              <w:rPr>
                <w:rFonts w:eastAsia="Calibri"/>
                <w:noProof/>
                <w:color w:val="4C4747"/>
                <w:lang w:val="es-DO"/>
              </w:rPr>
              <w:t>0</w:t>
            </w:r>
          </w:p>
        </w:tc>
      </w:tr>
    </w:tbl>
    <w:p w14:paraId="5B231D64" w14:textId="77777777" w:rsidR="00B65688" w:rsidRPr="00F77F22" w:rsidRDefault="00B65688" w:rsidP="00340DF1">
      <w:pPr>
        <w:spacing w:after="0" w:line="360" w:lineRule="auto"/>
        <w:rPr>
          <w:rFonts w:eastAsia="Calibri"/>
          <w:noProof/>
          <w:color w:val="4C4747"/>
          <w:lang w:val="es-DO"/>
        </w:rPr>
      </w:pPr>
    </w:p>
    <w:p w14:paraId="19110C38" w14:textId="77777777" w:rsidR="00F77F22" w:rsidRPr="00D22628" w:rsidRDefault="00F77F22" w:rsidP="00F77F22">
      <w:pPr>
        <w:spacing w:line="360" w:lineRule="auto"/>
        <w:jc w:val="both"/>
        <w:rPr>
          <w:rFonts w:eastAsia="Calibri"/>
          <w:i/>
          <w:iCs/>
          <w:noProof/>
          <w:color w:val="4C4747"/>
          <w:sz w:val="18"/>
          <w:szCs w:val="18"/>
          <w:lang w:val="es-DO"/>
        </w:rPr>
      </w:pPr>
      <w:r w:rsidRPr="00D22628">
        <w:rPr>
          <w:rFonts w:eastAsia="Calibri"/>
          <w:i/>
          <w:iCs/>
          <w:noProof/>
          <w:color w:val="4C4747"/>
          <w:sz w:val="18"/>
          <w:szCs w:val="18"/>
          <w:lang w:val="es-DO"/>
        </w:rPr>
        <w:t xml:space="preserve">Fuente: Informes Oficina de libre acceso a la información </w:t>
      </w:r>
    </w:p>
    <w:p w14:paraId="6D2B7113" w14:textId="77777777" w:rsidR="00B65688" w:rsidRDefault="00B65688" w:rsidP="00340DF1">
      <w:pPr>
        <w:spacing w:after="0" w:line="360" w:lineRule="auto"/>
        <w:rPr>
          <w:rFonts w:ascii="Adelle Sans EXT" w:eastAsia="Cambria" w:hAnsi="Adelle Sans EXT"/>
          <w:sz w:val="21"/>
          <w:szCs w:val="21"/>
          <w:lang w:val="es-DO"/>
        </w:rPr>
      </w:pPr>
    </w:p>
    <w:p w14:paraId="369DC763" w14:textId="77777777" w:rsidR="00B65688" w:rsidRDefault="00B65688" w:rsidP="00340DF1">
      <w:pPr>
        <w:spacing w:after="0" w:line="360" w:lineRule="auto"/>
        <w:rPr>
          <w:rFonts w:ascii="Adelle Sans EXT" w:eastAsia="Cambria" w:hAnsi="Adelle Sans EXT"/>
          <w:sz w:val="21"/>
          <w:szCs w:val="21"/>
          <w:lang w:val="es-DO"/>
        </w:rPr>
      </w:pPr>
    </w:p>
    <w:p w14:paraId="5DF6E094" w14:textId="77777777" w:rsidR="00B65688" w:rsidRDefault="00B65688" w:rsidP="00340DF1">
      <w:pPr>
        <w:spacing w:after="0" w:line="360" w:lineRule="auto"/>
        <w:rPr>
          <w:rFonts w:ascii="Adelle Sans EXT" w:eastAsia="Cambria" w:hAnsi="Adelle Sans EXT"/>
          <w:sz w:val="21"/>
          <w:szCs w:val="21"/>
          <w:lang w:val="es-DO"/>
        </w:rPr>
      </w:pPr>
    </w:p>
    <w:p w14:paraId="63126FC5" w14:textId="77777777" w:rsidR="00B65688" w:rsidRDefault="00B65688" w:rsidP="00340DF1">
      <w:pPr>
        <w:spacing w:after="0" w:line="360" w:lineRule="auto"/>
        <w:rPr>
          <w:rFonts w:ascii="Adelle Sans EXT" w:eastAsia="Cambria" w:hAnsi="Adelle Sans EXT"/>
          <w:sz w:val="21"/>
          <w:szCs w:val="21"/>
          <w:lang w:val="es-DO"/>
        </w:rPr>
      </w:pPr>
    </w:p>
    <w:p w14:paraId="5556C8E2" w14:textId="51D58428" w:rsidR="00B65688" w:rsidRDefault="00B65688" w:rsidP="00340DF1">
      <w:pPr>
        <w:spacing w:after="0" w:line="360" w:lineRule="auto"/>
        <w:rPr>
          <w:rFonts w:ascii="Adelle Sans EXT" w:eastAsia="Cambria" w:hAnsi="Adelle Sans EXT"/>
          <w:sz w:val="21"/>
          <w:szCs w:val="21"/>
          <w:lang w:val="es-DO"/>
        </w:rPr>
      </w:pPr>
    </w:p>
    <w:p w14:paraId="25929026" w14:textId="24CA839C" w:rsidR="000D28D7" w:rsidRDefault="006A3021" w:rsidP="00340DF1">
      <w:pPr>
        <w:pStyle w:val="Ttulo2"/>
        <w:spacing w:line="360" w:lineRule="auto"/>
        <w:rPr>
          <w:noProof/>
          <w:lang w:val="es-DO"/>
        </w:rPr>
      </w:pPr>
      <w:bookmarkStart w:id="18" w:name="_Toc217035439"/>
      <w:r>
        <w:rPr>
          <w:noProof/>
          <w:lang w:val="es-DO"/>
        </w:rPr>
        <w:lastRenderedPageBreak/>
        <w:t>5</w:t>
      </w:r>
      <w:r w:rsidR="000D28D7" w:rsidRPr="000D28D7">
        <w:rPr>
          <w:noProof/>
          <w:lang w:val="es-DO"/>
        </w:rPr>
        <w:t>.3 Resultado de sistema de Quejas, Reclamos y Su</w:t>
      </w:r>
      <w:r w:rsidR="000D28D7">
        <w:rPr>
          <w:noProof/>
          <w:lang w:val="es-DO"/>
        </w:rPr>
        <w:t>gerencias</w:t>
      </w:r>
      <w:bookmarkEnd w:id="18"/>
      <w:r w:rsidR="000D28D7">
        <w:rPr>
          <w:noProof/>
          <w:lang w:val="es-DO"/>
        </w:rPr>
        <w:t xml:space="preserve"> </w:t>
      </w:r>
    </w:p>
    <w:p w14:paraId="3301E66F" w14:textId="77777777" w:rsidR="00E14659" w:rsidRPr="00E14659" w:rsidRDefault="00E14659" w:rsidP="00340DF1">
      <w:pPr>
        <w:spacing w:line="360" w:lineRule="auto"/>
        <w:rPr>
          <w:lang w:val="es-DO"/>
        </w:rPr>
      </w:pPr>
    </w:p>
    <w:p w14:paraId="4B2F893F" w14:textId="0D5E6C15" w:rsidR="00E14659" w:rsidRPr="00A03E20" w:rsidRDefault="00E14659" w:rsidP="00340DF1">
      <w:pPr>
        <w:spacing w:after="0" w:line="360" w:lineRule="auto"/>
        <w:jc w:val="both"/>
        <w:rPr>
          <w:rFonts w:eastAsia="Calibri"/>
          <w:noProof/>
          <w:color w:val="4C4747"/>
          <w:lang w:val="es-DO"/>
        </w:rPr>
      </w:pPr>
      <w:r w:rsidRPr="00A03E20">
        <w:rPr>
          <w:rFonts w:eastAsia="Calibri"/>
          <w:noProof/>
          <w:color w:val="4C4747"/>
          <w:lang w:val="es-DO"/>
        </w:rPr>
        <w:t>A través de la Oficina de Libre Acceso a la Información(OAI) se brinda asistencia con el Sistema 3-1-1 de Atención Ciudadana, para la recepción y canalización de denuncias, quejas, reclamaciones o sugerencias por parte de la ciudadanía a la administración pública.</w:t>
      </w:r>
    </w:p>
    <w:p w14:paraId="79B115B8" w14:textId="77777777" w:rsidR="00E14659" w:rsidRPr="00A03E20" w:rsidRDefault="00E14659" w:rsidP="00340DF1">
      <w:pPr>
        <w:pStyle w:val="Prrafodelista"/>
        <w:spacing w:after="0" w:line="360" w:lineRule="auto"/>
        <w:ind w:left="709"/>
        <w:jc w:val="both"/>
        <w:rPr>
          <w:rFonts w:eastAsia="Calibri"/>
          <w:noProof/>
          <w:color w:val="4C4747"/>
          <w:lang w:val="es-DO"/>
        </w:rPr>
      </w:pPr>
    </w:p>
    <w:p w14:paraId="199B19E6" w14:textId="0DC664DD" w:rsidR="00E14659" w:rsidRPr="00A03E20" w:rsidRDefault="00E14659" w:rsidP="00340DF1">
      <w:pPr>
        <w:spacing w:after="0" w:line="360" w:lineRule="auto"/>
        <w:jc w:val="both"/>
        <w:rPr>
          <w:rFonts w:eastAsia="Calibri"/>
          <w:noProof/>
          <w:color w:val="4C4747"/>
          <w:lang w:val="es-DO"/>
        </w:rPr>
      </w:pPr>
      <w:r w:rsidRPr="00A03E20">
        <w:rPr>
          <w:rFonts w:eastAsia="Calibri"/>
          <w:noProof/>
          <w:color w:val="4C4747"/>
          <w:lang w:val="es-DO"/>
        </w:rPr>
        <w:t xml:space="preserve">En ese tenor, al 30 de noviembre del año 2025, </w:t>
      </w:r>
      <w:r w:rsidR="00C332C7" w:rsidRPr="00A03E20">
        <w:rPr>
          <w:rFonts w:eastAsia="Calibri"/>
          <w:noProof/>
          <w:color w:val="4C4747"/>
          <w:lang w:val="es-DO"/>
        </w:rPr>
        <w:t xml:space="preserve">ProCompetencia </w:t>
      </w:r>
      <w:r w:rsidRPr="00A03E20">
        <w:rPr>
          <w:rFonts w:eastAsia="Calibri"/>
          <w:noProof/>
          <w:color w:val="4C4747"/>
          <w:lang w:val="es-DO"/>
        </w:rPr>
        <w:t>no recibió ninguna queja, reclamación, sugerencia o denuncia, por el referido sistema, como se muestra en el cuadro estadístico efectuado correspondiente a este período y levantados hasta la fecha:</w:t>
      </w:r>
    </w:p>
    <w:p w14:paraId="6E3D4F50" w14:textId="39B0B829" w:rsidR="00E14659" w:rsidRPr="00E14659" w:rsidRDefault="00F21BC3" w:rsidP="00340DF1">
      <w:pPr>
        <w:pStyle w:val="Prrafodelista"/>
        <w:spacing w:after="0" w:line="360" w:lineRule="auto"/>
        <w:ind w:left="709"/>
        <w:jc w:val="center"/>
        <w:rPr>
          <w:rFonts w:ascii="Adelle Sans EXT" w:hAnsi="Adelle Sans EXT"/>
          <w:lang w:val="es-DO"/>
        </w:rPr>
      </w:pPr>
      <w:r w:rsidRPr="00C504ED">
        <w:rPr>
          <w:rFonts w:ascii="Adelle Sans EXT" w:hAnsi="Adelle Sans EXT"/>
          <w:noProof/>
        </w:rPr>
        <w:drawing>
          <wp:anchor distT="0" distB="0" distL="114300" distR="114300" simplePos="0" relativeHeight="251658268" behindDoc="0" locked="0" layoutInCell="1" allowOverlap="1" wp14:anchorId="2C8F5E5F" wp14:editId="03EE19AF">
            <wp:simplePos x="0" y="0"/>
            <wp:positionH relativeFrom="margin">
              <wp:posOffset>-448310</wp:posOffset>
            </wp:positionH>
            <wp:positionV relativeFrom="paragraph">
              <wp:posOffset>386329</wp:posOffset>
            </wp:positionV>
            <wp:extent cx="2573655" cy="1819275"/>
            <wp:effectExtent l="0" t="0" r="0" b="9525"/>
            <wp:wrapSquare wrapText="bothSides"/>
            <wp:docPr id="14851728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72832" name=""/>
                    <pic:cNvPicPr/>
                  </pic:nvPicPr>
                  <pic:blipFill rotWithShape="1">
                    <a:blip r:embed="rId18" cstate="print">
                      <a:extLst>
                        <a:ext uri="{28A0092B-C50C-407E-A947-70E740481C1C}">
                          <a14:useLocalDpi xmlns:a14="http://schemas.microsoft.com/office/drawing/2010/main" val="0"/>
                        </a:ext>
                      </a:extLst>
                    </a:blip>
                    <a:srcRect t="24883"/>
                    <a:stretch>
                      <a:fillRect/>
                    </a:stretch>
                  </pic:blipFill>
                  <pic:spPr bwMode="auto">
                    <a:xfrm>
                      <a:off x="0" y="0"/>
                      <a:ext cx="2573655"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18AA32" w14:textId="5911A47E" w:rsidR="00E14659" w:rsidRDefault="00F21BC3" w:rsidP="00340DF1">
      <w:pPr>
        <w:spacing w:after="0" w:line="360" w:lineRule="auto"/>
        <w:jc w:val="center"/>
        <w:rPr>
          <w:rFonts w:ascii="Adelle Sans EXT" w:eastAsia="Cambria" w:hAnsi="Adelle Sans EXT"/>
          <w:b/>
          <w:bCs/>
          <w:sz w:val="21"/>
          <w:szCs w:val="21"/>
          <w:lang w:val="es-DO"/>
        </w:rPr>
      </w:pPr>
      <w:r w:rsidRPr="00633CA5">
        <w:rPr>
          <w:rFonts w:ascii="Adelle Sans EXT" w:eastAsia="Cambria" w:hAnsi="Adelle Sans EXT"/>
          <w:b/>
          <w:bCs/>
          <w:noProof/>
          <w:sz w:val="21"/>
          <w:szCs w:val="21"/>
          <w:lang w:val="es-DO"/>
        </w:rPr>
        <w:drawing>
          <wp:anchor distT="0" distB="0" distL="114300" distR="114300" simplePos="0" relativeHeight="251658270" behindDoc="0" locked="0" layoutInCell="1" allowOverlap="1" wp14:anchorId="42DE6D78" wp14:editId="5D163A2C">
            <wp:simplePos x="0" y="0"/>
            <wp:positionH relativeFrom="margin">
              <wp:posOffset>2570535</wp:posOffset>
            </wp:positionH>
            <wp:positionV relativeFrom="paragraph">
              <wp:posOffset>2076450</wp:posOffset>
            </wp:positionV>
            <wp:extent cx="3131185" cy="1642745"/>
            <wp:effectExtent l="0" t="0" r="0" b="0"/>
            <wp:wrapSquare wrapText="bothSides"/>
            <wp:docPr id="25501039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10397" name="Imagen 1" descr="Tabla&#10;&#10;El contenido generado por IA puede ser incorrecto."/>
                    <pic:cNvPicPr/>
                  </pic:nvPicPr>
                  <pic:blipFill>
                    <a:blip r:embed="rId19">
                      <a:extLst>
                        <a:ext uri="{28A0092B-C50C-407E-A947-70E740481C1C}">
                          <a14:useLocalDpi xmlns:a14="http://schemas.microsoft.com/office/drawing/2010/main" val="0"/>
                        </a:ext>
                      </a:extLst>
                    </a:blip>
                    <a:stretch>
                      <a:fillRect/>
                    </a:stretch>
                  </pic:blipFill>
                  <pic:spPr>
                    <a:xfrm>
                      <a:off x="0" y="0"/>
                      <a:ext cx="3131185" cy="1642745"/>
                    </a:xfrm>
                    <a:prstGeom prst="rect">
                      <a:avLst/>
                    </a:prstGeom>
                  </pic:spPr>
                </pic:pic>
              </a:graphicData>
            </a:graphic>
            <wp14:sizeRelH relativeFrom="page">
              <wp14:pctWidth>0</wp14:pctWidth>
            </wp14:sizeRelH>
            <wp14:sizeRelV relativeFrom="page">
              <wp14:pctHeight>0</wp14:pctHeight>
            </wp14:sizeRelV>
          </wp:anchor>
        </w:drawing>
      </w:r>
      <w:r w:rsidRPr="00251D62">
        <w:rPr>
          <w:rFonts w:ascii="Adelle Sans EXT" w:hAnsi="Adelle Sans EXT"/>
          <w:noProof/>
        </w:rPr>
        <w:drawing>
          <wp:anchor distT="0" distB="0" distL="114300" distR="114300" simplePos="0" relativeHeight="251658267" behindDoc="0" locked="0" layoutInCell="1" allowOverlap="1" wp14:anchorId="15993B0F" wp14:editId="6C8E75C7">
            <wp:simplePos x="0" y="0"/>
            <wp:positionH relativeFrom="margin">
              <wp:posOffset>-747395</wp:posOffset>
            </wp:positionH>
            <wp:positionV relativeFrom="paragraph">
              <wp:posOffset>2114550</wp:posOffset>
            </wp:positionV>
            <wp:extent cx="3011805" cy="1552575"/>
            <wp:effectExtent l="0" t="0" r="0" b="9525"/>
            <wp:wrapSquare wrapText="bothSides"/>
            <wp:docPr id="1269832148"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32148" name="Imagen 1" descr="Tabla&#10;&#10;El contenido generado por IA puede ser incorrect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11805" cy="1552575"/>
                    </a:xfrm>
                    <a:prstGeom prst="rect">
                      <a:avLst/>
                    </a:prstGeom>
                  </pic:spPr>
                </pic:pic>
              </a:graphicData>
            </a:graphic>
            <wp14:sizeRelH relativeFrom="page">
              <wp14:pctWidth>0</wp14:pctWidth>
            </wp14:sizeRelH>
            <wp14:sizeRelV relativeFrom="page">
              <wp14:pctHeight>0</wp14:pctHeight>
            </wp14:sizeRelV>
          </wp:anchor>
        </w:drawing>
      </w:r>
      <w:r w:rsidRPr="00C234AB">
        <w:rPr>
          <w:rFonts w:ascii="Adelle Sans EXT" w:hAnsi="Adelle Sans EXT"/>
          <w:noProof/>
        </w:rPr>
        <w:drawing>
          <wp:anchor distT="0" distB="0" distL="114300" distR="114300" simplePos="0" relativeHeight="251658269" behindDoc="0" locked="0" layoutInCell="1" allowOverlap="1" wp14:anchorId="70431954" wp14:editId="46FD0AB7">
            <wp:simplePos x="0" y="0"/>
            <wp:positionH relativeFrom="column">
              <wp:posOffset>2527769</wp:posOffset>
            </wp:positionH>
            <wp:positionV relativeFrom="paragraph">
              <wp:posOffset>129596</wp:posOffset>
            </wp:positionV>
            <wp:extent cx="3112135" cy="1581150"/>
            <wp:effectExtent l="0" t="0" r="0" b="0"/>
            <wp:wrapSquare wrapText="bothSides"/>
            <wp:docPr id="88512316"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12316" name="Imagen 1" descr="Tabla&#10;&#10;El contenido generado por IA puede ser incorrecto."/>
                    <pic:cNvPicPr/>
                  </pic:nvPicPr>
                  <pic:blipFill>
                    <a:blip r:embed="rId21">
                      <a:extLst>
                        <a:ext uri="{28A0092B-C50C-407E-A947-70E740481C1C}">
                          <a14:useLocalDpi xmlns:a14="http://schemas.microsoft.com/office/drawing/2010/main" val="0"/>
                        </a:ext>
                      </a:extLst>
                    </a:blip>
                    <a:stretch>
                      <a:fillRect/>
                    </a:stretch>
                  </pic:blipFill>
                  <pic:spPr>
                    <a:xfrm>
                      <a:off x="0" y="0"/>
                      <a:ext cx="3112135" cy="1581150"/>
                    </a:xfrm>
                    <a:prstGeom prst="rect">
                      <a:avLst/>
                    </a:prstGeom>
                  </pic:spPr>
                </pic:pic>
              </a:graphicData>
            </a:graphic>
            <wp14:sizeRelH relativeFrom="page">
              <wp14:pctWidth>0</wp14:pctWidth>
            </wp14:sizeRelH>
            <wp14:sizeRelV relativeFrom="page">
              <wp14:pctHeight>0</wp14:pctHeight>
            </wp14:sizeRelV>
          </wp:anchor>
        </w:drawing>
      </w:r>
    </w:p>
    <w:p w14:paraId="6A461CFF" w14:textId="6216E68A" w:rsidR="00E14659" w:rsidRDefault="00E14659" w:rsidP="00340DF1">
      <w:pPr>
        <w:spacing w:after="0" w:line="360" w:lineRule="auto"/>
        <w:jc w:val="center"/>
        <w:rPr>
          <w:rFonts w:ascii="Adelle Sans EXT" w:eastAsia="Cambria" w:hAnsi="Adelle Sans EXT"/>
          <w:b/>
          <w:bCs/>
          <w:sz w:val="21"/>
          <w:szCs w:val="21"/>
          <w:lang w:val="es-DO"/>
        </w:rPr>
      </w:pPr>
    </w:p>
    <w:p w14:paraId="6673E3CC" w14:textId="3A49D87C" w:rsidR="000C6A07" w:rsidRPr="00673A00" w:rsidRDefault="00656EBC" w:rsidP="00340DF1">
      <w:pPr>
        <w:spacing w:line="360" w:lineRule="auto"/>
        <w:jc w:val="both"/>
        <w:rPr>
          <w:rFonts w:eastAsia="Calibri"/>
          <w:i/>
          <w:iCs/>
          <w:noProof/>
          <w:color w:val="4C4747"/>
          <w:lang w:val="es-DO"/>
        </w:rPr>
      </w:pPr>
      <w:r w:rsidRPr="00D22628">
        <w:rPr>
          <w:rFonts w:eastAsia="Calibri"/>
          <w:i/>
          <w:iCs/>
          <w:noProof/>
          <w:color w:val="4C4747"/>
          <w:lang w:val="es-DO"/>
        </w:rPr>
        <w:t>Fuente: Sistema 3</w:t>
      </w:r>
      <w:r w:rsidR="00B909FE" w:rsidRPr="00D22628">
        <w:rPr>
          <w:rFonts w:eastAsia="Calibri"/>
          <w:i/>
          <w:iCs/>
          <w:noProof/>
          <w:color w:val="4C4747"/>
          <w:lang w:val="es-DO"/>
        </w:rPr>
        <w:t>-</w:t>
      </w:r>
      <w:r w:rsidRPr="00D22628">
        <w:rPr>
          <w:rFonts w:eastAsia="Calibri"/>
          <w:i/>
          <w:iCs/>
          <w:noProof/>
          <w:color w:val="4C4747"/>
          <w:lang w:val="es-DO"/>
        </w:rPr>
        <w:t>1</w:t>
      </w:r>
      <w:r w:rsidR="00B909FE" w:rsidRPr="00D22628">
        <w:rPr>
          <w:rFonts w:eastAsia="Calibri"/>
          <w:i/>
          <w:iCs/>
          <w:noProof/>
          <w:color w:val="4C4747"/>
          <w:lang w:val="es-DO"/>
        </w:rPr>
        <w:t>-</w:t>
      </w:r>
      <w:r w:rsidRPr="00D22628">
        <w:rPr>
          <w:rFonts w:eastAsia="Calibri"/>
          <w:i/>
          <w:iCs/>
          <w:noProof/>
          <w:color w:val="4C4747"/>
          <w:lang w:val="es-DO"/>
        </w:rPr>
        <w:t xml:space="preserve">1 </w:t>
      </w:r>
    </w:p>
    <w:p w14:paraId="72959259" w14:textId="77777777" w:rsidR="00656EBC" w:rsidRDefault="00656EBC" w:rsidP="00340DF1">
      <w:pPr>
        <w:spacing w:line="360" w:lineRule="auto"/>
        <w:rPr>
          <w:lang w:val="es-DO"/>
        </w:rPr>
      </w:pPr>
    </w:p>
    <w:p w14:paraId="04B382A6" w14:textId="249415E4" w:rsidR="000D28D7" w:rsidRPr="000D28D7" w:rsidRDefault="00837BEE" w:rsidP="00340DF1">
      <w:pPr>
        <w:pStyle w:val="Ttulo2"/>
        <w:spacing w:line="360" w:lineRule="auto"/>
        <w:rPr>
          <w:noProof/>
          <w:lang w:val="es-DO"/>
        </w:rPr>
      </w:pPr>
      <w:bookmarkStart w:id="19" w:name="_Toc217035440"/>
      <w:r>
        <w:rPr>
          <w:noProof/>
          <w:lang w:val="es-DO"/>
        </w:rPr>
        <w:lastRenderedPageBreak/>
        <w:t>5.4 Resultados de meidciones del portal de transparencia</w:t>
      </w:r>
      <w:bookmarkEnd w:id="19"/>
      <w:r>
        <w:rPr>
          <w:noProof/>
          <w:lang w:val="es-DO"/>
        </w:rPr>
        <w:t xml:space="preserve"> </w:t>
      </w:r>
    </w:p>
    <w:p w14:paraId="670A2759" w14:textId="77777777" w:rsidR="000D28D7" w:rsidRPr="000D28D7" w:rsidRDefault="000D28D7" w:rsidP="00340DF1">
      <w:pPr>
        <w:spacing w:line="360" w:lineRule="auto"/>
        <w:jc w:val="both"/>
        <w:rPr>
          <w:rFonts w:eastAsia="Calibri"/>
          <w:noProof/>
          <w:color w:val="4C4747"/>
          <w:lang w:val="es-DO"/>
        </w:rPr>
      </w:pPr>
    </w:p>
    <w:p w14:paraId="5F3C600D" w14:textId="56DBA203" w:rsidR="005856AD" w:rsidRPr="00EC6B29" w:rsidRDefault="005856AD" w:rsidP="00340DF1">
      <w:pPr>
        <w:spacing w:after="0" w:line="360" w:lineRule="auto"/>
        <w:jc w:val="both"/>
        <w:rPr>
          <w:rFonts w:eastAsia="Calibri"/>
          <w:noProof/>
          <w:color w:val="4C4747"/>
          <w:lang w:val="es-DO"/>
        </w:rPr>
      </w:pPr>
      <w:r w:rsidRPr="00EC6B29">
        <w:rPr>
          <w:rFonts w:eastAsia="Calibri"/>
          <w:noProof/>
          <w:color w:val="4C4747"/>
          <w:lang w:val="es-DO"/>
        </w:rPr>
        <w:t>Como parte de lo indicado en la ley núm. 200-04 en su artículo (1) en el cual, de manera expresa, enuncia un listado, sobre los organismos que están sujetos a la ley, los cuales deben de satisfacer la necesidad de otorgar la información a los ciudadanos que así lo soliciten, y de esta forma garantizar el derecho de los ciudadanas y ciudadanos a acceder a las informaciones registradas en ProCompetencia.</w:t>
      </w:r>
    </w:p>
    <w:p w14:paraId="2A3DC5BD" w14:textId="77777777" w:rsidR="005856AD" w:rsidRPr="00EC6B29" w:rsidRDefault="005856AD" w:rsidP="00340DF1">
      <w:pPr>
        <w:spacing w:after="0" w:line="360" w:lineRule="auto"/>
        <w:jc w:val="both"/>
        <w:rPr>
          <w:rFonts w:eastAsia="Calibri"/>
          <w:noProof/>
          <w:color w:val="4C4747"/>
          <w:lang w:val="es-DO"/>
        </w:rPr>
      </w:pPr>
    </w:p>
    <w:p w14:paraId="1ED7B688" w14:textId="77777777" w:rsidR="005856AD" w:rsidRPr="00A03E20" w:rsidRDefault="005856AD" w:rsidP="00340DF1">
      <w:pPr>
        <w:spacing w:after="0" w:line="360" w:lineRule="auto"/>
        <w:jc w:val="both"/>
        <w:rPr>
          <w:rFonts w:eastAsia="Calibri"/>
          <w:noProof/>
          <w:color w:val="4C4747"/>
          <w:lang w:val="es-DO"/>
        </w:rPr>
      </w:pPr>
      <w:r w:rsidRPr="00A03E20">
        <w:rPr>
          <w:rFonts w:eastAsia="Calibri"/>
          <w:noProof/>
          <w:color w:val="4C4747"/>
          <w:lang w:val="es-DO"/>
        </w:rPr>
        <w:t xml:space="preserve">En ese sentido, el manejo de la OAI en el período de enero – octubre 2024, ha sido responder, por los canales oficiales, aquellas solicitudes sobre los actos y actividades de la institución, a los fines de mantener informados a los ciudadanos y establecer la transparencia y la publicidad de las actuaciones de la Administración Pública. </w:t>
      </w:r>
    </w:p>
    <w:p w14:paraId="54825533" w14:textId="77777777" w:rsidR="005856AD" w:rsidRPr="00A03E20" w:rsidRDefault="005856AD" w:rsidP="00340DF1">
      <w:pPr>
        <w:spacing w:after="0" w:line="360" w:lineRule="auto"/>
        <w:jc w:val="both"/>
        <w:rPr>
          <w:rFonts w:eastAsia="Calibri"/>
          <w:noProof/>
          <w:color w:val="4C4747"/>
          <w:lang w:val="es-DO"/>
        </w:rPr>
      </w:pPr>
    </w:p>
    <w:p w14:paraId="270B5E8B" w14:textId="76794311" w:rsidR="005856AD" w:rsidRDefault="005856AD" w:rsidP="00340DF1">
      <w:pPr>
        <w:spacing w:after="0" w:line="360" w:lineRule="auto"/>
        <w:jc w:val="both"/>
        <w:rPr>
          <w:rFonts w:eastAsia="Calibri"/>
          <w:color w:val="4C4747"/>
          <w:lang w:val="es-DO"/>
        </w:rPr>
      </w:pPr>
      <w:r w:rsidRPr="005856AD">
        <w:rPr>
          <w:rFonts w:eastAsia="Calibri"/>
          <w:color w:val="4C4747"/>
          <w:lang w:val="es-DO"/>
        </w:rPr>
        <w:t xml:space="preserve">De esto que, esta Oficina de Acceso a la Información (OAI), en el ejercicio de sus atribuciones, ha publicado, de manera oportuna, los datos e informaciones, concernientes a esta institución, a través de su Portal de Transparencia, lo que la ha hecho merecedora de excelentes calificaciones, por parte de la DIGEIG, en el transcurso de este año 2024, como se puede observar en el recuadro más abajo: </w:t>
      </w:r>
    </w:p>
    <w:p w14:paraId="10E77E10" w14:textId="77777777" w:rsidR="00673A00" w:rsidRDefault="00673A00" w:rsidP="00340DF1">
      <w:pPr>
        <w:spacing w:after="0" w:line="360" w:lineRule="auto"/>
        <w:jc w:val="both"/>
        <w:rPr>
          <w:rFonts w:eastAsia="Calibri"/>
          <w:color w:val="4C4747"/>
          <w:lang w:val="es-DO"/>
        </w:rPr>
      </w:pPr>
    </w:p>
    <w:p w14:paraId="5CB8CF90" w14:textId="77777777" w:rsidR="00673A00" w:rsidRDefault="00673A00" w:rsidP="00340DF1">
      <w:pPr>
        <w:spacing w:after="0" w:line="360" w:lineRule="auto"/>
        <w:jc w:val="both"/>
        <w:rPr>
          <w:rFonts w:eastAsia="Calibri"/>
          <w:color w:val="4C4747"/>
          <w:lang w:val="es-DO"/>
        </w:rPr>
      </w:pPr>
    </w:p>
    <w:p w14:paraId="43AAB1C3" w14:textId="77777777" w:rsidR="00673A00" w:rsidRDefault="00673A00" w:rsidP="00340DF1">
      <w:pPr>
        <w:spacing w:after="0" w:line="360" w:lineRule="auto"/>
        <w:jc w:val="both"/>
        <w:rPr>
          <w:rFonts w:eastAsia="Calibri"/>
          <w:color w:val="4C4747"/>
          <w:lang w:val="es-DO"/>
        </w:rPr>
      </w:pPr>
    </w:p>
    <w:p w14:paraId="69CDEA69" w14:textId="77777777" w:rsidR="00673A00" w:rsidRDefault="00673A00" w:rsidP="00340DF1">
      <w:pPr>
        <w:spacing w:after="0" w:line="360" w:lineRule="auto"/>
        <w:jc w:val="both"/>
        <w:rPr>
          <w:rFonts w:eastAsia="Calibri"/>
          <w:color w:val="4C4747"/>
          <w:lang w:val="es-DO"/>
        </w:rPr>
      </w:pPr>
    </w:p>
    <w:p w14:paraId="2F797902" w14:textId="77777777" w:rsidR="00F77F22" w:rsidRDefault="00F77F22" w:rsidP="00340DF1">
      <w:pPr>
        <w:spacing w:after="0" w:line="360" w:lineRule="auto"/>
        <w:jc w:val="both"/>
        <w:rPr>
          <w:rFonts w:eastAsia="Calibri"/>
          <w:color w:val="4C4747"/>
          <w:lang w:val="es-DO"/>
        </w:rPr>
      </w:pPr>
    </w:p>
    <w:p w14:paraId="19B877FC" w14:textId="77777777" w:rsidR="00F77F22" w:rsidRPr="005856AD" w:rsidRDefault="00F77F22" w:rsidP="00340DF1">
      <w:pPr>
        <w:spacing w:after="0" w:line="360" w:lineRule="auto"/>
        <w:jc w:val="both"/>
        <w:rPr>
          <w:rFonts w:eastAsia="Calibri"/>
          <w:color w:val="4C4747"/>
          <w:lang w:val="es-DO"/>
        </w:rPr>
      </w:pPr>
    </w:p>
    <w:p w14:paraId="7A36CC3D" w14:textId="77777777" w:rsidR="005856AD" w:rsidRPr="005856AD" w:rsidRDefault="005856AD" w:rsidP="00340DF1">
      <w:pPr>
        <w:pStyle w:val="Prrafodelista"/>
        <w:spacing w:after="0" w:line="360" w:lineRule="auto"/>
        <w:ind w:left="709"/>
        <w:jc w:val="center"/>
        <w:rPr>
          <w:rFonts w:ascii="Adelle Sans EXT" w:hAnsi="Adelle Sans EXT"/>
          <w:sz w:val="21"/>
          <w:szCs w:val="21"/>
          <w:lang w:val="es-DO"/>
        </w:rPr>
      </w:pPr>
    </w:p>
    <w:tbl>
      <w:tblPr>
        <w:tblStyle w:val="Tablaconcuadrcula"/>
        <w:tblW w:w="8075" w:type="dxa"/>
        <w:jc w:val="center"/>
        <w:tblLook w:val="04A0" w:firstRow="1" w:lastRow="0" w:firstColumn="1" w:lastColumn="0" w:noHBand="0" w:noVBand="1"/>
      </w:tblPr>
      <w:tblGrid>
        <w:gridCol w:w="890"/>
        <w:gridCol w:w="1103"/>
        <w:gridCol w:w="943"/>
        <w:gridCol w:w="823"/>
        <w:gridCol w:w="856"/>
        <w:gridCol w:w="837"/>
        <w:gridCol w:w="856"/>
        <w:gridCol w:w="1030"/>
        <w:gridCol w:w="1510"/>
      </w:tblGrid>
      <w:tr w:rsidR="005856AD" w:rsidRPr="00116DFC" w14:paraId="5A1A165B" w14:textId="77777777" w:rsidTr="00D8136D">
        <w:trPr>
          <w:jc w:val="center"/>
        </w:trPr>
        <w:tc>
          <w:tcPr>
            <w:tcW w:w="8075" w:type="dxa"/>
            <w:gridSpan w:val="9"/>
            <w:shd w:val="clear" w:color="auto" w:fill="002060"/>
          </w:tcPr>
          <w:p w14:paraId="234646E2" w14:textId="1B7005E8" w:rsidR="005856AD" w:rsidRPr="005856AD" w:rsidRDefault="00336886" w:rsidP="00340DF1">
            <w:pPr>
              <w:spacing w:line="360" w:lineRule="auto"/>
              <w:jc w:val="center"/>
              <w:rPr>
                <w:rFonts w:ascii="Adelle Sans EXT" w:eastAsia="Cambria" w:hAnsi="Adelle Sans EXT"/>
                <w:bCs/>
                <w:color w:val="FFFFFF" w:themeColor="background1"/>
                <w:lang w:val="es-DO"/>
              </w:rPr>
            </w:pPr>
            <w:r>
              <w:rPr>
                <w:color w:val="FFFFFF" w:themeColor="background1"/>
                <w:sz w:val="21"/>
                <w:szCs w:val="21"/>
                <w:lang w:val="es-DO"/>
              </w:rPr>
              <w:lastRenderedPageBreak/>
              <w:t xml:space="preserve">Tabla 12. </w:t>
            </w:r>
            <w:r w:rsidR="005856AD" w:rsidRPr="005856AD">
              <w:rPr>
                <w:color w:val="FFFFFF" w:themeColor="background1"/>
                <w:sz w:val="21"/>
                <w:szCs w:val="21"/>
                <w:lang w:val="es-DO"/>
              </w:rPr>
              <w:t>Evaluación del Portal de Transparencia 2024</w:t>
            </w:r>
          </w:p>
        </w:tc>
      </w:tr>
      <w:tr w:rsidR="005856AD" w:rsidRPr="002E6DBA" w14:paraId="20E242B4" w14:textId="77777777" w:rsidTr="00D8136D">
        <w:trPr>
          <w:jc w:val="center"/>
        </w:trPr>
        <w:tc>
          <w:tcPr>
            <w:tcW w:w="2626" w:type="dxa"/>
            <w:gridSpan w:val="3"/>
            <w:shd w:val="clear" w:color="auto" w:fill="002060"/>
          </w:tcPr>
          <w:p w14:paraId="35D87B20" w14:textId="77777777" w:rsidR="005856AD" w:rsidRPr="002E6DBA" w:rsidRDefault="005856AD" w:rsidP="00340DF1">
            <w:pPr>
              <w:spacing w:line="360" w:lineRule="auto"/>
              <w:jc w:val="center"/>
              <w:rPr>
                <w:color w:val="FFFFFF" w:themeColor="background1"/>
                <w:sz w:val="21"/>
                <w:szCs w:val="21"/>
              </w:rPr>
            </w:pPr>
            <w:r w:rsidRPr="002E6DBA">
              <w:rPr>
                <w:color w:val="FFFFFF" w:themeColor="background1"/>
                <w:sz w:val="21"/>
                <w:szCs w:val="21"/>
              </w:rPr>
              <w:t xml:space="preserve">1er </w:t>
            </w:r>
            <w:proofErr w:type="spellStart"/>
            <w:r w:rsidRPr="002E6DBA">
              <w:rPr>
                <w:color w:val="FFFFFF" w:themeColor="background1"/>
                <w:sz w:val="21"/>
                <w:szCs w:val="21"/>
              </w:rPr>
              <w:t>Trimestre</w:t>
            </w:r>
            <w:proofErr w:type="spellEnd"/>
          </w:p>
        </w:tc>
        <w:tc>
          <w:tcPr>
            <w:tcW w:w="2262" w:type="dxa"/>
            <w:gridSpan w:val="3"/>
            <w:shd w:val="clear" w:color="auto" w:fill="002060"/>
          </w:tcPr>
          <w:p w14:paraId="4CF83AD7" w14:textId="77777777" w:rsidR="005856AD" w:rsidRPr="002E6DBA" w:rsidRDefault="005856AD" w:rsidP="00340DF1">
            <w:pPr>
              <w:spacing w:line="360" w:lineRule="auto"/>
              <w:jc w:val="center"/>
              <w:rPr>
                <w:color w:val="FFFFFF" w:themeColor="background1"/>
                <w:sz w:val="21"/>
                <w:szCs w:val="21"/>
              </w:rPr>
            </w:pPr>
            <w:r w:rsidRPr="002E6DBA">
              <w:rPr>
                <w:color w:val="FFFFFF" w:themeColor="background1"/>
                <w:sz w:val="21"/>
                <w:szCs w:val="21"/>
              </w:rPr>
              <w:t xml:space="preserve">2do </w:t>
            </w:r>
            <w:proofErr w:type="spellStart"/>
            <w:r w:rsidRPr="002E6DBA">
              <w:rPr>
                <w:color w:val="FFFFFF" w:themeColor="background1"/>
                <w:sz w:val="21"/>
                <w:szCs w:val="21"/>
              </w:rPr>
              <w:t>Trimestre</w:t>
            </w:r>
            <w:proofErr w:type="spellEnd"/>
          </w:p>
        </w:tc>
        <w:tc>
          <w:tcPr>
            <w:tcW w:w="3187" w:type="dxa"/>
            <w:gridSpan w:val="3"/>
            <w:shd w:val="clear" w:color="auto" w:fill="002060"/>
          </w:tcPr>
          <w:p w14:paraId="69F61721" w14:textId="77777777" w:rsidR="005856AD" w:rsidRPr="002E6DBA" w:rsidRDefault="005856AD" w:rsidP="00340DF1">
            <w:pPr>
              <w:spacing w:line="360" w:lineRule="auto"/>
              <w:jc w:val="center"/>
              <w:rPr>
                <w:color w:val="FFFFFF" w:themeColor="background1"/>
                <w:sz w:val="21"/>
                <w:szCs w:val="21"/>
              </w:rPr>
            </w:pPr>
            <w:r w:rsidRPr="002E6DBA">
              <w:rPr>
                <w:color w:val="FFFFFF" w:themeColor="background1"/>
                <w:sz w:val="21"/>
                <w:szCs w:val="21"/>
              </w:rPr>
              <w:t xml:space="preserve">3er </w:t>
            </w:r>
            <w:proofErr w:type="spellStart"/>
            <w:r w:rsidRPr="002E6DBA">
              <w:rPr>
                <w:color w:val="FFFFFF" w:themeColor="background1"/>
                <w:sz w:val="21"/>
                <w:szCs w:val="21"/>
              </w:rPr>
              <w:t>Trimestre</w:t>
            </w:r>
            <w:proofErr w:type="spellEnd"/>
          </w:p>
        </w:tc>
      </w:tr>
      <w:tr w:rsidR="005856AD" w:rsidRPr="002E6DBA" w14:paraId="14BDCA3A" w14:textId="77777777" w:rsidTr="00D8136D">
        <w:trPr>
          <w:jc w:val="center"/>
        </w:trPr>
        <w:tc>
          <w:tcPr>
            <w:tcW w:w="799" w:type="dxa"/>
          </w:tcPr>
          <w:p w14:paraId="2325B495" w14:textId="77777777" w:rsidR="005856AD" w:rsidRPr="00AB0DF6" w:rsidRDefault="005856AD" w:rsidP="00340DF1">
            <w:pPr>
              <w:spacing w:line="360" w:lineRule="auto"/>
              <w:rPr>
                <w:rFonts w:eastAsia="Calibri"/>
                <w:color w:val="4C4747"/>
                <w:lang w:val="es-DO"/>
              </w:rPr>
            </w:pPr>
            <w:r w:rsidRPr="00AB0DF6">
              <w:rPr>
                <w:rFonts w:eastAsia="Calibri"/>
                <w:color w:val="4C4747"/>
                <w:lang w:val="es-DO"/>
              </w:rPr>
              <w:t>Enero</w:t>
            </w:r>
          </w:p>
        </w:tc>
        <w:tc>
          <w:tcPr>
            <w:tcW w:w="983" w:type="dxa"/>
          </w:tcPr>
          <w:p w14:paraId="788D6CA7" w14:textId="77777777" w:rsidR="005856AD" w:rsidRPr="00AB0DF6" w:rsidRDefault="005856AD" w:rsidP="00340DF1">
            <w:pPr>
              <w:spacing w:line="360" w:lineRule="auto"/>
              <w:rPr>
                <w:rFonts w:eastAsia="Calibri"/>
                <w:color w:val="4C4747"/>
                <w:lang w:val="es-DO"/>
              </w:rPr>
            </w:pPr>
            <w:r w:rsidRPr="00AB0DF6">
              <w:rPr>
                <w:rFonts w:eastAsia="Calibri"/>
                <w:color w:val="4C4747"/>
                <w:lang w:val="es-DO"/>
              </w:rPr>
              <w:t>Febrero</w:t>
            </w:r>
          </w:p>
        </w:tc>
        <w:tc>
          <w:tcPr>
            <w:tcW w:w="844" w:type="dxa"/>
          </w:tcPr>
          <w:p w14:paraId="648E292B" w14:textId="77777777" w:rsidR="005856AD" w:rsidRPr="00AB0DF6" w:rsidRDefault="005856AD" w:rsidP="00340DF1">
            <w:pPr>
              <w:spacing w:line="360" w:lineRule="auto"/>
              <w:rPr>
                <w:rFonts w:eastAsia="Calibri"/>
                <w:color w:val="4C4747"/>
                <w:lang w:val="es-DO"/>
              </w:rPr>
            </w:pPr>
            <w:r w:rsidRPr="00AB0DF6">
              <w:rPr>
                <w:rFonts w:eastAsia="Calibri"/>
                <w:color w:val="4C4747"/>
                <w:lang w:val="es-DO"/>
              </w:rPr>
              <w:t>Marzo</w:t>
            </w:r>
          </w:p>
        </w:tc>
        <w:tc>
          <w:tcPr>
            <w:tcW w:w="741" w:type="dxa"/>
          </w:tcPr>
          <w:p w14:paraId="3CCE430B" w14:textId="77777777" w:rsidR="005856AD" w:rsidRPr="00AB0DF6" w:rsidRDefault="005856AD" w:rsidP="00340DF1">
            <w:pPr>
              <w:spacing w:line="360" w:lineRule="auto"/>
              <w:rPr>
                <w:rFonts w:eastAsia="Calibri"/>
                <w:color w:val="4C4747"/>
                <w:lang w:val="es-DO"/>
              </w:rPr>
            </w:pPr>
            <w:r w:rsidRPr="00AB0DF6">
              <w:rPr>
                <w:rFonts w:eastAsia="Calibri"/>
                <w:color w:val="4C4747"/>
                <w:lang w:val="es-DO"/>
              </w:rPr>
              <w:t>Abril</w:t>
            </w:r>
          </w:p>
        </w:tc>
        <w:tc>
          <w:tcPr>
            <w:tcW w:w="768" w:type="dxa"/>
          </w:tcPr>
          <w:p w14:paraId="4FEED077" w14:textId="77777777" w:rsidR="005856AD" w:rsidRPr="00AB0DF6" w:rsidRDefault="005856AD" w:rsidP="00340DF1">
            <w:pPr>
              <w:spacing w:line="360" w:lineRule="auto"/>
              <w:rPr>
                <w:rFonts w:eastAsia="Calibri"/>
                <w:color w:val="4C4747"/>
                <w:lang w:val="es-DO"/>
              </w:rPr>
            </w:pPr>
            <w:r w:rsidRPr="00AB0DF6">
              <w:rPr>
                <w:rFonts w:eastAsia="Calibri"/>
                <w:color w:val="4C4747"/>
                <w:lang w:val="es-DO"/>
              </w:rPr>
              <w:t>Mayo</w:t>
            </w:r>
          </w:p>
        </w:tc>
        <w:tc>
          <w:tcPr>
            <w:tcW w:w="753" w:type="dxa"/>
          </w:tcPr>
          <w:p w14:paraId="17C04C69" w14:textId="77777777" w:rsidR="005856AD" w:rsidRPr="00AB0DF6" w:rsidRDefault="005856AD" w:rsidP="00340DF1">
            <w:pPr>
              <w:spacing w:line="360" w:lineRule="auto"/>
              <w:rPr>
                <w:rFonts w:eastAsia="Calibri"/>
                <w:color w:val="4C4747"/>
                <w:lang w:val="es-DO"/>
              </w:rPr>
            </w:pPr>
            <w:r w:rsidRPr="00AB0DF6">
              <w:rPr>
                <w:rFonts w:eastAsia="Calibri"/>
                <w:color w:val="4C4747"/>
                <w:lang w:val="es-DO"/>
              </w:rPr>
              <w:t>Junio</w:t>
            </w:r>
          </w:p>
        </w:tc>
        <w:tc>
          <w:tcPr>
            <w:tcW w:w="769" w:type="dxa"/>
            <w:tcBorders>
              <w:bottom w:val="single" w:sz="4" w:space="0" w:color="auto"/>
            </w:tcBorders>
          </w:tcPr>
          <w:p w14:paraId="47401031" w14:textId="77777777" w:rsidR="005856AD" w:rsidRPr="00AB0DF6" w:rsidRDefault="005856AD" w:rsidP="00340DF1">
            <w:pPr>
              <w:spacing w:line="360" w:lineRule="auto"/>
              <w:rPr>
                <w:rFonts w:eastAsia="Calibri"/>
                <w:color w:val="4C4747"/>
                <w:lang w:val="es-DO"/>
              </w:rPr>
            </w:pPr>
            <w:r w:rsidRPr="00AB0DF6">
              <w:rPr>
                <w:rFonts w:eastAsia="Calibri"/>
                <w:color w:val="4C4747"/>
                <w:lang w:val="es-DO"/>
              </w:rPr>
              <w:t>Julio</w:t>
            </w:r>
          </w:p>
        </w:tc>
        <w:tc>
          <w:tcPr>
            <w:tcW w:w="919" w:type="dxa"/>
            <w:tcBorders>
              <w:bottom w:val="single" w:sz="4" w:space="0" w:color="auto"/>
            </w:tcBorders>
          </w:tcPr>
          <w:p w14:paraId="7FB9FC8B" w14:textId="77777777" w:rsidR="005856AD" w:rsidRPr="00AB0DF6" w:rsidRDefault="005856AD" w:rsidP="00340DF1">
            <w:pPr>
              <w:spacing w:line="360" w:lineRule="auto"/>
              <w:rPr>
                <w:rFonts w:eastAsia="Calibri"/>
                <w:color w:val="4C4747"/>
                <w:lang w:val="es-DO"/>
              </w:rPr>
            </w:pPr>
            <w:r w:rsidRPr="00AB0DF6">
              <w:rPr>
                <w:rFonts w:eastAsia="Calibri"/>
                <w:color w:val="4C4747"/>
                <w:lang w:val="es-DO"/>
              </w:rPr>
              <w:t>Agosto</w:t>
            </w:r>
          </w:p>
        </w:tc>
        <w:tc>
          <w:tcPr>
            <w:tcW w:w="1499" w:type="dxa"/>
          </w:tcPr>
          <w:p w14:paraId="1D1A4B0C" w14:textId="77777777" w:rsidR="005856AD" w:rsidRPr="00AB0DF6" w:rsidRDefault="005856AD" w:rsidP="00340DF1">
            <w:pPr>
              <w:spacing w:line="360" w:lineRule="auto"/>
              <w:rPr>
                <w:rFonts w:eastAsia="Calibri"/>
                <w:color w:val="4C4747"/>
                <w:lang w:val="es-DO"/>
              </w:rPr>
            </w:pPr>
            <w:r w:rsidRPr="00AB0DF6">
              <w:rPr>
                <w:rFonts w:eastAsia="Calibri"/>
                <w:color w:val="4C4747"/>
                <w:lang w:val="es-DO"/>
              </w:rPr>
              <w:t>Septiembre</w:t>
            </w:r>
          </w:p>
        </w:tc>
      </w:tr>
      <w:tr w:rsidR="005856AD" w:rsidRPr="002E6DBA" w14:paraId="0D74DBC0" w14:textId="77777777" w:rsidTr="00D8136D">
        <w:trPr>
          <w:jc w:val="center"/>
        </w:trPr>
        <w:tc>
          <w:tcPr>
            <w:tcW w:w="799" w:type="dxa"/>
            <w:tcBorders>
              <w:bottom w:val="single" w:sz="4" w:space="0" w:color="auto"/>
            </w:tcBorders>
          </w:tcPr>
          <w:p w14:paraId="5003D5C1"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100</w:t>
            </w:r>
          </w:p>
        </w:tc>
        <w:tc>
          <w:tcPr>
            <w:tcW w:w="983" w:type="dxa"/>
            <w:tcBorders>
              <w:bottom w:val="single" w:sz="4" w:space="0" w:color="auto"/>
            </w:tcBorders>
          </w:tcPr>
          <w:p w14:paraId="3E2C4047"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100</w:t>
            </w:r>
          </w:p>
        </w:tc>
        <w:tc>
          <w:tcPr>
            <w:tcW w:w="844" w:type="dxa"/>
            <w:tcBorders>
              <w:bottom w:val="single" w:sz="4" w:space="0" w:color="auto"/>
            </w:tcBorders>
          </w:tcPr>
          <w:p w14:paraId="42AAC49A"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100</w:t>
            </w:r>
          </w:p>
        </w:tc>
        <w:tc>
          <w:tcPr>
            <w:tcW w:w="741" w:type="dxa"/>
            <w:tcBorders>
              <w:bottom w:val="single" w:sz="4" w:space="0" w:color="auto"/>
            </w:tcBorders>
          </w:tcPr>
          <w:p w14:paraId="2C45157F"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100</w:t>
            </w:r>
          </w:p>
        </w:tc>
        <w:tc>
          <w:tcPr>
            <w:tcW w:w="768" w:type="dxa"/>
            <w:tcBorders>
              <w:bottom w:val="single" w:sz="4" w:space="0" w:color="auto"/>
            </w:tcBorders>
          </w:tcPr>
          <w:p w14:paraId="715682E6"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100</w:t>
            </w:r>
          </w:p>
        </w:tc>
        <w:tc>
          <w:tcPr>
            <w:tcW w:w="753" w:type="dxa"/>
            <w:tcBorders>
              <w:bottom w:val="single" w:sz="4" w:space="0" w:color="auto"/>
            </w:tcBorders>
          </w:tcPr>
          <w:p w14:paraId="1EE8A2A0"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100</w:t>
            </w:r>
          </w:p>
        </w:tc>
        <w:tc>
          <w:tcPr>
            <w:tcW w:w="769" w:type="dxa"/>
          </w:tcPr>
          <w:p w14:paraId="5DB38B58"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99.78</w:t>
            </w:r>
          </w:p>
        </w:tc>
        <w:tc>
          <w:tcPr>
            <w:tcW w:w="919" w:type="dxa"/>
          </w:tcPr>
          <w:p w14:paraId="4BF5AA27"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99.79</w:t>
            </w:r>
          </w:p>
        </w:tc>
        <w:tc>
          <w:tcPr>
            <w:tcW w:w="1499" w:type="dxa"/>
          </w:tcPr>
          <w:p w14:paraId="2A8D6553"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100</w:t>
            </w:r>
          </w:p>
        </w:tc>
      </w:tr>
      <w:tr w:rsidR="005856AD" w:rsidRPr="002E6DBA" w14:paraId="10929932" w14:textId="77777777" w:rsidTr="00D8136D">
        <w:trPr>
          <w:jc w:val="center"/>
        </w:trPr>
        <w:tc>
          <w:tcPr>
            <w:tcW w:w="2626" w:type="dxa"/>
            <w:gridSpan w:val="3"/>
            <w:tcBorders>
              <w:top w:val="single" w:sz="4" w:space="0" w:color="auto"/>
            </w:tcBorders>
          </w:tcPr>
          <w:p w14:paraId="571F09E0"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100</w:t>
            </w:r>
          </w:p>
        </w:tc>
        <w:tc>
          <w:tcPr>
            <w:tcW w:w="2262" w:type="dxa"/>
            <w:gridSpan w:val="3"/>
            <w:tcBorders>
              <w:top w:val="single" w:sz="4" w:space="0" w:color="auto"/>
            </w:tcBorders>
          </w:tcPr>
          <w:p w14:paraId="5CCAA7E5"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100</w:t>
            </w:r>
          </w:p>
        </w:tc>
        <w:tc>
          <w:tcPr>
            <w:tcW w:w="3187" w:type="dxa"/>
            <w:gridSpan w:val="3"/>
          </w:tcPr>
          <w:p w14:paraId="6597EE01"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99.86</w:t>
            </w:r>
          </w:p>
        </w:tc>
      </w:tr>
      <w:tr w:rsidR="005856AD" w:rsidRPr="002E6DBA" w14:paraId="5956EAA4" w14:textId="77777777" w:rsidTr="00D8136D">
        <w:trPr>
          <w:trHeight w:val="412"/>
          <w:jc w:val="center"/>
        </w:trPr>
        <w:tc>
          <w:tcPr>
            <w:tcW w:w="8075" w:type="dxa"/>
            <w:gridSpan w:val="9"/>
            <w:tcBorders>
              <w:bottom w:val="single" w:sz="4" w:space="0" w:color="auto"/>
            </w:tcBorders>
          </w:tcPr>
          <w:p w14:paraId="630BDE2A" w14:textId="77777777" w:rsidR="005856AD" w:rsidRPr="00AB0DF6" w:rsidRDefault="005856AD" w:rsidP="00340DF1">
            <w:pPr>
              <w:spacing w:line="360" w:lineRule="auto"/>
              <w:jc w:val="center"/>
              <w:rPr>
                <w:rFonts w:eastAsia="Calibri"/>
                <w:color w:val="4C4747"/>
                <w:lang w:val="es-DO"/>
              </w:rPr>
            </w:pPr>
            <w:r w:rsidRPr="00AB0DF6">
              <w:rPr>
                <w:rFonts w:eastAsia="Calibri"/>
                <w:color w:val="4C4747"/>
                <w:lang w:val="es-DO"/>
              </w:rPr>
              <w:t>99.9</w:t>
            </w:r>
          </w:p>
        </w:tc>
      </w:tr>
      <w:tr w:rsidR="005856AD" w:rsidRPr="00116DFC" w14:paraId="6D5E9C78" w14:textId="77777777" w:rsidTr="00D8136D">
        <w:trPr>
          <w:trHeight w:val="412"/>
          <w:jc w:val="center"/>
        </w:trPr>
        <w:tc>
          <w:tcPr>
            <w:tcW w:w="8075" w:type="dxa"/>
            <w:gridSpan w:val="9"/>
            <w:tcBorders>
              <w:top w:val="single" w:sz="4" w:space="0" w:color="auto"/>
              <w:left w:val="nil"/>
              <w:bottom w:val="nil"/>
              <w:right w:val="nil"/>
            </w:tcBorders>
          </w:tcPr>
          <w:p w14:paraId="7674794E" w14:textId="77777777" w:rsidR="005856AD" w:rsidRPr="005856AD" w:rsidRDefault="005856AD" w:rsidP="00340DF1">
            <w:pPr>
              <w:spacing w:line="360" w:lineRule="auto"/>
              <w:rPr>
                <w:rFonts w:ascii="Adelle Sans EXT" w:eastAsia="Cambria" w:hAnsi="Adelle Sans EXT"/>
                <w:bCs/>
                <w:i/>
                <w:iCs/>
                <w:sz w:val="18"/>
                <w:szCs w:val="18"/>
                <w:lang w:val="es-DO"/>
              </w:rPr>
            </w:pPr>
            <w:r w:rsidRPr="005856AD">
              <w:rPr>
                <w:i/>
                <w:iCs/>
                <w:sz w:val="18"/>
                <w:szCs w:val="18"/>
                <w:lang w:val="es-DO"/>
              </w:rPr>
              <w:t>Fuente: Oficina de libre acceso a la información</w:t>
            </w:r>
          </w:p>
        </w:tc>
      </w:tr>
    </w:tbl>
    <w:p w14:paraId="0179FFE2" w14:textId="77777777" w:rsidR="00B909FE" w:rsidRDefault="00B909FE" w:rsidP="00340DF1">
      <w:pPr>
        <w:spacing w:line="360" w:lineRule="auto"/>
        <w:jc w:val="both"/>
        <w:rPr>
          <w:rFonts w:eastAsia="Calibri"/>
          <w:noProof/>
          <w:color w:val="4C4747"/>
          <w:lang w:val="es-DO"/>
        </w:rPr>
      </w:pPr>
    </w:p>
    <w:p w14:paraId="64FB63DC" w14:textId="77777777" w:rsidR="00673A00" w:rsidRDefault="00673A00" w:rsidP="00340DF1">
      <w:pPr>
        <w:spacing w:line="360" w:lineRule="auto"/>
        <w:jc w:val="both"/>
        <w:rPr>
          <w:rFonts w:eastAsia="Calibri"/>
          <w:noProof/>
          <w:color w:val="4C4747"/>
          <w:lang w:val="es-DO"/>
        </w:rPr>
      </w:pPr>
    </w:p>
    <w:p w14:paraId="071E8913" w14:textId="77777777" w:rsidR="00673A00" w:rsidRDefault="00673A00" w:rsidP="00340DF1">
      <w:pPr>
        <w:spacing w:line="360" w:lineRule="auto"/>
        <w:jc w:val="both"/>
        <w:rPr>
          <w:rFonts w:eastAsia="Calibri"/>
          <w:noProof/>
          <w:color w:val="4C4747"/>
          <w:lang w:val="es-DO"/>
        </w:rPr>
      </w:pPr>
    </w:p>
    <w:p w14:paraId="50F94660" w14:textId="77777777" w:rsidR="00673A00" w:rsidRDefault="00673A00" w:rsidP="00340DF1">
      <w:pPr>
        <w:spacing w:line="360" w:lineRule="auto"/>
        <w:jc w:val="both"/>
        <w:rPr>
          <w:rFonts w:eastAsia="Calibri"/>
          <w:noProof/>
          <w:color w:val="4C4747"/>
          <w:lang w:val="es-DO"/>
        </w:rPr>
      </w:pPr>
    </w:p>
    <w:p w14:paraId="69BE6CD5" w14:textId="77777777" w:rsidR="00673A00" w:rsidRDefault="00673A00" w:rsidP="00340DF1">
      <w:pPr>
        <w:spacing w:line="360" w:lineRule="auto"/>
        <w:jc w:val="both"/>
        <w:rPr>
          <w:rFonts w:eastAsia="Calibri"/>
          <w:noProof/>
          <w:color w:val="4C4747"/>
          <w:lang w:val="es-DO"/>
        </w:rPr>
      </w:pPr>
    </w:p>
    <w:p w14:paraId="3602179F" w14:textId="77777777" w:rsidR="00673A00" w:rsidRDefault="00673A00" w:rsidP="00340DF1">
      <w:pPr>
        <w:spacing w:line="360" w:lineRule="auto"/>
        <w:jc w:val="both"/>
        <w:rPr>
          <w:rFonts w:eastAsia="Calibri"/>
          <w:noProof/>
          <w:color w:val="4C4747"/>
          <w:lang w:val="es-DO"/>
        </w:rPr>
      </w:pPr>
    </w:p>
    <w:p w14:paraId="506603B1" w14:textId="77777777" w:rsidR="00673A00" w:rsidRDefault="00673A00" w:rsidP="00340DF1">
      <w:pPr>
        <w:spacing w:line="360" w:lineRule="auto"/>
        <w:jc w:val="both"/>
        <w:rPr>
          <w:rFonts w:eastAsia="Calibri"/>
          <w:noProof/>
          <w:color w:val="4C4747"/>
          <w:lang w:val="es-DO"/>
        </w:rPr>
      </w:pPr>
    </w:p>
    <w:p w14:paraId="190595B5" w14:textId="77777777" w:rsidR="00673A00" w:rsidRDefault="00673A00" w:rsidP="00340DF1">
      <w:pPr>
        <w:spacing w:line="360" w:lineRule="auto"/>
        <w:jc w:val="both"/>
        <w:rPr>
          <w:rFonts w:eastAsia="Calibri"/>
          <w:noProof/>
          <w:color w:val="4C4747"/>
          <w:lang w:val="es-DO"/>
        </w:rPr>
      </w:pPr>
    </w:p>
    <w:p w14:paraId="71430F8D" w14:textId="77777777" w:rsidR="00673A00" w:rsidRDefault="00673A00" w:rsidP="00340DF1">
      <w:pPr>
        <w:spacing w:line="360" w:lineRule="auto"/>
        <w:jc w:val="both"/>
        <w:rPr>
          <w:rFonts w:eastAsia="Calibri"/>
          <w:noProof/>
          <w:color w:val="4C4747"/>
          <w:lang w:val="es-DO"/>
        </w:rPr>
      </w:pPr>
    </w:p>
    <w:p w14:paraId="3A4CB0BB" w14:textId="77777777" w:rsidR="00673A00" w:rsidRDefault="00673A00" w:rsidP="00340DF1">
      <w:pPr>
        <w:spacing w:line="360" w:lineRule="auto"/>
        <w:jc w:val="both"/>
        <w:rPr>
          <w:rFonts w:eastAsia="Calibri"/>
          <w:noProof/>
          <w:color w:val="4C4747"/>
          <w:lang w:val="es-DO"/>
        </w:rPr>
      </w:pPr>
    </w:p>
    <w:p w14:paraId="61B05F93" w14:textId="77777777" w:rsidR="00673A00" w:rsidRDefault="00673A00" w:rsidP="00340DF1">
      <w:pPr>
        <w:spacing w:line="360" w:lineRule="auto"/>
        <w:jc w:val="both"/>
        <w:rPr>
          <w:rFonts w:eastAsia="Calibri"/>
          <w:noProof/>
          <w:color w:val="4C4747"/>
          <w:lang w:val="es-DO"/>
        </w:rPr>
      </w:pPr>
    </w:p>
    <w:p w14:paraId="43DB5E78" w14:textId="77777777" w:rsidR="00673A00" w:rsidRDefault="00673A00" w:rsidP="00340DF1">
      <w:pPr>
        <w:spacing w:line="360" w:lineRule="auto"/>
        <w:jc w:val="both"/>
        <w:rPr>
          <w:rFonts w:eastAsia="Calibri"/>
          <w:noProof/>
          <w:color w:val="4C4747"/>
          <w:lang w:val="es-DO"/>
        </w:rPr>
      </w:pPr>
    </w:p>
    <w:p w14:paraId="6BB82BC9" w14:textId="77777777" w:rsidR="00673A00" w:rsidRDefault="00673A00" w:rsidP="00340DF1">
      <w:pPr>
        <w:spacing w:line="360" w:lineRule="auto"/>
        <w:jc w:val="both"/>
        <w:rPr>
          <w:rFonts w:eastAsia="Calibri"/>
          <w:noProof/>
          <w:color w:val="4C4747"/>
          <w:lang w:val="es-DO"/>
        </w:rPr>
      </w:pPr>
    </w:p>
    <w:p w14:paraId="33285F04" w14:textId="77777777" w:rsidR="00673A00" w:rsidRDefault="00673A00" w:rsidP="00340DF1">
      <w:pPr>
        <w:spacing w:line="360" w:lineRule="auto"/>
        <w:jc w:val="both"/>
        <w:rPr>
          <w:rFonts w:eastAsia="Calibri"/>
          <w:noProof/>
          <w:color w:val="4C4747"/>
          <w:lang w:val="es-DO"/>
        </w:rPr>
      </w:pPr>
    </w:p>
    <w:p w14:paraId="5CDE59A1" w14:textId="77777777" w:rsidR="00673A00" w:rsidRDefault="00673A00" w:rsidP="00340DF1">
      <w:pPr>
        <w:spacing w:line="360" w:lineRule="auto"/>
        <w:jc w:val="both"/>
        <w:rPr>
          <w:rFonts w:eastAsia="Calibri"/>
          <w:noProof/>
          <w:color w:val="4C4747"/>
          <w:lang w:val="es-DO"/>
        </w:rPr>
      </w:pPr>
    </w:p>
    <w:p w14:paraId="117A6B1C" w14:textId="77777777" w:rsidR="00673A00" w:rsidRDefault="00673A00" w:rsidP="00340DF1">
      <w:pPr>
        <w:spacing w:line="360" w:lineRule="auto"/>
        <w:jc w:val="both"/>
        <w:rPr>
          <w:rFonts w:eastAsia="Calibri"/>
          <w:noProof/>
          <w:color w:val="4C4747"/>
          <w:lang w:val="es-DO"/>
        </w:rPr>
      </w:pPr>
    </w:p>
    <w:p w14:paraId="2D4D642F" w14:textId="77777777" w:rsidR="00673A00" w:rsidRDefault="00673A00" w:rsidP="00340DF1">
      <w:pPr>
        <w:spacing w:line="360" w:lineRule="auto"/>
        <w:jc w:val="both"/>
        <w:rPr>
          <w:rFonts w:eastAsia="Calibri"/>
          <w:noProof/>
          <w:color w:val="4C4747"/>
          <w:lang w:val="es-DO"/>
        </w:rPr>
      </w:pPr>
    </w:p>
    <w:p w14:paraId="06A827E3" w14:textId="77777777" w:rsidR="00485B71" w:rsidRPr="0051332F" w:rsidRDefault="00485B71" w:rsidP="00340DF1">
      <w:pPr>
        <w:pStyle w:val="Ttulo1"/>
        <w:rPr>
          <w:rFonts w:cs="Times New Roman"/>
          <w:color w:val="4C4747"/>
          <w:lang w:val="es-DO"/>
        </w:rPr>
      </w:pPr>
      <w:bookmarkStart w:id="20" w:name="_Toc217035441"/>
      <w:r w:rsidRPr="0051332F">
        <w:rPr>
          <w:rFonts w:cs="Times New Roman"/>
          <w:color w:val="4C4747"/>
          <w:lang w:val="es-DO"/>
        </w:rPr>
        <w:lastRenderedPageBreak/>
        <w:t>PROYECCIONES AL PRÓXIMO AÑO</w:t>
      </w:r>
      <w:bookmarkEnd w:id="20"/>
    </w:p>
    <w:p w14:paraId="7C0ED659" w14:textId="77777777" w:rsidR="00485B71" w:rsidRPr="0051332F" w:rsidRDefault="00485B71" w:rsidP="00340DF1">
      <w:pPr>
        <w:spacing w:line="360" w:lineRule="auto"/>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8258"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31274" id="Straight Connector 10"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6CCAC499" w:rsidR="00485B71" w:rsidRPr="0051332F" w:rsidRDefault="00485B71" w:rsidP="00340DF1">
      <w:pPr>
        <w:spacing w:line="360" w:lineRule="auto"/>
        <w:jc w:val="center"/>
        <w:rPr>
          <w:rFonts w:eastAsia="Calibri"/>
          <w:color w:val="4C4747"/>
          <w:szCs w:val="36"/>
          <w:lang w:val="es-DO"/>
        </w:rPr>
      </w:pPr>
      <w:r w:rsidRPr="0051332F">
        <w:rPr>
          <w:rFonts w:eastAsia="Calibri"/>
          <w:color w:val="4C4747"/>
          <w:szCs w:val="36"/>
          <w:lang w:val="es-DO"/>
        </w:rPr>
        <w:t xml:space="preserve">Memoria </w:t>
      </w:r>
      <w:r w:rsidR="009547F0" w:rsidRPr="0051332F">
        <w:rPr>
          <w:rFonts w:eastAsia="Calibri"/>
          <w:color w:val="4C4747"/>
          <w:szCs w:val="36"/>
          <w:lang w:val="es-DO"/>
        </w:rPr>
        <w:t>I</w:t>
      </w:r>
      <w:r w:rsidRPr="0051332F">
        <w:rPr>
          <w:rFonts w:eastAsia="Calibri"/>
          <w:color w:val="4C4747"/>
          <w:szCs w:val="36"/>
          <w:lang w:val="es-DO"/>
        </w:rPr>
        <w:t xml:space="preserve">nstitucional </w:t>
      </w:r>
      <w:r w:rsidR="007471AC" w:rsidRPr="0051332F">
        <w:rPr>
          <w:rFonts w:eastAsia="Calibri"/>
          <w:color w:val="4C4747"/>
          <w:szCs w:val="36"/>
          <w:lang w:val="es-DO"/>
        </w:rPr>
        <w:t>202</w:t>
      </w:r>
      <w:r w:rsidR="0051332F">
        <w:rPr>
          <w:rFonts w:eastAsia="Calibri"/>
          <w:color w:val="4C4747"/>
          <w:szCs w:val="36"/>
          <w:lang w:val="es-DO"/>
        </w:rPr>
        <w:t>5</w:t>
      </w:r>
    </w:p>
    <w:p w14:paraId="63AA2B9D" w14:textId="77777777" w:rsidR="00485B71" w:rsidRPr="0051332F" w:rsidRDefault="00485B71" w:rsidP="00340DF1">
      <w:pPr>
        <w:spacing w:line="360" w:lineRule="auto"/>
        <w:jc w:val="both"/>
        <w:rPr>
          <w:rFonts w:eastAsia="Calibri"/>
          <w:color w:val="4C4747"/>
          <w:lang w:val="es-DO"/>
        </w:rPr>
      </w:pPr>
    </w:p>
    <w:p w14:paraId="3B231758" w14:textId="250ED4B2" w:rsidR="00E3369D" w:rsidRPr="00E3369D" w:rsidRDefault="00E3369D" w:rsidP="00340DF1">
      <w:pPr>
        <w:spacing w:line="360" w:lineRule="auto"/>
        <w:jc w:val="both"/>
        <w:rPr>
          <w:rFonts w:eastAsia="Calibri"/>
          <w:noProof/>
          <w:color w:val="4C4747"/>
          <w:lang w:val="es-DO"/>
        </w:rPr>
      </w:pPr>
      <w:r w:rsidRPr="00E3369D">
        <w:rPr>
          <w:rFonts w:eastAsia="Calibri"/>
          <w:noProof/>
          <w:color w:val="4C4747"/>
          <w:lang w:val="es-DO"/>
        </w:rPr>
        <w:t xml:space="preserve">A continuación, se presenta la cartera de </w:t>
      </w:r>
      <w:r w:rsidR="00DD3B00">
        <w:rPr>
          <w:rFonts w:eastAsia="Calibri"/>
          <w:noProof/>
          <w:color w:val="4C4747"/>
          <w:lang w:val="es-DO"/>
        </w:rPr>
        <w:t>producción prioritaria</w:t>
      </w:r>
      <w:r w:rsidRPr="00E3369D">
        <w:rPr>
          <w:rFonts w:eastAsia="Calibri"/>
          <w:noProof/>
          <w:color w:val="4C4747"/>
          <w:lang w:val="es-DO"/>
        </w:rPr>
        <w:t xml:space="preserve"> para el año 202</w:t>
      </w:r>
      <w:r w:rsidR="00C26579">
        <w:rPr>
          <w:rFonts w:eastAsia="Calibri"/>
          <w:noProof/>
          <w:color w:val="4C4747"/>
          <w:lang w:val="es-DO"/>
        </w:rPr>
        <w:t>6</w:t>
      </w:r>
      <w:r w:rsidRPr="00E3369D">
        <w:rPr>
          <w:rFonts w:eastAsia="Calibri"/>
          <w:noProof/>
          <w:color w:val="4C4747"/>
          <w:lang w:val="es-DO"/>
        </w:rPr>
        <w:t xml:space="preserve">, definida por </w:t>
      </w:r>
      <w:r w:rsidR="00CA3DFA">
        <w:rPr>
          <w:rFonts w:eastAsia="Calibri"/>
          <w:noProof/>
          <w:color w:val="4C4747"/>
          <w:lang w:val="es-DO"/>
        </w:rPr>
        <w:t xml:space="preserve">ProCompetencia </w:t>
      </w:r>
      <w:r w:rsidRPr="00E3369D">
        <w:rPr>
          <w:rFonts w:eastAsia="Calibri"/>
          <w:noProof/>
          <w:color w:val="4C4747"/>
          <w:lang w:val="es-DO"/>
        </w:rPr>
        <w:t>como parte de su agenda estratégica de gestión. Estas proyecciones constituyen hitos clave para orientar la ejecución de iniciativas institucionales de alto impacto.</w:t>
      </w:r>
    </w:p>
    <w:p w14:paraId="22E90BA9" w14:textId="77777777" w:rsidR="00DD3B00" w:rsidRDefault="00E3369D" w:rsidP="00340DF1">
      <w:pPr>
        <w:spacing w:line="360" w:lineRule="auto"/>
        <w:jc w:val="both"/>
        <w:rPr>
          <w:rFonts w:eastAsia="Calibri"/>
          <w:noProof/>
          <w:color w:val="4C4747"/>
          <w:lang w:val="es-DO"/>
        </w:rPr>
      </w:pPr>
      <w:r w:rsidRPr="00E3369D">
        <w:rPr>
          <w:rFonts w:eastAsia="Calibri"/>
          <w:noProof/>
          <w:color w:val="4C4747"/>
          <w:lang w:val="es-DO"/>
        </w:rPr>
        <w:t>Con esta planificación, la institución reafirma su compromiso de cumplir las metas trazadas, optimizar la asignación de recursos y capitalizar las oportunidades que permitirán fortalecer el marco de competencia en el país.</w:t>
      </w:r>
    </w:p>
    <w:p w14:paraId="4C43542C" w14:textId="32C1656C" w:rsidR="00E3369D" w:rsidRPr="00E3369D" w:rsidRDefault="00E3369D" w:rsidP="00340DF1">
      <w:pPr>
        <w:spacing w:line="360" w:lineRule="auto"/>
        <w:jc w:val="both"/>
        <w:rPr>
          <w:rFonts w:eastAsia="Calibri"/>
          <w:noProof/>
          <w:color w:val="4C4747"/>
          <w:lang w:val="es-DO"/>
        </w:rPr>
      </w:pPr>
      <w:r w:rsidRPr="00E3369D">
        <w:rPr>
          <w:rFonts w:eastAsia="Calibri"/>
          <w:noProof/>
          <w:color w:val="4C4747"/>
          <w:lang w:val="es-DO"/>
        </w:rPr>
        <w:t>Cada proyección ha sido estructurada bajo criterios de pertinencia, viabilidad y alineación estratégica, garantizando una gestión de proyectos orientada a resultados y al avance sostenido del sistema nacional de competencia.</w:t>
      </w:r>
    </w:p>
    <w:p w14:paraId="03B1ED91" w14:textId="6F11D6A4" w:rsidR="00A617C5" w:rsidRPr="00A617C5" w:rsidRDefault="00A617C5" w:rsidP="00340DF1">
      <w:pPr>
        <w:pStyle w:val="Prrafodelista"/>
        <w:numPr>
          <w:ilvl w:val="0"/>
          <w:numId w:val="7"/>
        </w:numPr>
        <w:spacing w:line="360" w:lineRule="auto"/>
        <w:jc w:val="both"/>
        <w:rPr>
          <w:rFonts w:eastAsia="Calibri"/>
          <w:color w:val="4C4747"/>
          <w:lang w:val="es-DO"/>
        </w:rPr>
      </w:pPr>
      <w:r>
        <w:rPr>
          <w:rFonts w:eastAsia="Calibri"/>
          <w:color w:val="4C4747"/>
          <w:lang w:val="es-DO"/>
        </w:rPr>
        <w:t>Implementación</w:t>
      </w:r>
      <w:r w:rsidRPr="00A617C5">
        <w:rPr>
          <w:rFonts w:eastAsia="Calibri"/>
          <w:color w:val="4C4747"/>
          <w:lang w:val="es-DO"/>
        </w:rPr>
        <w:t xml:space="preserve"> de reforma de Ley General de Defensa de la Competencia </w:t>
      </w:r>
    </w:p>
    <w:p w14:paraId="5BF38880" w14:textId="145D5F3C" w:rsidR="00A617C5" w:rsidRPr="00A617C5" w:rsidRDefault="00A617C5" w:rsidP="00340DF1">
      <w:pPr>
        <w:pStyle w:val="Prrafodelista"/>
        <w:numPr>
          <w:ilvl w:val="0"/>
          <w:numId w:val="7"/>
        </w:numPr>
        <w:spacing w:line="360" w:lineRule="auto"/>
        <w:jc w:val="both"/>
        <w:rPr>
          <w:rFonts w:eastAsia="Calibri"/>
          <w:color w:val="4C4747"/>
          <w:lang w:val="es-DO"/>
        </w:rPr>
      </w:pPr>
      <w:r w:rsidRPr="00A617C5">
        <w:rPr>
          <w:rFonts w:eastAsia="Calibri"/>
          <w:color w:val="4C4747"/>
          <w:lang w:val="es-DO"/>
        </w:rPr>
        <w:t>Estrategia de aplicación de la Política Nacional de Competencia implementada</w:t>
      </w:r>
    </w:p>
    <w:p w14:paraId="28C87284" w14:textId="1A64328A" w:rsidR="00A617C5" w:rsidRDefault="00A617C5" w:rsidP="00340DF1">
      <w:pPr>
        <w:pStyle w:val="Prrafodelista"/>
        <w:numPr>
          <w:ilvl w:val="0"/>
          <w:numId w:val="7"/>
        </w:numPr>
        <w:spacing w:line="360" w:lineRule="auto"/>
        <w:jc w:val="both"/>
        <w:rPr>
          <w:rFonts w:eastAsia="Calibri"/>
          <w:color w:val="4C4747"/>
          <w:lang w:val="pt-BR"/>
        </w:rPr>
      </w:pPr>
      <w:r w:rsidRPr="00240F61">
        <w:rPr>
          <w:rFonts w:eastAsia="Calibri"/>
          <w:color w:val="4C4747"/>
          <w:lang w:val="pt-BR"/>
        </w:rPr>
        <w:t xml:space="preserve">Política Nacional de Competencia Incorporada </w:t>
      </w:r>
    </w:p>
    <w:p w14:paraId="64995611" w14:textId="4CBDF84D" w:rsidR="006B3C58" w:rsidRPr="006B3C58" w:rsidRDefault="00160BFD" w:rsidP="00340DF1">
      <w:pPr>
        <w:pStyle w:val="Prrafodelista"/>
        <w:numPr>
          <w:ilvl w:val="0"/>
          <w:numId w:val="7"/>
        </w:numPr>
        <w:spacing w:line="360" w:lineRule="auto"/>
        <w:jc w:val="both"/>
        <w:rPr>
          <w:rFonts w:eastAsia="Calibri"/>
          <w:color w:val="4C4747"/>
          <w:lang w:val="es-DO"/>
        </w:rPr>
      </w:pPr>
      <w:r>
        <w:rPr>
          <w:rFonts w:eastAsia="Calibri"/>
          <w:color w:val="4C4747"/>
          <w:lang w:val="es-DO"/>
        </w:rPr>
        <w:t>Ejecución proyecto</w:t>
      </w:r>
      <w:r w:rsidR="006B3C58" w:rsidRPr="006B3C58">
        <w:rPr>
          <w:rFonts w:eastAsia="Calibri"/>
          <w:color w:val="4C4747"/>
          <w:lang w:val="es-DO"/>
        </w:rPr>
        <w:t xml:space="preserve"> Presidencia Pro Tempore del RECAC para la Coordinación Regional de Políticas de Competencia</w:t>
      </w:r>
    </w:p>
    <w:p w14:paraId="2CDDE787" w14:textId="77777777" w:rsidR="00A617C5" w:rsidRPr="002E6DBA" w:rsidRDefault="00A617C5" w:rsidP="00340DF1">
      <w:pPr>
        <w:pStyle w:val="Prrafodelista"/>
        <w:numPr>
          <w:ilvl w:val="0"/>
          <w:numId w:val="7"/>
        </w:numPr>
        <w:spacing w:line="360" w:lineRule="auto"/>
        <w:jc w:val="both"/>
        <w:rPr>
          <w:rFonts w:eastAsia="Calibri"/>
          <w:color w:val="4C4747"/>
        </w:rPr>
      </w:pPr>
      <w:proofErr w:type="spellStart"/>
      <w:r w:rsidRPr="002E6DBA">
        <w:rPr>
          <w:rFonts w:eastAsia="Calibri"/>
          <w:color w:val="4C4747"/>
        </w:rPr>
        <w:t>Anuario</w:t>
      </w:r>
      <w:proofErr w:type="spellEnd"/>
      <w:r w:rsidRPr="002E6DBA">
        <w:rPr>
          <w:rFonts w:eastAsia="Calibri"/>
          <w:color w:val="4C4747"/>
        </w:rPr>
        <w:t xml:space="preserve"> de </w:t>
      </w:r>
      <w:proofErr w:type="spellStart"/>
      <w:r w:rsidRPr="002E6DBA">
        <w:rPr>
          <w:rFonts w:eastAsia="Calibri"/>
          <w:color w:val="4C4747"/>
        </w:rPr>
        <w:t>Competencia</w:t>
      </w:r>
      <w:proofErr w:type="spellEnd"/>
      <w:r w:rsidRPr="002E6DBA">
        <w:rPr>
          <w:rFonts w:eastAsia="Calibri"/>
          <w:color w:val="4C4747"/>
        </w:rPr>
        <w:t xml:space="preserve"> </w:t>
      </w:r>
    </w:p>
    <w:p w14:paraId="5807FB03" w14:textId="77777777" w:rsidR="00A617C5" w:rsidRPr="00265B96" w:rsidRDefault="00A617C5" w:rsidP="00340DF1">
      <w:pPr>
        <w:pStyle w:val="Prrafodelista"/>
        <w:numPr>
          <w:ilvl w:val="0"/>
          <w:numId w:val="7"/>
        </w:numPr>
        <w:spacing w:line="360" w:lineRule="auto"/>
        <w:jc w:val="both"/>
        <w:rPr>
          <w:rFonts w:eastAsia="Calibri"/>
          <w:color w:val="4C4747"/>
          <w:lang w:val="es-DO"/>
        </w:rPr>
      </w:pPr>
      <w:r w:rsidRPr="00265B96">
        <w:rPr>
          <w:rFonts w:eastAsia="Calibri"/>
          <w:color w:val="4C4747"/>
          <w:lang w:val="es-DO"/>
        </w:rPr>
        <w:t xml:space="preserve">Revista semestral de Derecho de la Competencia </w:t>
      </w:r>
    </w:p>
    <w:p w14:paraId="45357B2E" w14:textId="77777777" w:rsidR="00A617C5" w:rsidRPr="002E6DBA" w:rsidRDefault="00A617C5" w:rsidP="00340DF1">
      <w:pPr>
        <w:pStyle w:val="Prrafodelista"/>
        <w:numPr>
          <w:ilvl w:val="0"/>
          <w:numId w:val="7"/>
        </w:numPr>
        <w:spacing w:line="360" w:lineRule="auto"/>
        <w:jc w:val="both"/>
        <w:rPr>
          <w:rFonts w:eastAsia="Calibri"/>
          <w:color w:val="4C4747"/>
        </w:rPr>
      </w:pPr>
      <w:r w:rsidRPr="002E6DBA">
        <w:rPr>
          <w:rFonts w:eastAsia="Calibri"/>
          <w:color w:val="4C4747"/>
        </w:rPr>
        <w:t xml:space="preserve">Semana de la </w:t>
      </w:r>
      <w:proofErr w:type="spellStart"/>
      <w:r w:rsidRPr="002E6DBA">
        <w:rPr>
          <w:rFonts w:eastAsia="Calibri"/>
          <w:color w:val="4C4747"/>
        </w:rPr>
        <w:t>competencia</w:t>
      </w:r>
      <w:proofErr w:type="spellEnd"/>
      <w:r w:rsidRPr="002E6DBA">
        <w:rPr>
          <w:rFonts w:eastAsia="Calibri"/>
          <w:color w:val="4C4747"/>
        </w:rPr>
        <w:t xml:space="preserve"> </w:t>
      </w:r>
    </w:p>
    <w:p w14:paraId="2FC36C6D" w14:textId="6A84AE3D" w:rsidR="00A617C5" w:rsidRPr="00A617C5" w:rsidRDefault="00A617C5" w:rsidP="00340DF1">
      <w:pPr>
        <w:pStyle w:val="Prrafodelista"/>
        <w:numPr>
          <w:ilvl w:val="0"/>
          <w:numId w:val="7"/>
        </w:numPr>
        <w:spacing w:line="360" w:lineRule="auto"/>
        <w:jc w:val="both"/>
        <w:rPr>
          <w:rFonts w:eastAsia="Calibri"/>
          <w:color w:val="4C4747"/>
          <w:lang w:val="es-DO"/>
        </w:rPr>
      </w:pPr>
      <w:r w:rsidRPr="00A617C5">
        <w:rPr>
          <w:rFonts w:eastAsia="Calibri"/>
          <w:color w:val="4C4747"/>
          <w:lang w:val="es-DO"/>
        </w:rPr>
        <w:t>Capacitaciones en materia de la libre competencia</w:t>
      </w:r>
    </w:p>
    <w:p w14:paraId="77236DD5" w14:textId="7F1D43BB" w:rsidR="00A617C5" w:rsidRPr="00A617C5" w:rsidRDefault="00A617C5" w:rsidP="00340DF1">
      <w:pPr>
        <w:pStyle w:val="Prrafodelista"/>
        <w:numPr>
          <w:ilvl w:val="0"/>
          <w:numId w:val="7"/>
        </w:numPr>
        <w:spacing w:line="360" w:lineRule="auto"/>
        <w:jc w:val="both"/>
        <w:rPr>
          <w:rFonts w:eastAsia="Calibri"/>
          <w:color w:val="4C4747"/>
          <w:lang w:val="es-DO"/>
        </w:rPr>
      </w:pPr>
      <w:r w:rsidRPr="00A617C5">
        <w:rPr>
          <w:rFonts w:eastAsia="Calibri"/>
          <w:color w:val="4C4747"/>
          <w:lang w:val="es-DO"/>
        </w:rPr>
        <w:lastRenderedPageBreak/>
        <w:t>Concurso para la promoción de la libre y leal competencia</w:t>
      </w:r>
    </w:p>
    <w:p w14:paraId="25397539" w14:textId="6A8780BF" w:rsidR="00A617C5" w:rsidRPr="002E6DBA" w:rsidRDefault="00A617C5" w:rsidP="00340DF1">
      <w:pPr>
        <w:pStyle w:val="Prrafodelista"/>
        <w:numPr>
          <w:ilvl w:val="0"/>
          <w:numId w:val="7"/>
        </w:numPr>
        <w:spacing w:line="360" w:lineRule="auto"/>
        <w:jc w:val="both"/>
        <w:rPr>
          <w:rFonts w:eastAsia="Calibri"/>
          <w:color w:val="4C4747"/>
        </w:rPr>
      </w:pPr>
      <w:proofErr w:type="spellStart"/>
      <w:r w:rsidRPr="002E6DBA">
        <w:rPr>
          <w:rFonts w:eastAsia="Calibri"/>
          <w:color w:val="4C4747"/>
        </w:rPr>
        <w:t>Recomenda</w:t>
      </w:r>
      <w:r>
        <w:rPr>
          <w:rFonts w:eastAsia="Calibri"/>
          <w:color w:val="4C4747"/>
        </w:rPr>
        <w:t>ciones</w:t>
      </w:r>
      <w:proofErr w:type="spellEnd"/>
      <w:r>
        <w:rPr>
          <w:rFonts w:eastAsia="Calibri"/>
          <w:color w:val="4C4747"/>
        </w:rPr>
        <w:t xml:space="preserve"> </w:t>
      </w:r>
      <w:r w:rsidRPr="002E6DBA">
        <w:rPr>
          <w:rFonts w:eastAsia="Calibri"/>
          <w:color w:val="4C4747"/>
        </w:rPr>
        <w:t xml:space="preserve">no </w:t>
      </w:r>
      <w:proofErr w:type="spellStart"/>
      <w:r w:rsidRPr="002E6DBA">
        <w:rPr>
          <w:rFonts w:eastAsia="Calibri"/>
          <w:color w:val="4C4747"/>
        </w:rPr>
        <w:t>vinculantes</w:t>
      </w:r>
      <w:proofErr w:type="spellEnd"/>
      <w:r w:rsidRPr="002E6DBA">
        <w:rPr>
          <w:rFonts w:eastAsia="Calibri"/>
          <w:color w:val="4C4747"/>
        </w:rPr>
        <w:t xml:space="preserve"> </w:t>
      </w:r>
    </w:p>
    <w:p w14:paraId="2852D477" w14:textId="77777777" w:rsidR="00A617C5" w:rsidRPr="002E6DBA" w:rsidRDefault="00A617C5" w:rsidP="00340DF1">
      <w:pPr>
        <w:pStyle w:val="Prrafodelista"/>
        <w:numPr>
          <w:ilvl w:val="0"/>
          <w:numId w:val="7"/>
        </w:numPr>
        <w:spacing w:line="360" w:lineRule="auto"/>
        <w:jc w:val="both"/>
        <w:rPr>
          <w:rFonts w:eastAsia="Calibri"/>
          <w:color w:val="4C4747"/>
        </w:rPr>
      </w:pPr>
      <w:r w:rsidRPr="002E6DBA">
        <w:rPr>
          <w:rFonts w:eastAsia="Calibri"/>
          <w:color w:val="4C4747"/>
        </w:rPr>
        <w:t xml:space="preserve">Moot de </w:t>
      </w:r>
      <w:proofErr w:type="spellStart"/>
      <w:r w:rsidRPr="002E6DBA">
        <w:rPr>
          <w:rFonts w:eastAsia="Calibri"/>
          <w:color w:val="4C4747"/>
        </w:rPr>
        <w:t>Competencia</w:t>
      </w:r>
      <w:proofErr w:type="spellEnd"/>
    </w:p>
    <w:p w14:paraId="0CAD9B05" w14:textId="77777777" w:rsidR="00A617C5" w:rsidRPr="00A617C5" w:rsidRDefault="00A617C5" w:rsidP="00340DF1">
      <w:pPr>
        <w:pStyle w:val="Prrafodelista"/>
        <w:numPr>
          <w:ilvl w:val="0"/>
          <w:numId w:val="7"/>
        </w:numPr>
        <w:spacing w:line="360" w:lineRule="auto"/>
        <w:jc w:val="both"/>
        <w:rPr>
          <w:rFonts w:eastAsia="Calibri"/>
          <w:color w:val="4C4747"/>
          <w:lang w:val="es-DO"/>
        </w:rPr>
      </w:pPr>
      <w:r w:rsidRPr="00A617C5">
        <w:rPr>
          <w:rFonts w:eastAsia="Calibri"/>
          <w:color w:val="4C4747"/>
          <w:lang w:val="es-DO"/>
        </w:rPr>
        <w:t>Estudios de condiciones de competencia de los mercados</w:t>
      </w:r>
    </w:p>
    <w:p w14:paraId="7B20D4B9" w14:textId="77777777" w:rsidR="00A617C5" w:rsidRPr="002E6DBA" w:rsidRDefault="00A617C5" w:rsidP="00340DF1">
      <w:pPr>
        <w:pStyle w:val="Prrafodelista"/>
        <w:numPr>
          <w:ilvl w:val="0"/>
          <w:numId w:val="7"/>
        </w:numPr>
        <w:spacing w:line="360" w:lineRule="auto"/>
        <w:jc w:val="both"/>
        <w:rPr>
          <w:rFonts w:eastAsia="Calibri"/>
          <w:color w:val="4C4747"/>
        </w:rPr>
      </w:pPr>
      <w:proofErr w:type="spellStart"/>
      <w:r w:rsidRPr="002E6DBA">
        <w:rPr>
          <w:rFonts w:eastAsia="Calibri"/>
          <w:color w:val="4C4747"/>
        </w:rPr>
        <w:t>Observatorio</w:t>
      </w:r>
      <w:proofErr w:type="spellEnd"/>
      <w:r w:rsidRPr="002E6DBA">
        <w:rPr>
          <w:rFonts w:eastAsia="Calibri"/>
          <w:color w:val="4C4747"/>
        </w:rPr>
        <w:t xml:space="preserve"> de </w:t>
      </w:r>
      <w:proofErr w:type="spellStart"/>
      <w:r w:rsidRPr="002E6DBA">
        <w:rPr>
          <w:rFonts w:eastAsia="Calibri"/>
          <w:color w:val="4C4747"/>
        </w:rPr>
        <w:t>Condiciones</w:t>
      </w:r>
      <w:proofErr w:type="spellEnd"/>
      <w:r w:rsidRPr="002E6DBA">
        <w:rPr>
          <w:rFonts w:eastAsia="Calibri"/>
          <w:color w:val="4C4747"/>
        </w:rPr>
        <w:t xml:space="preserve"> de </w:t>
      </w:r>
      <w:proofErr w:type="spellStart"/>
      <w:r w:rsidRPr="002E6DBA">
        <w:rPr>
          <w:rFonts w:eastAsia="Calibri"/>
          <w:color w:val="4C4747"/>
        </w:rPr>
        <w:t>Competencia</w:t>
      </w:r>
      <w:proofErr w:type="spellEnd"/>
    </w:p>
    <w:p w14:paraId="358DA91B" w14:textId="1AA0903F" w:rsidR="00A617C5" w:rsidRPr="002E6DBA" w:rsidRDefault="00A6344B" w:rsidP="00340DF1">
      <w:pPr>
        <w:pStyle w:val="Prrafodelista"/>
        <w:numPr>
          <w:ilvl w:val="0"/>
          <w:numId w:val="7"/>
        </w:numPr>
        <w:spacing w:line="360" w:lineRule="auto"/>
        <w:jc w:val="both"/>
        <w:rPr>
          <w:rFonts w:eastAsia="Calibri"/>
          <w:color w:val="4C4747"/>
        </w:rPr>
      </w:pPr>
      <w:proofErr w:type="spellStart"/>
      <w:r w:rsidRPr="002E6DBA">
        <w:rPr>
          <w:rFonts w:eastAsia="Calibri"/>
          <w:color w:val="4C4747"/>
        </w:rPr>
        <w:t>Observatorio</w:t>
      </w:r>
      <w:proofErr w:type="spellEnd"/>
      <w:r w:rsidRPr="002E6DBA">
        <w:rPr>
          <w:rFonts w:eastAsia="Calibri"/>
          <w:color w:val="4C4747"/>
        </w:rPr>
        <w:t xml:space="preserve"> de</w:t>
      </w:r>
      <w:r w:rsidR="00A617C5" w:rsidRPr="002E6DBA">
        <w:rPr>
          <w:rFonts w:eastAsia="Calibri"/>
          <w:color w:val="4C4747"/>
        </w:rPr>
        <w:t xml:space="preserve"> </w:t>
      </w:r>
      <w:proofErr w:type="spellStart"/>
      <w:r w:rsidR="00A617C5" w:rsidRPr="002E6DBA">
        <w:rPr>
          <w:rFonts w:eastAsia="Calibri"/>
          <w:color w:val="4C4747"/>
        </w:rPr>
        <w:t>Compras</w:t>
      </w:r>
      <w:proofErr w:type="spellEnd"/>
      <w:r w:rsidR="00A617C5" w:rsidRPr="002E6DBA">
        <w:rPr>
          <w:rFonts w:eastAsia="Calibri"/>
          <w:color w:val="4C4747"/>
        </w:rPr>
        <w:t xml:space="preserve"> </w:t>
      </w:r>
      <w:proofErr w:type="spellStart"/>
      <w:r w:rsidR="00A617C5" w:rsidRPr="002E6DBA">
        <w:rPr>
          <w:rFonts w:eastAsia="Calibri"/>
          <w:color w:val="4C4747"/>
        </w:rPr>
        <w:t>Públicas</w:t>
      </w:r>
      <w:proofErr w:type="spellEnd"/>
      <w:r w:rsidR="00A617C5" w:rsidRPr="002E6DBA">
        <w:rPr>
          <w:rFonts w:eastAsia="Calibri"/>
          <w:color w:val="4C4747"/>
        </w:rPr>
        <w:t xml:space="preserve"> </w:t>
      </w:r>
    </w:p>
    <w:p w14:paraId="169D39DE" w14:textId="77777777" w:rsidR="00A617C5" w:rsidRPr="002E6DBA" w:rsidRDefault="00A617C5" w:rsidP="00340DF1">
      <w:pPr>
        <w:pStyle w:val="Prrafodelista"/>
        <w:numPr>
          <w:ilvl w:val="0"/>
          <w:numId w:val="7"/>
        </w:numPr>
        <w:spacing w:line="360" w:lineRule="auto"/>
        <w:jc w:val="both"/>
        <w:rPr>
          <w:rFonts w:eastAsia="Calibri"/>
          <w:color w:val="4C4747"/>
        </w:rPr>
      </w:pPr>
      <w:proofErr w:type="spellStart"/>
      <w:r w:rsidRPr="002E6DBA">
        <w:rPr>
          <w:rFonts w:eastAsia="Calibri"/>
          <w:color w:val="4C4747"/>
        </w:rPr>
        <w:t>Guías</w:t>
      </w:r>
      <w:proofErr w:type="spellEnd"/>
      <w:r w:rsidRPr="002E6DBA">
        <w:rPr>
          <w:rFonts w:eastAsia="Calibri"/>
          <w:color w:val="4C4747"/>
        </w:rPr>
        <w:t xml:space="preserve"> </w:t>
      </w:r>
      <w:proofErr w:type="spellStart"/>
      <w:r w:rsidRPr="002E6DBA">
        <w:rPr>
          <w:rFonts w:eastAsia="Calibri"/>
          <w:color w:val="4C4747"/>
        </w:rPr>
        <w:t>Metodológicas</w:t>
      </w:r>
      <w:proofErr w:type="spellEnd"/>
      <w:r w:rsidRPr="002E6DBA">
        <w:rPr>
          <w:rFonts w:eastAsia="Calibri"/>
          <w:color w:val="4C4747"/>
        </w:rPr>
        <w:t xml:space="preserve"> de </w:t>
      </w:r>
      <w:proofErr w:type="spellStart"/>
      <w:r w:rsidRPr="002E6DBA">
        <w:rPr>
          <w:rFonts w:eastAsia="Calibri"/>
          <w:color w:val="4C4747"/>
        </w:rPr>
        <w:t>Competencia</w:t>
      </w:r>
      <w:proofErr w:type="spellEnd"/>
      <w:r w:rsidRPr="002E6DBA">
        <w:rPr>
          <w:rFonts w:eastAsia="Calibri"/>
          <w:color w:val="4C4747"/>
        </w:rPr>
        <w:t xml:space="preserve">  </w:t>
      </w:r>
    </w:p>
    <w:p w14:paraId="28C1B0F2" w14:textId="77777777" w:rsidR="00A617C5" w:rsidRPr="002E6DBA" w:rsidRDefault="00A617C5" w:rsidP="00340DF1">
      <w:pPr>
        <w:pStyle w:val="Prrafodelista"/>
        <w:numPr>
          <w:ilvl w:val="0"/>
          <w:numId w:val="7"/>
        </w:numPr>
        <w:spacing w:line="360" w:lineRule="auto"/>
        <w:jc w:val="both"/>
        <w:rPr>
          <w:rFonts w:eastAsia="Calibri"/>
          <w:color w:val="4C4747"/>
        </w:rPr>
      </w:pPr>
      <w:r w:rsidRPr="002E6DBA">
        <w:rPr>
          <w:rFonts w:eastAsia="Calibri"/>
          <w:color w:val="4C4747"/>
        </w:rPr>
        <w:t xml:space="preserve">Monitor Regional de </w:t>
      </w:r>
      <w:proofErr w:type="spellStart"/>
      <w:r w:rsidRPr="002E6DBA">
        <w:rPr>
          <w:rFonts w:eastAsia="Calibri"/>
          <w:color w:val="4C4747"/>
        </w:rPr>
        <w:t>Competencia</w:t>
      </w:r>
      <w:proofErr w:type="spellEnd"/>
    </w:p>
    <w:p w14:paraId="29AE0FB4" w14:textId="77777777" w:rsidR="00A617C5" w:rsidRDefault="00A617C5" w:rsidP="00340DF1">
      <w:pPr>
        <w:pStyle w:val="Prrafodelista"/>
        <w:numPr>
          <w:ilvl w:val="0"/>
          <w:numId w:val="7"/>
        </w:numPr>
        <w:spacing w:line="360" w:lineRule="auto"/>
        <w:jc w:val="both"/>
        <w:rPr>
          <w:rFonts w:eastAsia="Calibri"/>
          <w:color w:val="4C4747"/>
        </w:rPr>
      </w:pPr>
      <w:proofErr w:type="spellStart"/>
      <w:r w:rsidRPr="002E6DBA">
        <w:rPr>
          <w:rFonts w:eastAsia="Calibri"/>
          <w:color w:val="4C4747"/>
        </w:rPr>
        <w:t>Informes</w:t>
      </w:r>
      <w:proofErr w:type="spellEnd"/>
      <w:r w:rsidRPr="002E6DBA">
        <w:rPr>
          <w:rFonts w:eastAsia="Calibri"/>
          <w:color w:val="4C4747"/>
        </w:rPr>
        <w:t xml:space="preserve"> </w:t>
      </w:r>
      <w:proofErr w:type="spellStart"/>
      <w:r w:rsidRPr="002E6DBA">
        <w:rPr>
          <w:rFonts w:eastAsia="Calibri"/>
          <w:color w:val="4C4747"/>
        </w:rPr>
        <w:t>Económicos</w:t>
      </w:r>
      <w:proofErr w:type="spellEnd"/>
      <w:r w:rsidRPr="002E6DBA">
        <w:rPr>
          <w:rFonts w:eastAsia="Calibri"/>
          <w:color w:val="4C4747"/>
        </w:rPr>
        <w:t xml:space="preserve"> </w:t>
      </w:r>
    </w:p>
    <w:p w14:paraId="23442157" w14:textId="4F9EA42E" w:rsidR="00037D06" w:rsidRPr="00037D06" w:rsidRDefault="00037D06" w:rsidP="00340DF1">
      <w:pPr>
        <w:pStyle w:val="Prrafodelista"/>
        <w:numPr>
          <w:ilvl w:val="0"/>
          <w:numId w:val="7"/>
        </w:numPr>
        <w:spacing w:line="360" w:lineRule="auto"/>
        <w:jc w:val="both"/>
        <w:rPr>
          <w:rFonts w:eastAsia="Calibri"/>
          <w:color w:val="4C4747"/>
          <w:lang w:val="es-DO"/>
        </w:rPr>
      </w:pPr>
      <w:r w:rsidRPr="00037D06">
        <w:rPr>
          <w:rFonts w:eastAsia="Calibri"/>
          <w:color w:val="4C4747"/>
          <w:lang w:val="es-DO"/>
        </w:rPr>
        <w:t>Implementación de Sistema Integrado de G</w:t>
      </w:r>
      <w:r>
        <w:rPr>
          <w:rFonts w:eastAsia="Calibri"/>
          <w:color w:val="4C4747"/>
          <w:lang w:val="es-DO"/>
        </w:rPr>
        <w:t xml:space="preserve">estión </w:t>
      </w:r>
    </w:p>
    <w:p w14:paraId="794D4BE4" w14:textId="77777777" w:rsidR="00E3369D" w:rsidRPr="00C26579" w:rsidRDefault="00E3369D" w:rsidP="00340DF1">
      <w:pPr>
        <w:spacing w:line="360" w:lineRule="auto"/>
        <w:jc w:val="both"/>
        <w:rPr>
          <w:rFonts w:eastAsia="Calibri"/>
          <w:noProof/>
          <w:color w:val="4C4747"/>
          <w:lang w:val="es-DO"/>
        </w:rPr>
      </w:pPr>
    </w:p>
    <w:p w14:paraId="3FEC17DB" w14:textId="77777777" w:rsidR="00E3369D" w:rsidRDefault="00E3369D" w:rsidP="00340DF1">
      <w:pPr>
        <w:spacing w:line="360" w:lineRule="auto"/>
        <w:jc w:val="both"/>
        <w:rPr>
          <w:rFonts w:eastAsia="Calibri"/>
          <w:noProof/>
          <w:color w:val="4C4747"/>
          <w:lang w:val="es-DO"/>
        </w:rPr>
      </w:pPr>
    </w:p>
    <w:p w14:paraId="53B2D10D" w14:textId="77777777" w:rsidR="00E3369D" w:rsidRDefault="00E3369D" w:rsidP="00340DF1">
      <w:pPr>
        <w:spacing w:line="360" w:lineRule="auto"/>
        <w:jc w:val="both"/>
        <w:rPr>
          <w:rFonts w:eastAsia="Calibri"/>
          <w:noProof/>
          <w:color w:val="4C4747"/>
          <w:lang w:val="es-DO"/>
        </w:rPr>
      </w:pPr>
    </w:p>
    <w:p w14:paraId="5F445B25" w14:textId="77777777" w:rsidR="00E3369D" w:rsidRDefault="00E3369D" w:rsidP="00340DF1">
      <w:pPr>
        <w:spacing w:line="360" w:lineRule="auto"/>
        <w:jc w:val="both"/>
        <w:rPr>
          <w:rFonts w:eastAsia="Calibri"/>
          <w:noProof/>
          <w:color w:val="4C4747"/>
          <w:lang w:val="es-DO"/>
        </w:rPr>
      </w:pPr>
    </w:p>
    <w:p w14:paraId="00E78CDE" w14:textId="77777777" w:rsidR="00E3369D" w:rsidRDefault="00E3369D" w:rsidP="00340DF1">
      <w:pPr>
        <w:spacing w:line="360" w:lineRule="auto"/>
        <w:jc w:val="both"/>
        <w:rPr>
          <w:rFonts w:eastAsia="Calibri"/>
          <w:noProof/>
          <w:color w:val="4C4747"/>
          <w:lang w:val="es-DO"/>
        </w:rPr>
      </w:pPr>
    </w:p>
    <w:p w14:paraId="2C36C7C2" w14:textId="78B4D1E2" w:rsidR="00680801" w:rsidRDefault="00680801">
      <w:pPr>
        <w:rPr>
          <w:rFonts w:eastAsia="Calibri"/>
          <w:noProof/>
          <w:color w:val="4C4747"/>
          <w:lang w:val="es-DO"/>
        </w:rPr>
      </w:pPr>
      <w:r>
        <w:rPr>
          <w:rFonts w:eastAsia="Calibri"/>
          <w:noProof/>
          <w:color w:val="4C4747"/>
          <w:lang w:val="es-DO"/>
        </w:rPr>
        <w:br w:type="page"/>
      </w:r>
    </w:p>
    <w:p w14:paraId="4BE4C8E8" w14:textId="77777777" w:rsidR="00DC6C1E" w:rsidRDefault="00DC6C1E" w:rsidP="00214CE3">
      <w:pPr>
        <w:rPr>
          <w:rFonts w:eastAsia="Calibri"/>
          <w:noProof/>
          <w:color w:val="4C4747"/>
          <w:lang w:val="es-DO"/>
        </w:rPr>
        <w:sectPr w:rsidR="00DC6C1E" w:rsidSect="00C64CEF">
          <w:headerReference w:type="default" r:id="rId22"/>
          <w:footerReference w:type="default" r:id="rId23"/>
          <w:pgSz w:w="12240" w:h="15840"/>
          <w:pgMar w:top="1440" w:right="2160" w:bottom="1440" w:left="2160" w:header="720" w:footer="720" w:gutter="0"/>
          <w:pgNumType w:start="1"/>
          <w:cols w:space="720"/>
          <w:docGrid w:linePitch="360"/>
        </w:sectPr>
      </w:pPr>
    </w:p>
    <w:p w14:paraId="6B3111B6" w14:textId="69A6481D" w:rsidR="00D54385" w:rsidRPr="0050380F" w:rsidRDefault="00DC6C1E" w:rsidP="00D54385">
      <w:pPr>
        <w:pStyle w:val="Ttulo1"/>
        <w:rPr>
          <w:rFonts w:cs="Times New Roman"/>
          <w:color w:val="4C4747"/>
          <w:lang w:val="pt-BR"/>
        </w:rPr>
      </w:pPr>
      <w:r w:rsidRPr="0058331C">
        <w:rPr>
          <w:rFonts w:eastAsia="Calibri"/>
          <w:noProof/>
          <w:color w:val="4C4747"/>
          <w:sz w:val="18"/>
          <w:lang w:val="es-DO" w:eastAsia="es-DO"/>
        </w:rPr>
        <w:lastRenderedPageBreak/>
        <mc:AlternateContent>
          <mc:Choice Requires="wps">
            <w:drawing>
              <wp:anchor distT="0" distB="0" distL="114300" distR="114300" simplePos="0" relativeHeight="251734016" behindDoc="0" locked="0" layoutInCell="1" allowOverlap="1" wp14:anchorId="36D3C04A" wp14:editId="1DB817C8">
                <wp:simplePos x="0" y="0"/>
                <wp:positionH relativeFrom="margin">
                  <wp:align>center</wp:align>
                </wp:positionH>
                <wp:positionV relativeFrom="paragraph">
                  <wp:posOffset>297815</wp:posOffset>
                </wp:positionV>
                <wp:extent cx="463550" cy="0"/>
                <wp:effectExtent l="0" t="19050" r="31750" b="19050"/>
                <wp:wrapNone/>
                <wp:docPr id="156745437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D4B04" id="Straight Connector 11" o:spid="_x0000_s1026" style="position:absolute;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45pt" to="36.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" strokecolor="#ee2a24" strokeweight="2.25pt">
                <v:stroke joinstyle="miter"/>
                <w10:wrap anchorx="margin"/>
              </v:line>
            </w:pict>
          </mc:Fallback>
        </mc:AlternateContent>
      </w:r>
      <w:r w:rsidR="00D54385" w:rsidRPr="0050380F">
        <w:rPr>
          <w:rFonts w:cs="Times New Roman"/>
          <w:color w:val="4C4747"/>
          <w:lang w:val="pt-BR"/>
        </w:rPr>
        <w:t xml:space="preserve">ANEXOS </w:t>
      </w:r>
    </w:p>
    <w:p w14:paraId="0A7949D3" w14:textId="516D5016" w:rsidR="00E3369D" w:rsidRPr="001B18A7" w:rsidRDefault="00D54385" w:rsidP="001B18A7">
      <w:pPr>
        <w:spacing w:line="360" w:lineRule="auto"/>
        <w:jc w:val="center"/>
        <w:rPr>
          <w:rFonts w:eastAsia="Calibri"/>
          <w:color w:val="4C4747"/>
          <w:szCs w:val="36"/>
          <w:lang w:val="pt-BR"/>
        </w:rPr>
      </w:pPr>
      <w:r w:rsidRPr="0050380F">
        <w:rPr>
          <w:rFonts w:eastAsia="Calibri"/>
          <w:color w:val="4C4747"/>
          <w:szCs w:val="36"/>
          <w:lang w:val="pt-BR"/>
        </w:rPr>
        <w:t>Memoria Institucional 2025</w:t>
      </w:r>
    </w:p>
    <w:p w14:paraId="3C76AAA3" w14:textId="04AA4FF9" w:rsidR="001645A9" w:rsidRDefault="00D54385" w:rsidP="001645A9">
      <w:pPr>
        <w:pStyle w:val="Ttulo2"/>
        <w:numPr>
          <w:ilvl w:val="0"/>
          <w:numId w:val="31"/>
        </w:numPr>
        <w:spacing w:line="360" w:lineRule="auto"/>
        <w:rPr>
          <w:lang w:val="es-DO"/>
        </w:rPr>
      </w:pPr>
      <w:bookmarkStart w:id="21" w:name="_Toc217035443"/>
      <w:proofErr w:type="spellStart"/>
      <w:r w:rsidRPr="001645A9">
        <w:rPr>
          <w:lang w:val="es-DO"/>
        </w:rPr>
        <w:t>Matríz</w:t>
      </w:r>
      <w:proofErr w:type="spellEnd"/>
      <w:r w:rsidRPr="001645A9">
        <w:rPr>
          <w:lang w:val="es-DO"/>
        </w:rPr>
        <w:t xml:space="preserve"> de logros relevantes</w:t>
      </w:r>
      <w:bookmarkStart w:id="22" w:name="_Toc216972751"/>
      <w:bookmarkEnd w:id="21"/>
    </w:p>
    <w:p w14:paraId="4BA2582F" w14:textId="426875A9" w:rsidR="001645A9" w:rsidRDefault="001645A9" w:rsidP="001645A9">
      <w:pPr>
        <w:pStyle w:val="Ttulo2"/>
        <w:spacing w:line="360" w:lineRule="auto"/>
        <w:rPr>
          <w:rFonts w:eastAsia="Calibri" w:cs="Times New Roman"/>
          <w:color w:val="4C4747"/>
          <w:szCs w:val="24"/>
          <w:lang w:val="es-DO"/>
        </w:rPr>
      </w:pPr>
      <w:r w:rsidRPr="001645A9">
        <w:rPr>
          <w:rFonts w:eastAsia="Calibri" w:cs="Times New Roman"/>
          <w:color w:val="4C4747"/>
          <w:szCs w:val="24"/>
          <w:lang w:val="es-DO"/>
        </w:rPr>
        <w:t xml:space="preserve"> </w:t>
      </w:r>
      <w:r w:rsidRPr="00320F1A">
        <w:rPr>
          <w:rFonts w:eastAsia="Calibri" w:cs="Times New Roman"/>
          <w:color w:val="4C4747"/>
          <w:szCs w:val="24"/>
          <w:lang w:val="es-DO"/>
        </w:rPr>
        <w:t>La matriz de logros relevantes que presentamos está compuesta por el producto institucional de la estructura programática que genera producción. En ella se presentan las ejecuciones físicas financieras por trimestre.</w:t>
      </w:r>
    </w:p>
    <w:p w14:paraId="6E372930" w14:textId="2E1DE515" w:rsidR="00D54385" w:rsidRPr="001645A9" w:rsidRDefault="00D54385" w:rsidP="00C2430F">
      <w:pPr>
        <w:pStyle w:val="Ttulo1"/>
        <w:jc w:val="left"/>
        <w:rPr>
          <w:b w:val="0"/>
          <w:color w:val="595959" w:themeColor="text1" w:themeTint="A6"/>
          <w:sz w:val="24"/>
          <w:szCs w:val="26"/>
          <w:lang w:val="es-DO"/>
        </w:rPr>
      </w:pPr>
    </w:p>
    <w:tbl>
      <w:tblPr>
        <w:tblpPr w:leftFromText="141" w:rightFromText="141" w:vertAnchor="page" w:horzAnchor="margin" w:tblpXSpec="center" w:tblpY="478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0"/>
        <w:gridCol w:w="1843"/>
        <w:gridCol w:w="1842"/>
        <w:gridCol w:w="2127"/>
        <w:gridCol w:w="1842"/>
      </w:tblGrid>
      <w:tr w:rsidR="008F06D2" w:rsidRPr="00116DFC" w14:paraId="0AC327FD" w14:textId="77777777" w:rsidTr="00602398">
        <w:trPr>
          <w:trHeight w:val="416"/>
        </w:trPr>
        <w:tc>
          <w:tcPr>
            <w:tcW w:w="9634" w:type="dxa"/>
            <w:gridSpan w:val="5"/>
            <w:tcBorders>
              <w:bottom w:val="single" w:sz="4" w:space="0" w:color="auto"/>
            </w:tcBorders>
            <w:shd w:val="clear" w:color="auto" w:fill="002060"/>
            <w:tcMar>
              <w:top w:w="0" w:type="dxa"/>
              <w:left w:w="70" w:type="dxa"/>
              <w:bottom w:w="0" w:type="dxa"/>
              <w:right w:w="70" w:type="dxa"/>
            </w:tcMar>
            <w:vAlign w:val="center"/>
          </w:tcPr>
          <w:p w14:paraId="444AF5C4" w14:textId="13A9AC5C" w:rsidR="008F06D2" w:rsidRPr="00602398" w:rsidRDefault="008F06D2" w:rsidP="008F06D2">
            <w:pPr>
              <w:spacing w:line="360" w:lineRule="auto"/>
              <w:jc w:val="center"/>
              <w:rPr>
                <w:color w:val="FFFFFF" w:themeColor="background1"/>
                <w:lang w:val="es-DO"/>
              </w:rPr>
            </w:pPr>
            <w:bookmarkStart w:id="23" w:name="_Toc217031371"/>
            <w:bookmarkStart w:id="24" w:name="_Toc217035444"/>
            <w:r>
              <w:rPr>
                <w:b/>
                <w:bCs/>
                <w:color w:val="FFFFFF" w:themeColor="background1"/>
                <w:lang w:val="es-DO"/>
              </w:rPr>
              <w:t xml:space="preserve">Tabla 12. </w:t>
            </w:r>
            <w:r w:rsidRPr="00602398">
              <w:rPr>
                <w:b/>
                <w:bCs/>
                <w:color w:val="FFFFFF" w:themeColor="background1"/>
                <w:lang w:val="es-DO"/>
              </w:rPr>
              <w:t>Matriz de Logros Relevantes</w:t>
            </w:r>
            <w:r w:rsidR="00602398" w:rsidRPr="00602398">
              <w:rPr>
                <w:b/>
                <w:bCs/>
                <w:color w:val="FFFFFF" w:themeColor="background1"/>
                <w:lang w:val="es-DO"/>
              </w:rPr>
              <w:t xml:space="preserve"> RD$</w:t>
            </w:r>
          </w:p>
        </w:tc>
      </w:tr>
      <w:tr w:rsidR="008F06D2" w:rsidRPr="002346B8" w14:paraId="11B5B57A" w14:textId="77777777" w:rsidTr="00602398">
        <w:trPr>
          <w:trHeight w:val="732"/>
        </w:trPr>
        <w:tc>
          <w:tcPr>
            <w:tcW w:w="1980" w:type="dxa"/>
            <w:tcBorders>
              <w:bottom w:val="single" w:sz="4" w:space="0" w:color="auto"/>
            </w:tcBorders>
            <w:shd w:val="clear" w:color="auto" w:fill="002060"/>
            <w:tcMar>
              <w:top w:w="0" w:type="dxa"/>
              <w:left w:w="70" w:type="dxa"/>
              <w:bottom w:w="0" w:type="dxa"/>
              <w:right w:w="70" w:type="dxa"/>
            </w:tcMar>
            <w:vAlign w:val="center"/>
            <w:hideMark/>
          </w:tcPr>
          <w:p w14:paraId="7BE1C8D5" w14:textId="77777777" w:rsidR="008F06D2" w:rsidRPr="008F06D2" w:rsidRDefault="008F06D2" w:rsidP="008F06D2">
            <w:pPr>
              <w:pStyle w:val="xxmsonormal"/>
              <w:spacing w:line="360" w:lineRule="auto"/>
              <w:jc w:val="center"/>
              <w:rPr>
                <w:rFonts w:ascii="Times New Roman" w:hAnsi="Times New Roman" w:cs="Times New Roman"/>
                <w:sz w:val="24"/>
                <w:szCs w:val="24"/>
              </w:rPr>
            </w:pPr>
            <w:r w:rsidRPr="008F06D2">
              <w:rPr>
                <w:rFonts w:ascii="Times New Roman" w:hAnsi="Times New Roman" w:cs="Times New Roman"/>
                <w:b/>
                <w:bCs/>
                <w:color w:val="FFFFFF"/>
                <w:sz w:val="24"/>
                <w:szCs w:val="24"/>
                <w:lang w:val="es-ES"/>
              </w:rPr>
              <w:t>Producto / servicio</w:t>
            </w:r>
          </w:p>
        </w:tc>
        <w:tc>
          <w:tcPr>
            <w:tcW w:w="1843" w:type="dxa"/>
            <w:tcBorders>
              <w:bottom w:val="single" w:sz="4" w:space="0" w:color="auto"/>
            </w:tcBorders>
            <w:shd w:val="clear" w:color="auto" w:fill="002060"/>
            <w:tcMar>
              <w:top w:w="0" w:type="dxa"/>
              <w:left w:w="70" w:type="dxa"/>
              <w:bottom w:w="0" w:type="dxa"/>
              <w:right w:w="70" w:type="dxa"/>
            </w:tcMar>
            <w:vAlign w:val="center"/>
            <w:hideMark/>
          </w:tcPr>
          <w:p w14:paraId="1FE28EDD" w14:textId="77777777" w:rsidR="008F06D2" w:rsidRPr="008F06D2" w:rsidRDefault="008F06D2" w:rsidP="008F06D2">
            <w:pPr>
              <w:pStyle w:val="xxmsonormal"/>
              <w:spacing w:line="360" w:lineRule="auto"/>
              <w:jc w:val="center"/>
              <w:rPr>
                <w:sz w:val="24"/>
                <w:szCs w:val="24"/>
              </w:rPr>
            </w:pPr>
            <w:r w:rsidRPr="008F06D2">
              <w:rPr>
                <w:rFonts w:ascii="Times New Roman" w:hAnsi="Times New Roman" w:cs="Times New Roman"/>
                <w:b/>
                <w:bCs/>
                <w:color w:val="FFFFFF" w:themeColor="background1"/>
                <w:sz w:val="24"/>
                <w:szCs w:val="24"/>
                <w:lang w:val="es-ES"/>
              </w:rPr>
              <w:t xml:space="preserve">Primer trimestre </w:t>
            </w:r>
          </w:p>
          <w:p w14:paraId="518F74F3" w14:textId="77777777" w:rsidR="008F06D2" w:rsidRPr="008F06D2" w:rsidRDefault="008F06D2" w:rsidP="008F06D2">
            <w:pPr>
              <w:pStyle w:val="xxmsonormal"/>
              <w:spacing w:line="360" w:lineRule="auto"/>
              <w:jc w:val="center"/>
              <w:rPr>
                <w:sz w:val="24"/>
                <w:szCs w:val="24"/>
              </w:rPr>
            </w:pPr>
            <w:r w:rsidRPr="008F06D2">
              <w:rPr>
                <w:rFonts w:ascii="Times New Roman" w:hAnsi="Times New Roman" w:cs="Times New Roman"/>
                <w:b/>
                <w:bCs/>
                <w:color w:val="FFFFFF" w:themeColor="background1"/>
                <w:sz w:val="24"/>
                <w:szCs w:val="24"/>
                <w:lang w:val="es-ES"/>
              </w:rPr>
              <w:t>(enero, febrero, marzo)</w:t>
            </w:r>
          </w:p>
        </w:tc>
        <w:tc>
          <w:tcPr>
            <w:tcW w:w="1842" w:type="dxa"/>
            <w:tcBorders>
              <w:bottom w:val="single" w:sz="4" w:space="0" w:color="auto"/>
            </w:tcBorders>
            <w:shd w:val="clear" w:color="auto" w:fill="002060"/>
            <w:tcMar>
              <w:top w:w="0" w:type="dxa"/>
              <w:left w:w="70" w:type="dxa"/>
              <w:bottom w:w="0" w:type="dxa"/>
              <w:right w:w="70" w:type="dxa"/>
            </w:tcMar>
            <w:vAlign w:val="center"/>
            <w:hideMark/>
          </w:tcPr>
          <w:p w14:paraId="07865EC1" w14:textId="77777777" w:rsidR="008F06D2" w:rsidRPr="008F06D2" w:rsidRDefault="008F06D2" w:rsidP="008F06D2">
            <w:pPr>
              <w:pStyle w:val="xxmsonormal"/>
              <w:spacing w:line="360" w:lineRule="auto"/>
              <w:jc w:val="center"/>
              <w:rPr>
                <w:sz w:val="24"/>
                <w:szCs w:val="24"/>
              </w:rPr>
            </w:pPr>
            <w:r w:rsidRPr="008F06D2">
              <w:rPr>
                <w:rFonts w:ascii="Times New Roman" w:hAnsi="Times New Roman" w:cs="Times New Roman"/>
                <w:b/>
                <w:bCs/>
                <w:color w:val="FFFFFF" w:themeColor="background1"/>
                <w:sz w:val="24"/>
                <w:szCs w:val="24"/>
                <w:lang w:val="es-ES"/>
              </w:rPr>
              <w:t>Segundo trimestre (abril, mayo, junio)</w:t>
            </w:r>
          </w:p>
        </w:tc>
        <w:tc>
          <w:tcPr>
            <w:tcW w:w="2127" w:type="dxa"/>
            <w:tcBorders>
              <w:bottom w:val="single" w:sz="4" w:space="0" w:color="auto"/>
            </w:tcBorders>
            <w:shd w:val="clear" w:color="auto" w:fill="002060"/>
            <w:tcMar>
              <w:top w:w="0" w:type="dxa"/>
              <w:left w:w="70" w:type="dxa"/>
              <w:bottom w:w="0" w:type="dxa"/>
              <w:right w:w="70" w:type="dxa"/>
            </w:tcMar>
            <w:vAlign w:val="center"/>
            <w:hideMark/>
          </w:tcPr>
          <w:p w14:paraId="48EDC8BC" w14:textId="77777777" w:rsidR="008F06D2" w:rsidRPr="008F06D2" w:rsidRDefault="008F06D2" w:rsidP="008F06D2">
            <w:pPr>
              <w:pStyle w:val="xxmsonormal"/>
              <w:spacing w:line="360" w:lineRule="auto"/>
              <w:jc w:val="center"/>
              <w:rPr>
                <w:sz w:val="24"/>
                <w:szCs w:val="24"/>
              </w:rPr>
            </w:pPr>
            <w:r w:rsidRPr="008F06D2">
              <w:rPr>
                <w:rFonts w:ascii="Times New Roman" w:hAnsi="Times New Roman" w:cs="Times New Roman"/>
                <w:b/>
                <w:bCs/>
                <w:color w:val="FFFFFF" w:themeColor="background1"/>
                <w:sz w:val="24"/>
                <w:szCs w:val="24"/>
                <w:lang w:val="es-ES"/>
              </w:rPr>
              <w:t xml:space="preserve">Tercer trimestre </w:t>
            </w:r>
          </w:p>
          <w:p w14:paraId="653ABE18" w14:textId="77777777" w:rsidR="008F06D2" w:rsidRPr="008F06D2" w:rsidRDefault="008F06D2" w:rsidP="008F06D2">
            <w:pPr>
              <w:pStyle w:val="xxmsonormal"/>
              <w:spacing w:line="360" w:lineRule="auto"/>
              <w:jc w:val="center"/>
              <w:rPr>
                <w:rFonts w:ascii="Times New Roman" w:hAnsi="Times New Roman" w:cs="Times New Roman"/>
                <w:b/>
                <w:bCs/>
                <w:color w:val="FFFFFF" w:themeColor="background1"/>
                <w:sz w:val="24"/>
                <w:szCs w:val="24"/>
                <w:lang w:val="es-ES"/>
              </w:rPr>
            </w:pPr>
            <w:r w:rsidRPr="008F06D2">
              <w:rPr>
                <w:rFonts w:ascii="Times New Roman" w:hAnsi="Times New Roman" w:cs="Times New Roman"/>
                <w:b/>
                <w:bCs/>
                <w:color w:val="FFFFFF" w:themeColor="background1"/>
                <w:sz w:val="24"/>
                <w:szCs w:val="24"/>
                <w:lang w:val="es-ES"/>
              </w:rPr>
              <w:t>(julio, agosto, septiembre</w:t>
            </w:r>
          </w:p>
        </w:tc>
        <w:tc>
          <w:tcPr>
            <w:tcW w:w="1842" w:type="dxa"/>
            <w:tcBorders>
              <w:bottom w:val="single" w:sz="4" w:space="0" w:color="auto"/>
            </w:tcBorders>
            <w:shd w:val="clear" w:color="auto" w:fill="002060"/>
            <w:vAlign w:val="center"/>
          </w:tcPr>
          <w:p w14:paraId="199B8AD8" w14:textId="77777777" w:rsidR="008F06D2" w:rsidRPr="008F06D2" w:rsidRDefault="008F06D2" w:rsidP="008F06D2">
            <w:pPr>
              <w:pStyle w:val="xxmsonormal"/>
              <w:spacing w:line="360" w:lineRule="auto"/>
              <w:jc w:val="center"/>
              <w:rPr>
                <w:rFonts w:ascii="Times New Roman" w:hAnsi="Times New Roman" w:cs="Times New Roman"/>
                <w:b/>
                <w:bCs/>
                <w:color w:val="FFFFFF"/>
                <w:sz w:val="24"/>
                <w:szCs w:val="24"/>
                <w:lang w:val="es-ES"/>
              </w:rPr>
            </w:pPr>
            <w:r w:rsidRPr="008F06D2">
              <w:rPr>
                <w:rFonts w:ascii="Times New Roman" w:hAnsi="Times New Roman" w:cs="Times New Roman"/>
                <w:b/>
                <w:bCs/>
                <w:color w:val="FFFFFF"/>
                <w:sz w:val="24"/>
                <w:szCs w:val="24"/>
                <w:lang w:val="es-ES"/>
              </w:rPr>
              <w:t xml:space="preserve">Total </w:t>
            </w:r>
          </w:p>
          <w:p w14:paraId="7F2A3810" w14:textId="77777777" w:rsidR="008F06D2" w:rsidRPr="008F06D2" w:rsidRDefault="008F06D2" w:rsidP="008F06D2">
            <w:pPr>
              <w:pStyle w:val="xxmsonormal"/>
              <w:spacing w:line="360" w:lineRule="auto"/>
              <w:jc w:val="center"/>
              <w:rPr>
                <w:rFonts w:ascii="Times New Roman" w:hAnsi="Times New Roman" w:cs="Times New Roman"/>
                <w:b/>
                <w:bCs/>
                <w:color w:val="FFFFFF"/>
                <w:sz w:val="24"/>
                <w:szCs w:val="24"/>
                <w:lang w:val="es-ES"/>
              </w:rPr>
            </w:pPr>
            <w:r w:rsidRPr="008F06D2">
              <w:rPr>
                <w:rFonts w:ascii="Times New Roman" w:hAnsi="Times New Roman" w:cs="Times New Roman"/>
                <w:b/>
                <w:bCs/>
                <w:color w:val="FFFFFF"/>
                <w:sz w:val="24"/>
                <w:szCs w:val="24"/>
                <w:lang w:val="es-ES"/>
              </w:rPr>
              <w:t>año 2025</w:t>
            </w:r>
          </w:p>
        </w:tc>
      </w:tr>
      <w:tr w:rsidR="008F06D2" w:rsidRPr="002346B8" w14:paraId="7A6056CB" w14:textId="77777777" w:rsidTr="00602398">
        <w:trPr>
          <w:trHeight w:val="834"/>
        </w:trPr>
        <w:tc>
          <w:tcPr>
            <w:tcW w:w="19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FFBFF2" w14:textId="77777777" w:rsidR="008F06D2" w:rsidRPr="001B18A7" w:rsidRDefault="008F06D2" w:rsidP="00214CE3">
            <w:pPr>
              <w:pStyle w:val="xxmsonormal"/>
              <w:rPr>
                <w:rFonts w:ascii="Times New Roman" w:hAnsi="Times New Roman" w:cs="Times New Roman"/>
                <w:color w:val="4C4747"/>
                <w:sz w:val="24"/>
                <w:szCs w:val="24"/>
              </w:rPr>
            </w:pPr>
            <w:r w:rsidRPr="002742F1">
              <w:rPr>
                <w:rFonts w:ascii="Times New Roman" w:eastAsia="Times New Roman" w:hAnsi="Times New Roman" w:cs="Times New Roman"/>
                <w:color w:val="4C4747"/>
                <w:sz w:val="24"/>
                <w:szCs w:val="24"/>
              </w:rPr>
              <w:t>Producto 1</w:t>
            </w:r>
          </w:p>
          <w:p w14:paraId="28736A5A" w14:textId="77777777" w:rsidR="008F06D2" w:rsidRPr="001B18A7" w:rsidRDefault="008F06D2" w:rsidP="00214CE3">
            <w:pPr>
              <w:pStyle w:val="xxmsonormal"/>
              <w:spacing w:line="360" w:lineRule="auto"/>
              <w:rPr>
                <w:rFonts w:ascii="Times New Roman" w:eastAsia="Times New Roman" w:hAnsi="Times New Roman" w:cs="Times New Roman"/>
                <w:color w:val="4C4747"/>
                <w:sz w:val="24"/>
                <w:szCs w:val="24"/>
              </w:rPr>
            </w:pPr>
            <w:r w:rsidRPr="002742F1">
              <w:rPr>
                <w:rFonts w:ascii="Times New Roman" w:eastAsia="Times New Roman" w:hAnsi="Times New Roman" w:cs="Times New Roman"/>
                <w:color w:val="4C4747"/>
                <w:sz w:val="24"/>
                <w:szCs w:val="24"/>
              </w:rPr>
              <w:t xml:space="preserve">Agentes económicos, </w:t>
            </w:r>
            <w:r>
              <w:rPr>
                <w:rFonts w:ascii="Times New Roman" w:eastAsia="Times New Roman" w:hAnsi="Times New Roman" w:cs="Times New Roman"/>
                <w:color w:val="4C4747"/>
                <w:sz w:val="24"/>
                <w:szCs w:val="24"/>
              </w:rPr>
              <w:t xml:space="preserve">con servicios de defensa de la competencia </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C3C474" w14:textId="77777777" w:rsidR="008F06D2" w:rsidRPr="002742F1" w:rsidRDefault="008F06D2" w:rsidP="00214CE3">
            <w:pPr>
              <w:pStyle w:val="xxmsonormal"/>
              <w:jc w:val="center"/>
              <w:rPr>
                <w:rFonts w:ascii="Times New Roman" w:eastAsia="Times New Roman" w:hAnsi="Times New Roman" w:cs="Times New Roman"/>
                <w:color w:val="4C4747"/>
                <w:sz w:val="24"/>
                <w:szCs w:val="24"/>
              </w:rPr>
            </w:pPr>
            <w:r w:rsidRPr="002742F1">
              <w:rPr>
                <w:rFonts w:ascii="Times New Roman" w:eastAsia="Times New Roman" w:hAnsi="Times New Roman" w:cs="Times New Roman"/>
                <w:color w:val="4C4747"/>
                <w:sz w:val="24"/>
                <w:szCs w:val="24"/>
              </w:rPr>
              <w:t>38</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548B1A" w14:textId="77777777" w:rsidR="008F06D2" w:rsidRPr="002742F1" w:rsidRDefault="008F06D2" w:rsidP="00214CE3">
            <w:pPr>
              <w:pStyle w:val="xxmsonormal"/>
              <w:jc w:val="center"/>
              <w:rPr>
                <w:rFonts w:ascii="Times New Roman" w:eastAsia="Times New Roman" w:hAnsi="Times New Roman" w:cs="Times New Roman"/>
                <w:color w:val="4C4747"/>
                <w:sz w:val="24"/>
                <w:szCs w:val="24"/>
              </w:rPr>
            </w:pPr>
            <w:r w:rsidRPr="002742F1">
              <w:rPr>
                <w:rFonts w:ascii="Times New Roman" w:eastAsia="Times New Roman" w:hAnsi="Times New Roman" w:cs="Times New Roman"/>
                <w:color w:val="4C4747"/>
                <w:sz w:val="24"/>
                <w:szCs w:val="24"/>
              </w:rPr>
              <w:t>45</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69531E" w14:textId="77777777" w:rsidR="008F06D2" w:rsidRPr="002742F1" w:rsidRDefault="008F06D2" w:rsidP="00214CE3">
            <w:pPr>
              <w:pStyle w:val="xxmsonormal"/>
              <w:jc w:val="center"/>
              <w:rPr>
                <w:rFonts w:ascii="Times New Roman" w:eastAsia="Times New Roman" w:hAnsi="Times New Roman" w:cs="Times New Roman"/>
                <w:color w:val="4C4747"/>
                <w:sz w:val="24"/>
                <w:szCs w:val="24"/>
              </w:rPr>
            </w:pPr>
            <w:r w:rsidRPr="002742F1">
              <w:rPr>
                <w:rFonts w:ascii="Times New Roman" w:eastAsia="Times New Roman" w:hAnsi="Times New Roman" w:cs="Times New Roman"/>
                <w:color w:val="4C4747"/>
                <w:sz w:val="24"/>
                <w:szCs w:val="24"/>
              </w:rPr>
              <w:t> 35</w:t>
            </w:r>
          </w:p>
        </w:tc>
        <w:tc>
          <w:tcPr>
            <w:tcW w:w="1842" w:type="dxa"/>
            <w:tcBorders>
              <w:top w:val="single" w:sz="4" w:space="0" w:color="auto"/>
              <w:left w:val="single" w:sz="4" w:space="0" w:color="auto"/>
              <w:bottom w:val="single" w:sz="4" w:space="0" w:color="auto"/>
              <w:right w:val="single" w:sz="4" w:space="0" w:color="auto"/>
            </w:tcBorders>
            <w:vAlign w:val="center"/>
          </w:tcPr>
          <w:p w14:paraId="30A6643D" w14:textId="77777777" w:rsidR="008F06D2" w:rsidRPr="002742F1" w:rsidRDefault="008F06D2" w:rsidP="00214CE3">
            <w:pPr>
              <w:pStyle w:val="xxmsonormal"/>
              <w:jc w:val="center"/>
              <w:rPr>
                <w:rFonts w:ascii="Times New Roman" w:hAnsi="Times New Roman" w:cs="Times New Roman"/>
                <w:color w:val="595959" w:themeColor="text1" w:themeTint="A6"/>
                <w:sz w:val="24"/>
                <w:szCs w:val="24"/>
              </w:rPr>
            </w:pPr>
            <w:r w:rsidRPr="002742F1">
              <w:rPr>
                <w:rFonts w:ascii="Times New Roman" w:hAnsi="Times New Roman" w:cs="Times New Roman"/>
                <w:color w:val="595959" w:themeColor="text1" w:themeTint="A6"/>
                <w:sz w:val="24"/>
                <w:szCs w:val="24"/>
              </w:rPr>
              <w:t>118</w:t>
            </w:r>
          </w:p>
        </w:tc>
      </w:tr>
      <w:tr w:rsidR="008F06D2" w:rsidRPr="002346B8" w14:paraId="298DD8B3" w14:textId="77777777" w:rsidTr="00602398">
        <w:trPr>
          <w:trHeight w:val="834"/>
        </w:trPr>
        <w:tc>
          <w:tcPr>
            <w:tcW w:w="19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EE9365" w14:textId="77777777" w:rsidR="008F06D2" w:rsidRPr="002742F1" w:rsidRDefault="008F06D2" w:rsidP="008F06D2">
            <w:pPr>
              <w:pStyle w:val="xxmsonormal"/>
              <w:rPr>
                <w:rFonts w:ascii="Times New Roman" w:eastAsia="Times New Roman" w:hAnsi="Times New Roman" w:cs="Times New Roman"/>
                <w:color w:val="4C4747"/>
              </w:rPr>
            </w:pPr>
            <w:r w:rsidRPr="002742F1">
              <w:rPr>
                <w:rFonts w:ascii="Times New Roman" w:eastAsia="Times New Roman" w:hAnsi="Times New Roman" w:cs="Times New Roman"/>
                <w:color w:val="4C4747"/>
              </w:rPr>
              <w:t>Inversión producto 1</w:t>
            </w:r>
          </w:p>
        </w:tc>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996807" w14:textId="76B2853B" w:rsidR="008F06D2" w:rsidRPr="002742F1" w:rsidRDefault="008F06D2" w:rsidP="008F06D2">
            <w:pPr>
              <w:pStyle w:val="xxmsonormal"/>
              <w:spacing w:before="240"/>
              <w:jc w:val="right"/>
              <w:rPr>
                <w:rFonts w:ascii="Times New Roman" w:eastAsia="Times New Roman" w:hAnsi="Times New Roman" w:cs="Times New Roman"/>
                <w:color w:val="4C4747"/>
              </w:rPr>
            </w:pPr>
            <w:r w:rsidRPr="002742F1">
              <w:rPr>
                <w:rFonts w:ascii="Times New Roman" w:eastAsia="Times New Roman" w:hAnsi="Times New Roman" w:cs="Times New Roman"/>
                <w:color w:val="4C4747"/>
              </w:rPr>
              <w:t>39</w:t>
            </w:r>
            <w:r>
              <w:rPr>
                <w:rFonts w:ascii="Times New Roman" w:eastAsia="Times New Roman" w:hAnsi="Times New Roman" w:cs="Times New Roman"/>
                <w:color w:val="4C4747"/>
              </w:rPr>
              <w:t>,</w:t>
            </w:r>
            <w:r w:rsidRPr="002742F1">
              <w:rPr>
                <w:rFonts w:ascii="Times New Roman" w:eastAsia="Times New Roman" w:hAnsi="Times New Roman" w:cs="Times New Roman"/>
                <w:color w:val="4C4747"/>
              </w:rPr>
              <w:t>04</w:t>
            </w:r>
            <w:r>
              <w:rPr>
                <w:rFonts w:ascii="Times New Roman" w:eastAsia="Times New Roman" w:hAnsi="Times New Roman" w:cs="Times New Roman"/>
                <w:color w:val="4C4747"/>
              </w:rPr>
              <w:t>3,197</w:t>
            </w:r>
            <w:r w:rsidRPr="002742F1">
              <w:rPr>
                <w:rFonts w:ascii="Times New Roman" w:eastAsia="Times New Roman" w:hAnsi="Times New Roman" w:cs="Times New Roman"/>
                <w:color w:val="4C4747"/>
              </w:rPr>
              <w:t>.</w:t>
            </w:r>
            <w:r>
              <w:rPr>
                <w:rFonts w:ascii="Times New Roman" w:eastAsia="Times New Roman" w:hAnsi="Times New Roman" w:cs="Times New Roman"/>
                <w:color w:val="4C4747"/>
              </w:rPr>
              <w:t>3</w:t>
            </w:r>
            <w:r w:rsidRPr="002742F1">
              <w:rPr>
                <w:rFonts w:ascii="Times New Roman" w:eastAsia="Times New Roman" w:hAnsi="Times New Roman" w:cs="Times New Roman"/>
                <w:color w:val="4C4747"/>
              </w:rPr>
              <w:t>3</w:t>
            </w:r>
          </w:p>
          <w:p w14:paraId="6338A251" w14:textId="77777777" w:rsidR="008F06D2" w:rsidRPr="002742F1" w:rsidRDefault="008F06D2" w:rsidP="008F06D2">
            <w:pPr>
              <w:pStyle w:val="xxmsonormal"/>
              <w:jc w:val="right"/>
              <w:rPr>
                <w:rFonts w:ascii="Times New Roman" w:eastAsia="Times New Roman" w:hAnsi="Times New Roman" w:cs="Times New Roman"/>
                <w:color w:val="4C4747"/>
              </w:rPr>
            </w:pP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B7EC19" w14:textId="16D462E4" w:rsidR="008F06D2" w:rsidRPr="002742F1" w:rsidRDefault="008F06D2" w:rsidP="008F06D2">
            <w:pPr>
              <w:pStyle w:val="xxmsonormal"/>
              <w:spacing w:before="240"/>
              <w:jc w:val="right"/>
              <w:rPr>
                <w:rFonts w:ascii="Times New Roman" w:eastAsia="Times New Roman" w:hAnsi="Times New Roman" w:cs="Times New Roman"/>
                <w:color w:val="4C4747"/>
              </w:rPr>
            </w:pPr>
            <w:r w:rsidRPr="002742F1">
              <w:rPr>
                <w:rFonts w:ascii="Times New Roman" w:eastAsia="Times New Roman" w:hAnsi="Times New Roman" w:cs="Times New Roman"/>
                <w:color w:val="4C4747"/>
              </w:rPr>
              <w:t>49</w:t>
            </w:r>
            <w:r>
              <w:rPr>
                <w:rFonts w:ascii="Times New Roman" w:eastAsia="Times New Roman" w:hAnsi="Times New Roman" w:cs="Times New Roman"/>
                <w:color w:val="4C4747"/>
              </w:rPr>
              <w:t>,</w:t>
            </w:r>
            <w:r w:rsidRPr="002742F1">
              <w:rPr>
                <w:rFonts w:ascii="Times New Roman" w:eastAsia="Times New Roman" w:hAnsi="Times New Roman" w:cs="Times New Roman"/>
                <w:color w:val="4C4747"/>
              </w:rPr>
              <w:t>765</w:t>
            </w:r>
            <w:r>
              <w:rPr>
                <w:rFonts w:ascii="Times New Roman" w:eastAsia="Times New Roman" w:hAnsi="Times New Roman" w:cs="Times New Roman"/>
                <w:color w:val="4C4747"/>
              </w:rPr>
              <w:t>,</w:t>
            </w:r>
            <w:r w:rsidRPr="002742F1">
              <w:rPr>
                <w:rFonts w:ascii="Times New Roman" w:eastAsia="Times New Roman" w:hAnsi="Times New Roman" w:cs="Times New Roman"/>
                <w:color w:val="4C4747"/>
              </w:rPr>
              <w:t>245.57</w:t>
            </w:r>
          </w:p>
          <w:p w14:paraId="40E9396C" w14:textId="77777777" w:rsidR="008F06D2" w:rsidRPr="002742F1" w:rsidRDefault="008F06D2" w:rsidP="008F06D2">
            <w:pPr>
              <w:pStyle w:val="xxmsonormal"/>
              <w:jc w:val="right"/>
              <w:rPr>
                <w:rFonts w:ascii="Times New Roman" w:eastAsia="Times New Roman" w:hAnsi="Times New Roman" w:cs="Times New Roman"/>
                <w:color w:val="4C4747"/>
              </w:rPr>
            </w:pP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4CC2DE" w14:textId="2E86BF99" w:rsidR="008F06D2" w:rsidRPr="002742F1" w:rsidRDefault="008F06D2" w:rsidP="008F06D2">
            <w:pPr>
              <w:pStyle w:val="xxmsonormal"/>
              <w:spacing w:before="240"/>
              <w:jc w:val="right"/>
              <w:rPr>
                <w:rFonts w:ascii="Times New Roman" w:eastAsia="Times New Roman" w:hAnsi="Times New Roman" w:cs="Times New Roman"/>
                <w:color w:val="4C4747"/>
              </w:rPr>
            </w:pPr>
            <w:r w:rsidRPr="002742F1">
              <w:rPr>
                <w:rFonts w:ascii="Times New Roman" w:eastAsia="Times New Roman" w:hAnsi="Times New Roman" w:cs="Times New Roman"/>
                <w:color w:val="4C4747"/>
              </w:rPr>
              <w:t>42</w:t>
            </w:r>
            <w:r>
              <w:rPr>
                <w:rFonts w:ascii="Times New Roman" w:eastAsia="Times New Roman" w:hAnsi="Times New Roman" w:cs="Times New Roman"/>
                <w:color w:val="4C4747"/>
              </w:rPr>
              <w:t>,</w:t>
            </w:r>
            <w:r w:rsidRPr="002742F1">
              <w:rPr>
                <w:rFonts w:ascii="Times New Roman" w:eastAsia="Times New Roman" w:hAnsi="Times New Roman" w:cs="Times New Roman"/>
                <w:color w:val="4C4747"/>
              </w:rPr>
              <w:t>960</w:t>
            </w:r>
            <w:r>
              <w:rPr>
                <w:rFonts w:ascii="Times New Roman" w:eastAsia="Times New Roman" w:hAnsi="Times New Roman" w:cs="Times New Roman"/>
                <w:color w:val="4C4747"/>
              </w:rPr>
              <w:t>,</w:t>
            </w:r>
            <w:r w:rsidRPr="002742F1">
              <w:rPr>
                <w:rFonts w:ascii="Times New Roman" w:eastAsia="Times New Roman" w:hAnsi="Times New Roman" w:cs="Times New Roman"/>
                <w:color w:val="4C4747"/>
              </w:rPr>
              <w:t>939.47</w:t>
            </w:r>
          </w:p>
          <w:p w14:paraId="71DCA84B" w14:textId="77777777" w:rsidR="008F06D2" w:rsidRPr="002742F1" w:rsidRDefault="008F06D2" w:rsidP="008F06D2">
            <w:pPr>
              <w:pStyle w:val="xxmsonormal"/>
              <w:jc w:val="right"/>
              <w:rPr>
                <w:rFonts w:ascii="Times New Roman" w:eastAsia="Times New Roman" w:hAnsi="Times New Roman" w:cs="Times New Roman"/>
                <w:color w:val="4C4747"/>
              </w:rPr>
            </w:pPr>
          </w:p>
        </w:tc>
        <w:tc>
          <w:tcPr>
            <w:tcW w:w="1842" w:type="dxa"/>
            <w:tcBorders>
              <w:top w:val="single" w:sz="4" w:space="0" w:color="auto"/>
              <w:left w:val="single" w:sz="4" w:space="0" w:color="auto"/>
              <w:bottom w:val="single" w:sz="4" w:space="0" w:color="auto"/>
              <w:right w:val="single" w:sz="4" w:space="0" w:color="auto"/>
            </w:tcBorders>
            <w:vAlign w:val="center"/>
          </w:tcPr>
          <w:p w14:paraId="393149CC" w14:textId="03CDE7F9" w:rsidR="008F06D2" w:rsidRPr="002742F1" w:rsidRDefault="008F06D2" w:rsidP="00602398">
            <w:pPr>
              <w:spacing w:before="240" w:after="0" w:line="240" w:lineRule="auto"/>
              <w:jc w:val="center"/>
              <w:rPr>
                <w:rFonts w:eastAsia="Times New Roman"/>
                <w:color w:val="4C4747"/>
                <w:sz w:val="22"/>
                <w:szCs w:val="22"/>
              </w:rPr>
            </w:pPr>
            <w:r w:rsidRPr="002742F1">
              <w:rPr>
                <w:rFonts w:eastAsia="Times New Roman"/>
                <w:color w:val="4C4747"/>
                <w:sz w:val="22"/>
                <w:szCs w:val="22"/>
                <w:lang w:val="es-DO"/>
              </w:rPr>
              <w:t xml:space="preserve"> 13</w:t>
            </w:r>
            <w:r>
              <w:rPr>
                <w:rFonts w:eastAsia="Times New Roman"/>
                <w:color w:val="4C4747"/>
              </w:rPr>
              <w:t>1,769,382</w:t>
            </w:r>
            <w:r w:rsidRPr="002742F1">
              <w:rPr>
                <w:rFonts w:eastAsia="Times New Roman"/>
                <w:color w:val="4C4747"/>
                <w:sz w:val="22"/>
                <w:szCs w:val="22"/>
                <w:lang w:val="es-DO"/>
              </w:rPr>
              <w:t>.</w:t>
            </w:r>
            <w:r>
              <w:rPr>
                <w:rFonts w:eastAsia="Times New Roman"/>
                <w:color w:val="4C4747"/>
              </w:rPr>
              <w:t>37</w:t>
            </w:r>
          </w:p>
          <w:p w14:paraId="32E8D706" w14:textId="77777777" w:rsidR="008F06D2" w:rsidRPr="002742F1" w:rsidRDefault="008F06D2" w:rsidP="008F06D2">
            <w:pPr>
              <w:pStyle w:val="xxmsonormal"/>
              <w:jc w:val="right"/>
              <w:rPr>
                <w:rFonts w:ascii="Times New Roman" w:eastAsia="Times New Roman" w:hAnsi="Times New Roman" w:cs="Times New Roman"/>
                <w:color w:val="4C4747"/>
              </w:rPr>
            </w:pPr>
          </w:p>
        </w:tc>
      </w:tr>
      <w:tr w:rsidR="00602398" w:rsidRPr="002346B8" w14:paraId="620079B7" w14:textId="77777777" w:rsidTr="00602398">
        <w:trPr>
          <w:trHeight w:val="834"/>
        </w:trPr>
        <w:tc>
          <w:tcPr>
            <w:tcW w:w="9634" w:type="dxa"/>
            <w:gridSpan w:val="5"/>
            <w:tcBorders>
              <w:top w:val="single" w:sz="4" w:space="0" w:color="auto"/>
              <w:left w:val="nil"/>
              <w:bottom w:val="nil"/>
              <w:right w:val="nil"/>
            </w:tcBorders>
            <w:noWrap/>
            <w:tcMar>
              <w:top w:w="0" w:type="dxa"/>
              <w:left w:w="70" w:type="dxa"/>
              <w:bottom w:w="0" w:type="dxa"/>
              <w:right w:w="70" w:type="dxa"/>
            </w:tcMar>
            <w:vAlign w:val="center"/>
          </w:tcPr>
          <w:p w14:paraId="38564E23" w14:textId="6E1C7F6E" w:rsidR="00602398" w:rsidRPr="00602398" w:rsidRDefault="00602398" w:rsidP="00602398">
            <w:pPr>
              <w:spacing w:before="240" w:after="0" w:line="240" w:lineRule="auto"/>
              <w:rPr>
                <w:rFonts w:eastAsia="Times New Roman"/>
                <w:i/>
                <w:iCs/>
                <w:color w:val="4C4747"/>
                <w:sz w:val="20"/>
                <w:szCs w:val="20"/>
                <w:lang w:val="es-DO"/>
              </w:rPr>
            </w:pPr>
            <w:r w:rsidRPr="00602398">
              <w:rPr>
                <w:rFonts w:eastAsia="Calibri"/>
                <w:i/>
                <w:iCs/>
                <w:color w:val="4C4747"/>
                <w:sz w:val="20"/>
                <w:szCs w:val="20"/>
                <w:lang w:val="es-DO"/>
              </w:rPr>
              <w:t>Fuente: Depto de Planificación</w:t>
            </w:r>
            <w:r w:rsidRPr="00602398">
              <w:rPr>
                <w:rFonts w:eastAsia="Times New Roman"/>
                <w:i/>
                <w:iCs/>
                <w:color w:val="4C4747"/>
                <w:sz w:val="20"/>
                <w:szCs w:val="20"/>
              </w:rPr>
              <w:t xml:space="preserve"> </w:t>
            </w:r>
          </w:p>
        </w:tc>
      </w:tr>
    </w:tbl>
    <w:p w14:paraId="09E5E2D3" w14:textId="4EEB7D6D" w:rsidR="004368C8" w:rsidRDefault="004368C8">
      <w:pPr>
        <w:rPr>
          <w:rFonts w:eastAsia="Times New Roman"/>
          <w:i/>
          <w:iCs/>
          <w:color w:val="4C4747"/>
          <w:lang w:val="es-DO"/>
        </w:rPr>
      </w:pPr>
      <w:r>
        <w:rPr>
          <w:rFonts w:eastAsia="Times New Roman"/>
          <w:i/>
          <w:iCs/>
          <w:color w:val="4C4747"/>
          <w:lang w:val="es-DO"/>
        </w:rPr>
        <w:br w:type="page"/>
      </w:r>
    </w:p>
    <w:p w14:paraId="4C5F8EE0" w14:textId="77777777" w:rsidR="001645A9" w:rsidRDefault="001645A9" w:rsidP="008F06D2">
      <w:pPr>
        <w:spacing w:before="240" w:after="240" w:line="360" w:lineRule="auto"/>
        <w:rPr>
          <w:rFonts w:eastAsia="Times New Roman"/>
          <w:i/>
          <w:iCs/>
          <w:color w:val="4C4747"/>
          <w:lang w:val="es-DO"/>
        </w:rPr>
        <w:sectPr w:rsidR="001645A9" w:rsidSect="00EC3E00">
          <w:pgSz w:w="12240" w:h="15840"/>
          <w:pgMar w:top="1440" w:right="2160" w:bottom="1440" w:left="2160" w:header="720" w:footer="720" w:gutter="0"/>
          <w:cols w:space="720"/>
          <w:docGrid w:linePitch="360"/>
        </w:sectPr>
      </w:pPr>
    </w:p>
    <w:p w14:paraId="70A224F9" w14:textId="618CB34E" w:rsidR="00D719BA" w:rsidRDefault="00D719BA" w:rsidP="00340DF1">
      <w:pPr>
        <w:pStyle w:val="Ttulo2"/>
        <w:numPr>
          <w:ilvl w:val="0"/>
          <w:numId w:val="30"/>
        </w:numPr>
        <w:spacing w:line="360" w:lineRule="auto"/>
      </w:pPr>
      <w:bookmarkStart w:id="25" w:name="_Toc217035445"/>
      <w:bookmarkEnd w:id="22"/>
      <w:bookmarkEnd w:id="23"/>
      <w:bookmarkEnd w:id="24"/>
      <w:proofErr w:type="spellStart"/>
      <w:r w:rsidRPr="002E6DBA">
        <w:lastRenderedPageBreak/>
        <w:t>Matríz</w:t>
      </w:r>
      <w:proofErr w:type="spellEnd"/>
      <w:r w:rsidRPr="002E6DBA">
        <w:t xml:space="preserve"> de </w:t>
      </w:r>
      <w:proofErr w:type="spellStart"/>
      <w:r>
        <w:t>Ejecución</w:t>
      </w:r>
      <w:proofErr w:type="spellEnd"/>
      <w:r>
        <w:t xml:space="preserve"> </w:t>
      </w:r>
      <w:proofErr w:type="spellStart"/>
      <w:r>
        <w:t>Presupuestaria</w:t>
      </w:r>
      <w:bookmarkEnd w:id="25"/>
      <w:proofErr w:type="spellEnd"/>
      <w:r>
        <w:t xml:space="preserve"> </w:t>
      </w:r>
    </w:p>
    <w:p w14:paraId="1E924FA9" w14:textId="77777777" w:rsidR="00D719BA" w:rsidRPr="00D719BA" w:rsidRDefault="00D719BA" w:rsidP="00340DF1">
      <w:pPr>
        <w:spacing w:line="360" w:lineRule="auto"/>
      </w:pPr>
    </w:p>
    <w:p w14:paraId="124ED908" w14:textId="34B2D8F9" w:rsidR="00A35A13" w:rsidRPr="00A35A13" w:rsidRDefault="00A35A13" w:rsidP="00340DF1">
      <w:pPr>
        <w:spacing w:line="360" w:lineRule="auto"/>
        <w:jc w:val="both"/>
        <w:rPr>
          <w:rFonts w:eastAsia="Calibri"/>
          <w:noProof/>
          <w:color w:val="4C4747"/>
          <w:lang w:val="es-DO"/>
        </w:rPr>
      </w:pPr>
      <w:r w:rsidRPr="00A35A13">
        <w:rPr>
          <w:rFonts w:eastAsia="Calibri"/>
          <w:noProof/>
          <w:color w:val="4C4747"/>
          <w:lang w:val="es-DO"/>
        </w:rPr>
        <w:t xml:space="preserve">La Matriz de Ejecución Presupuestaria Anual constituye un instrumento esencial para </w:t>
      </w:r>
      <w:r w:rsidR="007D635D">
        <w:rPr>
          <w:rFonts w:eastAsia="Calibri"/>
          <w:noProof/>
          <w:color w:val="4C4747"/>
          <w:lang w:val="es-DO"/>
        </w:rPr>
        <w:t>mostrar</w:t>
      </w:r>
      <w:r w:rsidRPr="00A35A13">
        <w:rPr>
          <w:rFonts w:eastAsia="Calibri"/>
          <w:noProof/>
          <w:color w:val="4C4747"/>
          <w:lang w:val="es-DO"/>
        </w:rPr>
        <w:t xml:space="preserve"> el desempeño financiero y la eficiencia en la gestión de los recursos institucionales. Su propósito es ofrecer una visión transparente y precisa sobre el </w:t>
      </w:r>
      <w:r w:rsidR="00BD3F5A">
        <w:rPr>
          <w:rFonts w:eastAsia="Calibri"/>
          <w:noProof/>
          <w:color w:val="4C4747"/>
          <w:lang w:val="es-DO"/>
        </w:rPr>
        <w:t>índice</w:t>
      </w:r>
      <w:r w:rsidRPr="00A35A13">
        <w:rPr>
          <w:rFonts w:eastAsia="Calibri"/>
          <w:noProof/>
          <w:color w:val="4C4747"/>
          <w:lang w:val="es-DO"/>
        </w:rPr>
        <w:t xml:space="preserve"> de ejecución alcanzado, permitiendo identificar </w:t>
      </w:r>
      <w:r w:rsidR="006912A0">
        <w:rPr>
          <w:rFonts w:eastAsia="Calibri"/>
          <w:noProof/>
          <w:color w:val="4C4747"/>
          <w:lang w:val="es-DO"/>
        </w:rPr>
        <w:t>la participación en la ejecución por programa</w:t>
      </w:r>
      <w:r w:rsidRPr="00A35A13">
        <w:rPr>
          <w:rFonts w:eastAsia="Calibri"/>
          <w:noProof/>
          <w:color w:val="4C4747"/>
          <w:lang w:val="es-DO"/>
        </w:rPr>
        <w:t xml:space="preserve"> presupuestari</w:t>
      </w:r>
      <w:r w:rsidR="006912A0">
        <w:rPr>
          <w:rFonts w:eastAsia="Calibri"/>
          <w:noProof/>
          <w:color w:val="4C4747"/>
          <w:lang w:val="es-DO"/>
        </w:rPr>
        <w:t>o</w:t>
      </w:r>
      <w:r w:rsidRPr="00A35A13">
        <w:rPr>
          <w:rFonts w:eastAsia="Calibri"/>
          <w:noProof/>
          <w:color w:val="4C4747"/>
          <w:lang w:val="es-DO"/>
        </w:rPr>
        <w:t>.</w:t>
      </w:r>
    </w:p>
    <w:p w14:paraId="75E8CD36" w14:textId="42E334CA" w:rsidR="00A35A13" w:rsidRPr="00A35A13" w:rsidRDefault="00A35A13" w:rsidP="00340DF1">
      <w:pPr>
        <w:spacing w:line="360" w:lineRule="auto"/>
        <w:jc w:val="both"/>
        <w:rPr>
          <w:rFonts w:eastAsia="Calibri"/>
          <w:noProof/>
          <w:color w:val="4C4747"/>
          <w:lang w:val="es-DO"/>
        </w:rPr>
      </w:pPr>
      <w:r w:rsidRPr="00A35A13">
        <w:rPr>
          <w:rFonts w:eastAsia="Calibri"/>
          <w:noProof/>
          <w:color w:val="4C4747"/>
          <w:lang w:val="es-DO"/>
        </w:rPr>
        <w:t>En el ejercicio fiscal 2025, ProCompetencia dispuso de una asignación presupuestaria de RD$193,360,446.00. Al corte del 10 de diciembre, la ejecución ascendió a RD$122,393,261.50, lo que representa un 63% del presupuesto aprobado.</w:t>
      </w:r>
    </w:p>
    <w:p w14:paraId="797B78CB" w14:textId="732CEDD9" w:rsidR="00A35A13" w:rsidRPr="00A35A13" w:rsidRDefault="009E3F46" w:rsidP="00340DF1">
      <w:pPr>
        <w:spacing w:line="360" w:lineRule="auto"/>
        <w:jc w:val="both"/>
        <w:rPr>
          <w:rFonts w:eastAsia="Calibri"/>
          <w:noProof/>
          <w:color w:val="4C4747"/>
          <w:lang w:val="es-DO"/>
        </w:rPr>
      </w:pPr>
      <w:r w:rsidRPr="009E3F46">
        <w:rPr>
          <w:rFonts w:eastAsia="Calibri"/>
          <w:noProof/>
          <w:color w:val="4C4747"/>
          <w:lang w:val="es-DO"/>
        </w:rPr>
        <w:drawing>
          <wp:anchor distT="0" distB="0" distL="114300" distR="114300" simplePos="0" relativeHeight="251658271" behindDoc="0" locked="0" layoutInCell="1" allowOverlap="1" wp14:anchorId="31C78D36" wp14:editId="73668CC8">
            <wp:simplePos x="0" y="0"/>
            <wp:positionH relativeFrom="column">
              <wp:posOffset>-415290</wp:posOffset>
            </wp:positionH>
            <wp:positionV relativeFrom="paragraph">
              <wp:posOffset>1095375</wp:posOffset>
            </wp:positionV>
            <wp:extent cx="5991860" cy="2558415"/>
            <wp:effectExtent l="0" t="0" r="8890" b="0"/>
            <wp:wrapThrough wrapText="bothSides">
              <wp:wrapPolygon edited="0">
                <wp:start x="0" y="0"/>
                <wp:lineTo x="0" y="21391"/>
                <wp:lineTo x="21563" y="21391"/>
                <wp:lineTo x="21563" y="0"/>
                <wp:lineTo x="0" y="0"/>
              </wp:wrapPolygon>
            </wp:wrapThrough>
            <wp:docPr id="18415747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574772" name=""/>
                    <pic:cNvPicPr/>
                  </pic:nvPicPr>
                  <pic:blipFill>
                    <a:blip r:embed="rId24">
                      <a:extLst>
                        <a:ext uri="{28A0092B-C50C-407E-A947-70E740481C1C}">
                          <a14:useLocalDpi xmlns:a14="http://schemas.microsoft.com/office/drawing/2010/main" val="0"/>
                        </a:ext>
                      </a:extLst>
                    </a:blip>
                    <a:stretch>
                      <a:fillRect/>
                    </a:stretch>
                  </pic:blipFill>
                  <pic:spPr>
                    <a:xfrm>
                      <a:off x="0" y="0"/>
                      <a:ext cx="5991860" cy="2558415"/>
                    </a:xfrm>
                    <a:prstGeom prst="rect">
                      <a:avLst/>
                    </a:prstGeom>
                  </pic:spPr>
                </pic:pic>
              </a:graphicData>
            </a:graphic>
            <wp14:sizeRelV relativeFrom="margin">
              <wp14:pctHeight>0</wp14:pctHeight>
            </wp14:sizeRelV>
          </wp:anchor>
        </w:drawing>
      </w:r>
      <w:r w:rsidR="00F90A23">
        <w:rPr>
          <w:rFonts w:eastAsia="Calibri"/>
          <w:noProof/>
          <w:color w:val="4C4747"/>
          <w:lang w:val="es-DO"/>
        </w:rPr>
        <w:t>De acuerdo a la misma, podemos apreciar</w:t>
      </w:r>
      <w:r w:rsidR="00DD27F6">
        <w:rPr>
          <w:rFonts w:eastAsia="Calibri"/>
          <w:noProof/>
          <w:color w:val="4C4747"/>
          <w:lang w:val="es-DO"/>
        </w:rPr>
        <w:t xml:space="preserve"> que e</w:t>
      </w:r>
      <w:r w:rsidR="00A35A13" w:rsidRPr="00A35A13">
        <w:rPr>
          <w:rFonts w:eastAsia="Calibri"/>
          <w:noProof/>
          <w:color w:val="4C4747"/>
          <w:lang w:val="es-DO"/>
        </w:rPr>
        <w:t>l nivel de ejecución refleja un desempeño moderado, con espacio para optimizar la gestión de compromisos financieros en el último trimestre</w:t>
      </w:r>
      <w:r w:rsidR="00DD27F6">
        <w:rPr>
          <w:rFonts w:eastAsia="Calibri"/>
          <w:noProof/>
          <w:color w:val="4C4747"/>
          <w:lang w:val="es-DO"/>
        </w:rPr>
        <w:t xml:space="preserve"> de este 2025.</w:t>
      </w:r>
    </w:p>
    <w:p w14:paraId="74B408F6" w14:textId="3C667183" w:rsidR="00A35A13" w:rsidRDefault="00A35A13" w:rsidP="00340DF1">
      <w:pPr>
        <w:spacing w:line="360" w:lineRule="auto"/>
        <w:jc w:val="both"/>
        <w:rPr>
          <w:rFonts w:eastAsia="Calibri"/>
          <w:noProof/>
          <w:color w:val="4C4747"/>
          <w:lang w:val="es-DO"/>
        </w:rPr>
      </w:pPr>
    </w:p>
    <w:p w14:paraId="64001E6D" w14:textId="1BF3CDDA" w:rsidR="00A35A13" w:rsidRDefault="00A35A13" w:rsidP="00340DF1">
      <w:pPr>
        <w:spacing w:line="360" w:lineRule="auto"/>
        <w:jc w:val="both"/>
        <w:rPr>
          <w:rFonts w:eastAsia="Calibri"/>
          <w:noProof/>
          <w:color w:val="4C4747"/>
          <w:lang w:val="es-DO"/>
        </w:rPr>
      </w:pPr>
    </w:p>
    <w:p w14:paraId="436B904A" w14:textId="77777777" w:rsidR="001E57FF" w:rsidRDefault="001E57FF" w:rsidP="00340DF1">
      <w:pPr>
        <w:spacing w:line="360" w:lineRule="auto"/>
        <w:jc w:val="both"/>
        <w:rPr>
          <w:rFonts w:eastAsia="Calibri"/>
          <w:noProof/>
          <w:color w:val="4C4747"/>
          <w:lang w:val="es-DO"/>
        </w:rPr>
      </w:pPr>
    </w:p>
    <w:p w14:paraId="47A70793" w14:textId="77777777" w:rsidR="00A35A13" w:rsidRDefault="00A35A13" w:rsidP="00340DF1">
      <w:pPr>
        <w:spacing w:line="360" w:lineRule="auto"/>
        <w:jc w:val="both"/>
        <w:rPr>
          <w:rFonts w:eastAsia="Calibri"/>
          <w:noProof/>
          <w:color w:val="4C4747"/>
          <w:lang w:val="es-DO"/>
        </w:rPr>
      </w:pPr>
    </w:p>
    <w:p w14:paraId="0083B034" w14:textId="4D5E0D36" w:rsidR="00886355" w:rsidRPr="00265B96" w:rsidRDefault="00886355" w:rsidP="00340DF1">
      <w:pPr>
        <w:pStyle w:val="Ttulo2"/>
        <w:numPr>
          <w:ilvl w:val="0"/>
          <w:numId w:val="30"/>
        </w:numPr>
        <w:spacing w:line="360" w:lineRule="auto"/>
        <w:rPr>
          <w:lang w:val="es-DO"/>
        </w:rPr>
      </w:pPr>
      <w:bookmarkStart w:id="26" w:name="_Toc217035446"/>
      <w:r w:rsidRPr="00265B96">
        <w:rPr>
          <w:lang w:val="es-DO"/>
        </w:rPr>
        <w:t>Matriz de principales indicadores del POA 2025.</w:t>
      </w:r>
      <w:bookmarkEnd w:id="26"/>
    </w:p>
    <w:p w14:paraId="6F66948E" w14:textId="77777777" w:rsidR="00647660" w:rsidRPr="00265B96" w:rsidRDefault="00647660" w:rsidP="00340DF1">
      <w:pPr>
        <w:spacing w:line="360" w:lineRule="auto"/>
        <w:rPr>
          <w:lang w:val="es-DO"/>
        </w:rPr>
      </w:pPr>
    </w:p>
    <w:p w14:paraId="538F6334" w14:textId="77777777" w:rsidR="00647660" w:rsidRPr="00647660" w:rsidRDefault="00647660" w:rsidP="00340DF1">
      <w:pPr>
        <w:spacing w:line="360" w:lineRule="auto"/>
        <w:jc w:val="both"/>
        <w:rPr>
          <w:rFonts w:eastAsia="Calibri"/>
          <w:noProof/>
          <w:color w:val="4C4747"/>
          <w:lang w:val="es-DO"/>
        </w:rPr>
      </w:pPr>
      <w:r w:rsidRPr="00647660">
        <w:rPr>
          <w:rFonts w:eastAsia="Calibri"/>
          <w:noProof/>
          <w:color w:val="4C4747"/>
          <w:lang w:val="es-DO"/>
        </w:rPr>
        <w:t>La matriz que se presenta a continuación consolida los principales indicadores de productos definidos en el Plan Operativo Anual (POA) 2025. Su propósito central es ofrecer una visión integral y sistemática de los resultados alcanzados en relación con los objetivos establecidos en la planificación operativa, abarcando las distintas áreas de la institución: estratégicas, operacionales y sustantivas.</w:t>
      </w:r>
    </w:p>
    <w:p w14:paraId="3EDDA2B3" w14:textId="77777777" w:rsidR="00647660" w:rsidRPr="00647660" w:rsidRDefault="00647660" w:rsidP="00340DF1">
      <w:pPr>
        <w:spacing w:line="360" w:lineRule="auto"/>
        <w:jc w:val="both"/>
        <w:rPr>
          <w:rFonts w:eastAsia="Calibri"/>
          <w:noProof/>
          <w:color w:val="4C4747"/>
          <w:lang w:val="es-DO"/>
        </w:rPr>
      </w:pPr>
      <w:r w:rsidRPr="00647660">
        <w:rPr>
          <w:rFonts w:eastAsia="Calibri"/>
          <w:noProof/>
          <w:color w:val="4C4747"/>
          <w:lang w:val="es-DO"/>
        </w:rPr>
        <w:t>Como herramienta de gestión, esta matriz facilita:</w:t>
      </w:r>
    </w:p>
    <w:p w14:paraId="57B77A94" w14:textId="77777777" w:rsidR="00647660" w:rsidRPr="00F956F5" w:rsidRDefault="00647660" w:rsidP="00340DF1">
      <w:pPr>
        <w:numPr>
          <w:ilvl w:val="0"/>
          <w:numId w:val="15"/>
        </w:numPr>
        <w:spacing w:line="360" w:lineRule="auto"/>
        <w:jc w:val="both"/>
        <w:rPr>
          <w:rFonts w:eastAsia="Calibri"/>
          <w:noProof/>
          <w:color w:val="4C4747"/>
          <w:lang w:val="es-DO"/>
        </w:rPr>
      </w:pPr>
      <w:r w:rsidRPr="00F956F5">
        <w:rPr>
          <w:rFonts w:eastAsia="Calibri"/>
          <w:noProof/>
          <w:color w:val="4C4747"/>
          <w:lang w:val="es-DO"/>
        </w:rPr>
        <w:t>Seguimiento estructurado del cumplimiento de metas y productos institucionales.</w:t>
      </w:r>
    </w:p>
    <w:p w14:paraId="34E65988" w14:textId="77777777" w:rsidR="00647660" w:rsidRPr="00F956F5" w:rsidRDefault="00647660" w:rsidP="00340DF1">
      <w:pPr>
        <w:numPr>
          <w:ilvl w:val="0"/>
          <w:numId w:val="15"/>
        </w:numPr>
        <w:spacing w:line="360" w:lineRule="auto"/>
        <w:jc w:val="both"/>
        <w:rPr>
          <w:rFonts w:eastAsia="Calibri"/>
          <w:noProof/>
          <w:color w:val="4C4747"/>
          <w:lang w:val="es-DO"/>
        </w:rPr>
      </w:pPr>
      <w:r w:rsidRPr="00F956F5">
        <w:rPr>
          <w:rFonts w:eastAsia="Calibri"/>
          <w:noProof/>
          <w:color w:val="4C4747"/>
          <w:lang w:val="es-DO"/>
        </w:rPr>
        <w:t>Evaluación comparativa entre lo planificado y lo ejecutado, identificando brechas y oportunidades de mejora.</w:t>
      </w:r>
    </w:p>
    <w:p w14:paraId="0405811D" w14:textId="77777777" w:rsidR="00647660" w:rsidRPr="00F956F5" w:rsidRDefault="00647660" w:rsidP="00340DF1">
      <w:pPr>
        <w:numPr>
          <w:ilvl w:val="0"/>
          <w:numId w:val="15"/>
        </w:numPr>
        <w:spacing w:line="360" w:lineRule="auto"/>
        <w:jc w:val="both"/>
        <w:rPr>
          <w:rFonts w:eastAsia="Calibri"/>
          <w:noProof/>
          <w:color w:val="4C4747"/>
          <w:lang w:val="es-DO"/>
        </w:rPr>
      </w:pPr>
      <w:r w:rsidRPr="00F956F5">
        <w:rPr>
          <w:rFonts w:eastAsia="Calibri"/>
          <w:noProof/>
          <w:color w:val="4C4747"/>
          <w:lang w:val="es-DO"/>
        </w:rPr>
        <w:t>Análisis transversal del desempeño en las diferentes áreas, asegurando coherencia con los objetivos estratégicos.</w:t>
      </w:r>
    </w:p>
    <w:p w14:paraId="6236ECAE" w14:textId="77777777" w:rsidR="00647660" w:rsidRPr="00F956F5" w:rsidRDefault="00647660" w:rsidP="00340DF1">
      <w:pPr>
        <w:numPr>
          <w:ilvl w:val="0"/>
          <w:numId w:val="15"/>
        </w:numPr>
        <w:spacing w:line="360" w:lineRule="auto"/>
        <w:jc w:val="both"/>
        <w:rPr>
          <w:rFonts w:eastAsia="Calibri"/>
          <w:noProof/>
          <w:color w:val="4C4747"/>
          <w:lang w:val="es-DO"/>
        </w:rPr>
      </w:pPr>
      <w:r w:rsidRPr="00F956F5">
        <w:rPr>
          <w:rFonts w:eastAsia="Calibri"/>
          <w:noProof/>
          <w:color w:val="4C4747"/>
          <w:lang w:val="es-DO"/>
        </w:rPr>
        <w:t>Toma de decisiones informada, al proveer evidencia clara sobre el avance y los resultados obtenidos.</w:t>
      </w:r>
    </w:p>
    <w:p w14:paraId="3D3D34F6" w14:textId="77777777" w:rsidR="00E168B5" w:rsidRPr="00F956F5" w:rsidRDefault="00E168B5" w:rsidP="00340DF1">
      <w:pPr>
        <w:spacing w:line="360" w:lineRule="auto"/>
        <w:jc w:val="both"/>
        <w:rPr>
          <w:rFonts w:eastAsia="Calibri"/>
          <w:noProof/>
          <w:color w:val="4C4747"/>
          <w:lang w:val="es-DO"/>
        </w:rPr>
      </w:pPr>
    </w:p>
    <w:p w14:paraId="7022C36C" w14:textId="4DA005E2" w:rsidR="00647660" w:rsidRPr="00647660" w:rsidRDefault="00647660" w:rsidP="00340DF1">
      <w:pPr>
        <w:spacing w:line="360" w:lineRule="auto"/>
        <w:jc w:val="both"/>
        <w:rPr>
          <w:rFonts w:eastAsia="Calibri"/>
          <w:noProof/>
          <w:color w:val="4C4747"/>
          <w:lang w:val="es-DO"/>
        </w:rPr>
      </w:pPr>
      <w:r w:rsidRPr="00647660">
        <w:rPr>
          <w:rFonts w:eastAsia="Calibri"/>
          <w:noProof/>
          <w:color w:val="4C4747"/>
          <w:lang w:val="es-DO"/>
        </w:rPr>
        <w:t>En síntesis, la Matriz de Indicadores del POA 2025 constituye un instrumento clave para fortalecer la transparencia, la eficiencia y la efectividad institucional, al permitir un análisis detallado del desempeño de los productos y servicios en el período evaluado.</w:t>
      </w:r>
    </w:p>
    <w:p w14:paraId="264CEFE1" w14:textId="77777777" w:rsidR="006367D1" w:rsidRDefault="006367D1" w:rsidP="00340DF1">
      <w:pPr>
        <w:spacing w:line="360" w:lineRule="auto"/>
        <w:rPr>
          <w:lang w:val="es-DO"/>
        </w:rPr>
      </w:pPr>
    </w:p>
    <w:p w14:paraId="0F01F1E8" w14:textId="1D09A345" w:rsidR="00D34961" w:rsidRDefault="00D34961">
      <w:pPr>
        <w:rPr>
          <w:lang w:val="es-DO"/>
        </w:rPr>
      </w:pPr>
      <w:r>
        <w:rPr>
          <w:lang w:val="es-DO"/>
        </w:rPr>
        <w:br w:type="page"/>
      </w:r>
    </w:p>
    <w:p w14:paraId="15C949B6" w14:textId="77777777" w:rsidR="00F77F22" w:rsidRDefault="00F77F22" w:rsidP="00340DF1">
      <w:pPr>
        <w:spacing w:line="360" w:lineRule="auto"/>
        <w:rPr>
          <w:lang w:val="es-DO"/>
        </w:rPr>
      </w:pPr>
    </w:p>
    <w:tbl>
      <w:tblPr>
        <w:tblW w:w="12330" w:type="dxa"/>
        <w:tblInd w:w="-17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
        <w:gridCol w:w="1895"/>
        <w:gridCol w:w="1855"/>
        <w:gridCol w:w="1935"/>
        <w:gridCol w:w="1270"/>
        <w:gridCol w:w="664"/>
        <w:gridCol w:w="735"/>
        <w:gridCol w:w="1157"/>
        <w:gridCol w:w="1231"/>
        <w:gridCol w:w="1157"/>
      </w:tblGrid>
      <w:tr w:rsidR="00D34961" w:rsidRPr="00D3031A" w14:paraId="054B862C" w14:textId="77777777" w:rsidTr="0021165E">
        <w:trPr>
          <w:gridAfter w:val="1"/>
          <w:wAfter w:w="1157" w:type="dxa"/>
          <w:trHeight w:val="388"/>
          <w:tblHeader/>
        </w:trPr>
        <w:tc>
          <w:tcPr>
            <w:tcW w:w="11173" w:type="dxa"/>
            <w:gridSpan w:val="9"/>
            <w:tcBorders>
              <w:top w:val="single" w:sz="6" w:space="0" w:color="auto"/>
              <w:left w:val="single" w:sz="6" w:space="0" w:color="auto"/>
              <w:bottom w:val="single" w:sz="6" w:space="0" w:color="auto"/>
              <w:right w:val="single" w:sz="6" w:space="0" w:color="auto"/>
            </w:tcBorders>
            <w:shd w:val="clear" w:color="auto" w:fill="002060"/>
            <w:vAlign w:val="center"/>
            <w:hideMark/>
          </w:tcPr>
          <w:p w14:paraId="0D62EE04"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Tabla 13: Matriz de Principales Indicadores del Plan Operativo Anual (POA) 2025 3T</w:t>
            </w:r>
          </w:p>
          <w:p w14:paraId="2751B9A4" w14:textId="77777777" w:rsidR="00D34961" w:rsidRPr="00CE2197" w:rsidRDefault="00D34961" w:rsidP="0021165E">
            <w:pPr>
              <w:spacing w:line="360" w:lineRule="auto"/>
              <w:jc w:val="center"/>
              <w:rPr>
                <w:rFonts w:eastAsia="Calibri"/>
                <w:noProof/>
                <w:color w:val="FFFFFF" w:themeColor="background1"/>
                <w:lang w:val="es-DO"/>
              </w:rPr>
            </w:pPr>
          </w:p>
        </w:tc>
      </w:tr>
      <w:tr w:rsidR="00D34961" w:rsidRPr="00CE1671" w14:paraId="719E1D7D" w14:textId="77777777" w:rsidTr="0021165E">
        <w:trPr>
          <w:gridAfter w:val="1"/>
          <w:wAfter w:w="1157" w:type="dxa"/>
          <w:cantSplit/>
          <w:trHeight w:val="735"/>
        </w:trPr>
        <w:tc>
          <w:tcPr>
            <w:tcW w:w="431"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3D67054D"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No.</w:t>
            </w:r>
          </w:p>
        </w:tc>
        <w:tc>
          <w:tcPr>
            <w:tcW w:w="1895" w:type="dxa"/>
            <w:tcBorders>
              <w:top w:val="single" w:sz="6" w:space="0" w:color="auto"/>
              <w:left w:val="nil"/>
              <w:bottom w:val="single" w:sz="6" w:space="0" w:color="auto"/>
              <w:right w:val="single" w:sz="6" w:space="0" w:color="auto"/>
            </w:tcBorders>
            <w:shd w:val="clear" w:color="auto" w:fill="002060"/>
            <w:vAlign w:val="center"/>
            <w:hideMark/>
          </w:tcPr>
          <w:p w14:paraId="3443211B"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Área</w:t>
            </w:r>
          </w:p>
        </w:tc>
        <w:tc>
          <w:tcPr>
            <w:tcW w:w="1855" w:type="dxa"/>
            <w:tcBorders>
              <w:top w:val="single" w:sz="6" w:space="0" w:color="auto"/>
              <w:left w:val="nil"/>
              <w:bottom w:val="single" w:sz="6" w:space="0" w:color="auto"/>
              <w:right w:val="single" w:sz="6" w:space="0" w:color="auto"/>
            </w:tcBorders>
            <w:shd w:val="clear" w:color="auto" w:fill="002060"/>
            <w:vAlign w:val="center"/>
            <w:hideMark/>
          </w:tcPr>
          <w:p w14:paraId="0E59E340"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Producto</w:t>
            </w:r>
          </w:p>
        </w:tc>
        <w:tc>
          <w:tcPr>
            <w:tcW w:w="1935" w:type="dxa"/>
            <w:tcBorders>
              <w:top w:val="single" w:sz="6" w:space="0" w:color="auto"/>
              <w:left w:val="nil"/>
              <w:bottom w:val="single" w:sz="6" w:space="0" w:color="auto"/>
              <w:right w:val="single" w:sz="6" w:space="0" w:color="auto"/>
            </w:tcBorders>
            <w:shd w:val="clear" w:color="auto" w:fill="002060"/>
            <w:vAlign w:val="center"/>
            <w:hideMark/>
          </w:tcPr>
          <w:p w14:paraId="296FCAF2"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Nombre del</w:t>
            </w:r>
          </w:p>
          <w:p w14:paraId="40C95E56"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Indicador</w:t>
            </w:r>
          </w:p>
        </w:tc>
        <w:tc>
          <w:tcPr>
            <w:tcW w:w="1270" w:type="dxa"/>
            <w:tcBorders>
              <w:top w:val="single" w:sz="6" w:space="0" w:color="auto"/>
              <w:left w:val="nil"/>
              <w:bottom w:val="single" w:sz="6" w:space="0" w:color="auto"/>
              <w:right w:val="single" w:sz="6" w:space="0" w:color="auto"/>
            </w:tcBorders>
            <w:shd w:val="clear" w:color="auto" w:fill="002060"/>
            <w:vAlign w:val="center"/>
            <w:hideMark/>
          </w:tcPr>
          <w:p w14:paraId="0834DA78"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Frecuencia</w:t>
            </w:r>
          </w:p>
        </w:tc>
        <w:tc>
          <w:tcPr>
            <w:tcW w:w="664" w:type="dxa"/>
            <w:tcBorders>
              <w:top w:val="single" w:sz="6" w:space="0" w:color="auto"/>
              <w:left w:val="nil"/>
              <w:bottom w:val="single" w:sz="6" w:space="0" w:color="auto"/>
              <w:right w:val="single" w:sz="6" w:space="0" w:color="auto"/>
            </w:tcBorders>
            <w:shd w:val="clear" w:color="auto" w:fill="002060"/>
            <w:vAlign w:val="center"/>
            <w:hideMark/>
          </w:tcPr>
          <w:p w14:paraId="6EADDD2C"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Línea</w:t>
            </w:r>
          </w:p>
          <w:p w14:paraId="1F0AC7F0"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Base</w:t>
            </w:r>
          </w:p>
        </w:tc>
        <w:tc>
          <w:tcPr>
            <w:tcW w:w="735" w:type="dxa"/>
            <w:tcBorders>
              <w:top w:val="single" w:sz="6" w:space="0" w:color="auto"/>
              <w:left w:val="nil"/>
              <w:bottom w:val="single" w:sz="6" w:space="0" w:color="auto"/>
              <w:right w:val="single" w:sz="6" w:space="0" w:color="auto"/>
            </w:tcBorders>
            <w:shd w:val="clear" w:color="auto" w:fill="002060"/>
            <w:vAlign w:val="center"/>
            <w:hideMark/>
          </w:tcPr>
          <w:p w14:paraId="7BA50BD7"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Meta</w:t>
            </w:r>
          </w:p>
        </w:tc>
        <w:tc>
          <w:tcPr>
            <w:tcW w:w="1157" w:type="dxa"/>
            <w:tcBorders>
              <w:top w:val="single" w:sz="6" w:space="0" w:color="auto"/>
              <w:left w:val="nil"/>
              <w:bottom w:val="single" w:sz="6" w:space="0" w:color="auto"/>
              <w:right w:val="single" w:sz="6" w:space="0" w:color="auto"/>
            </w:tcBorders>
            <w:shd w:val="clear" w:color="auto" w:fill="002060"/>
            <w:vAlign w:val="center"/>
            <w:hideMark/>
          </w:tcPr>
          <w:p w14:paraId="05C42627"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Resultado</w:t>
            </w:r>
          </w:p>
        </w:tc>
        <w:tc>
          <w:tcPr>
            <w:tcW w:w="1231" w:type="dxa"/>
            <w:tcBorders>
              <w:top w:val="single" w:sz="6" w:space="0" w:color="auto"/>
              <w:left w:val="nil"/>
              <w:bottom w:val="single" w:sz="6" w:space="0" w:color="auto"/>
              <w:right w:val="single" w:sz="6" w:space="0" w:color="auto"/>
            </w:tcBorders>
            <w:shd w:val="clear" w:color="auto" w:fill="002060"/>
            <w:vAlign w:val="center"/>
            <w:hideMark/>
          </w:tcPr>
          <w:p w14:paraId="50F86123"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Porcentaje</w:t>
            </w:r>
          </w:p>
          <w:p w14:paraId="63B353AE" w14:textId="77777777" w:rsidR="00D34961" w:rsidRPr="00CE2197" w:rsidRDefault="00D34961" w:rsidP="0021165E">
            <w:pPr>
              <w:spacing w:line="360" w:lineRule="auto"/>
              <w:jc w:val="center"/>
              <w:rPr>
                <w:rFonts w:eastAsia="Calibri"/>
                <w:noProof/>
                <w:color w:val="FFFFFF" w:themeColor="background1"/>
                <w:lang w:val="es-DO"/>
              </w:rPr>
            </w:pPr>
            <w:r w:rsidRPr="00CE2197">
              <w:rPr>
                <w:rFonts w:eastAsia="Calibri"/>
                <w:noProof/>
                <w:color w:val="FFFFFF" w:themeColor="background1"/>
                <w:lang w:val="es-DO"/>
              </w:rPr>
              <w:t>de Avance</w:t>
            </w:r>
          </w:p>
        </w:tc>
      </w:tr>
      <w:tr w:rsidR="00D34961" w:rsidRPr="00581A3E" w14:paraId="017FB569" w14:textId="77777777" w:rsidTr="0021165E">
        <w:trPr>
          <w:gridAfter w:val="1"/>
          <w:wAfter w:w="1157" w:type="dxa"/>
          <w:trHeight w:val="4177"/>
        </w:trPr>
        <w:tc>
          <w:tcPr>
            <w:tcW w:w="431" w:type="dxa"/>
            <w:tcBorders>
              <w:top w:val="single" w:sz="6" w:space="0" w:color="auto"/>
              <w:left w:val="single" w:sz="6" w:space="0" w:color="auto"/>
              <w:bottom w:val="single" w:sz="6" w:space="0" w:color="auto"/>
              <w:right w:val="single" w:sz="6" w:space="0" w:color="auto"/>
            </w:tcBorders>
            <w:vAlign w:val="center"/>
          </w:tcPr>
          <w:p w14:paraId="59DE3819"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w:t>
            </w:r>
          </w:p>
        </w:tc>
        <w:tc>
          <w:tcPr>
            <w:tcW w:w="1895" w:type="dxa"/>
            <w:tcBorders>
              <w:top w:val="single" w:sz="6" w:space="0" w:color="auto"/>
              <w:left w:val="single" w:sz="6" w:space="0" w:color="auto"/>
              <w:bottom w:val="single" w:sz="6" w:space="0" w:color="auto"/>
              <w:right w:val="single" w:sz="6" w:space="0" w:color="auto"/>
            </w:tcBorders>
            <w:vAlign w:val="center"/>
          </w:tcPr>
          <w:p w14:paraId="3D1B024E" w14:textId="77777777" w:rsidR="00D34961" w:rsidRDefault="00D34961" w:rsidP="0021165E">
            <w:pPr>
              <w:spacing w:line="360" w:lineRule="auto"/>
              <w:rPr>
                <w:rFonts w:eastAsia="Calibri"/>
                <w:noProof/>
                <w:color w:val="4C4747"/>
                <w:lang w:val="es-DO"/>
              </w:rPr>
            </w:pPr>
            <w:r>
              <w:rPr>
                <w:rFonts w:eastAsia="Calibri"/>
                <w:noProof/>
                <w:color w:val="4C4747"/>
                <w:lang w:val="es-DO"/>
              </w:rPr>
              <w:t xml:space="preserve">Dirección Ejecutiva </w:t>
            </w:r>
          </w:p>
        </w:tc>
        <w:tc>
          <w:tcPr>
            <w:tcW w:w="1855" w:type="dxa"/>
            <w:tcBorders>
              <w:top w:val="single" w:sz="6" w:space="0" w:color="auto"/>
              <w:left w:val="single" w:sz="6" w:space="0" w:color="auto"/>
              <w:bottom w:val="single" w:sz="6" w:space="0" w:color="auto"/>
              <w:right w:val="single" w:sz="6" w:space="0" w:color="auto"/>
            </w:tcBorders>
            <w:vAlign w:val="center"/>
          </w:tcPr>
          <w:p w14:paraId="50344167" w14:textId="77777777" w:rsidR="00D34961" w:rsidRPr="00CE1671" w:rsidRDefault="00D34961" w:rsidP="0021165E">
            <w:pPr>
              <w:spacing w:line="360" w:lineRule="auto"/>
              <w:jc w:val="both"/>
              <w:rPr>
                <w:rFonts w:eastAsia="Calibri"/>
                <w:noProof/>
                <w:color w:val="4C4747"/>
                <w:lang w:val="es-DO"/>
              </w:rPr>
            </w:pPr>
            <w:r w:rsidRPr="00BA3594">
              <w:rPr>
                <w:rFonts w:eastAsia="Calibri"/>
                <w:noProof/>
                <w:color w:val="4C4747"/>
                <w:lang w:val="es-DO"/>
              </w:rPr>
              <w:t>Resoluciones que deciden sobre las solicitudes de inicio de investigación (denuncias) recibidas</w:t>
            </w:r>
          </w:p>
        </w:tc>
        <w:tc>
          <w:tcPr>
            <w:tcW w:w="1935" w:type="dxa"/>
            <w:tcBorders>
              <w:top w:val="single" w:sz="6" w:space="0" w:color="auto"/>
              <w:left w:val="single" w:sz="6" w:space="0" w:color="auto"/>
              <w:bottom w:val="single" w:sz="6" w:space="0" w:color="auto"/>
              <w:right w:val="single" w:sz="6" w:space="0" w:color="auto"/>
            </w:tcBorders>
            <w:vAlign w:val="center"/>
          </w:tcPr>
          <w:p w14:paraId="7FBDE8CD" w14:textId="77777777" w:rsidR="00D34961" w:rsidRPr="00CE1671" w:rsidRDefault="00D34961" w:rsidP="0021165E">
            <w:pPr>
              <w:spacing w:line="360" w:lineRule="auto"/>
              <w:jc w:val="center"/>
              <w:rPr>
                <w:rFonts w:eastAsia="Calibri"/>
                <w:noProof/>
                <w:color w:val="4C4747"/>
                <w:lang w:val="es-DO"/>
              </w:rPr>
            </w:pPr>
            <w:r w:rsidRPr="00AF0A79">
              <w:rPr>
                <w:rFonts w:eastAsia="Calibri"/>
                <w:noProof/>
                <w:color w:val="4C4747"/>
                <w:lang w:val="es-DO"/>
              </w:rPr>
              <w:t>Porcentaje de resoluciones que deciden las solicitudes de inicio de investigación (denuncias) con relación a las solicitudes recibidas</w:t>
            </w:r>
          </w:p>
        </w:tc>
        <w:tc>
          <w:tcPr>
            <w:tcW w:w="1270" w:type="dxa"/>
            <w:tcBorders>
              <w:top w:val="single" w:sz="6" w:space="0" w:color="auto"/>
              <w:left w:val="single" w:sz="6" w:space="0" w:color="auto"/>
              <w:bottom w:val="single" w:sz="6" w:space="0" w:color="auto"/>
              <w:right w:val="single" w:sz="6" w:space="0" w:color="auto"/>
            </w:tcBorders>
            <w:vAlign w:val="center"/>
          </w:tcPr>
          <w:p w14:paraId="3398FF41" w14:textId="77777777" w:rsidR="00D34961" w:rsidRPr="00CE1671" w:rsidRDefault="00D34961" w:rsidP="0021165E">
            <w:pPr>
              <w:spacing w:line="360" w:lineRule="auto"/>
              <w:jc w:val="both"/>
              <w:rPr>
                <w:rFonts w:eastAsia="Calibri"/>
                <w:noProof/>
                <w:color w:val="4C4747"/>
                <w:lang w:val="es-DO"/>
              </w:rPr>
            </w:pPr>
            <w:r>
              <w:rPr>
                <w:rFonts w:eastAsia="Calibri"/>
                <w:noProof/>
                <w:color w:val="4C4747"/>
                <w:lang w:val="es-DO"/>
              </w:rPr>
              <w:t xml:space="preserve">Trimestral </w:t>
            </w:r>
          </w:p>
        </w:tc>
        <w:tc>
          <w:tcPr>
            <w:tcW w:w="664" w:type="dxa"/>
            <w:tcBorders>
              <w:top w:val="single" w:sz="6" w:space="0" w:color="auto"/>
              <w:left w:val="single" w:sz="6" w:space="0" w:color="auto"/>
              <w:bottom w:val="single" w:sz="6" w:space="0" w:color="auto"/>
              <w:right w:val="single" w:sz="6" w:space="0" w:color="auto"/>
            </w:tcBorders>
            <w:vAlign w:val="center"/>
          </w:tcPr>
          <w:p w14:paraId="0F8520FB"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c>
          <w:tcPr>
            <w:tcW w:w="735" w:type="dxa"/>
            <w:tcBorders>
              <w:top w:val="single" w:sz="6" w:space="0" w:color="auto"/>
              <w:left w:val="single" w:sz="6" w:space="0" w:color="auto"/>
              <w:bottom w:val="single" w:sz="6" w:space="0" w:color="auto"/>
              <w:right w:val="single" w:sz="6" w:space="0" w:color="auto"/>
            </w:tcBorders>
            <w:vAlign w:val="center"/>
          </w:tcPr>
          <w:p w14:paraId="014EF1CA"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c>
          <w:tcPr>
            <w:tcW w:w="1157" w:type="dxa"/>
            <w:tcBorders>
              <w:top w:val="single" w:sz="6" w:space="0" w:color="auto"/>
              <w:left w:val="single" w:sz="6" w:space="0" w:color="auto"/>
              <w:bottom w:val="single" w:sz="6" w:space="0" w:color="auto"/>
              <w:right w:val="single" w:sz="6" w:space="0" w:color="auto"/>
            </w:tcBorders>
            <w:vAlign w:val="center"/>
          </w:tcPr>
          <w:p w14:paraId="4C9E7320"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c>
          <w:tcPr>
            <w:tcW w:w="1231" w:type="dxa"/>
            <w:tcBorders>
              <w:top w:val="single" w:sz="6" w:space="0" w:color="auto"/>
              <w:left w:val="single" w:sz="6" w:space="0" w:color="auto"/>
              <w:bottom w:val="single" w:sz="6" w:space="0" w:color="auto"/>
              <w:right w:val="single" w:sz="6" w:space="0" w:color="auto"/>
            </w:tcBorders>
            <w:vAlign w:val="center"/>
          </w:tcPr>
          <w:p w14:paraId="75B37AEC"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r>
      <w:tr w:rsidR="00D34961" w:rsidRPr="00581A3E" w14:paraId="7FDD93E8" w14:textId="77777777" w:rsidTr="0021165E">
        <w:trPr>
          <w:gridAfter w:val="1"/>
          <w:wAfter w:w="1157" w:type="dxa"/>
          <w:trHeight w:val="735"/>
        </w:trPr>
        <w:tc>
          <w:tcPr>
            <w:tcW w:w="431" w:type="dxa"/>
            <w:tcBorders>
              <w:top w:val="single" w:sz="6" w:space="0" w:color="auto"/>
              <w:left w:val="single" w:sz="6" w:space="0" w:color="auto"/>
              <w:bottom w:val="single" w:sz="6" w:space="0" w:color="auto"/>
              <w:right w:val="single" w:sz="6" w:space="0" w:color="auto"/>
            </w:tcBorders>
            <w:vAlign w:val="center"/>
            <w:hideMark/>
          </w:tcPr>
          <w:p w14:paraId="1B5F326C"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2</w:t>
            </w:r>
          </w:p>
        </w:tc>
        <w:tc>
          <w:tcPr>
            <w:tcW w:w="1895" w:type="dxa"/>
            <w:tcBorders>
              <w:top w:val="single" w:sz="6" w:space="0" w:color="auto"/>
              <w:left w:val="single" w:sz="6" w:space="0" w:color="auto"/>
              <w:bottom w:val="single" w:sz="6" w:space="0" w:color="auto"/>
              <w:right w:val="single" w:sz="6" w:space="0" w:color="auto"/>
            </w:tcBorders>
            <w:vAlign w:val="center"/>
            <w:hideMark/>
          </w:tcPr>
          <w:p w14:paraId="2E1E1255" w14:textId="77777777" w:rsidR="00D34961" w:rsidRPr="00CE1671" w:rsidRDefault="00D34961" w:rsidP="0021165E">
            <w:pPr>
              <w:spacing w:line="360" w:lineRule="auto"/>
              <w:rPr>
                <w:rFonts w:eastAsia="Calibri"/>
                <w:noProof/>
                <w:color w:val="4C4747"/>
                <w:lang w:val="es-DO"/>
              </w:rPr>
            </w:pPr>
            <w:r>
              <w:rPr>
                <w:rFonts w:eastAsia="Calibri"/>
                <w:noProof/>
                <w:color w:val="4C4747"/>
                <w:lang w:val="es-DO"/>
              </w:rPr>
              <w:t xml:space="preserve">Promoción y Abogacía de la Competencia </w:t>
            </w:r>
          </w:p>
        </w:tc>
        <w:tc>
          <w:tcPr>
            <w:tcW w:w="1855" w:type="dxa"/>
            <w:tcBorders>
              <w:top w:val="single" w:sz="6" w:space="0" w:color="auto"/>
              <w:left w:val="single" w:sz="6" w:space="0" w:color="auto"/>
              <w:bottom w:val="single" w:sz="6" w:space="0" w:color="auto"/>
              <w:right w:val="single" w:sz="6" w:space="0" w:color="auto"/>
            </w:tcBorders>
            <w:vAlign w:val="center"/>
            <w:hideMark/>
          </w:tcPr>
          <w:p w14:paraId="52B21597" w14:textId="77777777" w:rsidR="00D34961" w:rsidRPr="00CE1671" w:rsidRDefault="00D34961" w:rsidP="0021165E">
            <w:pPr>
              <w:spacing w:line="360" w:lineRule="auto"/>
              <w:jc w:val="both"/>
              <w:rPr>
                <w:rFonts w:eastAsia="Calibri"/>
                <w:noProof/>
                <w:color w:val="4C4747"/>
                <w:lang w:val="es-DO"/>
              </w:rPr>
            </w:pPr>
            <w:r w:rsidRPr="00CE1671">
              <w:rPr>
                <w:rFonts w:eastAsia="Calibri"/>
                <w:noProof/>
                <w:color w:val="4C4747"/>
                <w:lang w:val="es-DO"/>
              </w:rPr>
              <w:t> </w:t>
            </w:r>
            <w:r>
              <w:rPr>
                <w:rFonts w:eastAsia="Calibri"/>
                <w:noProof/>
                <w:color w:val="4C4747"/>
                <w:lang w:val="es-DO"/>
              </w:rPr>
              <w:t xml:space="preserve">Concurso escribiendo por la competencia </w:t>
            </w:r>
          </w:p>
        </w:tc>
        <w:tc>
          <w:tcPr>
            <w:tcW w:w="1935" w:type="dxa"/>
            <w:tcBorders>
              <w:top w:val="single" w:sz="6" w:space="0" w:color="auto"/>
              <w:left w:val="single" w:sz="6" w:space="0" w:color="auto"/>
              <w:bottom w:val="single" w:sz="6" w:space="0" w:color="auto"/>
              <w:right w:val="single" w:sz="6" w:space="0" w:color="auto"/>
            </w:tcBorders>
            <w:vAlign w:val="center"/>
            <w:hideMark/>
          </w:tcPr>
          <w:p w14:paraId="14F327B9"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 xml:space="preserve">Concurso realizado </w:t>
            </w:r>
          </w:p>
        </w:tc>
        <w:tc>
          <w:tcPr>
            <w:tcW w:w="1270" w:type="dxa"/>
            <w:tcBorders>
              <w:top w:val="single" w:sz="6" w:space="0" w:color="auto"/>
              <w:left w:val="single" w:sz="6" w:space="0" w:color="auto"/>
              <w:bottom w:val="single" w:sz="6" w:space="0" w:color="auto"/>
              <w:right w:val="single" w:sz="6" w:space="0" w:color="auto"/>
            </w:tcBorders>
            <w:vAlign w:val="center"/>
            <w:hideMark/>
          </w:tcPr>
          <w:p w14:paraId="4F47A88B"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Anual</w:t>
            </w:r>
          </w:p>
        </w:tc>
        <w:tc>
          <w:tcPr>
            <w:tcW w:w="664" w:type="dxa"/>
            <w:tcBorders>
              <w:top w:val="single" w:sz="6" w:space="0" w:color="auto"/>
              <w:left w:val="single" w:sz="6" w:space="0" w:color="auto"/>
              <w:bottom w:val="single" w:sz="6" w:space="0" w:color="auto"/>
              <w:right w:val="single" w:sz="6" w:space="0" w:color="auto"/>
            </w:tcBorders>
            <w:vAlign w:val="center"/>
            <w:hideMark/>
          </w:tcPr>
          <w:p w14:paraId="0B19A927"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w:t>
            </w:r>
          </w:p>
        </w:tc>
        <w:tc>
          <w:tcPr>
            <w:tcW w:w="735" w:type="dxa"/>
            <w:tcBorders>
              <w:top w:val="single" w:sz="6" w:space="0" w:color="auto"/>
              <w:left w:val="single" w:sz="6" w:space="0" w:color="auto"/>
              <w:bottom w:val="single" w:sz="6" w:space="0" w:color="auto"/>
              <w:right w:val="single" w:sz="6" w:space="0" w:color="auto"/>
            </w:tcBorders>
            <w:vAlign w:val="center"/>
            <w:hideMark/>
          </w:tcPr>
          <w:p w14:paraId="727AE9AC"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w:t>
            </w:r>
          </w:p>
        </w:tc>
        <w:tc>
          <w:tcPr>
            <w:tcW w:w="1157" w:type="dxa"/>
            <w:tcBorders>
              <w:top w:val="single" w:sz="6" w:space="0" w:color="auto"/>
              <w:left w:val="single" w:sz="6" w:space="0" w:color="auto"/>
              <w:bottom w:val="single" w:sz="6" w:space="0" w:color="auto"/>
              <w:right w:val="single" w:sz="6" w:space="0" w:color="auto"/>
            </w:tcBorders>
            <w:vAlign w:val="center"/>
            <w:hideMark/>
          </w:tcPr>
          <w:p w14:paraId="706367A3"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w:t>
            </w:r>
          </w:p>
        </w:tc>
        <w:tc>
          <w:tcPr>
            <w:tcW w:w="1231" w:type="dxa"/>
            <w:tcBorders>
              <w:top w:val="single" w:sz="6" w:space="0" w:color="auto"/>
              <w:left w:val="single" w:sz="6" w:space="0" w:color="auto"/>
              <w:bottom w:val="single" w:sz="6" w:space="0" w:color="auto"/>
              <w:right w:val="single" w:sz="6" w:space="0" w:color="auto"/>
            </w:tcBorders>
            <w:vAlign w:val="center"/>
            <w:hideMark/>
          </w:tcPr>
          <w:p w14:paraId="308BD7AB"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r>
      <w:tr w:rsidR="00D34961" w:rsidRPr="00581A3E" w14:paraId="1BDC8BF2" w14:textId="77777777" w:rsidTr="0021165E">
        <w:trPr>
          <w:gridAfter w:val="1"/>
          <w:wAfter w:w="1157" w:type="dxa"/>
          <w:trHeight w:val="735"/>
        </w:trPr>
        <w:tc>
          <w:tcPr>
            <w:tcW w:w="431" w:type="dxa"/>
            <w:tcBorders>
              <w:top w:val="single" w:sz="6" w:space="0" w:color="auto"/>
              <w:left w:val="single" w:sz="6" w:space="0" w:color="auto"/>
              <w:bottom w:val="single" w:sz="6" w:space="0" w:color="auto"/>
              <w:right w:val="single" w:sz="6" w:space="0" w:color="auto"/>
            </w:tcBorders>
            <w:vAlign w:val="center"/>
          </w:tcPr>
          <w:p w14:paraId="728034D9"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3</w:t>
            </w:r>
          </w:p>
        </w:tc>
        <w:tc>
          <w:tcPr>
            <w:tcW w:w="1895" w:type="dxa"/>
            <w:tcBorders>
              <w:top w:val="single" w:sz="6" w:space="0" w:color="auto"/>
              <w:left w:val="single" w:sz="6" w:space="0" w:color="auto"/>
              <w:bottom w:val="single" w:sz="6" w:space="0" w:color="auto"/>
              <w:right w:val="single" w:sz="6" w:space="0" w:color="auto"/>
            </w:tcBorders>
            <w:vAlign w:val="center"/>
          </w:tcPr>
          <w:p w14:paraId="3B78558E" w14:textId="77777777" w:rsidR="00D34961" w:rsidRDefault="00D34961" w:rsidP="0021165E">
            <w:pPr>
              <w:spacing w:line="360" w:lineRule="auto"/>
              <w:rPr>
                <w:rFonts w:eastAsia="Calibri"/>
                <w:noProof/>
                <w:color w:val="4C4747"/>
                <w:lang w:val="es-DO"/>
              </w:rPr>
            </w:pPr>
            <w:r>
              <w:rPr>
                <w:rFonts w:eastAsia="Calibri"/>
                <w:noProof/>
                <w:color w:val="4C4747"/>
                <w:lang w:val="es-DO"/>
              </w:rPr>
              <w:t>Promoción y Abogacía de la Competencia</w:t>
            </w:r>
          </w:p>
        </w:tc>
        <w:tc>
          <w:tcPr>
            <w:tcW w:w="1855" w:type="dxa"/>
            <w:tcBorders>
              <w:top w:val="single" w:sz="6" w:space="0" w:color="auto"/>
              <w:left w:val="single" w:sz="6" w:space="0" w:color="auto"/>
              <w:bottom w:val="single" w:sz="6" w:space="0" w:color="auto"/>
              <w:right w:val="single" w:sz="6" w:space="0" w:color="auto"/>
            </w:tcBorders>
            <w:vAlign w:val="center"/>
          </w:tcPr>
          <w:p w14:paraId="1276F1A5" w14:textId="77777777" w:rsidR="00D34961" w:rsidRPr="00CE1671" w:rsidRDefault="00D34961" w:rsidP="0021165E">
            <w:pPr>
              <w:spacing w:line="360" w:lineRule="auto"/>
              <w:jc w:val="both"/>
              <w:rPr>
                <w:rFonts w:eastAsia="Calibri"/>
                <w:noProof/>
                <w:color w:val="4C4747"/>
                <w:lang w:val="es-DO"/>
              </w:rPr>
            </w:pPr>
            <w:r>
              <w:rPr>
                <w:rFonts w:eastAsia="Calibri"/>
                <w:noProof/>
                <w:color w:val="4C4747"/>
                <w:lang w:val="es-DO"/>
              </w:rPr>
              <w:t xml:space="preserve">Plan de Capacitaciones de competencia </w:t>
            </w:r>
          </w:p>
        </w:tc>
        <w:tc>
          <w:tcPr>
            <w:tcW w:w="1935" w:type="dxa"/>
            <w:tcBorders>
              <w:top w:val="single" w:sz="6" w:space="0" w:color="auto"/>
              <w:left w:val="single" w:sz="6" w:space="0" w:color="auto"/>
              <w:bottom w:val="single" w:sz="6" w:space="0" w:color="auto"/>
              <w:right w:val="single" w:sz="6" w:space="0" w:color="auto"/>
            </w:tcBorders>
            <w:vAlign w:val="center"/>
          </w:tcPr>
          <w:p w14:paraId="7820FE3C"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 xml:space="preserve">Plan Implementado </w:t>
            </w:r>
          </w:p>
        </w:tc>
        <w:tc>
          <w:tcPr>
            <w:tcW w:w="1270" w:type="dxa"/>
            <w:tcBorders>
              <w:top w:val="single" w:sz="6" w:space="0" w:color="auto"/>
              <w:left w:val="single" w:sz="6" w:space="0" w:color="auto"/>
              <w:bottom w:val="single" w:sz="6" w:space="0" w:color="auto"/>
              <w:right w:val="single" w:sz="6" w:space="0" w:color="auto"/>
            </w:tcBorders>
            <w:vAlign w:val="center"/>
          </w:tcPr>
          <w:p w14:paraId="24C645F3"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Anual</w:t>
            </w:r>
          </w:p>
        </w:tc>
        <w:tc>
          <w:tcPr>
            <w:tcW w:w="664" w:type="dxa"/>
            <w:tcBorders>
              <w:top w:val="single" w:sz="6" w:space="0" w:color="auto"/>
              <w:left w:val="single" w:sz="6" w:space="0" w:color="auto"/>
              <w:bottom w:val="single" w:sz="6" w:space="0" w:color="auto"/>
              <w:right w:val="single" w:sz="6" w:space="0" w:color="auto"/>
            </w:tcBorders>
            <w:vAlign w:val="center"/>
          </w:tcPr>
          <w:p w14:paraId="65764262"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90%</w:t>
            </w:r>
          </w:p>
        </w:tc>
        <w:tc>
          <w:tcPr>
            <w:tcW w:w="735" w:type="dxa"/>
            <w:tcBorders>
              <w:top w:val="single" w:sz="6" w:space="0" w:color="auto"/>
              <w:left w:val="single" w:sz="6" w:space="0" w:color="auto"/>
              <w:bottom w:val="single" w:sz="6" w:space="0" w:color="auto"/>
              <w:right w:val="single" w:sz="6" w:space="0" w:color="auto"/>
            </w:tcBorders>
            <w:vAlign w:val="center"/>
          </w:tcPr>
          <w:p w14:paraId="04DD91E8"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98%</w:t>
            </w:r>
          </w:p>
        </w:tc>
        <w:tc>
          <w:tcPr>
            <w:tcW w:w="1157" w:type="dxa"/>
            <w:tcBorders>
              <w:top w:val="single" w:sz="6" w:space="0" w:color="auto"/>
              <w:left w:val="single" w:sz="6" w:space="0" w:color="auto"/>
              <w:bottom w:val="single" w:sz="6" w:space="0" w:color="auto"/>
              <w:right w:val="single" w:sz="6" w:space="0" w:color="auto"/>
            </w:tcBorders>
            <w:vAlign w:val="center"/>
          </w:tcPr>
          <w:p w14:paraId="43331EC3"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98%</w:t>
            </w:r>
          </w:p>
        </w:tc>
        <w:tc>
          <w:tcPr>
            <w:tcW w:w="1231" w:type="dxa"/>
            <w:tcBorders>
              <w:top w:val="single" w:sz="6" w:space="0" w:color="auto"/>
              <w:left w:val="single" w:sz="6" w:space="0" w:color="auto"/>
              <w:bottom w:val="single" w:sz="6" w:space="0" w:color="auto"/>
              <w:right w:val="single" w:sz="6" w:space="0" w:color="auto"/>
            </w:tcBorders>
            <w:vAlign w:val="center"/>
          </w:tcPr>
          <w:p w14:paraId="1B30027F"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r>
      <w:tr w:rsidR="00D34961" w:rsidRPr="00581A3E" w14:paraId="0AC0D7FE" w14:textId="77777777" w:rsidTr="0021165E">
        <w:trPr>
          <w:gridAfter w:val="1"/>
          <w:wAfter w:w="1157" w:type="dxa"/>
          <w:trHeight w:val="735"/>
        </w:trPr>
        <w:tc>
          <w:tcPr>
            <w:tcW w:w="431" w:type="dxa"/>
            <w:tcBorders>
              <w:top w:val="single" w:sz="6" w:space="0" w:color="auto"/>
              <w:left w:val="single" w:sz="6" w:space="0" w:color="auto"/>
              <w:bottom w:val="single" w:sz="6" w:space="0" w:color="auto"/>
              <w:right w:val="single" w:sz="6" w:space="0" w:color="auto"/>
            </w:tcBorders>
            <w:vAlign w:val="center"/>
            <w:hideMark/>
          </w:tcPr>
          <w:p w14:paraId="76F1732A"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4</w:t>
            </w:r>
          </w:p>
        </w:tc>
        <w:tc>
          <w:tcPr>
            <w:tcW w:w="1895" w:type="dxa"/>
            <w:tcBorders>
              <w:top w:val="single" w:sz="6" w:space="0" w:color="auto"/>
              <w:left w:val="single" w:sz="6" w:space="0" w:color="auto"/>
              <w:bottom w:val="single" w:sz="6" w:space="0" w:color="auto"/>
              <w:right w:val="single" w:sz="6" w:space="0" w:color="auto"/>
            </w:tcBorders>
            <w:vAlign w:val="center"/>
            <w:hideMark/>
          </w:tcPr>
          <w:p w14:paraId="27DC1190" w14:textId="77777777" w:rsidR="00D34961" w:rsidRPr="00CE1671" w:rsidRDefault="00D34961" w:rsidP="0021165E">
            <w:pPr>
              <w:spacing w:line="360" w:lineRule="auto"/>
              <w:rPr>
                <w:rFonts w:eastAsia="Calibri"/>
                <w:noProof/>
                <w:color w:val="4C4747"/>
                <w:lang w:val="es-DO"/>
              </w:rPr>
            </w:pPr>
            <w:r>
              <w:rPr>
                <w:rFonts w:eastAsia="Calibri"/>
                <w:noProof/>
                <w:color w:val="4C4747"/>
                <w:lang w:val="es-DO"/>
              </w:rPr>
              <w:t>Estudios Económicos y de mercado</w:t>
            </w:r>
          </w:p>
        </w:tc>
        <w:tc>
          <w:tcPr>
            <w:tcW w:w="1855" w:type="dxa"/>
            <w:tcBorders>
              <w:top w:val="single" w:sz="6" w:space="0" w:color="auto"/>
              <w:left w:val="single" w:sz="6" w:space="0" w:color="auto"/>
              <w:bottom w:val="single" w:sz="6" w:space="0" w:color="auto"/>
              <w:right w:val="single" w:sz="6" w:space="0" w:color="auto"/>
            </w:tcBorders>
            <w:vAlign w:val="center"/>
            <w:hideMark/>
          </w:tcPr>
          <w:p w14:paraId="409A8C2B" w14:textId="77777777" w:rsidR="00D34961" w:rsidRPr="00CE1671" w:rsidRDefault="00D34961" w:rsidP="0021165E">
            <w:pPr>
              <w:spacing w:line="360" w:lineRule="auto"/>
              <w:jc w:val="center"/>
              <w:rPr>
                <w:rFonts w:eastAsia="Calibri"/>
                <w:noProof/>
                <w:color w:val="4C4747"/>
                <w:lang w:val="es-DO"/>
              </w:rPr>
            </w:pPr>
            <w:r w:rsidRPr="00513BFA">
              <w:rPr>
                <w:rFonts w:eastAsia="Calibri"/>
                <w:noProof/>
                <w:color w:val="4C4747"/>
                <w:lang w:val="es-DO"/>
              </w:rPr>
              <w:t>Observatorio de Condiciones de Competencia</w:t>
            </w:r>
          </w:p>
        </w:tc>
        <w:tc>
          <w:tcPr>
            <w:tcW w:w="1935" w:type="dxa"/>
            <w:tcBorders>
              <w:top w:val="single" w:sz="6" w:space="0" w:color="auto"/>
              <w:left w:val="single" w:sz="6" w:space="0" w:color="auto"/>
              <w:bottom w:val="single" w:sz="6" w:space="0" w:color="auto"/>
              <w:right w:val="single" w:sz="6" w:space="0" w:color="auto"/>
            </w:tcBorders>
            <w:vAlign w:val="center"/>
            <w:hideMark/>
          </w:tcPr>
          <w:p w14:paraId="040012B5" w14:textId="77777777" w:rsidR="00D34961" w:rsidRPr="00CE1671" w:rsidRDefault="00D34961" w:rsidP="0021165E">
            <w:pPr>
              <w:spacing w:line="360" w:lineRule="auto"/>
              <w:jc w:val="center"/>
              <w:rPr>
                <w:rFonts w:eastAsia="Calibri"/>
                <w:noProof/>
                <w:color w:val="4C4747"/>
                <w:lang w:val="es-DO"/>
              </w:rPr>
            </w:pPr>
            <w:r w:rsidRPr="00CB5619">
              <w:rPr>
                <w:rFonts w:eastAsia="Calibri"/>
                <w:noProof/>
                <w:color w:val="4C4747"/>
                <w:lang w:val="es-DO"/>
              </w:rPr>
              <w:t>Cantidad de publicaciones del observatorio</w:t>
            </w:r>
          </w:p>
        </w:tc>
        <w:tc>
          <w:tcPr>
            <w:tcW w:w="1270" w:type="dxa"/>
            <w:tcBorders>
              <w:top w:val="single" w:sz="6" w:space="0" w:color="auto"/>
              <w:left w:val="single" w:sz="6" w:space="0" w:color="auto"/>
              <w:bottom w:val="single" w:sz="6" w:space="0" w:color="auto"/>
              <w:right w:val="single" w:sz="6" w:space="0" w:color="auto"/>
            </w:tcBorders>
            <w:vAlign w:val="center"/>
            <w:hideMark/>
          </w:tcPr>
          <w:p w14:paraId="11DA6F5E"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Semestral</w:t>
            </w:r>
          </w:p>
        </w:tc>
        <w:tc>
          <w:tcPr>
            <w:tcW w:w="664" w:type="dxa"/>
            <w:tcBorders>
              <w:top w:val="single" w:sz="6" w:space="0" w:color="auto"/>
              <w:left w:val="single" w:sz="6" w:space="0" w:color="auto"/>
              <w:bottom w:val="single" w:sz="6" w:space="0" w:color="auto"/>
              <w:right w:val="single" w:sz="6" w:space="0" w:color="auto"/>
            </w:tcBorders>
            <w:vAlign w:val="center"/>
            <w:hideMark/>
          </w:tcPr>
          <w:p w14:paraId="03EF12D0"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2</w:t>
            </w:r>
          </w:p>
        </w:tc>
        <w:tc>
          <w:tcPr>
            <w:tcW w:w="735" w:type="dxa"/>
            <w:tcBorders>
              <w:top w:val="single" w:sz="6" w:space="0" w:color="auto"/>
              <w:left w:val="single" w:sz="6" w:space="0" w:color="auto"/>
              <w:bottom w:val="single" w:sz="6" w:space="0" w:color="auto"/>
              <w:right w:val="single" w:sz="6" w:space="0" w:color="auto"/>
            </w:tcBorders>
            <w:vAlign w:val="center"/>
            <w:hideMark/>
          </w:tcPr>
          <w:p w14:paraId="05B168BE"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2</w:t>
            </w:r>
          </w:p>
        </w:tc>
        <w:tc>
          <w:tcPr>
            <w:tcW w:w="1157" w:type="dxa"/>
            <w:tcBorders>
              <w:top w:val="single" w:sz="6" w:space="0" w:color="auto"/>
              <w:left w:val="single" w:sz="6" w:space="0" w:color="auto"/>
              <w:bottom w:val="single" w:sz="6" w:space="0" w:color="auto"/>
              <w:right w:val="single" w:sz="6" w:space="0" w:color="auto"/>
            </w:tcBorders>
            <w:vAlign w:val="center"/>
            <w:hideMark/>
          </w:tcPr>
          <w:p w14:paraId="020BF6D3"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2</w:t>
            </w:r>
          </w:p>
        </w:tc>
        <w:tc>
          <w:tcPr>
            <w:tcW w:w="1231" w:type="dxa"/>
            <w:tcBorders>
              <w:top w:val="single" w:sz="6" w:space="0" w:color="auto"/>
              <w:left w:val="single" w:sz="6" w:space="0" w:color="auto"/>
              <w:bottom w:val="single" w:sz="6" w:space="0" w:color="auto"/>
              <w:right w:val="single" w:sz="6" w:space="0" w:color="auto"/>
            </w:tcBorders>
            <w:vAlign w:val="center"/>
            <w:hideMark/>
          </w:tcPr>
          <w:p w14:paraId="2008C02A"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r>
      <w:tr w:rsidR="00D34961" w:rsidRPr="00581A3E" w14:paraId="0A1A59E9" w14:textId="77777777" w:rsidTr="0021165E">
        <w:trPr>
          <w:gridAfter w:val="1"/>
          <w:wAfter w:w="1157" w:type="dxa"/>
          <w:trHeight w:val="735"/>
        </w:trPr>
        <w:tc>
          <w:tcPr>
            <w:tcW w:w="431" w:type="dxa"/>
            <w:tcBorders>
              <w:top w:val="single" w:sz="6" w:space="0" w:color="auto"/>
              <w:left w:val="single" w:sz="6" w:space="0" w:color="auto"/>
              <w:bottom w:val="single" w:sz="6" w:space="0" w:color="auto"/>
              <w:right w:val="single" w:sz="6" w:space="0" w:color="auto"/>
            </w:tcBorders>
            <w:vAlign w:val="center"/>
          </w:tcPr>
          <w:p w14:paraId="232ACF64"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5</w:t>
            </w:r>
          </w:p>
        </w:tc>
        <w:tc>
          <w:tcPr>
            <w:tcW w:w="1895" w:type="dxa"/>
            <w:tcBorders>
              <w:top w:val="single" w:sz="6" w:space="0" w:color="auto"/>
              <w:left w:val="single" w:sz="6" w:space="0" w:color="auto"/>
              <w:bottom w:val="single" w:sz="6" w:space="0" w:color="auto"/>
              <w:right w:val="single" w:sz="6" w:space="0" w:color="auto"/>
            </w:tcBorders>
            <w:vAlign w:val="center"/>
          </w:tcPr>
          <w:p w14:paraId="3C62F7EF" w14:textId="77777777" w:rsidR="00D34961" w:rsidRDefault="00D34961" w:rsidP="0021165E">
            <w:pPr>
              <w:spacing w:line="360" w:lineRule="auto"/>
              <w:rPr>
                <w:rFonts w:eastAsia="Calibri"/>
                <w:noProof/>
                <w:color w:val="4C4747"/>
                <w:lang w:val="es-DO"/>
              </w:rPr>
            </w:pPr>
            <w:r>
              <w:rPr>
                <w:rFonts w:eastAsia="Calibri"/>
                <w:noProof/>
                <w:color w:val="4C4747"/>
                <w:lang w:val="es-DO"/>
              </w:rPr>
              <w:t>Estudios Económicos y de mercado</w:t>
            </w:r>
          </w:p>
        </w:tc>
        <w:tc>
          <w:tcPr>
            <w:tcW w:w="1855" w:type="dxa"/>
            <w:tcBorders>
              <w:top w:val="single" w:sz="6" w:space="0" w:color="auto"/>
              <w:left w:val="single" w:sz="6" w:space="0" w:color="auto"/>
              <w:bottom w:val="single" w:sz="6" w:space="0" w:color="auto"/>
              <w:right w:val="single" w:sz="6" w:space="0" w:color="auto"/>
            </w:tcBorders>
            <w:vAlign w:val="center"/>
          </w:tcPr>
          <w:p w14:paraId="3BCE660A"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Guias Metodológicas de Competencia</w:t>
            </w:r>
          </w:p>
        </w:tc>
        <w:tc>
          <w:tcPr>
            <w:tcW w:w="1935" w:type="dxa"/>
            <w:tcBorders>
              <w:top w:val="single" w:sz="6" w:space="0" w:color="auto"/>
              <w:left w:val="single" w:sz="6" w:space="0" w:color="auto"/>
              <w:bottom w:val="single" w:sz="6" w:space="0" w:color="auto"/>
              <w:right w:val="single" w:sz="6" w:space="0" w:color="auto"/>
            </w:tcBorders>
            <w:vAlign w:val="center"/>
          </w:tcPr>
          <w:p w14:paraId="782D5BC8" w14:textId="77777777" w:rsidR="00D34961" w:rsidRPr="00CE1671" w:rsidRDefault="00D34961" w:rsidP="0021165E">
            <w:pPr>
              <w:spacing w:line="360" w:lineRule="auto"/>
              <w:jc w:val="center"/>
              <w:rPr>
                <w:rFonts w:eastAsia="Calibri"/>
                <w:noProof/>
                <w:color w:val="4C4747"/>
                <w:lang w:val="es-DO"/>
              </w:rPr>
            </w:pPr>
            <w:r w:rsidRPr="00842BF0">
              <w:rPr>
                <w:rFonts w:eastAsia="Calibri"/>
                <w:noProof/>
                <w:color w:val="4C4747"/>
                <w:lang w:val="es-DO"/>
              </w:rPr>
              <w:t xml:space="preserve">Porcentaje de guías </w:t>
            </w:r>
            <w:r w:rsidRPr="00842BF0">
              <w:rPr>
                <w:rFonts w:eastAsia="Calibri"/>
                <w:noProof/>
                <w:color w:val="4C4747"/>
                <w:lang w:val="es-DO"/>
              </w:rPr>
              <w:lastRenderedPageBreak/>
              <w:t>metodológicas Modificadas</w:t>
            </w:r>
          </w:p>
        </w:tc>
        <w:tc>
          <w:tcPr>
            <w:tcW w:w="1270" w:type="dxa"/>
            <w:tcBorders>
              <w:top w:val="single" w:sz="6" w:space="0" w:color="auto"/>
              <w:left w:val="single" w:sz="6" w:space="0" w:color="auto"/>
              <w:bottom w:val="single" w:sz="6" w:space="0" w:color="auto"/>
              <w:right w:val="single" w:sz="6" w:space="0" w:color="auto"/>
            </w:tcBorders>
            <w:vAlign w:val="center"/>
          </w:tcPr>
          <w:p w14:paraId="7F26F2CD"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lastRenderedPageBreak/>
              <w:t>Anual</w:t>
            </w:r>
          </w:p>
        </w:tc>
        <w:tc>
          <w:tcPr>
            <w:tcW w:w="664" w:type="dxa"/>
            <w:tcBorders>
              <w:top w:val="single" w:sz="6" w:space="0" w:color="auto"/>
              <w:left w:val="single" w:sz="6" w:space="0" w:color="auto"/>
              <w:bottom w:val="single" w:sz="6" w:space="0" w:color="auto"/>
              <w:right w:val="single" w:sz="6" w:space="0" w:color="auto"/>
            </w:tcBorders>
            <w:vAlign w:val="center"/>
          </w:tcPr>
          <w:p w14:paraId="143D9916"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c>
          <w:tcPr>
            <w:tcW w:w="735" w:type="dxa"/>
            <w:tcBorders>
              <w:top w:val="single" w:sz="6" w:space="0" w:color="auto"/>
              <w:left w:val="single" w:sz="6" w:space="0" w:color="auto"/>
              <w:bottom w:val="single" w:sz="6" w:space="0" w:color="auto"/>
              <w:right w:val="single" w:sz="6" w:space="0" w:color="auto"/>
            </w:tcBorders>
            <w:vAlign w:val="center"/>
          </w:tcPr>
          <w:p w14:paraId="1A26A927"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c>
          <w:tcPr>
            <w:tcW w:w="1157" w:type="dxa"/>
            <w:tcBorders>
              <w:top w:val="single" w:sz="6" w:space="0" w:color="auto"/>
              <w:left w:val="single" w:sz="6" w:space="0" w:color="auto"/>
              <w:bottom w:val="single" w:sz="6" w:space="0" w:color="auto"/>
              <w:right w:val="single" w:sz="6" w:space="0" w:color="auto"/>
            </w:tcBorders>
            <w:vAlign w:val="center"/>
          </w:tcPr>
          <w:p w14:paraId="5833ED92"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c>
          <w:tcPr>
            <w:tcW w:w="1231" w:type="dxa"/>
            <w:tcBorders>
              <w:top w:val="single" w:sz="6" w:space="0" w:color="auto"/>
              <w:left w:val="single" w:sz="6" w:space="0" w:color="auto"/>
              <w:bottom w:val="single" w:sz="6" w:space="0" w:color="auto"/>
              <w:right w:val="single" w:sz="6" w:space="0" w:color="auto"/>
            </w:tcBorders>
            <w:vAlign w:val="center"/>
          </w:tcPr>
          <w:p w14:paraId="5B2DE0EA"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r>
      <w:tr w:rsidR="00D34961" w:rsidRPr="00581A3E" w14:paraId="3BE744F7" w14:textId="77777777" w:rsidTr="0021165E">
        <w:trPr>
          <w:gridAfter w:val="1"/>
          <w:wAfter w:w="1157" w:type="dxa"/>
          <w:trHeight w:val="735"/>
        </w:trPr>
        <w:tc>
          <w:tcPr>
            <w:tcW w:w="431" w:type="dxa"/>
            <w:tcBorders>
              <w:top w:val="single" w:sz="6" w:space="0" w:color="auto"/>
              <w:left w:val="single" w:sz="6" w:space="0" w:color="auto"/>
              <w:bottom w:val="single" w:sz="6" w:space="0" w:color="auto"/>
              <w:right w:val="single" w:sz="6" w:space="0" w:color="auto"/>
            </w:tcBorders>
            <w:vAlign w:val="center"/>
            <w:hideMark/>
          </w:tcPr>
          <w:p w14:paraId="2FF7FE83"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6</w:t>
            </w:r>
          </w:p>
        </w:tc>
        <w:tc>
          <w:tcPr>
            <w:tcW w:w="1895" w:type="dxa"/>
            <w:tcBorders>
              <w:top w:val="single" w:sz="6" w:space="0" w:color="auto"/>
              <w:left w:val="single" w:sz="6" w:space="0" w:color="auto"/>
              <w:bottom w:val="single" w:sz="6" w:space="0" w:color="auto"/>
              <w:right w:val="single" w:sz="6" w:space="0" w:color="auto"/>
            </w:tcBorders>
            <w:vAlign w:val="center"/>
            <w:hideMark/>
          </w:tcPr>
          <w:p w14:paraId="57EBAA46" w14:textId="77777777" w:rsidR="00D34961" w:rsidRPr="00CE1671" w:rsidRDefault="00D34961" w:rsidP="0021165E">
            <w:pPr>
              <w:spacing w:line="360" w:lineRule="auto"/>
              <w:rPr>
                <w:rFonts w:eastAsia="Calibri"/>
                <w:noProof/>
                <w:color w:val="4C4747"/>
                <w:lang w:val="es-DO"/>
              </w:rPr>
            </w:pPr>
            <w:r>
              <w:rPr>
                <w:rFonts w:eastAsia="Calibri"/>
                <w:noProof/>
                <w:color w:val="4C4747"/>
                <w:lang w:val="es-DO"/>
              </w:rPr>
              <w:t xml:space="preserve">Comunicaciones </w:t>
            </w:r>
          </w:p>
        </w:tc>
        <w:tc>
          <w:tcPr>
            <w:tcW w:w="1855" w:type="dxa"/>
            <w:tcBorders>
              <w:top w:val="single" w:sz="6" w:space="0" w:color="auto"/>
              <w:left w:val="single" w:sz="6" w:space="0" w:color="auto"/>
              <w:bottom w:val="single" w:sz="6" w:space="0" w:color="auto"/>
              <w:right w:val="single" w:sz="6" w:space="0" w:color="auto"/>
            </w:tcBorders>
            <w:vAlign w:val="center"/>
            <w:hideMark/>
          </w:tcPr>
          <w:p w14:paraId="06F03299" w14:textId="77777777" w:rsidR="00D34961" w:rsidRPr="00CE1671" w:rsidRDefault="00D34961" w:rsidP="0021165E">
            <w:pPr>
              <w:spacing w:line="360" w:lineRule="auto"/>
              <w:jc w:val="center"/>
              <w:rPr>
                <w:rFonts w:eastAsia="Calibri"/>
                <w:noProof/>
                <w:color w:val="4C4747"/>
                <w:lang w:val="es-DO"/>
              </w:rPr>
            </w:pPr>
            <w:r w:rsidRPr="00735F81">
              <w:rPr>
                <w:rFonts w:eastAsia="Calibri"/>
                <w:noProof/>
                <w:color w:val="4C4747"/>
                <w:lang w:val="es-DO"/>
              </w:rPr>
              <w:t>Identidad corporativa fortalecida en los grupos de interés</w:t>
            </w:r>
          </w:p>
        </w:tc>
        <w:tc>
          <w:tcPr>
            <w:tcW w:w="1935" w:type="dxa"/>
            <w:tcBorders>
              <w:top w:val="single" w:sz="6" w:space="0" w:color="auto"/>
              <w:left w:val="single" w:sz="6" w:space="0" w:color="auto"/>
              <w:bottom w:val="single" w:sz="6" w:space="0" w:color="auto"/>
              <w:right w:val="single" w:sz="6" w:space="0" w:color="auto"/>
            </w:tcBorders>
            <w:vAlign w:val="center"/>
            <w:hideMark/>
          </w:tcPr>
          <w:p w14:paraId="47D1D207" w14:textId="77777777" w:rsidR="00D34961" w:rsidRPr="00CE1671" w:rsidRDefault="00D34961" w:rsidP="0021165E">
            <w:pPr>
              <w:spacing w:line="360" w:lineRule="auto"/>
              <w:jc w:val="center"/>
              <w:rPr>
                <w:rFonts w:eastAsia="Calibri"/>
                <w:noProof/>
                <w:color w:val="4C4747"/>
                <w:lang w:val="es-DO"/>
              </w:rPr>
            </w:pPr>
            <w:r w:rsidRPr="009232C6">
              <w:rPr>
                <w:rFonts w:eastAsia="Calibri"/>
                <w:noProof/>
                <w:color w:val="4C4747"/>
                <w:lang w:val="es-DO"/>
              </w:rPr>
              <w:t>Porcentaje de perfil mediático institucional gestionado</w:t>
            </w:r>
          </w:p>
        </w:tc>
        <w:tc>
          <w:tcPr>
            <w:tcW w:w="1270" w:type="dxa"/>
            <w:tcBorders>
              <w:top w:val="single" w:sz="6" w:space="0" w:color="auto"/>
              <w:left w:val="single" w:sz="6" w:space="0" w:color="auto"/>
              <w:bottom w:val="single" w:sz="6" w:space="0" w:color="auto"/>
              <w:right w:val="single" w:sz="6" w:space="0" w:color="auto"/>
            </w:tcBorders>
            <w:vAlign w:val="center"/>
            <w:hideMark/>
          </w:tcPr>
          <w:p w14:paraId="57732418"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Anual</w:t>
            </w:r>
          </w:p>
        </w:tc>
        <w:tc>
          <w:tcPr>
            <w:tcW w:w="664" w:type="dxa"/>
            <w:tcBorders>
              <w:top w:val="single" w:sz="6" w:space="0" w:color="auto"/>
              <w:left w:val="single" w:sz="6" w:space="0" w:color="auto"/>
              <w:bottom w:val="single" w:sz="6" w:space="0" w:color="auto"/>
              <w:right w:val="single" w:sz="6" w:space="0" w:color="auto"/>
            </w:tcBorders>
            <w:vAlign w:val="center"/>
            <w:hideMark/>
          </w:tcPr>
          <w:p w14:paraId="773C867B"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N/A</w:t>
            </w:r>
          </w:p>
        </w:tc>
        <w:tc>
          <w:tcPr>
            <w:tcW w:w="735" w:type="dxa"/>
            <w:tcBorders>
              <w:top w:val="single" w:sz="6" w:space="0" w:color="auto"/>
              <w:left w:val="single" w:sz="6" w:space="0" w:color="auto"/>
              <w:bottom w:val="single" w:sz="6" w:space="0" w:color="auto"/>
              <w:right w:val="single" w:sz="6" w:space="0" w:color="auto"/>
            </w:tcBorders>
            <w:vAlign w:val="center"/>
            <w:hideMark/>
          </w:tcPr>
          <w:p w14:paraId="68000DC0"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90%</w:t>
            </w:r>
          </w:p>
        </w:tc>
        <w:tc>
          <w:tcPr>
            <w:tcW w:w="1157" w:type="dxa"/>
            <w:tcBorders>
              <w:top w:val="single" w:sz="6" w:space="0" w:color="auto"/>
              <w:left w:val="single" w:sz="6" w:space="0" w:color="auto"/>
              <w:bottom w:val="single" w:sz="6" w:space="0" w:color="auto"/>
              <w:right w:val="single" w:sz="6" w:space="0" w:color="auto"/>
            </w:tcBorders>
            <w:vAlign w:val="center"/>
            <w:hideMark/>
          </w:tcPr>
          <w:p w14:paraId="651C5C55"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90%</w:t>
            </w:r>
          </w:p>
        </w:tc>
        <w:tc>
          <w:tcPr>
            <w:tcW w:w="1231" w:type="dxa"/>
            <w:tcBorders>
              <w:top w:val="single" w:sz="6" w:space="0" w:color="auto"/>
              <w:left w:val="single" w:sz="6" w:space="0" w:color="auto"/>
              <w:bottom w:val="single" w:sz="6" w:space="0" w:color="auto"/>
              <w:right w:val="single" w:sz="6" w:space="0" w:color="auto"/>
            </w:tcBorders>
            <w:vAlign w:val="center"/>
            <w:hideMark/>
          </w:tcPr>
          <w:p w14:paraId="0C0F2411"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r>
      <w:tr w:rsidR="00D34961" w:rsidRPr="00581A3E" w14:paraId="3BDAA05D" w14:textId="77777777" w:rsidTr="0021165E">
        <w:trPr>
          <w:trHeight w:val="735"/>
        </w:trPr>
        <w:tc>
          <w:tcPr>
            <w:tcW w:w="431" w:type="dxa"/>
            <w:tcBorders>
              <w:top w:val="single" w:sz="6" w:space="0" w:color="auto"/>
              <w:left w:val="single" w:sz="6" w:space="0" w:color="auto"/>
              <w:bottom w:val="single" w:sz="6" w:space="0" w:color="auto"/>
              <w:right w:val="single" w:sz="6" w:space="0" w:color="auto"/>
            </w:tcBorders>
            <w:vAlign w:val="center"/>
            <w:hideMark/>
          </w:tcPr>
          <w:p w14:paraId="324D98B0"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7</w:t>
            </w:r>
          </w:p>
        </w:tc>
        <w:tc>
          <w:tcPr>
            <w:tcW w:w="1895" w:type="dxa"/>
            <w:tcBorders>
              <w:top w:val="single" w:sz="6" w:space="0" w:color="auto"/>
              <w:left w:val="single" w:sz="6" w:space="0" w:color="auto"/>
              <w:bottom w:val="single" w:sz="6" w:space="0" w:color="auto"/>
              <w:right w:val="single" w:sz="6" w:space="0" w:color="auto"/>
            </w:tcBorders>
            <w:vAlign w:val="center"/>
            <w:hideMark/>
          </w:tcPr>
          <w:p w14:paraId="65E7736C" w14:textId="77777777" w:rsidR="00D34961" w:rsidRPr="00CE1671" w:rsidRDefault="00D34961" w:rsidP="0021165E">
            <w:pPr>
              <w:spacing w:line="360" w:lineRule="auto"/>
              <w:rPr>
                <w:rFonts w:eastAsia="Calibri"/>
                <w:noProof/>
                <w:color w:val="4C4747"/>
                <w:lang w:val="es-DO"/>
              </w:rPr>
            </w:pPr>
            <w:r>
              <w:rPr>
                <w:rFonts w:eastAsia="Calibri"/>
                <w:noProof/>
                <w:color w:val="4C4747"/>
                <w:lang w:val="es-DO"/>
              </w:rPr>
              <w:t xml:space="preserve">Recursos Humanos </w:t>
            </w:r>
          </w:p>
        </w:tc>
        <w:tc>
          <w:tcPr>
            <w:tcW w:w="1855" w:type="dxa"/>
            <w:tcBorders>
              <w:top w:val="single" w:sz="6" w:space="0" w:color="auto"/>
              <w:left w:val="single" w:sz="6" w:space="0" w:color="auto"/>
              <w:bottom w:val="single" w:sz="6" w:space="0" w:color="auto"/>
              <w:right w:val="single" w:sz="6" w:space="0" w:color="auto"/>
            </w:tcBorders>
            <w:vAlign w:val="center"/>
            <w:hideMark/>
          </w:tcPr>
          <w:p w14:paraId="7B43EE1E" w14:textId="77777777" w:rsidR="00D34961" w:rsidRPr="00CE1671" w:rsidRDefault="00D34961" w:rsidP="0021165E">
            <w:pPr>
              <w:spacing w:line="360" w:lineRule="auto"/>
              <w:jc w:val="both"/>
              <w:rPr>
                <w:rFonts w:eastAsia="Calibri"/>
                <w:noProof/>
                <w:color w:val="4C4747"/>
                <w:lang w:val="es-DO"/>
              </w:rPr>
            </w:pPr>
            <w:r w:rsidRPr="00CE1671">
              <w:rPr>
                <w:rFonts w:eastAsia="Calibri"/>
                <w:noProof/>
                <w:color w:val="4C4747"/>
                <w:lang w:val="es-DO"/>
              </w:rPr>
              <w:t> </w:t>
            </w:r>
            <w:r w:rsidRPr="00C9443C">
              <w:rPr>
                <w:rFonts w:eastAsia="Calibri"/>
                <w:noProof/>
                <w:color w:val="4C4747"/>
                <w:lang w:val="es-DO"/>
              </w:rPr>
              <w:t>Evaluación del  desempeño</w:t>
            </w:r>
          </w:p>
        </w:tc>
        <w:tc>
          <w:tcPr>
            <w:tcW w:w="1935" w:type="dxa"/>
            <w:tcBorders>
              <w:top w:val="single" w:sz="6" w:space="0" w:color="auto"/>
              <w:left w:val="single" w:sz="6" w:space="0" w:color="auto"/>
              <w:bottom w:val="single" w:sz="6" w:space="0" w:color="auto"/>
              <w:right w:val="single" w:sz="6" w:space="0" w:color="auto"/>
            </w:tcBorders>
            <w:vAlign w:val="center"/>
            <w:hideMark/>
          </w:tcPr>
          <w:p w14:paraId="7812E6B6" w14:textId="77777777" w:rsidR="00D34961" w:rsidRPr="00CE1671" w:rsidRDefault="00D34961" w:rsidP="0021165E">
            <w:pPr>
              <w:spacing w:line="360" w:lineRule="auto"/>
              <w:jc w:val="center"/>
              <w:rPr>
                <w:rFonts w:eastAsia="Calibri"/>
                <w:noProof/>
                <w:color w:val="4C4747"/>
                <w:lang w:val="es-DO"/>
              </w:rPr>
            </w:pPr>
            <w:r w:rsidRPr="003556C1">
              <w:rPr>
                <w:rFonts w:eastAsia="Calibri"/>
                <w:noProof/>
                <w:color w:val="4C4747"/>
                <w:lang w:val="es-DO"/>
              </w:rPr>
              <w:t>Porcentaje de acuerdos de desempeño laboral gestionados</w:t>
            </w:r>
          </w:p>
        </w:tc>
        <w:tc>
          <w:tcPr>
            <w:tcW w:w="1270" w:type="dxa"/>
            <w:tcBorders>
              <w:top w:val="single" w:sz="6" w:space="0" w:color="auto"/>
              <w:left w:val="single" w:sz="6" w:space="0" w:color="auto"/>
              <w:bottom w:val="single" w:sz="6" w:space="0" w:color="auto"/>
              <w:right w:val="single" w:sz="6" w:space="0" w:color="auto"/>
            </w:tcBorders>
            <w:vAlign w:val="center"/>
            <w:hideMark/>
          </w:tcPr>
          <w:p w14:paraId="0829D107"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Anual</w:t>
            </w:r>
          </w:p>
        </w:tc>
        <w:tc>
          <w:tcPr>
            <w:tcW w:w="664" w:type="dxa"/>
            <w:tcBorders>
              <w:top w:val="single" w:sz="6" w:space="0" w:color="auto"/>
              <w:left w:val="single" w:sz="6" w:space="0" w:color="auto"/>
              <w:bottom w:val="single" w:sz="6" w:space="0" w:color="auto"/>
              <w:right w:val="single" w:sz="6" w:space="0" w:color="auto"/>
            </w:tcBorders>
            <w:vAlign w:val="center"/>
            <w:hideMark/>
          </w:tcPr>
          <w:p w14:paraId="4744A53A"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97%</w:t>
            </w:r>
          </w:p>
        </w:tc>
        <w:tc>
          <w:tcPr>
            <w:tcW w:w="735" w:type="dxa"/>
            <w:tcBorders>
              <w:top w:val="single" w:sz="6" w:space="0" w:color="auto"/>
              <w:left w:val="single" w:sz="6" w:space="0" w:color="auto"/>
              <w:bottom w:val="single" w:sz="6" w:space="0" w:color="auto"/>
              <w:right w:val="single" w:sz="6" w:space="0" w:color="auto"/>
            </w:tcBorders>
            <w:vAlign w:val="center"/>
            <w:hideMark/>
          </w:tcPr>
          <w:p w14:paraId="2F8377F1"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c>
          <w:tcPr>
            <w:tcW w:w="1157" w:type="dxa"/>
            <w:tcBorders>
              <w:top w:val="single" w:sz="6" w:space="0" w:color="auto"/>
              <w:left w:val="single" w:sz="6" w:space="0" w:color="auto"/>
              <w:bottom w:val="single" w:sz="6" w:space="0" w:color="auto"/>
              <w:right w:val="single" w:sz="6" w:space="0" w:color="auto"/>
            </w:tcBorders>
            <w:vAlign w:val="center"/>
            <w:hideMark/>
          </w:tcPr>
          <w:p w14:paraId="619D122B"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c>
          <w:tcPr>
            <w:tcW w:w="1231" w:type="dxa"/>
            <w:tcBorders>
              <w:top w:val="single" w:sz="6" w:space="0" w:color="auto"/>
              <w:left w:val="single" w:sz="6" w:space="0" w:color="auto"/>
              <w:bottom w:val="single" w:sz="6" w:space="0" w:color="auto"/>
              <w:right w:val="single" w:sz="6" w:space="0" w:color="auto"/>
            </w:tcBorders>
            <w:vAlign w:val="center"/>
            <w:hideMark/>
          </w:tcPr>
          <w:p w14:paraId="61CEEF9C"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c>
          <w:tcPr>
            <w:tcW w:w="1157" w:type="dxa"/>
            <w:vAlign w:val="center"/>
          </w:tcPr>
          <w:p w14:paraId="5ACB1467" w14:textId="77777777" w:rsidR="00D34961" w:rsidRPr="00581A3E" w:rsidRDefault="00D34961" w:rsidP="0021165E">
            <w:pPr>
              <w:spacing w:line="360" w:lineRule="auto"/>
              <w:rPr>
                <w:rFonts w:eastAsia="Calibri"/>
                <w:noProof/>
                <w:color w:val="4C4747"/>
                <w:lang w:val="es-DO"/>
              </w:rPr>
            </w:pPr>
            <w:r w:rsidRPr="00CE1671">
              <w:rPr>
                <w:rFonts w:eastAsia="Calibri"/>
                <w:noProof/>
                <w:color w:val="4C4747"/>
                <w:lang w:val="es-DO"/>
              </w:rPr>
              <w:t> </w:t>
            </w:r>
          </w:p>
        </w:tc>
      </w:tr>
      <w:tr w:rsidR="00D34961" w:rsidRPr="00581A3E" w14:paraId="4EF38E60" w14:textId="77777777" w:rsidTr="0021165E">
        <w:trPr>
          <w:gridAfter w:val="1"/>
          <w:wAfter w:w="1157" w:type="dxa"/>
          <w:trHeight w:val="735"/>
        </w:trPr>
        <w:tc>
          <w:tcPr>
            <w:tcW w:w="431" w:type="dxa"/>
            <w:tcBorders>
              <w:top w:val="single" w:sz="6" w:space="0" w:color="auto"/>
              <w:left w:val="single" w:sz="6" w:space="0" w:color="auto"/>
              <w:bottom w:val="single" w:sz="4" w:space="0" w:color="auto"/>
              <w:right w:val="single" w:sz="6" w:space="0" w:color="auto"/>
            </w:tcBorders>
            <w:vAlign w:val="center"/>
            <w:hideMark/>
          </w:tcPr>
          <w:p w14:paraId="4D46EDAB"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8</w:t>
            </w:r>
          </w:p>
        </w:tc>
        <w:tc>
          <w:tcPr>
            <w:tcW w:w="1895" w:type="dxa"/>
            <w:tcBorders>
              <w:top w:val="single" w:sz="6" w:space="0" w:color="auto"/>
              <w:left w:val="single" w:sz="6" w:space="0" w:color="auto"/>
              <w:bottom w:val="single" w:sz="4" w:space="0" w:color="auto"/>
              <w:right w:val="single" w:sz="6" w:space="0" w:color="auto"/>
            </w:tcBorders>
            <w:vAlign w:val="center"/>
            <w:hideMark/>
          </w:tcPr>
          <w:p w14:paraId="3518A9D0" w14:textId="77777777" w:rsidR="00D34961" w:rsidRPr="00CE1671" w:rsidRDefault="00D34961" w:rsidP="0021165E">
            <w:pPr>
              <w:spacing w:line="360" w:lineRule="auto"/>
              <w:rPr>
                <w:rFonts w:eastAsia="Calibri"/>
                <w:noProof/>
                <w:color w:val="4C4747"/>
                <w:lang w:val="es-DO"/>
              </w:rPr>
            </w:pPr>
            <w:r>
              <w:rPr>
                <w:rFonts w:eastAsia="Calibri"/>
                <w:noProof/>
                <w:color w:val="4C4747"/>
                <w:lang w:val="es-DO"/>
              </w:rPr>
              <w:t xml:space="preserve">Planificación y Desarrollo </w:t>
            </w:r>
          </w:p>
        </w:tc>
        <w:tc>
          <w:tcPr>
            <w:tcW w:w="1855" w:type="dxa"/>
            <w:tcBorders>
              <w:top w:val="single" w:sz="6" w:space="0" w:color="auto"/>
              <w:left w:val="single" w:sz="6" w:space="0" w:color="auto"/>
              <w:bottom w:val="single" w:sz="4" w:space="0" w:color="auto"/>
              <w:right w:val="single" w:sz="6" w:space="0" w:color="auto"/>
            </w:tcBorders>
            <w:vAlign w:val="center"/>
            <w:hideMark/>
          </w:tcPr>
          <w:p w14:paraId="0E377199" w14:textId="77777777" w:rsidR="00D34961" w:rsidRPr="00CE1671" w:rsidRDefault="00D34961" w:rsidP="0021165E">
            <w:pPr>
              <w:spacing w:line="360" w:lineRule="auto"/>
              <w:jc w:val="center"/>
              <w:rPr>
                <w:rFonts w:eastAsia="Calibri"/>
                <w:noProof/>
                <w:color w:val="4C4747"/>
                <w:lang w:val="es-DO"/>
              </w:rPr>
            </w:pPr>
            <w:r w:rsidRPr="006F0F26">
              <w:rPr>
                <w:rFonts w:eastAsia="Calibri"/>
                <w:noProof/>
                <w:color w:val="4C4747"/>
                <w:lang w:val="es-DO"/>
              </w:rPr>
              <w:t>Implementación Carta Compromiso al Ciudadano</w:t>
            </w:r>
          </w:p>
        </w:tc>
        <w:tc>
          <w:tcPr>
            <w:tcW w:w="1935" w:type="dxa"/>
            <w:tcBorders>
              <w:top w:val="single" w:sz="6" w:space="0" w:color="auto"/>
              <w:left w:val="single" w:sz="6" w:space="0" w:color="auto"/>
              <w:bottom w:val="single" w:sz="4" w:space="0" w:color="auto"/>
              <w:right w:val="single" w:sz="6" w:space="0" w:color="auto"/>
            </w:tcBorders>
            <w:vAlign w:val="center"/>
            <w:hideMark/>
          </w:tcPr>
          <w:p w14:paraId="000DB6AE" w14:textId="77777777" w:rsidR="00D34961" w:rsidRPr="00CE1671" w:rsidRDefault="00D34961" w:rsidP="0021165E">
            <w:pPr>
              <w:spacing w:line="360" w:lineRule="auto"/>
              <w:jc w:val="center"/>
              <w:rPr>
                <w:rFonts w:eastAsia="Calibri"/>
                <w:noProof/>
                <w:color w:val="4C4747"/>
                <w:lang w:val="es-DO"/>
              </w:rPr>
            </w:pPr>
            <w:r w:rsidRPr="000C3D94">
              <w:rPr>
                <w:rFonts w:eastAsia="Calibri"/>
                <w:noProof/>
                <w:color w:val="4C4747"/>
                <w:lang w:val="es-DO"/>
              </w:rPr>
              <w:t>Carta compromiso al ciudadano implementada</w:t>
            </w:r>
          </w:p>
        </w:tc>
        <w:tc>
          <w:tcPr>
            <w:tcW w:w="1270" w:type="dxa"/>
            <w:tcBorders>
              <w:top w:val="single" w:sz="6" w:space="0" w:color="auto"/>
              <w:left w:val="single" w:sz="6" w:space="0" w:color="auto"/>
              <w:bottom w:val="single" w:sz="4" w:space="0" w:color="auto"/>
              <w:right w:val="single" w:sz="6" w:space="0" w:color="auto"/>
            </w:tcBorders>
            <w:vAlign w:val="center"/>
            <w:hideMark/>
          </w:tcPr>
          <w:p w14:paraId="2925D840"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N/A</w:t>
            </w:r>
          </w:p>
        </w:tc>
        <w:tc>
          <w:tcPr>
            <w:tcW w:w="664" w:type="dxa"/>
            <w:tcBorders>
              <w:top w:val="single" w:sz="6" w:space="0" w:color="auto"/>
              <w:left w:val="single" w:sz="6" w:space="0" w:color="auto"/>
              <w:bottom w:val="single" w:sz="4" w:space="0" w:color="auto"/>
              <w:right w:val="single" w:sz="6" w:space="0" w:color="auto"/>
            </w:tcBorders>
            <w:vAlign w:val="center"/>
            <w:hideMark/>
          </w:tcPr>
          <w:p w14:paraId="2BE5DB15"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N/A</w:t>
            </w:r>
          </w:p>
        </w:tc>
        <w:tc>
          <w:tcPr>
            <w:tcW w:w="735" w:type="dxa"/>
            <w:tcBorders>
              <w:top w:val="single" w:sz="6" w:space="0" w:color="auto"/>
              <w:left w:val="single" w:sz="6" w:space="0" w:color="auto"/>
              <w:bottom w:val="single" w:sz="4" w:space="0" w:color="auto"/>
              <w:right w:val="single" w:sz="6" w:space="0" w:color="auto"/>
            </w:tcBorders>
            <w:vAlign w:val="center"/>
            <w:hideMark/>
          </w:tcPr>
          <w:p w14:paraId="2C126EDA"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w:t>
            </w:r>
          </w:p>
        </w:tc>
        <w:tc>
          <w:tcPr>
            <w:tcW w:w="1157" w:type="dxa"/>
            <w:tcBorders>
              <w:top w:val="single" w:sz="6" w:space="0" w:color="auto"/>
              <w:left w:val="single" w:sz="6" w:space="0" w:color="auto"/>
              <w:bottom w:val="single" w:sz="4" w:space="0" w:color="auto"/>
              <w:right w:val="single" w:sz="6" w:space="0" w:color="auto"/>
            </w:tcBorders>
            <w:vAlign w:val="center"/>
            <w:hideMark/>
          </w:tcPr>
          <w:p w14:paraId="5A3359D7"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w:t>
            </w:r>
          </w:p>
        </w:tc>
        <w:tc>
          <w:tcPr>
            <w:tcW w:w="1231" w:type="dxa"/>
            <w:tcBorders>
              <w:top w:val="single" w:sz="6" w:space="0" w:color="auto"/>
              <w:left w:val="single" w:sz="6" w:space="0" w:color="auto"/>
              <w:bottom w:val="single" w:sz="4" w:space="0" w:color="auto"/>
              <w:right w:val="single" w:sz="6" w:space="0" w:color="auto"/>
            </w:tcBorders>
            <w:vAlign w:val="center"/>
            <w:hideMark/>
          </w:tcPr>
          <w:p w14:paraId="7F0A733B"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r>
      <w:tr w:rsidR="00D34961" w:rsidRPr="00581A3E" w14:paraId="5DDD6CAC" w14:textId="77777777" w:rsidTr="0021165E">
        <w:trPr>
          <w:gridAfter w:val="1"/>
          <w:wAfter w:w="1157" w:type="dxa"/>
          <w:trHeight w:val="735"/>
        </w:trPr>
        <w:tc>
          <w:tcPr>
            <w:tcW w:w="431" w:type="dxa"/>
            <w:tcBorders>
              <w:top w:val="single" w:sz="4" w:space="0" w:color="auto"/>
              <w:left w:val="single" w:sz="4" w:space="0" w:color="auto"/>
              <w:bottom w:val="single" w:sz="4" w:space="0" w:color="auto"/>
              <w:right w:val="single" w:sz="4" w:space="0" w:color="auto"/>
            </w:tcBorders>
            <w:vAlign w:val="center"/>
            <w:hideMark/>
          </w:tcPr>
          <w:p w14:paraId="70A9E119"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9</w:t>
            </w:r>
          </w:p>
        </w:tc>
        <w:tc>
          <w:tcPr>
            <w:tcW w:w="1895" w:type="dxa"/>
            <w:tcBorders>
              <w:top w:val="single" w:sz="4" w:space="0" w:color="auto"/>
              <w:left w:val="single" w:sz="4" w:space="0" w:color="auto"/>
              <w:bottom w:val="single" w:sz="4" w:space="0" w:color="auto"/>
              <w:right w:val="single" w:sz="4" w:space="0" w:color="auto"/>
            </w:tcBorders>
            <w:vAlign w:val="center"/>
            <w:hideMark/>
          </w:tcPr>
          <w:p w14:paraId="402D6F52" w14:textId="77777777" w:rsidR="00D34961" w:rsidRPr="00CE1671" w:rsidRDefault="00D34961" w:rsidP="0021165E">
            <w:pPr>
              <w:spacing w:line="360" w:lineRule="auto"/>
              <w:rPr>
                <w:rFonts w:eastAsia="Calibri"/>
                <w:noProof/>
                <w:color w:val="4C4747"/>
                <w:lang w:val="es-DO"/>
              </w:rPr>
            </w:pPr>
            <w:r>
              <w:rPr>
                <w:rFonts w:eastAsia="Calibri"/>
                <w:noProof/>
                <w:color w:val="4C4747"/>
                <w:lang w:val="es-DO"/>
              </w:rPr>
              <w:t>Administrativo y Financiero</w:t>
            </w:r>
          </w:p>
        </w:tc>
        <w:tc>
          <w:tcPr>
            <w:tcW w:w="1855" w:type="dxa"/>
            <w:tcBorders>
              <w:top w:val="single" w:sz="4" w:space="0" w:color="auto"/>
              <w:left w:val="single" w:sz="4" w:space="0" w:color="auto"/>
              <w:bottom w:val="single" w:sz="4" w:space="0" w:color="auto"/>
              <w:right w:val="single" w:sz="4" w:space="0" w:color="auto"/>
            </w:tcBorders>
            <w:vAlign w:val="center"/>
            <w:hideMark/>
          </w:tcPr>
          <w:p w14:paraId="2A1484B7" w14:textId="77777777" w:rsidR="00D34961" w:rsidRPr="00CE1671" w:rsidRDefault="00D34961" w:rsidP="0021165E">
            <w:pPr>
              <w:spacing w:line="360" w:lineRule="auto"/>
              <w:jc w:val="center"/>
              <w:rPr>
                <w:rFonts w:eastAsia="Calibri"/>
                <w:noProof/>
                <w:color w:val="4C4747"/>
                <w:lang w:val="es-DO"/>
              </w:rPr>
            </w:pPr>
            <w:r w:rsidRPr="00471515">
              <w:rPr>
                <w:rFonts w:eastAsia="Calibri"/>
                <w:noProof/>
                <w:color w:val="4C4747"/>
                <w:lang w:val="es-DO"/>
              </w:rPr>
              <w:t>Ejecución Presupuestaria</w:t>
            </w:r>
          </w:p>
        </w:tc>
        <w:tc>
          <w:tcPr>
            <w:tcW w:w="1935" w:type="dxa"/>
            <w:tcBorders>
              <w:top w:val="single" w:sz="4" w:space="0" w:color="auto"/>
              <w:left w:val="single" w:sz="4" w:space="0" w:color="auto"/>
              <w:bottom w:val="single" w:sz="4" w:space="0" w:color="auto"/>
              <w:right w:val="single" w:sz="4" w:space="0" w:color="auto"/>
            </w:tcBorders>
            <w:vAlign w:val="center"/>
            <w:hideMark/>
          </w:tcPr>
          <w:p w14:paraId="703437D8"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Índice de Gestión Presupuestaria</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E4F51BB"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Trimestral</w:t>
            </w:r>
          </w:p>
        </w:tc>
        <w:tc>
          <w:tcPr>
            <w:tcW w:w="664" w:type="dxa"/>
            <w:tcBorders>
              <w:top w:val="single" w:sz="4" w:space="0" w:color="auto"/>
              <w:left w:val="single" w:sz="4" w:space="0" w:color="auto"/>
              <w:bottom w:val="single" w:sz="4" w:space="0" w:color="auto"/>
              <w:right w:val="single" w:sz="4" w:space="0" w:color="auto"/>
            </w:tcBorders>
            <w:vAlign w:val="center"/>
            <w:hideMark/>
          </w:tcPr>
          <w:p w14:paraId="63FF3AF0"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90%</w:t>
            </w:r>
          </w:p>
        </w:tc>
        <w:tc>
          <w:tcPr>
            <w:tcW w:w="735" w:type="dxa"/>
            <w:tcBorders>
              <w:top w:val="single" w:sz="4" w:space="0" w:color="auto"/>
              <w:left w:val="single" w:sz="4" w:space="0" w:color="auto"/>
              <w:bottom w:val="single" w:sz="4" w:space="0" w:color="auto"/>
              <w:right w:val="single" w:sz="4" w:space="0" w:color="auto"/>
            </w:tcBorders>
            <w:vAlign w:val="center"/>
            <w:hideMark/>
          </w:tcPr>
          <w:p w14:paraId="5184F861"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95%</w:t>
            </w:r>
          </w:p>
        </w:tc>
        <w:tc>
          <w:tcPr>
            <w:tcW w:w="1157" w:type="dxa"/>
            <w:tcBorders>
              <w:top w:val="single" w:sz="4" w:space="0" w:color="auto"/>
              <w:left w:val="single" w:sz="4" w:space="0" w:color="auto"/>
              <w:bottom w:val="single" w:sz="4" w:space="0" w:color="auto"/>
              <w:right w:val="single" w:sz="4" w:space="0" w:color="auto"/>
            </w:tcBorders>
            <w:vAlign w:val="center"/>
            <w:hideMark/>
          </w:tcPr>
          <w:p w14:paraId="7539905B"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c>
          <w:tcPr>
            <w:tcW w:w="1231" w:type="dxa"/>
            <w:tcBorders>
              <w:top w:val="single" w:sz="4" w:space="0" w:color="auto"/>
              <w:left w:val="single" w:sz="4" w:space="0" w:color="auto"/>
              <w:bottom w:val="single" w:sz="4" w:space="0" w:color="auto"/>
              <w:right w:val="single" w:sz="4" w:space="0" w:color="auto"/>
            </w:tcBorders>
            <w:vAlign w:val="center"/>
            <w:hideMark/>
          </w:tcPr>
          <w:p w14:paraId="3C63DB36" w14:textId="77777777" w:rsidR="00D34961" w:rsidRPr="00CE1671" w:rsidRDefault="00D34961" w:rsidP="0021165E">
            <w:pPr>
              <w:spacing w:line="360" w:lineRule="auto"/>
              <w:jc w:val="center"/>
              <w:rPr>
                <w:rFonts w:eastAsia="Calibri"/>
                <w:noProof/>
                <w:color w:val="4C4747"/>
                <w:lang w:val="es-DO"/>
              </w:rPr>
            </w:pPr>
            <w:r>
              <w:rPr>
                <w:rFonts w:eastAsia="Calibri"/>
                <w:noProof/>
                <w:color w:val="4C4747"/>
                <w:lang w:val="es-DO"/>
              </w:rPr>
              <w:t>100%</w:t>
            </w:r>
          </w:p>
        </w:tc>
      </w:tr>
      <w:tr w:rsidR="00D34961" w:rsidRPr="00581A3E" w14:paraId="78429699" w14:textId="77777777" w:rsidTr="0021165E">
        <w:trPr>
          <w:gridAfter w:val="1"/>
          <w:wAfter w:w="1157" w:type="dxa"/>
          <w:trHeight w:val="735"/>
        </w:trPr>
        <w:tc>
          <w:tcPr>
            <w:tcW w:w="11173" w:type="dxa"/>
            <w:gridSpan w:val="9"/>
            <w:tcBorders>
              <w:top w:val="single" w:sz="4" w:space="0" w:color="auto"/>
              <w:left w:val="nil"/>
              <w:bottom w:val="nil"/>
              <w:right w:val="nil"/>
            </w:tcBorders>
            <w:vAlign w:val="center"/>
          </w:tcPr>
          <w:p w14:paraId="129EFC52" w14:textId="77777777" w:rsidR="00D34961" w:rsidRPr="00A061A9" w:rsidRDefault="00D34961" w:rsidP="0021165E">
            <w:pPr>
              <w:spacing w:line="360" w:lineRule="auto"/>
              <w:rPr>
                <w:rFonts w:eastAsia="Calibri"/>
                <w:i/>
                <w:iCs/>
                <w:noProof/>
                <w:color w:val="4C4747"/>
                <w:lang w:val="es-DO"/>
              </w:rPr>
            </w:pPr>
            <w:r w:rsidRPr="00A061A9">
              <w:rPr>
                <w:rFonts w:eastAsia="Calibri"/>
                <w:i/>
                <w:iCs/>
                <w:noProof/>
                <w:color w:val="4C4747"/>
                <w:lang w:val="es-DO"/>
              </w:rPr>
              <w:t xml:space="preserve">Fuente: Departamento de Planificación </w:t>
            </w:r>
          </w:p>
        </w:tc>
      </w:tr>
    </w:tbl>
    <w:p w14:paraId="63CCBE93" w14:textId="77777777" w:rsidR="00F77F22" w:rsidRDefault="00F77F22" w:rsidP="00340DF1">
      <w:pPr>
        <w:spacing w:line="360" w:lineRule="auto"/>
        <w:rPr>
          <w:lang w:val="es-DO"/>
        </w:rPr>
        <w:sectPr w:rsidR="00F77F22" w:rsidSect="006367D1">
          <w:pgSz w:w="12240" w:h="15840"/>
          <w:pgMar w:top="1440" w:right="2160" w:bottom="1440" w:left="2160" w:header="720" w:footer="720" w:gutter="0"/>
          <w:cols w:space="720"/>
          <w:docGrid w:linePitch="360"/>
        </w:sectPr>
      </w:pPr>
    </w:p>
    <w:p w14:paraId="620E51D7" w14:textId="3356428D" w:rsidR="00AB4916" w:rsidRDefault="00AB4916" w:rsidP="004C1BA4">
      <w:pPr>
        <w:tabs>
          <w:tab w:val="left" w:pos="2576"/>
        </w:tabs>
        <w:rPr>
          <w:rFonts w:eastAsia="Calibri"/>
          <w:noProof/>
          <w:color w:val="4C4747"/>
          <w:lang w:val="es-DO"/>
        </w:rPr>
      </w:pPr>
    </w:p>
    <w:p w14:paraId="249A0607" w14:textId="63375A62" w:rsidR="00886355" w:rsidRPr="00B8286C" w:rsidRDefault="00D22A2B" w:rsidP="00B8286C">
      <w:pPr>
        <w:pStyle w:val="Ttulo2"/>
        <w:numPr>
          <w:ilvl w:val="0"/>
          <w:numId w:val="13"/>
        </w:numPr>
        <w:spacing w:line="360" w:lineRule="auto"/>
        <w:rPr>
          <w:lang w:val="es-DO"/>
        </w:rPr>
      </w:pPr>
      <w:bookmarkStart w:id="27" w:name="_Toc217035447"/>
      <w:r w:rsidRPr="00D22A2B">
        <w:rPr>
          <w:lang w:val="es-DO"/>
        </w:rPr>
        <w:t>Resumen del Plan Anual de Compras y Contrataciones (PACC).</w:t>
      </w:r>
      <w:bookmarkEnd w:id="27"/>
    </w:p>
    <w:tbl>
      <w:tblPr>
        <w:tblStyle w:val="TableNormal2"/>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78"/>
        <w:gridCol w:w="3881"/>
      </w:tblGrid>
      <w:tr w:rsidR="000A6430" w:rsidRPr="00116DFC" w14:paraId="68C40801" w14:textId="77777777" w:rsidTr="00602398">
        <w:trPr>
          <w:trHeight w:val="1216"/>
          <w:tblHeader/>
          <w:jc w:val="center"/>
        </w:trPr>
        <w:tc>
          <w:tcPr>
            <w:tcW w:w="8359" w:type="dxa"/>
            <w:gridSpan w:val="2"/>
            <w:shd w:val="clear" w:color="auto" w:fill="002060"/>
          </w:tcPr>
          <w:p w14:paraId="502B0084" w14:textId="77777777" w:rsidR="000A6430" w:rsidRPr="00D61A94" w:rsidRDefault="000A6430" w:rsidP="00340DF1">
            <w:pPr>
              <w:spacing w:before="215" w:line="360" w:lineRule="auto"/>
              <w:ind w:left="2" w:right="2"/>
              <w:jc w:val="center"/>
              <w:rPr>
                <w:rFonts w:ascii="Times New Roman" w:eastAsiaTheme="majorEastAsia" w:hAnsi="Times New Roman" w:cstheme="majorBidi"/>
                <w:color w:val="FFFFFF" w:themeColor="background1"/>
                <w:spacing w:val="20"/>
                <w:sz w:val="24"/>
                <w:szCs w:val="26"/>
                <w:lang w:val="es-DO"/>
              </w:rPr>
            </w:pPr>
            <w:r w:rsidRPr="00D61A94">
              <w:rPr>
                <w:rFonts w:ascii="Times New Roman" w:eastAsiaTheme="majorEastAsia" w:hAnsi="Times New Roman" w:cstheme="majorBidi"/>
                <w:color w:val="FFFFFF" w:themeColor="background1"/>
                <w:spacing w:val="20"/>
                <w:sz w:val="24"/>
                <w:szCs w:val="26"/>
                <w:lang w:val="es-DO"/>
              </w:rPr>
              <w:t>COMISIÓN NACIONAL DE DEFENSA DE LA COMPETENCIA</w:t>
            </w:r>
          </w:p>
          <w:p w14:paraId="36B2145D" w14:textId="7597A6DC" w:rsidR="000A6430" w:rsidRPr="00D61A94" w:rsidRDefault="000A6430" w:rsidP="00D61A94">
            <w:pPr>
              <w:spacing w:before="215" w:line="360" w:lineRule="auto"/>
              <w:ind w:left="2" w:right="2"/>
              <w:jc w:val="center"/>
              <w:rPr>
                <w:rFonts w:ascii="Times New Roman" w:eastAsiaTheme="majorEastAsia" w:hAnsi="Times New Roman" w:cstheme="majorBidi"/>
                <w:color w:val="FFFFFF" w:themeColor="background1"/>
                <w:spacing w:val="20"/>
                <w:sz w:val="24"/>
                <w:szCs w:val="26"/>
                <w:lang w:val="es-DO"/>
              </w:rPr>
            </w:pPr>
            <w:r w:rsidRPr="00D61A94">
              <w:rPr>
                <w:rFonts w:ascii="Times New Roman" w:eastAsiaTheme="majorEastAsia" w:hAnsi="Times New Roman" w:cstheme="majorBidi"/>
                <w:color w:val="FFFFFF" w:themeColor="background1"/>
                <w:spacing w:val="20"/>
                <w:sz w:val="24"/>
                <w:szCs w:val="26"/>
                <w:lang w:val="es-DO"/>
              </w:rPr>
              <w:t>RESUMEN DEL PLAN DE COMPRAS 2025</w:t>
            </w:r>
          </w:p>
        </w:tc>
      </w:tr>
      <w:tr w:rsidR="000A6430" w14:paraId="3E89D604" w14:textId="77777777" w:rsidTr="00B8286C">
        <w:trPr>
          <w:trHeight w:val="316"/>
          <w:jc w:val="center"/>
        </w:trPr>
        <w:tc>
          <w:tcPr>
            <w:tcW w:w="8359" w:type="dxa"/>
            <w:gridSpan w:val="2"/>
            <w:shd w:val="clear" w:color="auto" w:fill="AEAAAA" w:themeFill="background2" w:themeFillShade="BF"/>
          </w:tcPr>
          <w:p w14:paraId="3A35D71A" w14:textId="77777777" w:rsidR="000A6430" w:rsidRPr="000A6430" w:rsidRDefault="000A6430" w:rsidP="00340DF1">
            <w:pPr>
              <w:pStyle w:val="TableParagraph"/>
              <w:spacing w:before="20" w:line="360" w:lineRule="auto"/>
              <w:ind w:left="5"/>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DATOS DE CABECERA PACC</w:t>
            </w:r>
          </w:p>
        </w:tc>
      </w:tr>
      <w:tr w:rsidR="000A6430" w:rsidRPr="000A6430" w14:paraId="5B94AB78" w14:textId="77777777" w:rsidTr="00B8286C">
        <w:trPr>
          <w:trHeight w:val="314"/>
          <w:jc w:val="center"/>
        </w:trPr>
        <w:tc>
          <w:tcPr>
            <w:tcW w:w="4478" w:type="dxa"/>
          </w:tcPr>
          <w:p w14:paraId="48E41B90"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Monto estimado total</w:t>
            </w:r>
          </w:p>
        </w:tc>
        <w:tc>
          <w:tcPr>
            <w:tcW w:w="3881" w:type="dxa"/>
          </w:tcPr>
          <w:p w14:paraId="7202416B" w14:textId="77777777" w:rsidR="000A6430" w:rsidRPr="000A6430" w:rsidRDefault="000A6430" w:rsidP="00340DF1">
            <w:pPr>
              <w:pStyle w:val="TableParagraph"/>
              <w:spacing w:line="360" w:lineRule="auto"/>
              <w:ind w:left="752"/>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$ 59,223,801.21</w:t>
            </w:r>
          </w:p>
        </w:tc>
      </w:tr>
      <w:tr w:rsidR="000A6430" w:rsidRPr="000A6430" w14:paraId="63394A9C" w14:textId="77777777" w:rsidTr="00B8286C">
        <w:trPr>
          <w:trHeight w:val="313"/>
          <w:jc w:val="center"/>
        </w:trPr>
        <w:tc>
          <w:tcPr>
            <w:tcW w:w="4478" w:type="dxa"/>
          </w:tcPr>
          <w:p w14:paraId="7182EF56"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Monto total contratado</w:t>
            </w:r>
          </w:p>
        </w:tc>
        <w:tc>
          <w:tcPr>
            <w:tcW w:w="3881" w:type="dxa"/>
          </w:tcPr>
          <w:p w14:paraId="4724A0CA" w14:textId="77777777" w:rsidR="000A6430" w:rsidRPr="000A6430" w:rsidRDefault="000A6430" w:rsidP="00340DF1">
            <w:pPr>
              <w:pStyle w:val="TableParagraph"/>
              <w:spacing w:line="360" w:lineRule="auto"/>
              <w:ind w:left="723"/>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$ 59,223,801.21</w:t>
            </w:r>
          </w:p>
        </w:tc>
      </w:tr>
      <w:tr w:rsidR="000A6430" w:rsidRPr="000A6430" w14:paraId="3CFA9E89" w14:textId="77777777" w:rsidTr="00B8286C">
        <w:trPr>
          <w:trHeight w:val="631"/>
          <w:jc w:val="center"/>
        </w:trPr>
        <w:tc>
          <w:tcPr>
            <w:tcW w:w="4478" w:type="dxa"/>
          </w:tcPr>
          <w:p w14:paraId="27F02BB9" w14:textId="77777777" w:rsidR="000A6430" w:rsidRPr="000A6430" w:rsidRDefault="000A6430" w:rsidP="00340DF1">
            <w:pPr>
              <w:pStyle w:val="TableParagraph"/>
              <w:spacing w:before="172"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Cantidad de procesos registrados</w:t>
            </w:r>
          </w:p>
        </w:tc>
        <w:tc>
          <w:tcPr>
            <w:tcW w:w="3881" w:type="dxa"/>
          </w:tcPr>
          <w:p w14:paraId="43CA2502" w14:textId="77777777" w:rsidR="000A6430" w:rsidRPr="000A6430" w:rsidRDefault="000A6430" w:rsidP="00340DF1">
            <w:pPr>
              <w:pStyle w:val="TableParagraph"/>
              <w:spacing w:before="172" w:line="360" w:lineRule="auto"/>
              <w:ind w:right="222"/>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113</w:t>
            </w:r>
          </w:p>
        </w:tc>
      </w:tr>
      <w:tr w:rsidR="000A6430" w:rsidRPr="000A6430" w14:paraId="38B79C71" w14:textId="77777777" w:rsidTr="00B8286C">
        <w:trPr>
          <w:trHeight w:val="314"/>
          <w:jc w:val="center"/>
        </w:trPr>
        <w:tc>
          <w:tcPr>
            <w:tcW w:w="4478" w:type="dxa"/>
          </w:tcPr>
          <w:p w14:paraId="75A0BB51"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Capítulo</w:t>
            </w:r>
          </w:p>
        </w:tc>
        <w:tc>
          <w:tcPr>
            <w:tcW w:w="3881" w:type="dxa"/>
          </w:tcPr>
          <w:p w14:paraId="323F128E" w14:textId="77777777" w:rsidR="000A6430" w:rsidRPr="000A6430" w:rsidRDefault="000A6430" w:rsidP="00340DF1">
            <w:pPr>
              <w:pStyle w:val="TableParagraph"/>
              <w:spacing w:line="360" w:lineRule="auto"/>
              <w:ind w:right="222"/>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5166</w:t>
            </w:r>
          </w:p>
        </w:tc>
      </w:tr>
      <w:tr w:rsidR="000A6430" w:rsidRPr="000A6430" w14:paraId="42E91440" w14:textId="77777777" w:rsidTr="00B8286C">
        <w:trPr>
          <w:trHeight w:val="316"/>
          <w:jc w:val="center"/>
        </w:trPr>
        <w:tc>
          <w:tcPr>
            <w:tcW w:w="4478" w:type="dxa"/>
          </w:tcPr>
          <w:p w14:paraId="76F96022" w14:textId="77777777" w:rsidR="000A6430" w:rsidRPr="000A6430" w:rsidRDefault="000A6430" w:rsidP="00340DF1">
            <w:pPr>
              <w:pStyle w:val="TableParagraph"/>
              <w:spacing w:before="15"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Sub capítulo</w:t>
            </w:r>
          </w:p>
        </w:tc>
        <w:tc>
          <w:tcPr>
            <w:tcW w:w="3881" w:type="dxa"/>
          </w:tcPr>
          <w:p w14:paraId="57E9E452" w14:textId="77777777" w:rsidR="000A6430" w:rsidRPr="000A6430" w:rsidRDefault="000A6430" w:rsidP="00340DF1">
            <w:pPr>
              <w:pStyle w:val="TableParagraph"/>
              <w:spacing w:before="15" w:line="360" w:lineRule="auto"/>
              <w:ind w:right="222"/>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01</w:t>
            </w:r>
          </w:p>
        </w:tc>
      </w:tr>
      <w:tr w:rsidR="000A6430" w:rsidRPr="000A6430" w14:paraId="37C28734" w14:textId="77777777" w:rsidTr="00B8286C">
        <w:trPr>
          <w:trHeight w:val="313"/>
          <w:jc w:val="center"/>
        </w:trPr>
        <w:tc>
          <w:tcPr>
            <w:tcW w:w="4478" w:type="dxa"/>
          </w:tcPr>
          <w:p w14:paraId="02BABBC3"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Unidad ejecutora</w:t>
            </w:r>
          </w:p>
        </w:tc>
        <w:tc>
          <w:tcPr>
            <w:tcW w:w="3881" w:type="dxa"/>
          </w:tcPr>
          <w:p w14:paraId="50C1D984" w14:textId="77777777" w:rsidR="000A6430" w:rsidRPr="000A6430" w:rsidRDefault="000A6430" w:rsidP="00340DF1">
            <w:pPr>
              <w:pStyle w:val="TableParagraph"/>
              <w:spacing w:line="360" w:lineRule="auto"/>
              <w:ind w:right="222"/>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0001</w:t>
            </w:r>
          </w:p>
        </w:tc>
      </w:tr>
      <w:tr w:rsidR="000A6430" w:rsidRPr="00116DFC" w14:paraId="76F885BA" w14:textId="77777777" w:rsidTr="00B8286C">
        <w:trPr>
          <w:trHeight w:val="1259"/>
          <w:jc w:val="center"/>
        </w:trPr>
        <w:tc>
          <w:tcPr>
            <w:tcW w:w="4478" w:type="dxa"/>
          </w:tcPr>
          <w:p w14:paraId="215BBF9D"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Unidad de compra</w:t>
            </w:r>
          </w:p>
        </w:tc>
        <w:tc>
          <w:tcPr>
            <w:tcW w:w="3881" w:type="dxa"/>
          </w:tcPr>
          <w:p w14:paraId="4ADF637D" w14:textId="77777777" w:rsidR="000A6430" w:rsidRPr="000A6430" w:rsidRDefault="000A6430" w:rsidP="00340DF1">
            <w:pPr>
              <w:pStyle w:val="TableParagraph"/>
              <w:spacing w:line="360" w:lineRule="auto"/>
              <w:ind w:left="332" w:firstLine="72"/>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Comisión Nacional de Defensa de la Competencia</w:t>
            </w:r>
          </w:p>
        </w:tc>
      </w:tr>
      <w:tr w:rsidR="000A6430" w:rsidRPr="000A6430" w14:paraId="506D9714" w14:textId="77777777" w:rsidTr="00B8286C">
        <w:trPr>
          <w:trHeight w:val="316"/>
          <w:jc w:val="center"/>
        </w:trPr>
        <w:tc>
          <w:tcPr>
            <w:tcW w:w="4478" w:type="dxa"/>
          </w:tcPr>
          <w:p w14:paraId="372F302D" w14:textId="77777777" w:rsidR="000A6430" w:rsidRPr="000A6430" w:rsidRDefault="000A6430" w:rsidP="00340DF1">
            <w:pPr>
              <w:pStyle w:val="TableParagraph"/>
              <w:spacing w:before="15"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Año fiscal</w:t>
            </w:r>
          </w:p>
        </w:tc>
        <w:tc>
          <w:tcPr>
            <w:tcW w:w="3881" w:type="dxa"/>
          </w:tcPr>
          <w:p w14:paraId="2857EEB6" w14:textId="77777777" w:rsidR="000A6430" w:rsidRPr="000A6430" w:rsidRDefault="000A6430" w:rsidP="00340DF1">
            <w:pPr>
              <w:pStyle w:val="TableParagraph"/>
              <w:spacing w:before="15" w:line="360" w:lineRule="auto"/>
              <w:ind w:right="222"/>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2025</w:t>
            </w:r>
          </w:p>
        </w:tc>
      </w:tr>
      <w:tr w:rsidR="000A6430" w:rsidRPr="000A6430" w14:paraId="4BE0446D" w14:textId="77777777" w:rsidTr="00B8286C">
        <w:trPr>
          <w:trHeight w:val="314"/>
          <w:jc w:val="center"/>
        </w:trPr>
        <w:tc>
          <w:tcPr>
            <w:tcW w:w="4478" w:type="dxa"/>
          </w:tcPr>
          <w:p w14:paraId="1749C7BD"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Fecha aprobación</w:t>
            </w:r>
          </w:p>
        </w:tc>
        <w:tc>
          <w:tcPr>
            <w:tcW w:w="3881" w:type="dxa"/>
          </w:tcPr>
          <w:p w14:paraId="04805F9A" w14:textId="77777777" w:rsidR="000A6430" w:rsidRPr="000A6430" w:rsidRDefault="000A6430" w:rsidP="00340DF1">
            <w:pPr>
              <w:pStyle w:val="TableParagraph"/>
              <w:spacing w:line="360" w:lineRule="auto"/>
              <w:ind w:left="879"/>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10 de octubre</w:t>
            </w:r>
          </w:p>
        </w:tc>
      </w:tr>
      <w:tr w:rsidR="000A6430" w:rsidRPr="00116DFC" w14:paraId="2C73A06B" w14:textId="77777777" w:rsidTr="00B8286C">
        <w:trPr>
          <w:trHeight w:val="326"/>
          <w:jc w:val="center"/>
        </w:trPr>
        <w:tc>
          <w:tcPr>
            <w:tcW w:w="8359" w:type="dxa"/>
            <w:gridSpan w:val="2"/>
            <w:shd w:val="clear" w:color="auto" w:fill="D9D9D9"/>
          </w:tcPr>
          <w:p w14:paraId="75ADED40" w14:textId="77777777" w:rsidR="000A6430" w:rsidRPr="000A6430" w:rsidRDefault="000A6430" w:rsidP="00340DF1">
            <w:pPr>
              <w:pStyle w:val="TableParagraph"/>
              <w:spacing w:before="30" w:line="360" w:lineRule="auto"/>
              <w:ind w:left="475"/>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MONTOS ESTIMADOS SEGÚN OBJETO DE CONTRATACIÓN</w:t>
            </w:r>
          </w:p>
        </w:tc>
      </w:tr>
      <w:tr w:rsidR="000A6430" w:rsidRPr="000A6430" w14:paraId="2261AC5E" w14:textId="77777777" w:rsidTr="00B8286C">
        <w:trPr>
          <w:trHeight w:val="314"/>
          <w:jc w:val="center"/>
        </w:trPr>
        <w:tc>
          <w:tcPr>
            <w:tcW w:w="4478" w:type="dxa"/>
          </w:tcPr>
          <w:p w14:paraId="6ADDFF90"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Bienes</w:t>
            </w:r>
          </w:p>
        </w:tc>
        <w:tc>
          <w:tcPr>
            <w:tcW w:w="3881" w:type="dxa"/>
          </w:tcPr>
          <w:p w14:paraId="61A21738" w14:textId="77777777" w:rsidR="000A6430" w:rsidRPr="000A6430" w:rsidRDefault="000A6430" w:rsidP="00340DF1">
            <w:pPr>
              <w:pStyle w:val="TableParagraph"/>
              <w:spacing w:line="360" w:lineRule="auto"/>
              <w:ind w:left="812"/>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$ 18,915,463.30</w:t>
            </w:r>
          </w:p>
        </w:tc>
      </w:tr>
      <w:tr w:rsidR="000A6430" w:rsidRPr="000A6430" w14:paraId="03CF256E" w14:textId="77777777" w:rsidTr="00B8286C">
        <w:trPr>
          <w:trHeight w:val="314"/>
          <w:jc w:val="center"/>
        </w:trPr>
        <w:tc>
          <w:tcPr>
            <w:tcW w:w="4478" w:type="dxa"/>
          </w:tcPr>
          <w:p w14:paraId="181E50A4"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Obras</w:t>
            </w:r>
          </w:p>
        </w:tc>
        <w:tc>
          <w:tcPr>
            <w:tcW w:w="3881" w:type="dxa"/>
          </w:tcPr>
          <w:p w14:paraId="5E0869C9" w14:textId="77777777" w:rsidR="000A6430" w:rsidRPr="000A6430" w:rsidRDefault="000A6430" w:rsidP="00340DF1">
            <w:pPr>
              <w:pStyle w:val="TableParagraph"/>
              <w:spacing w:line="360" w:lineRule="auto"/>
              <w:ind w:left="812"/>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xml:space="preserve">          N/A</w:t>
            </w:r>
          </w:p>
        </w:tc>
      </w:tr>
      <w:tr w:rsidR="000A6430" w:rsidRPr="000A6430" w14:paraId="71FC5560" w14:textId="77777777" w:rsidTr="00B8286C">
        <w:trPr>
          <w:trHeight w:val="316"/>
          <w:jc w:val="center"/>
        </w:trPr>
        <w:tc>
          <w:tcPr>
            <w:tcW w:w="4478" w:type="dxa"/>
          </w:tcPr>
          <w:p w14:paraId="3CDBA588" w14:textId="77777777" w:rsidR="000A6430" w:rsidRPr="000A6430" w:rsidRDefault="000A6430" w:rsidP="00340DF1">
            <w:pPr>
              <w:pStyle w:val="TableParagraph"/>
              <w:spacing w:before="15"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Servicios</w:t>
            </w:r>
          </w:p>
        </w:tc>
        <w:tc>
          <w:tcPr>
            <w:tcW w:w="3881" w:type="dxa"/>
          </w:tcPr>
          <w:p w14:paraId="516A3190" w14:textId="77777777" w:rsidR="000A6430" w:rsidRPr="000A6430" w:rsidRDefault="000A6430" w:rsidP="00340DF1">
            <w:pPr>
              <w:pStyle w:val="TableParagraph"/>
              <w:spacing w:before="15" w:line="360" w:lineRule="auto"/>
              <w:ind w:left="812"/>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$ 37,708,337.91</w:t>
            </w:r>
          </w:p>
        </w:tc>
      </w:tr>
      <w:tr w:rsidR="000A6430" w:rsidRPr="000A6430" w14:paraId="35CB8268" w14:textId="77777777" w:rsidTr="00B8286C">
        <w:trPr>
          <w:trHeight w:val="313"/>
          <w:jc w:val="center"/>
        </w:trPr>
        <w:tc>
          <w:tcPr>
            <w:tcW w:w="4478" w:type="dxa"/>
          </w:tcPr>
          <w:p w14:paraId="78642B93"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Servicios: consultoría</w:t>
            </w:r>
          </w:p>
        </w:tc>
        <w:tc>
          <w:tcPr>
            <w:tcW w:w="3881" w:type="dxa"/>
          </w:tcPr>
          <w:p w14:paraId="35E88F3A"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xml:space="preserve">            $ 2,600,000.00</w:t>
            </w:r>
          </w:p>
        </w:tc>
      </w:tr>
      <w:tr w:rsidR="000A6430" w:rsidRPr="000A6430" w14:paraId="02715310" w14:textId="77777777" w:rsidTr="00B8286C">
        <w:trPr>
          <w:trHeight w:val="945"/>
          <w:jc w:val="center"/>
        </w:trPr>
        <w:tc>
          <w:tcPr>
            <w:tcW w:w="4478" w:type="dxa"/>
          </w:tcPr>
          <w:p w14:paraId="5B569D8E" w14:textId="4437BAE1" w:rsidR="00A061A9" w:rsidRPr="000A6430" w:rsidRDefault="000A6430" w:rsidP="00340DF1">
            <w:pPr>
              <w:pStyle w:val="TableParagraph"/>
              <w:spacing w:before="191" w:line="360" w:lineRule="auto"/>
              <w:ind w:right="164"/>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Servicios: consultoría basada en la calidad de los servicios</w:t>
            </w:r>
          </w:p>
        </w:tc>
        <w:tc>
          <w:tcPr>
            <w:tcW w:w="3881" w:type="dxa"/>
          </w:tcPr>
          <w:p w14:paraId="24E73F42" w14:textId="77777777" w:rsidR="000A6430" w:rsidRPr="000A6430" w:rsidRDefault="000A6430" w:rsidP="00340DF1">
            <w:pPr>
              <w:pStyle w:val="TableParagraph"/>
              <w:spacing w:before="54" w:line="360" w:lineRule="auto"/>
              <w:rPr>
                <w:rFonts w:ascii="Times New Roman" w:eastAsia="Calibri" w:hAnsi="Times New Roman" w:cs="Times New Roman"/>
                <w:noProof/>
                <w:color w:val="4C4747"/>
                <w:spacing w:val="20"/>
                <w:sz w:val="24"/>
                <w:szCs w:val="24"/>
                <w:lang w:val="es-DO"/>
              </w:rPr>
            </w:pPr>
          </w:p>
          <w:p w14:paraId="56728551" w14:textId="77777777" w:rsidR="000A6430" w:rsidRPr="000A6430" w:rsidRDefault="000A6430" w:rsidP="00340DF1">
            <w:pPr>
              <w:pStyle w:val="TableParagraph"/>
              <w:spacing w:line="360" w:lineRule="auto"/>
              <w:ind w:right="222"/>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N/A</w:t>
            </w:r>
          </w:p>
        </w:tc>
      </w:tr>
      <w:tr w:rsidR="000A6430" w:rsidRPr="00116DFC" w14:paraId="31E9AD45" w14:textId="77777777" w:rsidTr="00B8286C">
        <w:trPr>
          <w:trHeight w:val="326"/>
          <w:jc w:val="center"/>
        </w:trPr>
        <w:tc>
          <w:tcPr>
            <w:tcW w:w="8359" w:type="dxa"/>
            <w:gridSpan w:val="2"/>
            <w:shd w:val="clear" w:color="auto" w:fill="D9D9D9"/>
          </w:tcPr>
          <w:p w14:paraId="508C5019" w14:textId="77777777" w:rsidR="000A6430" w:rsidRPr="000A6430" w:rsidRDefault="000A6430" w:rsidP="00340DF1">
            <w:pPr>
              <w:pStyle w:val="TableParagraph"/>
              <w:spacing w:before="28" w:line="360" w:lineRule="auto"/>
              <w:ind w:left="607"/>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MONTOS ESTIMADOS SEGÚN CLASIFICACIÓN MIPYMES</w:t>
            </w:r>
          </w:p>
        </w:tc>
      </w:tr>
      <w:tr w:rsidR="000A6430" w:rsidRPr="000A6430" w14:paraId="23F5108E" w14:textId="77777777" w:rsidTr="00B8286C">
        <w:trPr>
          <w:trHeight w:val="314"/>
          <w:jc w:val="center"/>
        </w:trPr>
        <w:tc>
          <w:tcPr>
            <w:tcW w:w="4478" w:type="dxa"/>
          </w:tcPr>
          <w:p w14:paraId="6CA906E8"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MiPymes</w:t>
            </w:r>
          </w:p>
        </w:tc>
        <w:tc>
          <w:tcPr>
            <w:tcW w:w="3881" w:type="dxa"/>
          </w:tcPr>
          <w:p w14:paraId="2B7AE021" w14:textId="77777777" w:rsidR="000A6430" w:rsidRPr="000A6430" w:rsidRDefault="000A6430" w:rsidP="00340DF1">
            <w:pPr>
              <w:pStyle w:val="TableParagraph"/>
              <w:spacing w:line="360" w:lineRule="auto"/>
              <w:ind w:left="812"/>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$ 18,663,651.30</w:t>
            </w:r>
          </w:p>
        </w:tc>
      </w:tr>
      <w:tr w:rsidR="000A6430" w:rsidRPr="000A6430" w14:paraId="736EACEE" w14:textId="77777777" w:rsidTr="00B8286C">
        <w:trPr>
          <w:trHeight w:val="314"/>
          <w:jc w:val="center"/>
        </w:trPr>
        <w:tc>
          <w:tcPr>
            <w:tcW w:w="4478" w:type="dxa"/>
          </w:tcPr>
          <w:p w14:paraId="0B88E4C4"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MiPymes mujer</w:t>
            </w:r>
          </w:p>
        </w:tc>
        <w:tc>
          <w:tcPr>
            <w:tcW w:w="3881" w:type="dxa"/>
          </w:tcPr>
          <w:p w14:paraId="1DBCEA21" w14:textId="77777777" w:rsidR="000A6430" w:rsidRPr="000A6430" w:rsidRDefault="000A6430" w:rsidP="00340DF1">
            <w:pPr>
              <w:pStyle w:val="TableParagraph"/>
              <w:spacing w:line="360" w:lineRule="auto"/>
              <w:ind w:left="812"/>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$ 2,970,959.00</w:t>
            </w:r>
          </w:p>
        </w:tc>
      </w:tr>
      <w:tr w:rsidR="000A6430" w:rsidRPr="000A6430" w14:paraId="160637AD" w14:textId="77777777" w:rsidTr="00B8286C">
        <w:trPr>
          <w:trHeight w:val="317"/>
          <w:jc w:val="center"/>
        </w:trPr>
        <w:tc>
          <w:tcPr>
            <w:tcW w:w="4478" w:type="dxa"/>
          </w:tcPr>
          <w:p w14:paraId="77ED2875" w14:textId="77777777" w:rsidR="000A6430" w:rsidRPr="000A6430" w:rsidRDefault="000A6430" w:rsidP="00340DF1">
            <w:pPr>
              <w:pStyle w:val="TableParagraph"/>
              <w:spacing w:before="14"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lastRenderedPageBreak/>
              <w:t>No MiPymes</w:t>
            </w:r>
          </w:p>
        </w:tc>
        <w:tc>
          <w:tcPr>
            <w:tcW w:w="3881" w:type="dxa"/>
          </w:tcPr>
          <w:p w14:paraId="60361666" w14:textId="77777777" w:rsidR="000A6430" w:rsidRPr="000A6430" w:rsidRDefault="000A6430" w:rsidP="00340DF1">
            <w:pPr>
              <w:pStyle w:val="TableParagraph"/>
              <w:spacing w:before="14" w:line="360" w:lineRule="auto"/>
              <w:ind w:left="752"/>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xml:space="preserve"> $ 37,589,190.91</w:t>
            </w:r>
          </w:p>
        </w:tc>
      </w:tr>
      <w:tr w:rsidR="000A6430" w:rsidRPr="00116DFC" w14:paraId="1E663070" w14:textId="77777777" w:rsidTr="00B8286C">
        <w:trPr>
          <w:trHeight w:val="323"/>
          <w:jc w:val="center"/>
        </w:trPr>
        <w:tc>
          <w:tcPr>
            <w:tcW w:w="8359" w:type="dxa"/>
            <w:gridSpan w:val="2"/>
            <w:shd w:val="clear" w:color="auto" w:fill="D9D9D9"/>
          </w:tcPr>
          <w:p w14:paraId="07929B8D" w14:textId="77777777" w:rsidR="000A6430" w:rsidRPr="000A6430" w:rsidRDefault="000A6430" w:rsidP="00340DF1">
            <w:pPr>
              <w:pStyle w:val="TableParagraph"/>
              <w:spacing w:before="28" w:line="360" w:lineRule="auto"/>
              <w:ind w:left="614"/>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MONTOS ESTIMADOS SEGÚN TIPO DE PROCEDIMIENTO</w:t>
            </w:r>
          </w:p>
        </w:tc>
      </w:tr>
      <w:tr w:rsidR="000A6430" w:rsidRPr="000A6430" w14:paraId="3B460891" w14:textId="77777777" w:rsidTr="00B8286C">
        <w:trPr>
          <w:trHeight w:val="631"/>
          <w:jc w:val="center"/>
        </w:trPr>
        <w:tc>
          <w:tcPr>
            <w:tcW w:w="4478" w:type="dxa"/>
          </w:tcPr>
          <w:p w14:paraId="515D05B7" w14:textId="77777777" w:rsidR="000A6430" w:rsidRPr="000A6430" w:rsidRDefault="000A6430" w:rsidP="00340DF1">
            <w:pPr>
              <w:pStyle w:val="TableParagraph"/>
              <w:spacing w:before="172"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Compras por debajo del umbral</w:t>
            </w:r>
          </w:p>
        </w:tc>
        <w:tc>
          <w:tcPr>
            <w:tcW w:w="3881" w:type="dxa"/>
          </w:tcPr>
          <w:p w14:paraId="78B10CD4" w14:textId="77777777" w:rsidR="000A6430" w:rsidRPr="000A6430" w:rsidRDefault="000A6430" w:rsidP="00340DF1">
            <w:pPr>
              <w:pStyle w:val="TableParagraph"/>
              <w:spacing w:before="172" w:line="360" w:lineRule="auto"/>
              <w:ind w:left="872"/>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$ 11,541,775.10</w:t>
            </w:r>
          </w:p>
        </w:tc>
      </w:tr>
      <w:tr w:rsidR="000A6430" w:rsidRPr="000A6430" w14:paraId="692162C3" w14:textId="77777777" w:rsidTr="00B8286C">
        <w:trPr>
          <w:trHeight w:val="313"/>
          <w:jc w:val="center"/>
        </w:trPr>
        <w:tc>
          <w:tcPr>
            <w:tcW w:w="4478" w:type="dxa"/>
          </w:tcPr>
          <w:p w14:paraId="08C37DB8"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Compra menor</w:t>
            </w:r>
          </w:p>
        </w:tc>
        <w:tc>
          <w:tcPr>
            <w:tcW w:w="3881" w:type="dxa"/>
          </w:tcPr>
          <w:p w14:paraId="4EBAA38E" w14:textId="77777777" w:rsidR="000A6430" w:rsidRPr="000A6430" w:rsidRDefault="000A6430" w:rsidP="00340DF1">
            <w:pPr>
              <w:pStyle w:val="TableParagraph"/>
              <w:spacing w:line="360" w:lineRule="auto"/>
              <w:ind w:left="812"/>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xml:space="preserve"> $ 20,679,446.11</w:t>
            </w:r>
          </w:p>
        </w:tc>
      </w:tr>
      <w:tr w:rsidR="000A6430" w:rsidRPr="000A6430" w14:paraId="35E359B6" w14:textId="77777777" w:rsidTr="00B8286C">
        <w:trPr>
          <w:trHeight w:val="314"/>
          <w:jc w:val="center"/>
        </w:trPr>
        <w:tc>
          <w:tcPr>
            <w:tcW w:w="4478" w:type="dxa"/>
          </w:tcPr>
          <w:p w14:paraId="40D6CD6C"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Comparación de precios</w:t>
            </w:r>
          </w:p>
        </w:tc>
        <w:tc>
          <w:tcPr>
            <w:tcW w:w="3881" w:type="dxa"/>
          </w:tcPr>
          <w:p w14:paraId="0B93885F" w14:textId="77777777" w:rsidR="000A6430" w:rsidRPr="000A6430" w:rsidRDefault="000A6430" w:rsidP="00340DF1">
            <w:pPr>
              <w:pStyle w:val="TableParagraph"/>
              <w:spacing w:line="360" w:lineRule="auto"/>
              <w:ind w:left="812"/>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xml:space="preserve"> $ 27,002,580.00</w:t>
            </w:r>
          </w:p>
        </w:tc>
      </w:tr>
      <w:tr w:rsidR="000A6430" w:rsidRPr="000A6430" w14:paraId="2DBDD035" w14:textId="77777777" w:rsidTr="00B8286C">
        <w:trPr>
          <w:trHeight w:val="316"/>
          <w:jc w:val="center"/>
        </w:trPr>
        <w:tc>
          <w:tcPr>
            <w:tcW w:w="4478" w:type="dxa"/>
          </w:tcPr>
          <w:p w14:paraId="6DF5739B" w14:textId="77777777" w:rsidR="000A6430" w:rsidRPr="000A6430" w:rsidRDefault="000A6430" w:rsidP="00340DF1">
            <w:pPr>
              <w:pStyle w:val="TableParagraph"/>
              <w:spacing w:before="15"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Licitación pública</w:t>
            </w:r>
          </w:p>
        </w:tc>
        <w:tc>
          <w:tcPr>
            <w:tcW w:w="3881" w:type="dxa"/>
          </w:tcPr>
          <w:p w14:paraId="7C60EF00" w14:textId="77777777" w:rsidR="000A6430" w:rsidRPr="000A6430" w:rsidRDefault="000A6430" w:rsidP="00340DF1">
            <w:pPr>
              <w:pStyle w:val="TableParagraph"/>
              <w:spacing w:before="15" w:line="360" w:lineRule="auto"/>
              <w:ind w:left="843"/>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xml:space="preserve">           N/A</w:t>
            </w:r>
          </w:p>
        </w:tc>
      </w:tr>
      <w:tr w:rsidR="000A6430" w:rsidRPr="000A6430" w14:paraId="1FFCF58F" w14:textId="77777777" w:rsidTr="00B8286C">
        <w:tblPrEx>
          <w:tblLook w:val="04A0" w:firstRow="1" w:lastRow="0" w:firstColumn="1" w:lastColumn="0" w:noHBand="0" w:noVBand="1"/>
        </w:tblPrEx>
        <w:trPr>
          <w:trHeight w:val="448"/>
          <w:jc w:val="center"/>
        </w:trPr>
        <w:tc>
          <w:tcPr>
            <w:tcW w:w="4478" w:type="dxa"/>
          </w:tcPr>
          <w:p w14:paraId="778D0988"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Licitación pública internacional</w:t>
            </w:r>
          </w:p>
        </w:tc>
        <w:tc>
          <w:tcPr>
            <w:tcW w:w="3881" w:type="dxa"/>
          </w:tcPr>
          <w:p w14:paraId="78B3ACE6" w14:textId="77777777" w:rsidR="000A6430" w:rsidRPr="000A6430" w:rsidRDefault="000A6430" w:rsidP="00340DF1">
            <w:pPr>
              <w:pStyle w:val="TableParagraph"/>
              <w:spacing w:line="360" w:lineRule="auto"/>
              <w:ind w:right="438"/>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N/A</w:t>
            </w:r>
          </w:p>
        </w:tc>
      </w:tr>
      <w:tr w:rsidR="000A6430" w:rsidRPr="000A6430" w14:paraId="52E17D25" w14:textId="77777777" w:rsidTr="00B8286C">
        <w:tblPrEx>
          <w:tblLook w:val="04A0" w:firstRow="1" w:lastRow="0" w:firstColumn="1" w:lastColumn="0" w:noHBand="0" w:noVBand="1"/>
        </w:tblPrEx>
        <w:trPr>
          <w:trHeight w:val="314"/>
          <w:jc w:val="center"/>
        </w:trPr>
        <w:tc>
          <w:tcPr>
            <w:tcW w:w="4478" w:type="dxa"/>
          </w:tcPr>
          <w:p w14:paraId="4665281F"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Licitación restringida</w:t>
            </w:r>
          </w:p>
        </w:tc>
        <w:tc>
          <w:tcPr>
            <w:tcW w:w="3881" w:type="dxa"/>
          </w:tcPr>
          <w:p w14:paraId="31C0F771" w14:textId="77777777" w:rsidR="000A6430" w:rsidRPr="000A6430" w:rsidRDefault="000A6430" w:rsidP="00340DF1">
            <w:pPr>
              <w:pStyle w:val="TableParagraph"/>
              <w:spacing w:line="360" w:lineRule="auto"/>
              <w:ind w:right="438"/>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N/A</w:t>
            </w:r>
          </w:p>
        </w:tc>
      </w:tr>
      <w:tr w:rsidR="000A6430" w:rsidRPr="000A6430" w14:paraId="5FB6BCCD" w14:textId="77777777" w:rsidTr="00B8286C">
        <w:tblPrEx>
          <w:tblLook w:val="04A0" w:firstRow="1" w:lastRow="0" w:firstColumn="1" w:lastColumn="0" w:noHBand="0" w:noVBand="1"/>
        </w:tblPrEx>
        <w:trPr>
          <w:trHeight w:val="314"/>
          <w:jc w:val="center"/>
        </w:trPr>
        <w:tc>
          <w:tcPr>
            <w:tcW w:w="4478" w:type="dxa"/>
          </w:tcPr>
          <w:p w14:paraId="2F8ADF24"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Sorteo de obras</w:t>
            </w:r>
          </w:p>
        </w:tc>
        <w:tc>
          <w:tcPr>
            <w:tcW w:w="3881" w:type="dxa"/>
          </w:tcPr>
          <w:p w14:paraId="7D9F34BA" w14:textId="77777777" w:rsidR="000A6430" w:rsidRPr="000A6430" w:rsidRDefault="000A6430" w:rsidP="00340DF1">
            <w:pPr>
              <w:pStyle w:val="TableParagraph"/>
              <w:spacing w:line="360" w:lineRule="auto"/>
              <w:ind w:right="438"/>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N/A</w:t>
            </w:r>
          </w:p>
        </w:tc>
      </w:tr>
      <w:tr w:rsidR="000A6430" w:rsidRPr="000A6430" w14:paraId="4BB76F64" w14:textId="77777777" w:rsidTr="00B8286C">
        <w:tblPrEx>
          <w:tblLook w:val="04A0" w:firstRow="1" w:lastRow="0" w:firstColumn="1" w:lastColumn="0" w:noHBand="0" w:noVBand="1"/>
        </w:tblPrEx>
        <w:trPr>
          <w:trHeight w:val="630"/>
          <w:jc w:val="center"/>
        </w:trPr>
        <w:tc>
          <w:tcPr>
            <w:tcW w:w="4478" w:type="dxa"/>
          </w:tcPr>
          <w:p w14:paraId="007600C8" w14:textId="77777777" w:rsidR="000A6430" w:rsidRPr="000A6430" w:rsidRDefault="000A6430" w:rsidP="00340DF1">
            <w:pPr>
              <w:pStyle w:val="TableParagraph"/>
              <w:spacing w:before="35" w:line="360" w:lineRule="auto"/>
              <w:ind w:right="260"/>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Excepción - bienes o servicios con exclusividad</w:t>
            </w:r>
          </w:p>
        </w:tc>
        <w:tc>
          <w:tcPr>
            <w:tcW w:w="3881" w:type="dxa"/>
          </w:tcPr>
          <w:p w14:paraId="4A08B93F" w14:textId="77777777" w:rsidR="000A6430" w:rsidRPr="000A6430" w:rsidRDefault="000A6430" w:rsidP="00340DF1">
            <w:pPr>
              <w:pStyle w:val="TableParagraph"/>
              <w:spacing w:before="171" w:line="360" w:lineRule="auto"/>
              <w:ind w:left="2" w:right="438"/>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N/A</w:t>
            </w:r>
          </w:p>
        </w:tc>
      </w:tr>
      <w:tr w:rsidR="000A6430" w:rsidRPr="000A6430" w14:paraId="5D6BF421" w14:textId="77777777" w:rsidTr="00B8286C">
        <w:tblPrEx>
          <w:tblLook w:val="04A0" w:firstRow="1" w:lastRow="0" w:firstColumn="1" w:lastColumn="0" w:noHBand="0" w:noVBand="1"/>
        </w:tblPrEx>
        <w:trPr>
          <w:trHeight w:val="827"/>
          <w:jc w:val="center"/>
        </w:trPr>
        <w:tc>
          <w:tcPr>
            <w:tcW w:w="4478" w:type="dxa"/>
          </w:tcPr>
          <w:p w14:paraId="57393BE6"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Excepción - construcción, instalación o adquisición de oficinas para el servicio</w:t>
            </w:r>
          </w:p>
          <w:p w14:paraId="49BBC7F6"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exterior</w:t>
            </w:r>
          </w:p>
        </w:tc>
        <w:tc>
          <w:tcPr>
            <w:tcW w:w="3881" w:type="dxa"/>
          </w:tcPr>
          <w:p w14:paraId="43F3074D" w14:textId="77777777" w:rsidR="000A6430" w:rsidRPr="000A6430" w:rsidRDefault="000A6430" w:rsidP="00340DF1">
            <w:pPr>
              <w:pStyle w:val="TableParagraph"/>
              <w:spacing w:before="270" w:line="360" w:lineRule="auto"/>
              <w:ind w:right="438"/>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N/A</w:t>
            </w:r>
          </w:p>
        </w:tc>
      </w:tr>
      <w:tr w:rsidR="000A6430" w:rsidRPr="000A6430" w14:paraId="6B23B1B5" w14:textId="77777777" w:rsidTr="00B8286C">
        <w:tblPrEx>
          <w:tblLook w:val="04A0" w:firstRow="1" w:lastRow="0" w:firstColumn="1" w:lastColumn="0" w:noHBand="0" w:noVBand="1"/>
        </w:tblPrEx>
        <w:trPr>
          <w:trHeight w:val="551"/>
          <w:jc w:val="center"/>
        </w:trPr>
        <w:tc>
          <w:tcPr>
            <w:tcW w:w="4478" w:type="dxa"/>
          </w:tcPr>
          <w:p w14:paraId="11818A0E"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Excepción - contratación de publicidad a</w:t>
            </w:r>
          </w:p>
          <w:p w14:paraId="3199FC6D" w14:textId="77777777" w:rsidR="000A6430" w:rsidRPr="000A6430" w:rsidRDefault="000A6430" w:rsidP="00340DF1">
            <w:pPr>
              <w:pStyle w:val="TableParagraph"/>
              <w:spacing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través de medios de comunicación social</w:t>
            </w:r>
          </w:p>
        </w:tc>
        <w:tc>
          <w:tcPr>
            <w:tcW w:w="3881" w:type="dxa"/>
          </w:tcPr>
          <w:p w14:paraId="7B75A40E" w14:textId="77777777" w:rsidR="000A6430" w:rsidRPr="000A6430" w:rsidRDefault="000A6430" w:rsidP="00340DF1">
            <w:pPr>
              <w:pStyle w:val="TableParagraph"/>
              <w:spacing w:before="133" w:line="360" w:lineRule="auto"/>
              <w:ind w:left="2" w:right="438"/>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N/A</w:t>
            </w:r>
          </w:p>
        </w:tc>
      </w:tr>
      <w:tr w:rsidR="000A6430" w:rsidRPr="000A6430" w14:paraId="2D5E3B55" w14:textId="77777777" w:rsidTr="00B8286C">
        <w:tblPrEx>
          <w:tblLook w:val="04A0" w:firstRow="1" w:lastRow="0" w:firstColumn="1" w:lastColumn="0" w:noHBand="0" w:noVBand="1"/>
        </w:tblPrEx>
        <w:trPr>
          <w:trHeight w:val="859"/>
          <w:jc w:val="center"/>
        </w:trPr>
        <w:tc>
          <w:tcPr>
            <w:tcW w:w="4478" w:type="dxa"/>
          </w:tcPr>
          <w:p w14:paraId="53655A13" w14:textId="77777777" w:rsidR="000A6430" w:rsidRPr="000A6430" w:rsidRDefault="000A6430" w:rsidP="00340DF1">
            <w:pPr>
              <w:pStyle w:val="TableParagraph"/>
              <w:spacing w:before="8"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Excepción - obras científicas, técnicas, artísticas, o restauración de monumentos históricos</w:t>
            </w:r>
          </w:p>
        </w:tc>
        <w:tc>
          <w:tcPr>
            <w:tcW w:w="3881" w:type="dxa"/>
          </w:tcPr>
          <w:p w14:paraId="723D6557" w14:textId="77777777" w:rsidR="000A6430" w:rsidRPr="000A6430" w:rsidRDefault="000A6430" w:rsidP="00340DF1">
            <w:pPr>
              <w:pStyle w:val="TableParagraph"/>
              <w:spacing w:before="9" w:line="360" w:lineRule="auto"/>
              <w:rPr>
                <w:rFonts w:ascii="Times New Roman" w:eastAsia="Calibri" w:hAnsi="Times New Roman" w:cs="Times New Roman"/>
                <w:noProof/>
                <w:color w:val="4C4747"/>
                <w:spacing w:val="20"/>
                <w:sz w:val="24"/>
                <w:szCs w:val="24"/>
                <w:lang w:val="es-DO"/>
              </w:rPr>
            </w:pPr>
          </w:p>
          <w:p w14:paraId="38659DA9" w14:textId="77777777" w:rsidR="000A6430" w:rsidRPr="000A6430" w:rsidRDefault="000A6430" w:rsidP="00340DF1">
            <w:pPr>
              <w:pStyle w:val="TableParagraph"/>
              <w:spacing w:line="360" w:lineRule="auto"/>
              <w:ind w:right="438"/>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N/A</w:t>
            </w:r>
          </w:p>
        </w:tc>
      </w:tr>
      <w:tr w:rsidR="000A6430" w:rsidRPr="000A6430" w14:paraId="371C7890" w14:textId="77777777" w:rsidTr="00B8286C">
        <w:tblPrEx>
          <w:tblLook w:val="04A0" w:firstRow="1" w:lastRow="0" w:firstColumn="1" w:lastColumn="0" w:noHBand="0" w:noVBand="1"/>
        </w:tblPrEx>
        <w:trPr>
          <w:trHeight w:val="412"/>
          <w:jc w:val="center"/>
        </w:trPr>
        <w:tc>
          <w:tcPr>
            <w:tcW w:w="4478" w:type="dxa"/>
          </w:tcPr>
          <w:p w14:paraId="1316E4AD" w14:textId="77777777" w:rsidR="000A6430" w:rsidRPr="000A6430" w:rsidRDefault="000A6430" w:rsidP="00340DF1">
            <w:pPr>
              <w:pStyle w:val="TableParagraph"/>
              <w:spacing w:before="61"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Excepción - proveedor único</w:t>
            </w:r>
          </w:p>
        </w:tc>
        <w:tc>
          <w:tcPr>
            <w:tcW w:w="3881" w:type="dxa"/>
          </w:tcPr>
          <w:p w14:paraId="704F8E8C" w14:textId="77777777" w:rsidR="000A6430" w:rsidRPr="000A6430" w:rsidRDefault="000A6430" w:rsidP="00340DF1">
            <w:pPr>
              <w:pStyle w:val="TableParagraph"/>
              <w:spacing w:before="61" w:line="360" w:lineRule="auto"/>
              <w:ind w:left="2" w:right="438"/>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N/A</w:t>
            </w:r>
          </w:p>
        </w:tc>
      </w:tr>
      <w:tr w:rsidR="000A6430" w:rsidRPr="000A6430" w14:paraId="4F911319" w14:textId="77777777" w:rsidTr="00B8286C">
        <w:tblPrEx>
          <w:tblLook w:val="04A0" w:firstRow="1" w:lastRow="0" w:firstColumn="1" w:lastColumn="0" w:noHBand="0" w:noVBand="1"/>
        </w:tblPrEx>
        <w:trPr>
          <w:trHeight w:val="940"/>
          <w:jc w:val="center"/>
        </w:trPr>
        <w:tc>
          <w:tcPr>
            <w:tcW w:w="4478" w:type="dxa"/>
            <w:tcBorders>
              <w:bottom w:val="single" w:sz="4" w:space="0" w:color="auto"/>
            </w:tcBorders>
          </w:tcPr>
          <w:p w14:paraId="5A49EEC6" w14:textId="77777777" w:rsidR="000A6430" w:rsidRPr="000A6430" w:rsidRDefault="000A6430" w:rsidP="00340DF1">
            <w:pPr>
              <w:pStyle w:val="TableParagraph"/>
              <w:spacing w:before="49" w:line="360" w:lineRule="auto"/>
              <w:ind w:right="260"/>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xml:space="preserve">Excepción - rescisión de contratos cuya terminación no exceda el 40 % </w:t>
            </w:r>
            <w:r w:rsidRPr="000A6430">
              <w:rPr>
                <w:rFonts w:ascii="Times New Roman" w:eastAsia="Calibri" w:hAnsi="Times New Roman" w:cs="Times New Roman"/>
                <w:noProof/>
                <w:color w:val="4C4747"/>
                <w:spacing w:val="20"/>
                <w:sz w:val="24"/>
                <w:szCs w:val="24"/>
                <w:lang w:val="es-DO"/>
              </w:rPr>
              <w:lastRenderedPageBreak/>
              <w:t>del monto total del proyecto, obra o servicio</w:t>
            </w:r>
          </w:p>
        </w:tc>
        <w:tc>
          <w:tcPr>
            <w:tcW w:w="3881" w:type="dxa"/>
            <w:tcBorders>
              <w:bottom w:val="single" w:sz="4" w:space="0" w:color="auto"/>
            </w:tcBorders>
          </w:tcPr>
          <w:p w14:paraId="615A0030" w14:textId="77777777" w:rsidR="000A6430" w:rsidRPr="000A6430" w:rsidRDefault="000A6430" w:rsidP="00340DF1">
            <w:pPr>
              <w:pStyle w:val="TableParagraph"/>
              <w:spacing w:before="49" w:line="360" w:lineRule="auto"/>
              <w:rPr>
                <w:rFonts w:ascii="Times New Roman" w:eastAsia="Calibri" w:hAnsi="Times New Roman" w:cs="Times New Roman"/>
                <w:noProof/>
                <w:color w:val="4C4747"/>
                <w:spacing w:val="20"/>
                <w:sz w:val="24"/>
                <w:szCs w:val="24"/>
                <w:lang w:val="es-DO"/>
              </w:rPr>
            </w:pPr>
          </w:p>
          <w:p w14:paraId="54C61E9B" w14:textId="77777777" w:rsidR="000A6430" w:rsidRPr="000A6430" w:rsidRDefault="000A6430" w:rsidP="00340DF1">
            <w:pPr>
              <w:pStyle w:val="TableParagraph"/>
              <w:spacing w:line="360" w:lineRule="auto"/>
              <w:ind w:right="438"/>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N/A</w:t>
            </w:r>
          </w:p>
        </w:tc>
      </w:tr>
      <w:tr w:rsidR="000A6430" w:rsidRPr="000A6430" w14:paraId="670621DD" w14:textId="77777777" w:rsidTr="00B8286C">
        <w:tblPrEx>
          <w:tblLook w:val="04A0" w:firstRow="1" w:lastRow="0" w:firstColumn="1" w:lastColumn="0" w:noHBand="0" w:noVBand="1"/>
        </w:tblPrEx>
        <w:trPr>
          <w:trHeight w:val="400"/>
          <w:jc w:val="center"/>
        </w:trPr>
        <w:tc>
          <w:tcPr>
            <w:tcW w:w="4478" w:type="dxa"/>
            <w:tcBorders>
              <w:bottom w:val="single" w:sz="4" w:space="0" w:color="auto"/>
            </w:tcBorders>
          </w:tcPr>
          <w:p w14:paraId="0B968A6A" w14:textId="77777777" w:rsidR="000A6430" w:rsidRPr="000A6430" w:rsidRDefault="000A6430" w:rsidP="00340DF1">
            <w:pPr>
              <w:pStyle w:val="TableParagraph"/>
              <w:spacing w:before="56" w:line="360" w:lineRule="auto"/>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Compra y contratación de combustible</w:t>
            </w:r>
          </w:p>
        </w:tc>
        <w:tc>
          <w:tcPr>
            <w:tcW w:w="3881" w:type="dxa"/>
            <w:tcBorders>
              <w:bottom w:val="single" w:sz="4" w:space="0" w:color="auto"/>
            </w:tcBorders>
          </w:tcPr>
          <w:p w14:paraId="2948C04D" w14:textId="77777777" w:rsidR="000A6430" w:rsidRPr="000A6430" w:rsidRDefault="000A6430" w:rsidP="00340DF1">
            <w:pPr>
              <w:pStyle w:val="TableParagraph"/>
              <w:spacing w:before="56" w:line="360" w:lineRule="auto"/>
              <w:ind w:right="438"/>
              <w:jc w:val="center"/>
              <w:rPr>
                <w:rFonts w:ascii="Times New Roman" w:eastAsia="Calibri" w:hAnsi="Times New Roman" w:cs="Times New Roman"/>
                <w:noProof/>
                <w:color w:val="4C4747"/>
                <w:spacing w:val="20"/>
                <w:sz w:val="24"/>
                <w:szCs w:val="24"/>
                <w:lang w:val="es-DO"/>
              </w:rPr>
            </w:pPr>
            <w:r w:rsidRPr="000A6430">
              <w:rPr>
                <w:rFonts w:ascii="Times New Roman" w:eastAsia="Calibri" w:hAnsi="Times New Roman" w:cs="Times New Roman"/>
                <w:noProof/>
                <w:color w:val="4C4747"/>
                <w:spacing w:val="20"/>
                <w:sz w:val="24"/>
                <w:szCs w:val="24"/>
                <w:lang w:val="es-DO"/>
              </w:rPr>
              <w:t>$ 6,945,000.00</w:t>
            </w:r>
          </w:p>
        </w:tc>
      </w:tr>
      <w:tr w:rsidR="00B8286C" w:rsidRPr="00116DFC" w14:paraId="0CF53B8C" w14:textId="77777777" w:rsidTr="00B8286C">
        <w:tblPrEx>
          <w:tblLook w:val="04A0" w:firstRow="1" w:lastRow="0" w:firstColumn="1" w:lastColumn="0" w:noHBand="0" w:noVBand="1"/>
        </w:tblPrEx>
        <w:trPr>
          <w:trHeight w:val="400"/>
          <w:jc w:val="center"/>
        </w:trPr>
        <w:tc>
          <w:tcPr>
            <w:tcW w:w="8359" w:type="dxa"/>
            <w:gridSpan w:val="2"/>
            <w:tcBorders>
              <w:top w:val="single" w:sz="4" w:space="0" w:color="auto"/>
              <w:left w:val="nil"/>
              <w:bottom w:val="nil"/>
              <w:right w:val="nil"/>
            </w:tcBorders>
          </w:tcPr>
          <w:p w14:paraId="510020C0" w14:textId="202041FE" w:rsidR="00B8286C" w:rsidRPr="00B8286C" w:rsidRDefault="00B8286C" w:rsidP="00B8286C">
            <w:pPr>
              <w:pStyle w:val="TableParagraph"/>
              <w:spacing w:before="56" w:line="360" w:lineRule="auto"/>
              <w:ind w:right="438"/>
              <w:rPr>
                <w:rFonts w:ascii="Times New Roman" w:eastAsia="Calibri" w:hAnsi="Times New Roman" w:cs="Times New Roman"/>
                <w:i/>
                <w:iCs/>
                <w:noProof/>
                <w:color w:val="4C4747"/>
                <w:spacing w:val="20"/>
                <w:sz w:val="24"/>
                <w:szCs w:val="24"/>
                <w:lang w:val="es-DO"/>
              </w:rPr>
            </w:pPr>
            <w:r w:rsidRPr="00B8286C">
              <w:rPr>
                <w:rFonts w:ascii="Times New Roman" w:eastAsia="Calibri" w:hAnsi="Times New Roman" w:cs="Times New Roman"/>
                <w:i/>
                <w:iCs/>
                <w:noProof/>
                <w:color w:val="4C4747"/>
                <w:spacing w:val="20"/>
                <w:sz w:val="24"/>
                <w:szCs w:val="24"/>
                <w:lang w:val="es-DO"/>
              </w:rPr>
              <w:t>Fuente: Depto Administrativo y Financiero</w:t>
            </w:r>
          </w:p>
        </w:tc>
      </w:tr>
    </w:tbl>
    <w:p w14:paraId="0779003C" w14:textId="77777777" w:rsidR="00654164" w:rsidRPr="000A6430" w:rsidRDefault="00654164" w:rsidP="00340DF1">
      <w:pPr>
        <w:spacing w:line="360" w:lineRule="auto"/>
        <w:rPr>
          <w:rFonts w:eastAsia="Calibri"/>
          <w:noProof/>
          <w:color w:val="4C4747"/>
          <w:lang w:val="es-DO"/>
        </w:rPr>
      </w:pPr>
    </w:p>
    <w:sectPr w:rsidR="00654164" w:rsidRPr="000A6430" w:rsidSect="006367D1">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415E6" w14:textId="77777777" w:rsidR="0065306D" w:rsidRDefault="0065306D" w:rsidP="00E84651">
      <w:pPr>
        <w:spacing w:after="0" w:line="240" w:lineRule="auto"/>
      </w:pPr>
      <w:r>
        <w:separator/>
      </w:r>
    </w:p>
  </w:endnote>
  <w:endnote w:type="continuationSeparator" w:id="0">
    <w:p w14:paraId="728F7069" w14:textId="77777777" w:rsidR="0065306D" w:rsidRDefault="0065306D"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delle Sans EXT">
    <w:panose1 w:val="020B0505000000000000"/>
    <w:charset w:val="00"/>
    <w:family w:val="swiss"/>
    <w:pitch w:val="variable"/>
    <w:sig w:usb0="2000001F"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color w:val="7F7F7F" w:themeColor="text1" w:themeTint="80"/>
      </w:rPr>
    </w:sdtEndPr>
    <w:sdtContent>
      <w:p w14:paraId="76783BEA" w14:textId="0965AC35" w:rsidR="0021106F" w:rsidRDefault="00590801" w:rsidP="0021106F">
        <w:pPr>
          <w:pStyle w:val="Piedepgina"/>
          <w:jc w:val="center"/>
        </w:pPr>
        <w:r>
          <w:rPr>
            <w:noProof/>
          </w:rPr>
          <w:drawing>
            <wp:anchor distT="0" distB="0" distL="114300" distR="114300" simplePos="0" relativeHeight="251663872" behindDoc="0" locked="0" layoutInCell="1" allowOverlap="1" wp14:anchorId="1C8C2800" wp14:editId="5209523B">
              <wp:simplePos x="0" y="0"/>
              <wp:positionH relativeFrom="margin">
                <wp:align>center</wp:align>
              </wp:positionH>
              <wp:positionV relativeFrom="paragraph">
                <wp:posOffset>-134993</wp:posOffset>
              </wp:positionV>
              <wp:extent cx="2995930" cy="408305"/>
              <wp:effectExtent l="0" t="0" r="0" b="0"/>
              <wp:wrapSquare wrapText="bothSides"/>
              <wp:docPr id="65649298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00626809" w:rsidR="006E3F08" w:rsidRPr="00BF41B4" w:rsidRDefault="00214CE3" w:rsidP="00BF41B4">
        <w:pPr>
          <w:pStyle w:val="Piedepgina"/>
          <w:jc w:val="center"/>
          <w:rPr>
            <w:noProof/>
            <w:color w:val="7F7F7F" w:themeColor="text1" w:themeTint="80"/>
          </w:rPr>
        </w:pPr>
        <w:r>
          <w:rPr>
            <w:noProof/>
            <w:lang w:val="es-DO" w:eastAsia="es-DO"/>
          </w:rPr>
          <w:drawing>
            <wp:anchor distT="0" distB="0" distL="114300" distR="114300" simplePos="0" relativeHeight="251656704" behindDoc="0" locked="0" layoutInCell="1" allowOverlap="1" wp14:anchorId="54F82055" wp14:editId="268DECCA">
              <wp:simplePos x="0" y="0"/>
              <wp:positionH relativeFrom="column">
                <wp:posOffset>2163602</wp:posOffset>
              </wp:positionH>
              <wp:positionV relativeFrom="paragraph">
                <wp:posOffset>1813560</wp:posOffset>
              </wp:positionV>
              <wp:extent cx="2995930" cy="408305"/>
              <wp:effectExtent l="0" t="0" r="0" b="0"/>
              <wp:wrapSquare wrapText="bothSides"/>
              <wp:docPr id="43041998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6E3F08" w:rsidRPr="00F74112">
          <w:rPr>
            <w:noProof/>
            <w:color w:val="7F7F7F" w:themeColor="text1" w:themeTint="80"/>
          </w:rPr>
          <w:fldChar w:fldCharType="begin"/>
        </w:r>
        <w:r w:rsidR="006E3F08" w:rsidRPr="00F74112">
          <w:rPr>
            <w:noProof/>
            <w:color w:val="7F7F7F" w:themeColor="text1" w:themeTint="80"/>
          </w:rPr>
          <w:instrText xml:space="preserve"> PAGE   \* MERGEFORMAT </w:instrText>
        </w:r>
        <w:r w:rsidR="006E3F08" w:rsidRPr="00F74112">
          <w:rPr>
            <w:noProof/>
            <w:color w:val="7F7F7F" w:themeColor="text1" w:themeTint="80"/>
          </w:rPr>
          <w:fldChar w:fldCharType="separate"/>
        </w:r>
        <w:r w:rsidR="00380EEE">
          <w:rPr>
            <w:noProof/>
            <w:color w:val="7F7F7F" w:themeColor="text1" w:themeTint="80"/>
          </w:rPr>
          <w:t>11</w:t>
        </w:r>
        <w:r w:rsidR="006E3F08"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B12DC" w14:textId="77777777" w:rsidR="0065306D" w:rsidRDefault="0065306D" w:rsidP="00E84651">
      <w:pPr>
        <w:spacing w:after="0" w:line="240" w:lineRule="auto"/>
      </w:pPr>
      <w:r>
        <w:separator/>
      </w:r>
    </w:p>
  </w:footnote>
  <w:footnote w:type="continuationSeparator" w:id="0">
    <w:p w14:paraId="1B0D18B0" w14:textId="77777777" w:rsidR="0065306D" w:rsidRDefault="0065306D"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A50D4C" w:rsidRDefault="00B56CA4">
    <w:pPr>
      <w:pStyle w:val="Encabezado"/>
      <w:rPr>
        <w:lang w:val="es-D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735"/>
    <w:multiLevelType w:val="multilevel"/>
    <w:tmpl w:val="6888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811D76"/>
    <w:multiLevelType w:val="multilevel"/>
    <w:tmpl w:val="D8D6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94874"/>
    <w:multiLevelType w:val="multilevel"/>
    <w:tmpl w:val="BD3C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CC6B7D"/>
    <w:multiLevelType w:val="hybridMultilevel"/>
    <w:tmpl w:val="DDE2D338"/>
    <w:lvl w:ilvl="0" w:tplc="1C0A0019">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1691542"/>
    <w:multiLevelType w:val="hybridMultilevel"/>
    <w:tmpl w:val="5F5016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1A765DF"/>
    <w:multiLevelType w:val="hybridMultilevel"/>
    <w:tmpl w:val="EF0C51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ADF0B9E"/>
    <w:multiLevelType w:val="hybridMultilevel"/>
    <w:tmpl w:val="23E2204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2474363C"/>
    <w:multiLevelType w:val="multilevel"/>
    <w:tmpl w:val="9FB0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0678CF"/>
    <w:multiLevelType w:val="hybridMultilevel"/>
    <w:tmpl w:val="10A6ED7E"/>
    <w:lvl w:ilvl="0" w:tplc="1C0A0019">
      <w:start w:val="4"/>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28DD6ECA"/>
    <w:multiLevelType w:val="hybridMultilevel"/>
    <w:tmpl w:val="37B6C86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94C4E53"/>
    <w:multiLevelType w:val="hybridMultilevel"/>
    <w:tmpl w:val="97089E10"/>
    <w:lvl w:ilvl="0" w:tplc="2156698C">
      <w:start w:val="1"/>
      <w:numFmt w:val="lowerLetter"/>
      <w:lvlText w:val="%1."/>
      <w:lvlJc w:val="left"/>
      <w:pPr>
        <w:ind w:left="720" w:hanging="360"/>
      </w:pPr>
      <w:rPr>
        <w:rFonts w:eastAsia="Calibri"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3B0A29DA"/>
    <w:multiLevelType w:val="multilevel"/>
    <w:tmpl w:val="B886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7233C2"/>
    <w:multiLevelType w:val="multilevel"/>
    <w:tmpl w:val="A470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B75756"/>
    <w:multiLevelType w:val="multilevel"/>
    <w:tmpl w:val="7C14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882652"/>
    <w:multiLevelType w:val="multilevel"/>
    <w:tmpl w:val="9428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2006D"/>
    <w:multiLevelType w:val="hybridMultilevel"/>
    <w:tmpl w:val="F67237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FB62F43"/>
    <w:multiLevelType w:val="hybridMultilevel"/>
    <w:tmpl w:val="026670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C0B6441"/>
    <w:multiLevelType w:val="multilevel"/>
    <w:tmpl w:val="C7A6C26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5D3451AF"/>
    <w:multiLevelType w:val="hybridMultilevel"/>
    <w:tmpl w:val="DA8847DC"/>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D584794"/>
    <w:multiLevelType w:val="hybridMultilevel"/>
    <w:tmpl w:val="62303BB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609E645C"/>
    <w:multiLevelType w:val="multilevel"/>
    <w:tmpl w:val="E738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F27525"/>
    <w:multiLevelType w:val="hybridMultilevel"/>
    <w:tmpl w:val="7BAACDC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73C449D"/>
    <w:multiLevelType w:val="multilevel"/>
    <w:tmpl w:val="0BD6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125B76"/>
    <w:multiLevelType w:val="hybridMultilevel"/>
    <w:tmpl w:val="02DABA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709F5DD8"/>
    <w:multiLevelType w:val="multilevel"/>
    <w:tmpl w:val="DAA0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0C1972"/>
    <w:multiLevelType w:val="hybridMultilevel"/>
    <w:tmpl w:val="B6B615E8"/>
    <w:lvl w:ilvl="0" w:tplc="1C0A0019">
      <w:start w:val="4"/>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76E50BF7"/>
    <w:multiLevelType w:val="multilevel"/>
    <w:tmpl w:val="65CC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1E07CE"/>
    <w:multiLevelType w:val="hybridMultilevel"/>
    <w:tmpl w:val="AAF291A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7740305E"/>
    <w:multiLevelType w:val="hybridMultilevel"/>
    <w:tmpl w:val="6D0A99C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77E73681"/>
    <w:multiLevelType w:val="multilevel"/>
    <w:tmpl w:val="7D0E255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E7A5D3D"/>
    <w:multiLevelType w:val="hybridMultilevel"/>
    <w:tmpl w:val="4E78D0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046106736">
    <w:abstractNumId w:val="1"/>
  </w:num>
  <w:num w:numId="2" w16cid:durableId="760759308">
    <w:abstractNumId w:val="15"/>
  </w:num>
  <w:num w:numId="3" w16cid:durableId="200292052">
    <w:abstractNumId w:val="5"/>
  </w:num>
  <w:num w:numId="4" w16cid:durableId="1702439678">
    <w:abstractNumId w:val="30"/>
  </w:num>
  <w:num w:numId="5" w16cid:durableId="669874107">
    <w:abstractNumId w:val="4"/>
  </w:num>
  <w:num w:numId="6" w16cid:durableId="1690721548">
    <w:abstractNumId w:val="23"/>
  </w:num>
  <w:num w:numId="7" w16cid:durableId="1041436007">
    <w:abstractNumId w:val="16"/>
  </w:num>
  <w:num w:numId="8" w16cid:durableId="947615023">
    <w:abstractNumId w:val="14"/>
  </w:num>
  <w:num w:numId="9" w16cid:durableId="1235508623">
    <w:abstractNumId w:val="10"/>
  </w:num>
  <w:num w:numId="10" w16cid:durableId="577322383">
    <w:abstractNumId w:val="27"/>
  </w:num>
  <w:num w:numId="11" w16cid:durableId="1370569250">
    <w:abstractNumId w:val="3"/>
  </w:num>
  <w:num w:numId="12" w16cid:durableId="907766673">
    <w:abstractNumId w:val="25"/>
  </w:num>
  <w:num w:numId="13" w16cid:durableId="994913949">
    <w:abstractNumId w:val="8"/>
  </w:num>
  <w:num w:numId="14" w16cid:durableId="1144662846">
    <w:abstractNumId w:val="28"/>
  </w:num>
  <w:num w:numId="15" w16cid:durableId="1452241347">
    <w:abstractNumId w:val="12"/>
  </w:num>
  <w:num w:numId="16" w16cid:durableId="289213853">
    <w:abstractNumId w:val="13"/>
  </w:num>
  <w:num w:numId="17" w16cid:durableId="488636487">
    <w:abstractNumId w:val="0"/>
  </w:num>
  <w:num w:numId="18" w16cid:durableId="752363508">
    <w:abstractNumId w:val="2"/>
  </w:num>
  <w:num w:numId="19" w16cid:durableId="180558107">
    <w:abstractNumId w:val="26"/>
  </w:num>
  <w:num w:numId="20" w16cid:durableId="1925214219">
    <w:abstractNumId w:val="22"/>
  </w:num>
  <w:num w:numId="21" w16cid:durableId="200679482">
    <w:abstractNumId w:val="17"/>
  </w:num>
  <w:num w:numId="22" w16cid:durableId="1471245710">
    <w:abstractNumId w:val="29"/>
  </w:num>
  <w:num w:numId="23" w16cid:durableId="705837182">
    <w:abstractNumId w:val="24"/>
  </w:num>
  <w:num w:numId="24" w16cid:durableId="1438141729">
    <w:abstractNumId w:val="20"/>
  </w:num>
  <w:num w:numId="25" w16cid:durableId="1790662019">
    <w:abstractNumId w:val="11"/>
  </w:num>
  <w:num w:numId="26" w16cid:durableId="471405219">
    <w:abstractNumId w:val="9"/>
  </w:num>
  <w:num w:numId="27" w16cid:durableId="1568345260">
    <w:abstractNumId w:val="19"/>
  </w:num>
  <w:num w:numId="28" w16cid:durableId="172308175">
    <w:abstractNumId w:val="18"/>
  </w:num>
  <w:num w:numId="29" w16cid:durableId="1965695296">
    <w:abstractNumId w:val="7"/>
  </w:num>
  <w:num w:numId="30" w16cid:durableId="1315767043">
    <w:abstractNumId w:val="21"/>
  </w:num>
  <w:num w:numId="31" w16cid:durableId="7646929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F86"/>
    <w:rsid w:val="00020C86"/>
    <w:rsid w:val="0002254B"/>
    <w:rsid w:val="00025ED9"/>
    <w:rsid w:val="00031263"/>
    <w:rsid w:val="000313B7"/>
    <w:rsid w:val="00032423"/>
    <w:rsid w:val="00033248"/>
    <w:rsid w:val="00037D06"/>
    <w:rsid w:val="00037F7A"/>
    <w:rsid w:val="000463E3"/>
    <w:rsid w:val="00046A4E"/>
    <w:rsid w:val="00047CD4"/>
    <w:rsid w:val="00050A84"/>
    <w:rsid w:val="0006023F"/>
    <w:rsid w:val="0006203F"/>
    <w:rsid w:val="00065235"/>
    <w:rsid w:val="00070DB7"/>
    <w:rsid w:val="00072991"/>
    <w:rsid w:val="0007404D"/>
    <w:rsid w:val="0007427A"/>
    <w:rsid w:val="000754CA"/>
    <w:rsid w:val="0008069B"/>
    <w:rsid w:val="000806B7"/>
    <w:rsid w:val="00080772"/>
    <w:rsid w:val="000826F1"/>
    <w:rsid w:val="00085E24"/>
    <w:rsid w:val="00092279"/>
    <w:rsid w:val="000960E2"/>
    <w:rsid w:val="000A039E"/>
    <w:rsid w:val="000A349F"/>
    <w:rsid w:val="000A6430"/>
    <w:rsid w:val="000A7854"/>
    <w:rsid w:val="000B66FE"/>
    <w:rsid w:val="000C0A92"/>
    <w:rsid w:val="000C117B"/>
    <w:rsid w:val="000C3D94"/>
    <w:rsid w:val="000C5FD8"/>
    <w:rsid w:val="000C6833"/>
    <w:rsid w:val="000C6A07"/>
    <w:rsid w:val="000D1E36"/>
    <w:rsid w:val="000D28D7"/>
    <w:rsid w:val="000D4063"/>
    <w:rsid w:val="000D56AF"/>
    <w:rsid w:val="000E2355"/>
    <w:rsid w:val="000E4CA9"/>
    <w:rsid w:val="000E50EC"/>
    <w:rsid w:val="000F0F7A"/>
    <w:rsid w:val="000F31F5"/>
    <w:rsid w:val="000F38E8"/>
    <w:rsid w:val="000F4C96"/>
    <w:rsid w:val="000F53A0"/>
    <w:rsid w:val="000F6B05"/>
    <w:rsid w:val="00100D08"/>
    <w:rsid w:val="0010554F"/>
    <w:rsid w:val="00110ADF"/>
    <w:rsid w:val="00111FEF"/>
    <w:rsid w:val="00114F2A"/>
    <w:rsid w:val="0011583D"/>
    <w:rsid w:val="00116DFC"/>
    <w:rsid w:val="00122FCC"/>
    <w:rsid w:val="001240D0"/>
    <w:rsid w:val="00125D46"/>
    <w:rsid w:val="00143200"/>
    <w:rsid w:val="001456DC"/>
    <w:rsid w:val="00160BFD"/>
    <w:rsid w:val="0016226F"/>
    <w:rsid w:val="001645A9"/>
    <w:rsid w:val="00166F7F"/>
    <w:rsid w:val="00167681"/>
    <w:rsid w:val="001709A8"/>
    <w:rsid w:val="00175BDE"/>
    <w:rsid w:val="00177458"/>
    <w:rsid w:val="00181226"/>
    <w:rsid w:val="0018437C"/>
    <w:rsid w:val="00186374"/>
    <w:rsid w:val="00192067"/>
    <w:rsid w:val="001936BA"/>
    <w:rsid w:val="00193856"/>
    <w:rsid w:val="001942B2"/>
    <w:rsid w:val="00195B75"/>
    <w:rsid w:val="001A10D5"/>
    <w:rsid w:val="001A6FC9"/>
    <w:rsid w:val="001A798E"/>
    <w:rsid w:val="001B0374"/>
    <w:rsid w:val="001B1203"/>
    <w:rsid w:val="001B18A7"/>
    <w:rsid w:val="001B6C3F"/>
    <w:rsid w:val="001B7B1B"/>
    <w:rsid w:val="001C0AED"/>
    <w:rsid w:val="001C3DD5"/>
    <w:rsid w:val="001C48A4"/>
    <w:rsid w:val="001C7B89"/>
    <w:rsid w:val="001D3A2C"/>
    <w:rsid w:val="001D608D"/>
    <w:rsid w:val="001E07B9"/>
    <w:rsid w:val="001E27B7"/>
    <w:rsid w:val="001E57FF"/>
    <w:rsid w:val="001E62EB"/>
    <w:rsid w:val="001E7501"/>
    <w:rsid w:val="001F38C0"/>
    <w:rsid w:val="00200B6E"/>
    <w:rsid w:val="002022B5"/>
    <w:rsid w:val="0021106F"/>
    <w:rsid w:val="0021331F"/>
    <w:rsid w:val="00214CE3"/>
    <w:rsid w:val="00215BA9"/>
    <w:rsid w:val="00217BE4"/>
    <w:rsid w:val="00233E41"/>
    <w:rsid w:val="002344FC"/>
    <w:rsid w:val="00237FD7"/>
    <w:rsid w:val="00243FED"/>
    <w:rsid w:val="00245DCF"/>
    <w:rsid w:val="00256241"/>
    <w:rsid w:val="00256308"/>
    <w:rsid w:val="002566E5"/>
    <w:rsid w:val="0025779C"/>
    <w:rsid w:val="0026387F"/>
    <w:rsid w:val="00263CE2"/>
    <w:rsid w:val="00265797"/>
    <w:rsid w:val="00265B96"/>
    <w:rsid w:val="00267F49"/>
    <w:rsid w:val="00271D7A"/>
    <w:rsid w:val="002803E6"/>
    <w:rsid w:val="00285C7C"/>
    <w:rsid w:val="00285E2A"/>
    <w:rsid w:val="00291FF8"/>
    <w:rsid w:val="002928D6"/>
    <w:rsid w:val="00297593"/>
    <w:rsid w:val="002978B8"/>
    <w:rsid w:val="00297924"/>
    <w:rsid w:val="002A572E"/>
    <w:rsid w:val="002A60BB"/>
    <w:rsid w:val="002A64C4"/>
    <w:rsid w:val="002B4451"/>
    <w:rsid w:val="002B7F59"/>
    <w:rsid w:val="002D6DD1"/>
    <w:rsid w:val="002E42C4"/>
    <w:rsid w:val="002E7DC4"/>
    <w:rsid w:val="002E7EA2"/>
    <w:rsid w:val="002F2C85"/>
    <w:rsid w:val="002F4464"/>
    <w:rsid w:val="00303A3B"/>
    <w:rsid w:val="00307319"/>
    <w:rsid w:val="003137F7"/>
    <w:rsid w:val="00320CF6"/>
    <w:rsid w:val="00320F1A"/>
    <w:rsid w:val="003238AB"/>
    <w:rsid w:val="00323BFE"/>
    <w:rsid w:val="003302B8"/>
    <w:rsid w:val="00330BBF"/>
    <w:rsid w:val="00336886"/>
    <w:rsid w:val="00340DF1"/>
    <w:rsid w:val="0034224F"/>
    <w:rsid w:val="00344823"/>
    <w:rsid w:val="00352D5C"/>
    <w:rsid w:val="00353289"/>
    <w:rsid w:val="0035429F"/>
    <w:rsid w:val="003556C1"/>
    <w:rsid w:val="00355FE2"/>
    <w:rsid w:val="00357E1B"/>
    <w:rsid w:val="00361AFD"/>
    <w:rsid w:val="00361B90"/>
    <w:rsid w:val="00365820"/>
    <w:rsid w:val="00370F94"/>
    <w:rsid w:val="00373FE9"/>
    <w:rsid w:val="003771E5"/>
    <w:rsid w:val="00380EEE"/>
    <w:rsid w:val="00380F0A"/>
    <w:rsid w:val="0038273E"/>
    <w:rsid w:val="00390407"/>
    <w:rsid w:val="00391B9E"/>
    <w:rsid w:val="00392D2E"/>
    <w:rsid w:val="003935AD"/>
    <w:rsid w:val="003947BE"/>
    <w:rsid w:val="00395343"/>
    <w:rsid w:val="00395F51"/>
    <w:rsid w:val="003A076A"/>
    <w:rsid w:val="003A0E54"/>
    <w:rsid w:val="003A2F1D"/>
    <w:rsid w:val="003B04EE"/>
    <w:rsid w:val="003B15A3"/>
    <w:rsid w:val="003C38AE"/>
    <w:rsid w:val="003C6B92"/>
    <w:rsid w:val="003D1F12"/>
    <w:rsid w:val="003D3E51"/>
    <w:rsid w:val="003D5DD1"/>
    <w:rsid w:val="003D625A"/>
    <w:rsid w:val="003D6B87"/>
    <w:rsid w:val="003D6E9C"/>
    <w:rsid w:val="003E0989"/>
    <w:rsid w:val="003E4E39"/>
    <w:rsid w:val="003E7C79"/>
    <w:rsid w:val="003E7EAF"/>
    <w:rsid w:val="003F39F8"/>
    <w:rsid w:val="003F633B"/>
    <w:rsid w:val="004024D2"/>
    <w:rsid w:val="0040755B"/>
    <w:rsid w:val="00410661"/>
    <w:rsid w:val="00411FFE"/>
    <w:rsid w:val="00413248"/>
    <w:rsid w:val="00413760"/>
    <w:rsid w:val="0041775C"/>
    <w:rsid w:val="00420129"/>
    <w:rsid w:val="0042518E"/>
    <w:rsid w:val="00425CF6"/>
    <w:rsid w:val="0043487B"/>
    <w:rsid w:val="004360E7"/>
    <w:rsid w:val="004368C8"/>
    <w:rsid w:val="00440DB0"/>
    <w:rsid w:val="00443BFC"/>
    <w:rsid w:val="00445419"/>
    <w:rsid w:val="00460CDF"/>
    <w:rsid w:val="004614F8"/>
    <w:rsid w:val="00463A18"/>
    <w:rsid w:val="00465D1F"/>
    <w:rsid w:val="004671B7"/>
    <w:rsid w:val="00471515"/>
    <w:rsid w:val="00473793"/>
    <w:rsid w:val="00475717"/>
    <w:rsid w:val="00480B89"/>
    <w:rsid w:val="00485B71"/>
    <w:rsid w:val="00486B04"/>
    <w:rsid w:val="00487FA1"/>
    <w:rsid w:val="00490ABE"/>
    <w:rsid w:val="00494A7F"/>
    <w:rsid w:val="00497278"/>
    <w:rsid w:val="004A0D56"/>
    <w:rsid w:val="004A515E"/>
    <w:rsid w:val="004A77A9"/>
    <w:rsid w:val="004B18AF"/>
    <w:rsid w:val="004B4176"/>
    <w:rsid w:val="004B4B02"/>
    <w:rsid w:val="004B6A37"/>
    <w:rsid w:val="004B72AA"/>
    <w:rsid w:val="004B7FB2"/>
    <w:rsid w:val="004C0DE9"/>
    <w:rsid w:val="004C1BA4"/>
    <w:rsid w:val="004C3D40"/>
    <w:rsid w:val="004D0DF4"/>
    <w:rsid w:val="004D77F7"/>
    <w:rsid w:val="004E38BC"/>
    <w:rsid w:val="004F2DD5"/>
    <w:rsid w:val="004F32F7"/>
    <w:rsid w:val="004F6417"/>
    <w:rsid w:val="004F7B3C"/>
    <w:rsid w:val="00503241"/>
    <w:rsid w:val="0050380F"/>
    <w:rsid w:val="0050491F"/>
    <w:rsid w:val="00506A10"/>
    <w:rsid w:val="00507D07"/>
    <w:rsid w:val="0051332F"/>
    <w:rsid w:val="00513848"/>
    <w:rsid w:val="00513BFA"/>
    <w:rsid w:val="00515C66"/>
    <w:rsid w:val="005174B4"/>
    <w:rsid w:val="00521FEC"/>
    <w:rsid w:val="005230A3"/>
    <w:rsid w:val="005244CD"/>
    <w:rsid w:val="005273D1"/>
    <w:rsid w:val="005421D6"/>
    <w:rsid w:val="00542760"/>
    <w:rsid w:val="00543263"/>
    <w:rsid w:val="00544419"/>
    <w:rsid w:val="00545797"/>
    <w:rsid w:val="005505A4"/>
    <w:rsid w:val="005547A1"/>
    <w:rsid w:val="0056754D"/>
    <w:rsid w:val="00571DA1"/>
    <w:rsid w:val="00572D53"/>
    <w:rsid w:val="00575A0A"/>
    <w:rsid w:val="005805BA"/>
    <w:rsid w:val="00581A3E"/>
    <w:rsid w:val="0058331C"/>
    <w:rsid w:val="00584DC0"/>
    <w:rsid w:val="005856AD"/>
    <w:rsid w:val="00590801"/>
    <w:rsid w:val="00592D2D"/>
    <w:rsid w:val="0059680D"/>
    <w:rsid w:val="005A0DD0"/>
    <w:rsid w:val="005A189B"/>
    <w:rsid w:val="005A44A8"/>
    <w:rsid w:val="005A7ED5"/>
    <w:rsid w:val="005B1AED"/>
    <w:rsid w:val="005B2816"/>
    <w:rsid w:val="005B3EA3"/>
    <w:rsid w:val="005C290E"/>
    <w:rsid w:val="005C548C"/>
    <w:rsid w:val="005C6CEC"/>
    <w:rsid w:val="005D07FF"/>
    <w:rsid w:val="005D3A05"/>
    <w:rsid w:val="005D5B8E"/>
    <w:rsid w:val="005D7631"/>
    <w:rsid w:val="005D7EDC"/>
    <w:rsid w:val="005E5F06"/>
    <w:rsid w:val="005F36ED"/>
    <w:rsid w:val="005F72E4"/>
    <w:rsid w:val="00602398"/>
    <w:rsid w:val="00603E90"/>
    <w:rsid w:val="0060469D"/>
    <w:rsid w:val="006104AD"/>
    <w:rsid w:val="0061095C"/>
    <w:rsid w:val="00613C85"/>
    <w:rsid w:val="006160B6"/>
    <w:rsid w:val="00616CC4"/>
    <w:rsid w:val="006255E8"/>
    <w:rsid w:val="00627D65"/>
    <w:rsid w:val="00631F6E"/>
    <w:rsid w:val="00632255"/>
    <w:rsid w:val="00633C7F"/>
    <w:rsid w:val="0063406D"/>
    <w:rsid w:val="0063407C"/>
    <w:rsid w:val="00634670"/>
    <w:rsid w:val="006367D1"/>
    <w:rsid w:val="00640DEB"/>
    <w:rsid w:val="00644BF9"/>
    <w:rsid w:val="0064500F"/>
    <w:rsid w:val="00645E6C"/>
    <w:rsid w:val="00647660"/>
    <w:rsid w:val="0065306D"/>
    <w:rsid w:val="00653352"/>
    <w:rsid w:val="006539D2"/>
    <w:rsid w:val="00654164"/>
    <w:rsid w:val="00654EFA"/>
    <w:rsid w:val="00656B2A"/>
    <w:rsid w:val="00656EBC"/>
    <w:rsid w:val="0067395B"/>
    <w:rsid w:val="00673A00"/>
    <w:rsid w:val="00680801"/>
    <w:rsid w:val="0068124F"/>
    <w:rsid w:val="006823FE"/>
    <w:rsid w:val="00683DA8"/>
    <w:rsid w:val="00684E11"/>
    <w:rsid w:val="00686428"/>
    <w:rsid w:val="0069032B"/>
    <w:rsid w:val="006912A0"/>
    <w:rsid w:val="006945E0"/>
    <w:rsid w:val="00695448"/>
    <w:rsid w:val="006977EB"/>
    <w:rsid w:val="006A057C"/>
    <w:rsid w:val="006A0D58"/>
    <w:rsid w:val="006A0E8F"/>
    <w:rsid w:val="006A265E"/>
    <w:rsid w:val="006A2BB1"/>
    <w:rsid w:val="006A3021"/>
    <w:rsid w:val="006B1115"/>
    <w:rsid w:val="006B1EB7"/>
    <w:rsid w:val="006B3AC9"/>
    <w:rsid w:val="006B3C58"/>
    <w:rsid w:val="006B7977"/>
    <w:rsid w:val="006C3C12"/>
    <w:rsid w:val="006D1DB7"/>
    <w:rsid w:val="006D7325"/>
    <w:rsid w:val="006E3F08"/>
    <w:rsid w:val="006E6F59"/>
    <w:rsid w:val="006F0F26"/>
    <w:rsid w:val="006F57F4"/>
    <w:rsid w:val="0070552F"/>
    <w:rsid w:val="00706A2A"/>
    <w:rsid w:val="00712E1B"/>
    <w:rsid w:val="00714788"/>
    <w:rsid w:val="00726941"/>
    <w:rsid w:val="00726DDB"/>
    <w:rsid w:val="0073327A"/>
    <w:rsid w:val="00735F81"/>
    <w:rsid w:val="0074054A"/>
    <w:rsid w:val="007461CA"/>
    <w:rsid w:val="007471AC"/>
    <w:rsid w:val="00750053"/>
    <w:rsid w:val="00761BF0"/>
    <w:rsid w:val="00763522"/>
    <w:rsid w:val="007679E0"/>
    <w:rsid w:val="007716F8"/>
    <w:rsid w:val="00772E27"/>
    <w:rsid w:val="00774A28"/>
    <w:rsid w:val="007823B6"/>
    <w:rsid w:val="00786C60"/>
    <w:rsid w:val="007907E1"/>
    <w:rsid w:val="00791C2D"/>
    <w:rsid w:val="00791FB0"/>
    <w:rsid w:val="00793D99"/>
    <w:rsid w:val="007942A7"/>
    <w:rsid w:val="00794308"/>
    <w:rsid w:val="00794791"/>
    <w:rsid w:val="00794DC0"/>
    <w:rsid w:val="00795A16"/>
    <w:rsid w:val="00796126"/>
    <w:rsid w:val="00796C22"/>
    <w:rsid w:val="007A267B"/>
    <w:rsid w:val="007B0963"/>
    <w:rsid w:val="007B7C43"/>
    <w:rsid w:val="007C4CEE"/>
    <w:rsid w:val="007C6071"/>
    <w:rsid w:val="007C6668"/>
    <w:rsid w:val="007D01C7"/>
    <w:rsid w:val="007D0457"/>
    <w:rsid w:val="007D635D"/>
    <w:rsid w:val="007E49F1"/>
    <w:rsid w:val="007E7A56"/>
    <w:rsid w:val="007F0D8D"/>
    <w:rsid w:val="007F4D44"/>
    <w:rsid w:val="007F522D"/>
    <w:rsid w:val="00807866"/>
    <w:rsid w:val="0081247B"/>
    <w:rsid w:val="008126E3"/>
    <w:rsid w:val="0082341D"/>
    <w:rsid w:val="0083679B"/>
    <w:rsid w:val="00837A34"/>
    <w:rsid w:val="00837BEE"/>
    <w:rsid w:val="00841917"/>
    <w:rsid w:val="00842BF0"/>
    <w:rsid w:val="008470AC"/>
    <w:rsid w:val="00847624"/>
    <w:rsid w:val="00850089"/>
    <w:rsid w:val="00851221"/>
    <w:rsid w:val="00854BB5"/>
    <w:rsid w:val="00857C84"/>
    <w:rsid w:val="00860389"/>
    <w:rsid w:val="00862038"/>
    <w:rsid w:val="0086367C"/>
    <w:rsid w:val="008720CD"/>
    <w:rsid w:val="008733A8"/>
    <w:rsid w:val="0087772C"/>
    <w:rsid w:val="00877B44"/>
    <w:rsid w:val="00881874"/>
    <w:rsid w:val="00881DE8"/>
    <w:rsid w:val="008839A0"/>
    <w:rsid w:val="0088570C"/>
    <w:rsid w:val="00886355"/>
    <w:rsid w:val="00887259"/>
    <w:rsid w:val="0089273D"/>
    <w:rsid w:val="00892B5C"/>
    <w:rsid w:val="008A22B0"/>
    <w:rsid w:val="008A46FA"/>
    <w:rsid w:val="008A6D56"/>
    <w:rsid w:val="008B23AD"/>
    <w:rsid w:val="008B3250"/>
    <w:rsid w:val="008B63C0"/>
    <w:rsid w:val="008C1227"/>
    <w:rsid w:val="008C22C6"/>
    <w:rsid w:val="008C26CF"/>
    <w:rsid w:val="008C4D35"/>
    <w:rsid w:val="008D21D0"/>
    <w:rsid w:val="008D32E2"/>
    <w:rsid w:val="008D7B12"/>
    <w:rsid w:val="008D7F4E"/>
    <w:rsid w:val="008E1D23"/>
    <w:rsid w:val="008E4AEF"/>
    <w:rsid w:val="008E5EB6"/>
    <w:rsid w:val="008E71F6"/>
    <w:rsid w:val="008E7FB8"/>
    <w:rsid w:val="008F06D2"/>
    <w:rsid w:val="008F0BC3"/>
    <w:rsid w:val="008F3174"/>
    <w:rsid w:val="008F4395"/>
    <w:rsid w:val="009000C6"/>
    <w:rsid w:val="0090189E"/>
    <w:rsid w:val="009025F7"/>
    <w:rsid w:val="0090654F"/>
    <w:rsid w:val="00906F50"/>
    <w:rsid w:val="00914ACC"/>
    <w:rsid w:val="00920A80"/>
    <w:rsid w:val="009232C6"/>
    <w:rsid w:val="00924423"/>
    <w:rsid w:val="00926152"/>
    <w:rsid w:val="0093288E"/>
    <w:rsid w:val="00937564"/>
    <w:rsid w:val="00940016"/>
    <w:rsid w:val="00942491"/>
    <w:rsid w:val="009517FD"/>
    <w:rsid w:val="009532FE"/>
    <w:rsid w:val="009547F0"/>
    <w:rsid w:val="009558E4"/>
    <w:rsid w:val="00964063"/>
    <w:rsid w:val="00967024"/>
    <w:rsid w:val="00967739"/>
    <w:rsid w:val="0097291D"/>
    <w:rsid w:val="00977A5D"/>
    <w:rsid w:val="00985142"/>
    <w:rsid w:val="00985282"/>
    <w:rsid w:val="009870D7"/>
    <w:rsid w:val="009904DB"/>
    <w:rsid w:val="0099104B"/>
    <w:rsid w:val="009923EC"/>
    <w:rsid w:val="0099372B"/>
    <w:rsid w:val="00995128"/>
    <w:rsid w:val="009A04C7"/>
    <w:rsid w:val="009A1644"/>
    <w:rsid w:val="009A466A"/>
    <w:rsid w:val="009B1DE0"/>
    <w:rsid w:val="009B239B"/>
    <w:rsid w:val="009B23A2"/>
    <w:rsid w:val="009B2641"/>
    <w:rsid w:val="009B299F"/>
    <w:rsid w:val="009C0BC5"/>
    <w:rsid w:val="009C655C"/>
    <w:rsid w:val="009D0218"/>
    <w:rsid w:val="009E1E70"/>
    <w:rsid w:val="009E2CFB"/>
    <w:rsid w:val="009E3F46"/>
    <w:rsid w:val="009E6E8D"/>
    <w:rsid w:val="009F3D54"/>
    <w:rsid w:val="009F51A1"/>
    <w:rsid w:val="00A02CC9"/>
    <w:rsid w:val="00A03E20"/>
    <w:rsid w:val="00A04B5B"/>
    <w:rsid w:val="00A053F3"/>
    <w:rsid w:val="00A061A9"/>
    <w:rsid w:val="00A10D10"/>
    <w:rsid w:val="00A12018"/>
    <w:rsid w:val="00A135D7"/>
    <w:rsid w:val="00A14CA2"/>
    <w:rsid w:val="00A152A5"/>
    <w:rsid w:val="00A20F54"/>
    <w:rsid w:val="00A32278"/>
    <w:rsid w:val="00A35A13"/>
    <w:rsid w:val="00A36ABF"/>
    <w:rsid w:val="00A44089"/>
    <w:rsid w:val="00A50D4C"/>
    <w:rsid w:val="00A53C3C"/>
    <w:rsid w:val="00A543EF"/>
    <w:rsid w:val="00A617C5"/>
    <w:rsid w:val="00A630BC"/>
    <w:rsid w:val="00A6344B"/>
    <w:rsid w:val="00A638DB"/>
    <w:rsid w:val="00A63A00"/>
    <w:rsid w:val="00A7057E"/>
    <w:rsid w:val="00A73D27"/>
    <w:rsid w:val="00A7436D"/>
    <w:rsid w:val="00A77490"/>
    <w:rsid w:val="00A81FA3"/>
    <w:rsid w:val="00A82BBB"/>
    <w:rsid w:val="00A90C4B"/>
    <w:rsid w:val="00A91042"/>
    <w:rsid w:val="00A91AAE"/>
    <w:rsid w:val="00A922EA"/>
    <w:rsid w:val="00A92F9D"/>
    <w:rsid w:val="00A951CF"/>
    <w:rsid w:val="00A96315"/>
    <w:rsid w:val="00AA0105"/>
    <w:rsid w:val="00AA104A"/>
    <w:rsid w:val="00AA1DFE"/>
    <w:rsid w:val="00AA5835"/>
    <w:rsid w:val="00AB0DF6"/>
    <w:rsid w:val="00AB2E8F"/>
    <w:rsid w:val="00AB4916"/>
    <w:rsid w:val="00AB5325"/>
    <w:rsid w:val="00AC3BA2"/>
    <w:rsid w:val="00AC3D0C"/>
    <w:rsid w:val="00AC7586"/>
    <w:rsid w:val="00AD379C"/>
    <w:rsid w:val="00AD4DAC"/>
    <w:rsid w:val="00AD6032"/>
    <w:rsid w:val="00AD64C9"/>
    <w:rsid w:val="00AD67D9"/>
    <w:rsid w:val="00AD740D"/>
    <w:rsid w:val="00AE537F"/>
    <w:rsid w:val="00AF0A79"/>
    <w:rsid w:val="00AF0BB6"/>
    <w:rsid w:val="00AF5A18"/>
    <w:rsid w:val="00B006A7"/>
    <w:rsid w:val="00B014EC"/>
    <w:rsid w:val="00B04AA0"/>
    <w:rsid w:val="00B15198"/>
    <w:rsid w:val="00B15BB9"/>
    <w:rsid w:val="00B16EF5"/>
    <w:rsid w:val="00B17809"/>
    <w:rsid w:val="00B24ACD"/>
    <w:rsid w:val="00B315E4"/>
    <w:rsid w:val="00B321A8"/>
    <w:rsid w:val="00B363A1"/>
    <w:rsid w:val="00B37F54"/>
    <w:rsid w:val="00B45B38"/>
    <w:rsid w:val="00B51BDE"/>
    <w:rsid w:val="00B524CE"/>
    <w:rsid w:val="00B52EEA"/>
    <w:rsid w:val="00B537DA"/>
    <w:rsid w:val="00B56CA4"/>
    <w:rsid w:val="00B57C3A"/>
    <w:rsid w:val="00B65688"/>
    <w:rsid w:val="00B70022"/>
    <w:rsid w:val="00B8286C"/>
    <w:rsid w:val="00B8519F"/>
    <w:rsid w:val="00B909FE"/>
    <w:rsid w:val="00B93B52"/>
    <w:rsid w:val="00B94FB8"/>
    <w:rsid w:val="00B97892"/>
    <w:rsid w:val="00BA0D6D"/>
    <w:rsid w:val="00BA2267"/>
    <w:rsid w:val="00BA3594"/>
    <w:rsid w:val="00BA56DF"/>
    <w:rsid w:val="00BB0C22"/>
    <w:rsid w:val="00BB2443"/>
    <w:rsid w:val="00BB66DE"/>
    <w:rsid w:val="00BB7662"/>
    <w:rsid w:val="00BB77C6"/>
    <w:rsid w:val="00BC24B5"/>
    <w:rsid w:val="00BD3F5A"/>
    <w:rsid w:val="00BD6CDB"/>
    <w:rsid w:val="00BD7321"/>
    <w:rsid w:val="00BE232F"/>
    <w:rsid w:val="00BE28D1"/>
    <w:rsid w:val="00BE2AB6"/>
    <w:rsid w:val="00BE3668"/>
    <w:rsid w:val="00BF0A1D"/>
    <w:rsid w:val="00BF0DB5"/>
    <w:rsid w:val="00BF1CC5"/>
    <w:rsid w:val="00BF3B55"/>
    <w:rsid w:val="00BF41B4"/>
    <w:rsid w:val="00C00946"/>
    <w:rsid w:val="00C02322"/>
    <w:rsid w:val="00C025B6"/>
    <w:rsid w:val="00C028E2"/>
    <w:rsid w:val="00C031F4"/>
    <w:rsid w:val="00C10543"/>
    <w:rsid w:val="00C15030"/>
    <w:rsid w:val="00C16461"/>
    <w:rsid w:val="00C212FE"/>
    <w:rsid w:val="00C22AE4"/>
    <w:rsid w:val="00C2430F"/>
    <w:rsid w:val="00C243BF"/>
    <w:rsid w:val="00C25C52"/>
    <w:rsid w:val="00C26579"/>
    <w:rsid w:val="00C317A3"/>
    <w:rsid w:val="00C32570"/>
    <w:rsid w:val="00C332C7"/>
    <w:rsid w:val="00C36285"/>
    <w:rsid w:val="00C37700"/>
    <w:rsid w:val="00C423E6"/>
    <w:rsid w:val="00C47E46"/>
    <w:rsid w:val="00C5283A"/>
    <w:rsid w:val="00C54CFD"/>
    <w:rsid w:val="00C55785"/>
    <w:rsid w:val="00C57BDA"/>
    <w:rsid w:val="00C60B6F"/>
    <w:rsid w:val="00C64CEF"/>
    <w:rsid w:val="00C7309B"/>
    <w:rsid w:val="00C92BF6"/>
    <w:rsid w:val="00C936ED"/>
    <w:rsid w:val="00C9443C"/>
    <w:rsid w:val="00CA3DFA"/>
    <w:rsid w:val="00CB483E"/>
    <w:rsid w:val="00CB5619"/>
    <w:rsid w:val="00CB56D8"/>
    <w:rsid w:val="00CC027B"/>
    <w:rsid w:val="00CC2EE3"/>
    <w:rsid w:val="00CC449A"/>
    <w:rsid w:val="00CD0F92"/>
    <w:rsid w:val="00CD158F"/>
    <w:rsid w:val="00CD73A3"/>
    <w:rsid w:val="00CE1671"/>
    <w:rsid w:val="00CE1937"/>
    <w:rsid w:val="00CE2197"/>
    <w:rsid w:val="00CE79B0"/>
    <w:rsid w:val="00CF0886"/>
    <w:rsid w:val="00CF4B63"/>
    <w:rsid w:val="00CF6A6F"/>
    <w:rsid w:val="00D0537B"/>
    <w:rsid w:val="00D068A9"/>
    <w:rsid w:val="00D07F62"/>
    <w:rsid w:val="00D112E8"/>
    <w:rsid w:val="00D12E71"/>
    <w:rsid w:val="00D14794"/>
    <w:rsid w:val="00D14B3E"/>
    <w:rsid w:val="00D2018B"/>
    <w:rsid w:val="00D2117C"/>
    <w:rsid w:val="00D223FD"/>
    <w:rsid w:val="00D22567"/>
    <w:rsid w:val="00D22628"/>
    <w:rsid w:val="00D22A2B"/>
    <w:rsid w:val="00D23481"/>
    <w:rsid w:val="00D3031A"/>
    <w:rsid w:val="00D30B9A"/>
    <w:rsid w:val="00D34961"/>
    <w:rsid w:val="00D34C21"/>
    <w:rsid w:val="00D35446"/>
    <w:rsid w:val="00D45F91"/>
    <w:rsid w:val="00D538B6"/>
    <w:rsid w:val="00D54385"/>
    <w:rsid w:val="00D54B70"/>
    <w:rsid w:val="00D61A73"/>
    <w:rsid w:val="00D61A94"/>
    <w:rsid w:val="00D623AD"/>
    <w:rsid w:val="00D63ED3"/>
    <w:rsid w:val="00D64656"/>
    <w:rsid w:val="00D711EB"/>
    <w:rsid w:val="00D719BA"/>
    <w:rsid w:val="00D72826"/>
    <w:rsid w:val="00D75115"/>
    <w:rsid w:val="00D77064"/>
    <w:rsid w:val="00D77CC6"/>
    <w:rsid w:val="00D80460"/>
    <w:rsid w:val="00D8136D"/>
    <w:rsid w:val="00D866F4"/>
    <w:rsid w:val="00D87F8F"/>
    <w:rsid w:val="00D92897"/>
    <w:rsid w:val="00DA0BD4"/>
    <w:rsid w:val="00DA3488"/>
    <w:rsid w:val="00DA647A"/>
    <w:rsid w:val="00DB12AA"/>
    <w:rsid w:val="00DB2342"/>
    <w:rsid w:val="00DB261F"/>
    <w:rsid w:val="00DB4C11"/>
    <w:rsid w:val="00DC132E"/>
    <w:rsid w:val="00DC476D"/>
    <w:rsid w:val="00DC5323"/>
    <w:rsid w:val="00DC55B7"/>
    <w:rsid w:val="00DC6C1E"/>
    <w:rsid w:val="00DC7764"/>
    <w:rsid w:val="00DD1495"/>
    <w:rsid w:val="00DD27F6"/>
    <w:rsid w:val="00DD28CF"/>
    <w:rsid w:val="00DD3B00"/>
    <w:rsid w:val="00DD42C9"/>
    <w:rsid w:val="00DE45C1"/>
    <w:rsid w:val="00DE5010"/>
    <w:rsid w:val="00DE64D0"/>
    <w:rsid w:val="00DF0B54"/>
    <w:rsid w:val="00DF61DF"/>
    <w:rsid w:val="00DF72EF"/>
    <w:rsid w:val="00E000BF"/>
    <w:rsid w:val="00E03DBF"/>
    <w:rsid w:val="00E051F8"/>
    <w:rsid w:val="00E07338"/>
    <w:rsid w:val="00E12DDE"/>
    <w:rsid w:val="00E14659"/>
    <w:rsid w:val="00E14734"/>
    <w:rsid w:val="00E168B5"/>
    <w:rsid w:val="00E2543B"/>
    <w:rsid w:val="00E262CB"/>
    <w:rsid w:val="00E3369D"/>
    <w:rsid w:val="00E33E57"/>
    <w:rsid w:val="00E35126"/>
    <w:rsid w:val="00E359CE"/>
    <w:rsid w:val="00E37FA5"/>
    <w:rsid w:val="00E41FF1"/>
    <w:rsid w:val="00E43436"/>
    <w:rsid w:val="00E4539D"/>
    <w:rsid w:val="00E46B0E"/>
    <w:rsid w:val="00E47005"/>
    <w:rsid w:val="00E56AEA"/>
    <w:rsid w:val="00E620B2"/>
    <w:rsid w:val="00E62ED7"/>
    <w:rsid w:val="00E70D85"/>
    <w:rsid w:val="00E739F8"/>
    <w:rsid w:val="00E7451E"/>
    <w:rsid w:val="00E80BF2"/>
    <w:rsid w:val="00E84651"/>
    <w:rsid w:val="00E85F1E"/>
    <w:rsid w:val="00E86E91"/>
    <w:rsid w:val="00E93155"/>
    <w:rsid w:val="00E94C4A"/>
    <w:rsid w:val="00EA40A4"/>
    <w:rsid w:val="00EA5BBA"/>
    <w:rsid w:val="00EA70F4"/>
    <w:rsid w:val="00EA75C7"/>
    <w:rsid w:val="00EA7FD5"/>
    <w:rsid w:val="00EB6B7D"/>
    <w:rsid w:val="00EB7AF6"/>
    <w:rsid w:val="00EC0CB9"/>
    <w:rsid w:val="00EC15E8"/>
    <w:rsid w:val="00EC165A"/>
    <w:rsid w:val="00EC1A5E"/>
    <w:rsid w:val="00EC3E00"/>
    <w:rsid w:val="00EC66E4"/>
    <w:rsid w:val="00EC6B29"/>
    <w:rsid w:val="00EE124D"/>
    <w:rsid w:val="00EE6AB0"/>
    <w:rsid w:val="00EF3B28"/>
    <w:rsid w:val="00EF4E37"/>
    <w:rsid w:val="00EF76DE"/>
    <w:rsid w:val="00F05BB8"/>
    <w:rsid w:val="00F113B7"/>
    <w:rsid w:val="00F11749"/>
    <w:rsid w:val="00F11C1B"/>
    <w:rsid w:val="00F13DE4"/>
    <w:rsid w:val="00F1413A"/>
    <w:rsid w:val="00F177DE"/>
    <w:rsid w:val="00F21BC3"/>
    <w:rsid w:val="00F21DBA"/>
    <w:rsid w:val="00F23DCD"/>
    <w:rsid w:val="00F30178"/>
    <w:rsid w:val="00F31A50"/>
    <w:rsid w:val="00F31D03"/>
    <w:rsid w:val="00F322E7"/>
    <w:rsid w:val="00F351F9"/>
    <w:rsid w:val="00F36012"/>
    <w:rsid w:val="00F36AA3"/>
    <w:rsid w:val="00F43C8B"/>
    <w:rsid w:val="00F44388"/>
    <w:rsid w:val="00F44A9B"/>
    <w:rsid w:val="00F56299"/>
    <w:rsid w:val="00F56B05"/>
    <w:rsid w:val="00F64C3E"/>
    <w:rsid w:val="00F720FA"/>
    <w:rsid w:val="00F74112"/>
    <w:rsid w:val="00F76E22"/>
    <w:rsid w:val="00F77F22"/>
    <w:rsid w:val="00F802F6"/>
    <w:rsid w:val="00F81C72"/>
    <w:rsid w:val="00F82CBF"/>
    <w:rsid w:val="00F90A23"/>
    <w:rsid w:val="00F91648"/>
    <w:rsid w:val="00F94808"/>
    <w:rsid w:val="00F956F5"/>
    <w:rsid w:val="00F9678F"/>
    <w:rsid w:val="00F969FB"/>
    <w:rsid w:val="00FA32FD"/>
    <w:rsid w:val="00FB007B"/>
    <w:rsid w:val="00FB0124"/>
    <w:rsid w:val="00FB0936"/>
    <w:rsid w:val="00FB7EE3"/>
    <w:rsid w:val="00FC0479"/>
    <w:rsid w:val="00FD2C6D"/>
    <w:rsid w:val="00FE7E1E"/>
    <w:rsid w:val="00FF0A8C"/>
    <w:rsid w:val="00FF3139"/>
    <w:rsid w:val="00FF7A2B"/>
    <w:rsid w:val="0F59B7C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2596EA4B-2271-4366-9E24-C690595B8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A35A13"/>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3D5DD1"/>
    <w:pPr>
      <w:ind w:left="720"/>
      <w:contextualSpacing/>
    </w:pPr>
  </w:style>
  <w:style w:type="table" w:styleId="Tablaconcuadrcula">
    <w:name w:val="Table Grid"/>
    <w:basedOn w:val="Tablanormal"/>
    <w:uiPriority w:val="39"/>
    <w:rsid w:val="00DB4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2F4464"/>
    <w:rPr>
      <w:color w:val="605E5C"/>
      <w:shd w:val="clear" w:color="auto" w:fill="E1DFDD"/>
    </w:rPr>
  </w:style>
  <w:style w:type="paragraph" w:customStyle="1" w:styleId="xxmsonormal">
    <w:name w:val="x_x_msonormal"/>
    <w:basedOn w:val="Normal"/>
    <w:rsid w:val="00A922EA"/>
    <w:pPr>
      <w:spacing w:after="0" w:line="240" w:lineRule="auto"/>
    </w:pPr>
    <w:rPr>
      <w:rFonts w:ascii="Calibri" w:hAnsi="Calibri" w:cs="Calibri"/>
      <w:color w:val="auto"/>
      <w:spacing w:val="0"/>
      <w:sz w:val="22"/>
      <w:szCs w:val="22"/>
      <w:lang w:val="es-DO" w:eastAsia="es-DO"/>
    </w:rPr>
  </w:style>
  <w:style w:type="character" w:customStyle="1" w:styleId="Ttulo3Car">
    <w:name w:val="Título 3 Car"/>
    <w:basedOn w:val="Fuentedeprrafopredeter"/>
    <w:link w:val="Ttulo3"/>
    <w:uiPriority w:val="9"/>
    <w:semiHidden/>
    <w:rsid w:val="00A35A13"/>
    <w:rPr>
      <w:rFonts w:asciiTheme="majorHAnsi" w:eastAsiaTheme="majorEastAsia" w:hAnsiTheme="majorHAnsi" w:cstheme="majorBidi"/>
      <w:color w:val="1F3763" w:themeColor="accent1" w:themeShade="7F"/>
    </w:rPr>
  </w:style>
  <w:style w:type="table" w:customStyle="1" w:styleId="Tabladelista3-nfasis11">
    <w:name w:val="Tabla de lista 3 - Énfasis 11"/>
    <w:basedOn w:val="Tablanormal"/>
    <w:next w:val="Tabladelista3-nfasis1"/>
    <w:uiPriority w:val="48"/>
    <w:rsid w:val="004360E7"/>
    <w:pPr>
      <w:spacing w:after="0" w:line="240" w:lineRule="auto"/>
    </w:pPr>
    <w:rPr>
      <w:rFonts w:asciiTheme="minorHAnsi" w:eastAsia="Batang" w:hAnsiTheme="minorHAnsi" w:cstheme="minorBidi"/>
      <w:color w:val="auto"/>
      <w:spacing w:val="0"/>
      <w:sz w:val="22"/>
      <w:szCs w:val="22"/>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3-nfasis1">
    <w:name w:val="List Table 3 Accent 1"/>
    <w:basedOn w:val="Tablanormal"/>
    <w:uiPriority w:val="48"/>
    <w:rsid w:val="004360E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TableParagraph">
    <w:name w:val="Table Paragraph"/>
    <w:basedOn w:val="Normal"/>
    <w:uiPriority w:val="1"/>
    <w:qFormat/>
    <w:rsid w:val="00B524CE"/>
    <w:pPr>
      <w:widowControl w:val="0"/>
      <w:autoSpaceDE w:val="0"/>
      <w:autoSpaceDN w:val="0"/>
      <w:spacing w:after="0" w:line="240" w:lineRule="auto"/>
    </w:pPr>
    <w:rPr>
      <w:rFonts w:eastAsia="Times New Roman"/>
      <w:color w:val="auto"/>
      <w:spacing w:val="0"/>
      <w:sz w:val="22"/>
      <w:szCs w:val="22"/>
    </w:rPr>
  </w:style>
  <w:style w:type="table" w:customStyle="1" w:styleId="TableNormal1">
    <w:name w:val="Table Normal1"/>
    <w:uiPriority w:val="2"/>
    <w:semiHidden/>
    <w:unhideWhenUsed/>
    <w:qFormat/>
    <w:rsid w:val="00513848"/>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A6430"/>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styleId="TDC2">
    <w:name w:val="toc 2"/>
    <w:basedOn w:val="Normal"/>
    <w:next w:val="Normal"/>
    <w:autoRedefine/>
    <w:uiPriority w:val="39"/>
    <w:unhideWhenUsed/>
    <w:rsid w:val="000A6430"/>
    <w:pPr>
      <w:spacing w:after="100"/>
      <w:ind w:left="240"/>
    </w:pPr>
  </w:style>
  <w:style w:type="paragraph" w:customStyle="1" w:styleId="Default">
    <w:name w:val="Default"/>
    <w:rsid w:val="00C936ED"/>
    <w:pPr>
      <w:autoSpaceDE w:val="0"/>
      <w:autoSpaceDN w:val="0"/>
      <w:adjustRightInd w:val="0"/>
      <w:spacing w:after="0" w:line="240" w:lineRule="auto"/>
    </w:pPr>
    <w:rPr>
      <w:rFonts w:ascii="Verdana" w:hAnsi="Verdana" w:cs="Verdana"/>
      <w:color w:val="000000"/>
      <w:spacing w:val="0"/>
      <w:lang w:val="es-DO"/>
    </w:rPr>
  </w:style>
  <w:style w:type="paragraph" w:styleId="Revisin">
    <w:name w:val="Revision"/>
    <w:hidden/>
    <w:uiPriority w:val="99"/>
    <w:semiHidden/>
    <w:rsid w:val="00265B96"/>
    <w:pPr>
      <w:spacing w:after="0" w:line="240" w:lineRule="auto"/>
    </w:pPr>
  </w:style>
  <w:style w:type="character" w:styleId="Refdecomentario">
    <w:name w:val="annotation reference"/>
    <w:basedOn w:val="Fuentedeprrafopredeter"/>
    <w:uiPriority w:val="99"/>
    <w:semiHidden/>
    <w:unhideWhenUsed/>
    <w:rsid w:val="00265B96"/>
    <w:rPr>
      <w:sz w:val="16"/>
      <w:szCs w:val="16"/>
    </w:rPr>
  </w:style>
  <w:style w:type="paragraph" w:styleId="Textocomentario">
    <w:name w:val="annotation text"/>
    <w:basedOn w:val="Normal"/>
    <w:link w:val="TextocomentarioCar"/>
    <w:uiPriority w:val="99"/>
    <w:semiHidden/>
    <w:unhideWhenUsed/>
    <w:rsid w:val="00265B9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65B96"/>
    <w:rPr>
      <w:sz w:val="20"/>
      <w:szCs w:val="20"/>
    </w:rPr>
  </w:style>
  <w:style w:type="paragraph" w:styleId="Asuntodelcomentario">
    <w:name w:val="annotation subject"/>
    <w:basedOn w:val="Textocomentario"/>
    <w:next w:val="Textocomentario"/>
    <w:link w:val="AsuntodelcomentarioCar"/>
    <w:uiPriority w:val="99"/>
    <w:semiHidden/>
    <w:unhideWhenUsed/>
    <w:rsid w:val="00265B96"/>
    <w:rPr>
      <w:b/>
      <w:bCs/>
    </w:rPr>
  </w:style>
  <w:style w:type="character" w:customStyle="1" w:styleId="AsuntodelcomentarioCar">
    <w:name w:val="Asunto del comentario Car"/>
    <w:basedOn w:val="TextocomentarioCar"/>
    <w:link w:val="Asuntodelcomentario"/>
    <w:uiPriority w:val="99"/>
    <w:semiHidden/>
    <w:rsid w:val="00265B96"/>
    <w:rPr>
      <w:b/>
      <w:bCs/>
      <w:sz w:val="20"/>
      <w:szCs w:val="20"/>
    </w:rPr>
  </w:style>
  <w:style w:type="character" w:customStyle="1" w:styleId="apple-converted-space">
    <w:name w:val="apple-converted-space"/>
    <w:basedOn w:val="Fuentedeprrafopredeter"/>
    <w:rsid w:val="00303A3B"/>
  </w:style>
  <w:style w:type="character" w:styleId="Nmerodelnea">
    <w:name w:val="line number"/>
    <w:basedOn w:val="Fuentedeprrafopredeter"/>
    <w:uiPriority w:val="99"/>
    <w:semiHidden/>
    <w:unhideWhenUsed/>
    <w:rsid w:val="00EC3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om/search?q=V%C3%ADctor+Rogelio+Benavides+Valerio&amp;rlz=1C1KNTJ_enDO1148DO1148&amp;oq=bernavides+direcor+ejecutivo+&amp;gs_lcrp=EgZjaHJvbWUyCwgAEEUYChg5GKABMgcIARAhGI8CMgcIAhAhGI8C0gEJNzQ3NWowajE1qAIIsAIB8QXKuCuoerJzCw&amp;sourceid=chrome&amp;ie=UTF-8&amp;mstk=AUtExfDn4n3e20FdMLfoSZpUPIqm0x5UAyO8EDbsYcoFOhjZGO_sSkUKHqPTjWiICE9EF5eaxQly-x3ivtz5JR5y0PgWRJG4z0QbZyX90Oj3zNTGtSRaKtORR_LWbVTRc-9uEsY&amp;csui=3&amp;ved=2ahUKEwj0g4eksLORAxWv3ckDHRf6OSgQgK4QegQIARAC"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200" b="0" cap="none">
                <a:latin typeface="Times New Roman" panose="02020603050405020304" pitchFamily="18" charset="0"/>
                <a:cs typeface="Times New Roman" panose="02020603050405020304" pitchFamily="18" charset="0"/>
              </a:rPr>
              <a:t>Resultados por género</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Total Evaluados</c:v>
                </c:pt>
              </c:strCache>
            </c:strRef>
          </c:tx>
          <c:spPr>
            <a:solidFill>
              <a:schemeClr val="accent1"/>
            </a:solidFill>
            <a:ln>
              <a:noFill/>
            </a:ln>
            <a:effectLst>
              <a:innerShdw blurRad="114300">
                <a:schemeClr val="accent1"/>
              </a:innerShdw>
            </a:effectLst>
          </c:spPr>
          <c:invertIfNegative val="0"/>
          <c:dLbls>
            <c:dLbl>
              <c:idx val="0"/>
              <c:tx>
                <c:rich>
                  <a:bodyPr/>
                  <a:lstStyle/>
                  <a:p>
                    <a:fld id="{6FEF3ACA-F856-4B21-A281-3D7990482E4B}" type="VALUE">
                      <a:rPr lang="en-US" baseline="0">
                        <a:solidFill>
                          <a:srgbClr val="4C4747"/>
                        </a:solidFill>
                      </a:rPr>
                      <a:pPr/>
                      <a:t>[VALOR]</a:t>
                    </a:fld>
                    <a:endParaRPr lang="es-DO"/>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893-4872-8E6F-2DBF1C5B7F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Hombres</c:v>
                </c:pt>
                <c:pt idx="1">
                  <c:v>Mujeres</c:v>
                </c:pt>
                <c:pt idx="2">
                  <c:v>Totales</c:v>
                </c:pt>
              </c:strCache>
            </c:strRef>
          </c:cat>
          <c:val>
            <c:numRef>
              <c:f>Hoja1!$B$2:$B$4</c:f>
              <c:numCache>
                <c:formatCode>General</c:formatCode>
                <c:ptCount val="3"/>
                <c:pt idx="0">
                  <c:v>36</c:v>
                </c:pt>
                <c:pt idx="1">
                  <c:v>31</c:v>
                </c:pt>
                <c:pt idx="2">
                  <c:v>67</c:v>
                </c:pt>
              </c:numCache>
            </c:numRef>
          </c:val>
          <c:extLst>
            <c:ext xmlns:c16="http://schemas.microsoft.com/office/drawing/2014/chart" uri="{C3380CC4-5D6E-409C-BE32-E72D297353CC}">
              <c16:uniqueId val="{00000001-8893-4872-8E6F-2DBF1C5B7F07}"/>
            </c:ext>
          </c:extLst>
        </c:ser>
        <c:ser>
          <c:idx val="1"/>
          <c:order val="1"/>
          <c:tx>
            <c:strRef>
              <c:f>Hoja1!$C$1</c:f>
              <c:strCache>
                <c:ptCount val="1"/>
                <c:pt idx="0">
                  <c:v>Porcentajes (%)</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Hombres</c:v>
                </c:pt>
                <c:pt idx="1">
                  <c:v>Mujeres</c:v>
                </c:pt>
                <c:pt idx="2">
                  <c:v>Totales</c:v>
                </c:pt>
              </c:strCache>
            </c:strRef>
          </c:cat>
          <c:val>
            <c:numRef>
              <c:f>Hoja1!$C$2:$C$4</c:f>
              <c:numCache>
                <c:formatCode>0%</c:formatCode>
                <c:ptCount val="3"/>
                <c:pt idx="0">
                  <c:v>0.54</c:v>
                </c:pt>
                <c:pt idx="1">
                  <c:v>0.46</c:v>
                </c:pt>
                <c:pt idx="2">
                  <c:v>1</c:v>
                </c:pt>
              </c:numCache>
            </c:numRef>
          </c:val>
          <c:extLst>
            <c:ext xmlns:c16="http://schemas.microsoft.com/office/drawing/2014/chart" uri="{C3380CC4-5D6E-409C-BE32-E72D297353CC}">
              <c16:uniqueId val="{00000002-8893-4872-8E6F-2DBF1C5B7F07}"/>
            </c:ext>
          </c:extLst>
        </c:ser>
        <c:dLbls>
          <c:dLblPos val="outEnd"/>
          <c:showLegendKey val="0"/>
          <c:showVal val="1"/>
          <c:showCatName val="0"/>
          <c:showSerName val="0"/>
          <c:showPercent val="0"/>
          <c:showBubbleSize val="0"/>
        </c:dLbls>
        <c:gapWidth val="164"/>
        <c:overlap val="-22"/>
        <c:axId val="1206840719"/>
        <c:axId val="1206841551"/>
      </c:barChart>
      <c:catAx>
        <c:axId val="120684071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6841551"/>
        <c:crosses val="autoZero"/>
        <c:auto val="1"/>
        <c:lblAlgn val="ctr"/>
        <c:lblOffset val="100"/>
        <c:noMultiLvlLbl val="0"/>
      </c:catAx>
      <c:valAx>
        <c:axId val="12068415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06840719"/>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77</Pages>
  <Words>13609</Words>
  <Characters>79613</Characters>
  <Application>Microsoft Office Word</Application>
  <DocSecurity>0</DocSecurity>
  <Lines>2843</Lines>
  <Paragraphs>1312</Paragraphs>
  <ScaleCrop>false</ScaleCrop>
  <Company/>
  <LinksUpToDate>false</LinksUpToDate>
  <CharactersWithSpaces>91910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Miguelina Lorenzo Martínez</cp:lastModifiedBy>
  <cp:revision>3</cp:revision>
  <cp:lastPrinted>2021-11-04T14:14:00Z</cp:lastPrinted>
  <dcterms:created xsi:type="dcterms:W3CDTF">2025-12-30T02:43:00Z</dcterms:created>
  <dcterms:modified xsi:type="dcterms:W3CDTF">2026-01-08T20:14:00Z</dcterms:modified>
</cp:coreProperties>
</file>